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630555</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9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20-F</w:t>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9" w:lineRule="exact"/>
        <w:rPr>
          <w:sz w:val="24"/>
          <w:szCs w:val="24"/>
          <w:color w:val="auto"/>
        </w:rPr>
      </w:pPr>
    </w:p>
    <w:p>
      <w:pPr>
        <w:ind w:left="280" w:hanging="274"/>
        <w:spacing w:after="0"/>
        <w:tabs>
          <w:tab w:leader="none" w:pos="280" w:val="left"/>
        </w:tabs>
        <w:numPr>
          <w:ilvl w:val="0"/>
          <w:numId w:val="1"/>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43" w:lineRule="exact"/>
        <w:rPr>
          <w:rFonts w:ascii="MS PGothic" w:cs="MS PGothic" w:eastAsia="MS PGothic" w:hAnsi="MS PGothic"/>
          <w:sz w:val="14"/>
          <w:szCs w:val="14"/>
          <w:b w:val="1"/>
          <w:bCs w:val="1"/>
          <w:color w:val="auto"/>
        </w:rPr>
      </w:pPr>
    </w:p>
    <w:p>
      <w:pPr>
        <w:ind w:left="520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3"/>
          <w:szCs w:val="13"/>
          <w:b w:val="1"/>
          <w:bCs w:val="1"/>
          <w:color w:val="auto"/>
        </w:rPr>
        <w:t>OR</w:t>
      </w:r>
    </w:p>
    <w:p>
      <w:pPr>
        <w:spacing w:after="0" w:line="54" w:lineRule="exact"/>
        <w:rPr>
          <w:sz w:val="24"/>
          <w:szCs w:val="24"/>
          <w:color w:val="auto"/>
        </w:rPr>
      </w:pPr>
    </w:p>
    <w:p>
      <w:pPr>
        <w:ind w:left="280" w:hanging="274"/>
        <w:spacing w:after="0"/>
        <w:tabs>
          <w:tab w:leader="none" w:pos="280" w:val="left"/>
        </w:tabs>
        <w:numPr>
          <w:ilvl w:val="0"/>
          <w:numId w:val="2"/>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5" w:lineRule="exact"/>
        <w:rPr>
          <w:rFonts w:ascii="MS PGothic" w:cs="MS PGothic" w:eastAsia="MS PGothic" w:hAnsi="MS PGothic"/>
          <w:sz w:val="14"/>
          <w:szCs w:val="14"/>
          <w:b w:val="1"/>
          <w:bCs w:val="1"/>
          <w:color w:val="auto"/>
        </w:rPr>
      </w:pPr>
    </w:p>
    <w:p>
      <w:pPr>
        <w:ind w:left="404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3"/>
          <w:szCs w:val="13"/>
          <w:b w:val="1"/>
          <w:bCs w:val="1"/>
          <w:color w:val="auto"/>
        </w:rPr>
        <w:t>For the fiscal year ended December 31, 2023</w:t>
      </w:r>
    </w:p>
    <w:p>
      <w:pPr>
        <w:spacing w:after="0" w:line="54" w:lineRule="exact"/>
        <w:rPr>
          <w:rFonts w:ascii="MS PGothic" w:cs="MS PGothic" w:eastAsia="MS PGothic" w:hAnsi="MS PGothic"/>
          <w:sz w:val="14"/>
          <w:szCs w:val="14"/>
          <w:b w:val="1"/>
          <w:bCs w:val="1"/>
          <w:color w:val="auto"/>
        </w:rPr>
      </w:pPr>
    </w:p>
    <w:p>
      <w:pPr>
        <w:ind w:left="520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3"/>
          <w:szCs w:val="13"/>
          <w:b w:val="1"/>
          <w:bCs w:val="1"/>
          <w:color w:val="auto"/>
        </w:rPr>
        <w:t>OR</w:t>
      </w:r>
    </w:p>
    <w:p>
      <w:pPr>
        <w:spacing w:after="0" w:line="54" w:lineRule="exact"/>
        <w:rPr>
          <w:sz w:val="24"/>
          <w:szCs w:val="24"/>
          <w:color w:val="auto"/>
        </w:rPr>
      </w:pPr>
    </w:p>
    <w:p>
      <w:pPr>
        <w:ind w:left="280" w:hanging="274"/>
        <w:spacing w:after="0"/>
        <w:tabs>
          <w:tab w:leader="none" w:pos="280" w:val="left"/>
        </w:tabs>
        <w:numPr>
          <w:ilvl w:val="0"/>
          <w:numId w:val="3"/>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4" w:lineRule="exact"/>
        <w:rPr>
          <w:sz w:val="24"/>
          <w:szCs w:val="24"/>
          <w:color w:val="auto"/>
        </w:rPr>
      </w:pPr>
    </w:p>
    <w:p>
      <w:pPr>
        <w:ind w:left="280" w:hanging="274"/>
        <w:spacing w:after="0"/>
        <w:tabs>
          <w:tab w:leader="none" w:pos="280" w:val="left"/>
        </w:tabs>
        <w:numPr>
          <w:ilvl w:val="0"/>
          <w:numId w:val="4"/>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55" w:lineRule="exact"/>
        <w:rPr>
          <w:rFonts w:ascii="MS PGothic" w:cs="MS PGothic" w:eastAsia="MS PGothic" w:hAnsi="MS PGothic"/>
          <w:sz w:val="14"/>
          <w:szCs w:val="14"/>
          <w:b w:val="1"/>
          <w:bCs w:val="1"/>
          <w:color w:val="auto"/>
        </w:rPr>
      </w:pPr>
    </w:p>
    <w:p>
      <w:pPr>
        <w:ind w:left="426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3"/>
          <w:szCs w:val="13"/>
          <w:b w:val="1"/>
          <w:bCs w:val="1"/>
          <w:color w:val="auto"/>
        </w:rPr>
        <w:t>Commission file number: 001-39081</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Federal Republic of Germany</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1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Prof. Ugur Sahin, M.D.,</w:t>
      </w:r>
    </w:p>
    <w:p>
      <w:pPr>
        <w:spacing w:after="0" w:line="2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c/o BioNTech SE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+49 6131-9084-0 (Tel), +49 6131 9084-390 (Fax), info@biontech.de (E-mail)</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tc>
        <w:tc>
          <w:tcPr>
            <w:tcW w:w="1780" w:type="dxa"/>
            <w:vAlign w:val="bottom"/>
          </w:tcPr>
          <w:p>
            <w:pPr>
              <w:spacing w:after="0"/>
              <w:rPr>
                <w:sz w:val="15"/>
                <w:szCs w:val="15"/>
                <w:color w:val="auto"/>
              </w:rPr>
            </w:pPr>
          </w:p>
        </w:tc>
        <w:tc>
          <w:tcPr>
            <w:tcW w:w="4120" w:type="dxa"/>
            <w:vAlign w:val="bottom"/>
          </w:tcPr>
          <w:p>
            <w:pPr>
              <w:spacing w:after="0"/>
              <w:rPr>
                <w:sz w:val="15"/>
                <w:szCs w:val="15"/>
                <w:color w:val="auto"/>
              </w:rPr>
            </w:pPr>
          </w:p>
        </w:tc>
      </w:tr>
      <w:tr>
        <w:trPr>
          <w:trHeight w:val="511"/>
        </w:trPr>
        <w:tc>
          <w:tcPr>
            <w:tcW w:w="4660" w:type="dxa"/>
            <w:vAlign w:val="bottom"/>
          </w:tcPr>
          <w:p>
            <w:pPr>
              <w:spacing w:after="0"/>
              <w:rPr>
                <w:sz w:val="24"/>
                <w:szCs w:val="24"/>
                <w:color w:val="auto"/>
              </w:rPr>
            </w:pPr>
          </w:p>
        </w:tc>
        <w:tc>
          <w:tcPr>
            <w:tcW w:w="1780" w:type="dxa"/>
            <w:vAlign w:val="bottom"/>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120" w:type="dxa"/>
            <w:vAlign w:val="bottom"/>
          </w:tcPr>
          <w:p>
            <w:pPr>
              <w:spacing w:after="0"/>
              <w:rPr>
                <w:sz w:val="24"/>
                <w:szCs w:val="24"/>
                <w:color w:val="auto"/>
              </w:rPr>
            </w:pPr>
          </w:p>
        </w:tc>
      </w:tr>
      <w:tr>
        <w:trPr>
          <w:trHeight w:val="186"/>
        </w:trPr>
        <w:tc>
          <w:tcPr>
            <w:tcW w:w="4660" w:type="dxa"/>
            <w:vAlign w:val="bottom"/>
          </w:tcPr>
          <w:p>
            <w:pPr>
              <w:ind w:left="15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80" w:type="dxa"/>
            <w:vAlign w:val="bottom"/>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American Depositary Shares, each Representing one ordinary share</w:t>
            </w:r>
          </w:p>
        </w:tc>
        <w:tc>
          <w:tcPr>
            <w:tcW w:w="1780" w:type="dxa"/>
            <w:vAlign w:val="bottom"/>
          </w:tcPr>
          <w:p>
            <w:pPr>
              <w:jc w:val="center"/>
              <w:ind w:right="414"/>
              <w:spacing w:after="0"/>
              <w:rPr>
                <w:sz w:val="20"/>
                <w:szCs w:val="20"/>
                <w:color w:val="auto"/>
              </w:rPr>
            </w:pPr>
            <w:r>
              <w:rPr>
                <w:rFonts w:ascii="Times New Roman" w:cs="Times New Roman" w:eastAsia="Times New Roman" w:hAnsi="Times New Roman"/>
                <w:sz w:val="13"/>
                <w:szCs w:val="13"/>
                <w:color w:val="auto"/>
                <w:w w:val="95"/>
              </w:rPr>
              <w:t>BNTX</w:t>
            </w:r>
          </w:p>
        </w:tc>
        <w:tc>
          <w:tcPr>
            <w:tcW w:w="4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4"/>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Ordinary shares, no par value, with a notional amount attributable to each</w:t>
            </w:r>
          </w:p>
        </w:tc>
        <w:tc>
          <w:tcPr>
            <w:tcW w:w="178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72"/>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ordinary share of €1*</w:t>
            </w:r>
          </w:p>
        </w:tc>
        <w:tc>
          <w:tcPr>
            <w:tcW w:w="1780" w:type="dxa"/>
            <w:vAlign w:val="bottom"/>
          </w:tcPr>
          <w:p>
            <w:pPr>
              <w:jc w:val="center"/>
              <w:ind w:right="414"/>
              <w:spacing w:after="0"/>
              <w:rPr>
                <w:sz w:val="20"/>
                <w:szCs w:val="20"/>
                <w:color w:val="auto"/>
              </w:rPr>
            </w:pPr>
            <w:r>
              <w:rPr>
                <w:rFonts w:ascii="Times New Roman" w:cs="Times New Roman" w:eastAsia="Times New Roman" w:hAnsi="Times New Roman"/>
                <w:sz w:val="13"/>
                <w:szCs w:val="13"/>
                <w:color w:val="auto"/>
              </w:rPr>
              <w:t>—</w:t>
            </w:r>
          </w:p>
        </w:tc>
        <w:tc>
          <w:tcPr>
            <w:tcW w:w="4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196"/>
        </w:trPr>
        <w:tc>
          <w:tcPr>
            <w:tcW w:w="466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 w:name="page2"/>
    <w:bookmarkEnd w:id="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or to be registered pursuant to Section 12(g) of the Act: </w:t>
      </w:r>
      <w:r>
        <w:rPr>
          <w:rFonts w:ascii="Times New Roman" w:cs="Times New Roman" w:eastAsia="Times New Roman" w:hAnsi="Times New Roman"/>
          <w:sz w:val="13"/>
          <w:szCs w:val="13"/>
          <w:b w:val="1"/>
          <w:bCs w:val="1"/>
          <w:color w:val="auto"/>
        </w:rPr>
        <w:t>None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for which there is a reporting obligation pursuant to Section 15(d) of the Act: </w:t>
      </w:r>
      <w:r>
        <w:rPr>
          <w:rFonts w:ascii="Times New Roman" w:cs="Times New Roman" w:eastAsia="Times New Roman" w:hAnsi="Times New Roman"/>
          <w:sz w:val="13"/>
          <w:szCs w:val="13"/>
          <w:b w:val="1"/>
          <w:bCs w:val="1"/>
          <w:color w:val="auto"/>
        </w:rPr>
        <w:t>None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stock or common stock as of the close of business covered by the annual report.</w:t>
      </w:r>
    </w:p>
    <w:p>
      <w:pPr>
        <w:spacing w:after="0" w:line="55" w:lineRule="exact"/>
        <w:rPr>
          <w:sz w:val="20"/>
          <w:szCs w:val="20"/>
          <w:color w:val="auto"/>
        </w:rPr>
      </w:pPr>
    </w:p>
    <w:p>
      <w:pPr>
        <w:ind w:right="520" w:firstLine="384"/>
        <w:spacing w:after="0" w:line="198" w:lineRule="exact"/>
        <w:rPr>
          <w:sz w:val="20"/>
          <w:szCs w:val="20"/>
          <w:color w:val="auto"/>
        </w:rPr>
      </w:pPr>
      <w:r>
        <w:rPr>
          <w:rFonts w:ascii="Times New Roman" w:cs="Times New Roman" w:eastAsia="Times New Roman" w:hAnsi="Times New Roman"/>
          <w:sz w:val="13"/>
          <w:szCs w:val="13"/>
          <w:color w:val="auto"/>
        </w:rPr>
        <w:t xml:space="preserve">Ordinary shares, no par value, with a notional amount attributable to each share of €1 outstanding up until March 13, 2024, the most recent practicable date, no par value: 237,725,735 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0"/>
          <w:szCs w:val="20"/>
          <w:color w:val="auto"/>
        </w:rPr>
      </w:pPr>
    </w:p>
    <w:p>
      <w:pPr>
        <w:ind w:right="1060"/>
        <w:spacing w:after="0" w:line="174"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0"/>
          <w:szCs w:val="20"/>
          <w:color w:val="auto"/>
        </w:rPr>
      </w:pPr>
    </w:p>
    <w:p>
      <w:pPr>
        <w:ind w:right="18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0"/>
          <w:szCs w:val="20"/>
          <w:color w:val="auto"/>
        </w:rPr>
      </w:pPr>
    </w:p>
    <w:p>
      <w:pPr>
        <w:ind w:right="34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97" w:lineRule="exact"/>
        <w:rPr>
          <w:sz w:val="20"/>
          <w:szCs w:val="20"/>
          <w:color w:val="auto"/>
        </w:rPr>
      </w:pPr>
    </w:p>
    <w:p>
      <w:pPr>
        <w:ind w:left="20"/>
        <w:spacing w:after="0" w:line="150" w:lineRule="exact"/>
        <w:tabs>
          <w:tab w:leader="none" w:pos="1840" w:val="left"/>
          <w:tab w:leader="none" w:pos="2620" w:val="left"/>
          <w:tab w:leader="none" w:pos="4220" w:val="left"/>
          <w:tab w:leader="none" w:pos="5340" w:val="left"/>
          <w:tab w:leader="none" w:pos="7220" w:val="left"/>
          <w:tab w:leader="none" w:pos="8000" w:val="left"/>
          <w:tab w:leader="none" w:pos="101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46" w:lineRule="exact"/>
        <w:rPr>
          <w:sz w:val="20"/>
          <w:szCs w:val="20"/>
          <w:color w:val="auto"/>
        </w:rPr>
      </w:pPr>
    </w:p>
    <w:p>
      <w:pPr>
        <w:ind w:right="140"/>
        <w:spacing w:after="0" w:line="174" w:lineRule="exact"/>
        <w:rPr>
          <w:sz w:val="20"/>
          <w:szCs w:val="20"/>
          <w:color w:val="auto"/>
        </w:rPr>
      </w:pPr>
      <w:r>
        <w:rPr>
          <w:rFonts w:ascii="Times New Roman" w:cs="Times New Roman" w:eastAsia="Times New Roman" w:hAnsi="Times New Roman"/>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provided pursuant to Section 13(a) of the Exchange Act. </w:t>
      </w:r>
      <w:r>
        <w:rPr>
          <w:rFonts w:ascii="MS PGothic" w:cs="MS PGothic" w:eastAsia="MS PGothic" w:hAnsi="MS PGothic"/>
          <w:sz w:val="13"/>
          <w:szCs w:val="13"/>
          <w:color w:val="auto"/>
        </w:rPr>
        <w:t>☐</w:t>
      </w:r>
    </w:p>
    <w:p>
      <w:pPr>
        <w:spacing w:after="0" w:line="13" w:lineRule="exact"/>
        <w:rPr>
          <w:sz w:val="20"/>
          <w:szCs w:val="20"/>
          <w:color w:val="auto"/>
        </w:rPr>
      </w:pPr>
    </w:p>
    <w:p>
      <w:pPr>
        <w:ind w:right="3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 w:lineRule="exact"/>
        <w:rPr>
          <w:sz w:val="20"/>
          <w:szCs w:val="20"/>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0"/>
          <w:szCs w:val="20"/>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ind w:left="78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59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International Financial Reporting Standards as issued by the International Accounting Standards Board</w:t>
            </w:r>
          </w:p>
        </w:tc>
        <w:tc>
          <w:tcPr>
            <w:tcW w:w="26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1440" w:type="dxa"/>
            <w:vAlign w:val="bottom"/>
          </w:tcPr>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r>
      <w:tr>
        <w:trPr>
          <w:trHeight w:val="330"/>
        </w:trPr>
        <w:tc>
          <w:tcPr>
            <w:tcW w:w="8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tc>
        <w:tc>
          <w:tcPr>
            <w:tcW w:w="144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p>
        </w:tc>
      </w:tr>
      <w:tr>
        <w:trPr>
          <w:trHeight w:val="223"/>
        </w:trPr>
        <w:tc>
          <w:tcPr>
            <w:tcW w:w="80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w:t>
            </w:r>
          </w:p>
        </w:tc>
        <w:tc>
          <w:tcPr>
            <w:tcW w:w="14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24" w:lineRule="exact"/>
        <w:rPr>
          <w:sz w:val="20"/>
          <w:szCs w:val="20"/>
          <w:color w:val="auto"/>
        </w:rPr>
      </w:pPr>
    </w:p>
    <w:p>
      <w:pPr>
        <w:ind w:right="400" w:firstLine="6"/>
        <w:spacing w:after="0" w:line="253" w:lineRule="auto"/>
        <w:tabs>
          <w:tab w:leader="none" w:pos="81"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Listed not for trading or quotation purposes, but only in connection with the registration of American Depositary Shares representing such ordinary shares pursuant to the requirements of the Securities and Exchange Commission. The American Depositary Shares are registered under the Securities Act of 1933, as amended, pursuant to a separate registration statement on Form F-6 (File No. 333-233898).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1007110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7480" w:type="dxa"/>
            <w:vAlign w:val="bottom"/>
            <w:gridSpan w:val="4"/>
          </w:tcPr>
          <w:p>
            <w:pPr>
              <w:spacing w:after="0"/>
              <w:rPr>
                <w:rFonts w:ascii="Times New Roman" w:cs="Times New Roman" w:eastAsia="Times New Roman" w:hAnsi="Times New Roman"/>
                <w:sz w:val="16"/>
                <w:szCs w:val="16"/>
                <w:color w:val="0000FF"/>
              </w:rPr>
            </w:pPr>
            <w:hyperlink w:anchor="page2">
              <w:r>
                <w:rPr>
                  <w:rFonts w:ascii="Times New Roman" w:cs="Times New Roman" w:eastAsia="Times New Roman" w:hAnsi="Times New Roman"/>
                  <w:sz w:val="16"/>
                  <w:szCs w:val="16"/>
                  <w:color w:val="0000FF"/>
                </w:rPr>
                <w:t>Table of Contents</w:t>
              </w:r>
            </w:hyperlink>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926"/>
        </w:trPr>
        <w:tc>
          <w:tcPr>
            <w:tcW w:w="34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80" w:type="dxa"/>
            <w:vAlign w:val="bottom"/>
            <w:gridSpan w:val="3"/>
          </w:tcPr>
          <w:p>
            <w:pPr>
              <w:jc w:val="center"/>
              <w:ind w:left="1682"/>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78"/>
        </w:trPr>
        <w:tc>
          <w:tcPr>
            <w:tcW w:w="1860" w:type="dxa"/>
            <w:vAlign w:val="bottom"/>
            <w:gridSpan w:val="3"/>
          </w:tcPr>
          <w:p>
            <w:pPr>
              <w:spacing w:after="0"/>
              <w:rPr>
                <w:rFonts w:ascii="Times New Roman" w:cs="Times New Roman" w:eastAsia="Times New Roman" w:hAnsi="Times New Roman"/>
                <w:sz w:val="16"/>
                <w:szCs w:val="16"/>
                <w:color w:val="0E32E1"/>
                <w:w w:val="96"/>
              </w:rPr>
            </w:pPr>
            <w:hyperlink w:anchor="page6">
              <w:r>
                <w:rPr>
                  <w:rFonts w:ascii="Times New Roman" w:cs="Times New Roman" w:eastAsia="Times New Roman" w:hAnsi="Times New Roman"/>
                  <w:sz w:val="16"/>
                  <w:szCs w:val="16"/>
                  <w:color w:val="0E32E1"/>
                  <w:w w:val="96"/>
                </w:rPr>
                <w:t>GENERAL INFORMATION</w:t>
              </w:r>
            </w:hyperlink>
          </w:p>
        </w:tc>
        <w:tc>
          <w:tcPr>
            <w:tcW w:w="5960" w:type="dxa"/>
            <w:vAlign w:val="bottom"/>
            <w:gridSpan w:val="2"/>
          </w:tcPr>
          <w:p>
            <w:pPr>
              <w:spacing w:after="0"/>
              <w:rPr>
                <w:sz w:val="24"/>
                <w:szCs w:val="24"/>
                <w:color w:val="auto"/>
              </w:rPr>
            </w:pPr>
          </w:p>
        </w:tc>
        <w:tc>
          <w:tcPr>
            <w:tcW w:w="1960" w:type="dxa"/>
            <w:vAlign w:val="bottom"/>
            <w:gridSpan w:val="2"/>
          </w:tcPr>
          <w:p>
            <w:pPr>
              <w:jc w:val="center"/>
              <w:ind w:left="1802"/>
              <w:spacing w:after="0"/>
              <w:rPr>
                <w:rFonts w:ascii="Times New Roman" w:cs="Times New Roman" w:eastAsia="Times New Roman" w:hAnsi="Times New Roman"/>
                <w:sz w:val="16"/>
                <w:szCs w:val="16"/>
                <w:color w:val="0000FF"/>
                <w:w w:val="99"/>
              </w:rPr>
            </w:pPr>
            <w:hyperlink w:anchor="page6">
              <w:r>
                <w:rPr>
                  <w:rFonts w:ascii="Times New Roman" w:cs="Times New Roman" w:eastAsia="Times New Roman" w:hAnsi="Times New Roman"/>
                  <w:sz w:val="16"/>
                  <w:szCs w:val="16"/>
                  <w:color w:val="0000FF"/>
                  <w:w w:val="99"/>
                </w:rPr>
                <w:t>4</w:t>
              </w:r>
            </w:hyperlink>
          </w:p>
        </w:tc>
        <w:tc>
          <w:tcPr>
            <w:tcW w:w="120" w:type="dxa"/>
            <w:vAlign w:val="bottom"/>
          </w:tcPr>
          <w:p>
            <w:pPr>
              <w:spacing w:after="0"/>
              <w:rPr>
                <w:sz w:val="24"/>
                <w:szCs w:val="24"/>
                <w:color w:val="auto"/>
              </w:rPr>
            </w:pPr>
          </w:p>
        </w:tc>
      </w:tr>
      <w:tr>
        <w:trPr>
          <w:trHeight w:val="20"/>
        </w:trPr>
        <w:tc>
          <w:tcPr>
            <w:tcW w:w="1860" w:type="dxa"/>
            <w:vAlign w:val="bottom"/>
            <w:gridSpan w:val="3"/>
            <w:shd w:val="clear" w:color="auto" w:fill="0E32E1"/>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820" w:type="dxa"/>
            <w:vAlign w:val="bottom"/>
            <w:gridSpan w:val="5"/>
          </w:tcPr>
          <w:p>
            <w:pPr>
              <w:spacing w:after="0"/>
              <w:rPr>
                <w:rFonts w:ascii="Times New Roman" w:cs="Times New Roman" w:eastAsia="Times New Roman" w:hAnsi="Times New Roman"/>
                <w:sz w:val="16"/>
                <w:szCs w:val="16"/>
                <w:color w:val="0E32E1"/>
              </w:rPr>
            </w:pPr>
            <w:hyperlink w:anchor="page7">
              <w:r>
                <w:rPr>
                  <w:rFonts w:ascii="Times New Roman" w:cs="Times New Roman" w:eastAsia="Times New Roman" w:hAnsi="Times New Roman"/>
                  <w:sz w:val="16"/>
                  <w:szCs w:val="16"/>
                  <w:color w:val="0E32E1"/>
                </w:rPr>
                <w:t>CAUTIONARY STATEMENT REGARDING FORWARD-LOOKING STATEMENTS</w:t>
              </w:r>
            </w:hyperlink>
          </w:p>
        </w:tc>
        <w:tc>
          <w:tcPr>
            <w:tcW w:w="1960" w:type="dxa"/>
            <w:vAlign w:val="bottom"/>
            <w:gridSpan w:val="2"/>
          </w:tcPr>
          <w:p>
            <w:pPr>
              <w:jc w:val="center"/>
              <w:ind w:left="1802"/>
              <w:spacing w:after="0"/>
              <w:rPr>
                <w:rFonts w:ascii="Times New Roman" w:cs="Times New Roman" w:eastAsia="Times New Roman" w:hAnsi="Times New Roman"/>
                <w:sz w:val="16"/>
                <w:szCs w:val="16"/>
                <w:color w:val="0000FF"/>
                <w:w w:val="99"/>
              </w:rPr>
            </w:pPr>
            <w:hyperlink w:anchor="page7">
              <w:r>
                <w:rPr>
                  <w:rFonts w:ascii="Times New Roman" w:cs="Times New Roman" w:eastAsia="Times New Roman" w:hAnsi="Times New Roman"/>
                  <w:sz w:val="16"/>
                  <w:szCs w:val="16"/>
                  <w:color w:val="0000FF"/>
                  <w:w w:val="99"/>
                </w:rPr>
                <w:t>5</w:t>
              </w:r>
            </w:hyperlink>
          </w:p>
        </w:tc>
        <w:tc>
          <w:tcPr>
            <w:tcW w:w="120" w:type="dxa"/>
            <w:vAlign w:val="bottom"/>
          </w:tcPr>
          <w:p>
            <w:pPr>
              <w:spacing w:after="0"/>
              <w:rPr>
                <w:sz w:val="18"/>
                <w:szCs w:val="18"/>
                <w:color w:val="auto"/>
              </w:rPr>
            </w:pPr>
          </w:p>
        </w:tc>
      </w:tr>
      <w:tr>
        <w:trPr>
          <w:trHeight w:val="20"/>
        </w:trPr>
        <w:tc>
          <w:tcPr>
            <w:tcW w:w="340" w:type="dxa"/>
            <w:vAlign w:val="bottom"/>
            <w:shd w:val="clear" w:color="auto" w:fill="0E32E1"/>
          </w:tcPr>
          <w:p>
            <w:pPr>
              <w:spacing w:after="0" w:line="20" w:lineRule="exact"/>
              <w:rPr>
                <w:sz w:val="1"/>
                <w:szCs w:val="1"/>
                <w:color w:val="auto"/>
              </w:rPr>
            </w:pPr>
          </w:p>
        </w:tc>
        <w:tc>
          <w:tcPr>
            <w:tcW w:w="11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3700" w:type="dxa"/>
            <w:vAlign w:val="bottom"/>
            <w:shd w:val="clear" w:color="auto" w:fill="0E32E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ectPr>
          <w:pgSz w:w="11900" w:h="16840" w:orient="portrait"/>
          <w:cols w:equalWidth="0" w:num="1">
            <w:col w:w="9900"/>
          </w:cols>
          <w:pgMar w:left="720" w:top="542" w:right="1280" w:bottom="773"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4A.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9.</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0">
              <w:r>
                <w:rPr>
                  <w:rFonts w:ascii="Times New Roman" w:cs="Times New Roman" w:eastAsia="Times New Roman" w:hAnsi="Times New Roman"/>
                  <w:sz w:val="16"/>
                  <w:szCs w:val="16"/>
                  <w:color w:val="0E32E1"/>
                </w:rPr>
                <w:t>IDENTITY OF DIRECTORS, SENIOR MANAGEMENT AND ADVISERS</w:t>
              </w:r>
            </w:hyperlink>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8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0"/>
        </w:trPr>
        <w:tc>
          <w:tcPr>
            <w:tcW w:w="4840" w:type="dxa"/>
            <w:vAlign w:val="bottom"/>
            <w:gridSpan w:val="28"/>
          </w:tcPr>
          <w:p>
            <w:pPr>
              <w:spacing w:after="0"/>
              <w:rPr>
                <w:rFonts w:ascii="Times New Roman" w:cs="Times New Roman" w:eastAsia="Times New Roman" w:hAnsi="Times New Roman"/>
                <w:sz w:val="16"/>
                <w:szCs w:val="16"/>
                <w:color w:val="0E32E1"/>
              </w:rPr>
            </w:pPr>
            <w:hyperlink w:anchor="page10">
              <w:r>
                <w:rPr>
                  <w:rFonts w:ascii="Times New Roman" w:cs="Times New Roman" w:eastAsia="Times New Roman" w:hAnsi="Times New Roman"/>
                  <w:sz w:val="16"/>
                  <w:szCs w:val="16"/>
                  <w:color w:val="0E32E1"/>
                </w:rPr>
                <w:t>OFFER STATISTICS AND EXPECTED TIMETABLE</w:t>
              </w:r>
            </w:hyperlink>
          </w:p>
        </w:tc>
        <w:tc>
          <w:tcPr>
            <w:tcW w:w="3540" w:type="dxa"/>
            <w:vAlign w:val="bottom"/>
            <w:gridSpan w:val="2"/>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0"/>
        </w:trPr>
        <w:tc>
          <w:tcPr>
            <w:tcW w:w="1440" w:type="dxa"/>
            <w:vAlign w:val="bottom"/>
            <w:gridSpan w:val="10"/>
          </w:tcPr>
          <w:p>
            <w:pPr>
              <w:spacing w:after="0"/>
              <w:rPr>
                <w:rFonts w:ascii="Times New Roman" w:cs="Times New Roman" w:eastAsia="Times New Roman" w:hAnsi="Times New Roman"/>
                <w:sz w:val="16"/>
                <w:szCs w:val="16"/>
                <w:color w:val="0E32E1"/>
                <w:w w:val="94"/>
              </w:rPr>
            </w:pPr>
            <w:hyperlink w:anchor="page10">
              <w:r>
                <w:rPr>
                  <w:rFonts w:ascii="Times New Roman" w:cs="Times New Roman" w:eastAsia="Times New Roman" w:hAnsi="Times New Roman"/>
                  <w:sz w:val="16"/>
                  <w:szCs w:val="16"/>
                  <w:color w:val="0E32E1"/>
                  <w:w w:val="94"/>
                </w:rPr>
                <w:t>KEY INFORMATION</w:t>
              </w:r>
            </w:hyperlink>
          </w:p>
        </w:tc>
        <w:tc>
          <w:tcPr>
            <w:tcW w:w="2080" w:type="dxa"/>
            <w:vAlign w:val="bottom"/>
            <w:gridSpan w:val="12"/>
          </w:tcPr>
          <w:p>
            <w:pPr>
              <w:spacing w:after="0"/>
              <w:rPr>
                <w:sz w:val="24"/>
                <w:szCs w:val="24"/>
                <w:color w:val="auto"/>
              </w:rPr>
            </w:pPr>
          </w:p>
        </w:tc>
        <w:tc>
          <w:tcPr>
            <w:tcW w:w="4860" w:type="dxa"/>
            <w:vAlign w:val="bottom"/>
            <w:gridSpan w:val="8"/>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rFonts w:ascii="Times New Roman" w:cs="Times New Roman" w:eastAsia="Times New Roman" w:hAnsi="Times New Roman"/>
                <w:sz w:val="16"/>
                <w:szCs w:val="16"/>
                <w:color w:val="0E32E1"/>
                <w:w w:val="95"/>
              </w:rPr>
            </w:pPr>
            <w:hyperlink w:anchor="page10">
              <w:r>
                <w:rPr>
                  <w:rFonts w:ascii="Times New Roman" w:cs="Times New Roman" w:eastAsia="Times New Roman" w:hAnsi="Times New Roman"/>
                  <w:sz w:val="16"/>
                  <w:szCs w:val="16"/>
                  <w:color w:val="0E32E1"/>
                  <w:w w:val="95"/>
                </w:rPr>
                <w:t>A. [Reserved]</w:t>
              </w:r>
            </w:hyperlink>
          </w:p>
        </w:tc>
        <w:tc>
          <w:tcPr>
            <w:tcW w:w="560" w:type="dxa"/>
            <w:vAlign w:val="bottom"/>
            <w:gridSpan w:val="9"/>
          </w:tcPr>
          <w:p>
            <w:pPr>
              <w:spacing w:after="0"/>
              <w:rPr>
                <w:sz w:val="24"/>
                <w:szCs w:val="24"/>
                <w:color w:val="auto"/>
              </w:rPr>
            </w:pPr>
          </w:p>
        </w:tc>
        <w:tc>
          <w:tcPr>
            <w:tcW w:w="6940" w:type="dxa"/>
            <w:vAlign w:val="bottom"/>
            <w:gridSpan w:val="20"/>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0">
              <w:r>
                <w:rPr>
                  <w:rFonts w:ascii="Times New Roman" w:cs="Times New Roman" w:eastAsia="Times New Roman" w:hAnsi="Times New Roman"/>
                  <w:sz w:val="16"/>
                  <w:szCs w:val="16"/>
                  <w:color w:val="0E32E1"/>
                </w:rPr>
                <w:t>B. Capitalization and Indebtedness</w:t>
              </w:r>
            </w:hyperlink>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00" w:type="dxa"/>
            <w:vAlign w:val="bottom"/>
            <w:gridSpan w:val="2"/>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0">
              <w:r>
                <w:rPr>
                  <w:rFonts w:ascii="Times New Roman" w:cs="Times New Roman" w:eastAsia="Times New Roman" w:hAnsi="Times New Roman"/>
                  <w:sz w:val="16"/>
                  <w:szCs w:val="16"/>
                  <w:color w:val="0E32E1"/>
                </w:rPr>
                <w:t>C. Reasons for the Offer and Use of Proceeds</w:t>
              </w:r>
            </w:hyperlink>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00" w:type="dxa"/>
            <w:vAlign w:val="bottom"/>
            <w:gridSpan w:val="2"/>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820" w:type="dxa"/>
            <w:vAlign w:val="bottom"/>
            <w:gridSpan w:val="20"/>
          </w:tcPr>
          <w:p>
            <w:pPr>
              <w:spacing w:after="0"/>
              <w:rPr>
                <w:rFonts w:ascii="Times New Roman" w:cs="Times New Roman" w:eastAsia="Times New Roman" w:hAnsi="Times New Roman"/>
                <w:sz w:val="16"/>
                <w:szCs w:val="16"/>
                <w:color w:val="0E32E1"/>
              </w:rPr>
            </w:pPr>
            <w:hyperlink w:anchor="page10">
              <w:r>
                <w:rPr>
                  <w:rFonts w:ascii="Times New Roman" w:cs="Times New Roman" w:eastAsia="Times New Roman" w:hAnsi="Times New Roman"/>
                  <w:sz w:val="16"/>
                  <w:szCs w:val="16"/>
                  <w:color w:val="0E32E1"/>
                </w:rPr>
                <w:t>D. Risk Factors</w:t>
              </w:r>
            </w:hyperlink>
          </w:p>
        </w:tc>
        <w:tc>
          <w:tcPr>
            <w:tcW w:w="5560" w:type="dxa"/>
            <w:vAlign w:val="bottom"/>
            <w:gridSpan w:val="10"/>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6"/>
                <w:szCs w:val="16"/>
                <w:color w:val="0E32E1"/>
                <w:w w:val="99"/>
              </w:rPr>
            </w:pPr>
            <w:hyperlink w:anchor="page10">
              <w:r>
                <w:rPr>
                  <w:rFonts w:ascii="Times New Roman" w:cs="Times New Roman" w:eastAsia="Times New Roman" w:hAnsi="Times New Roman"/>
                  <w:sz w:val="16"/>
                  <w:szCs w:val="16"/>
                  <w:color w:val="0E32E1"/>
                  <w:w w:val="9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00" w:type="dxa"/>
            <w:vAlign w:val="bottom"/>
            <w:gridSpan w:val="2"/>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0"/>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85">
              <w:r>
                <w:rPr>
                  <w:rFonts w:ascii="Times New Roman" w:cs="Times New Roman" w:eastAsia="Times New Roman" w:hAnsi="Times New Roman"/>
                  <w:sz w:val="16"/>
                  <w:szCs w:val="16"/>
                  <w:color w:val="0E32E1"/>
                </w:rPr>
                <w:t>INFORMATION ON THE COMPANY</w:t>
              </w:r>
            </w:hyperlink>
          </w:p>
        </w:tc>
        <w:tc>
          <w:tcPr>
            <w:tcW w:w="160" w:type="dxa"/>
            <w:vAlign w:val="bottom"/>
            <w:gridSpan w:val="3"/>
          </w:tcPr>
          <w:p>
            <w:pPr>
              <w:jc w:val="center"/>
              <w:ind w:right="40"/>
              <w:spacing w:after="0"/>
              <w:rPr>
                <w:rFonts w:ascii="Times New Roman" w:cs="Times New Roman" w:eastAsia="Times New Roman" w:hAnsi="Times New Roman"/>
                <w:sz w:val="16"/>
                <w:szCs w:val="16"/>
                <w:color w:val="0E32E1"/>
                <w:w w:val="74"/>
              </w:rPr>
            </w:pPr>
            <w:hyperlink w:anchor="page85">
              <w:r>
                <w:rPr>
                  <w:rFonts w:ascii="Times New Roman" w:cs="Times New Roman" w:eastAsia="Times New Roman" w:hAnsi="Times New Roman"/>
                  <w:sz w:val="16"/>
                  <w:szCs w:val="16"/>
                  <w:color w:val="0E32E1"/>
                  <w:w w:val="74"/>
                </w:rPr>
                <w:t>82</w:t>
              </w:r>
            </w:hyperlink>
          </w:p>
        </w:tc>
      </w:tr>
      <w:tr>
        <w:trPr>
          <w:trHeight w:val="20"/>
        </w:trPr>
        <w:tc>
          <w:tcPr>
            <w:tcW w:w="900" w:type="dxa"/>
            <w:vAlign w:val="bottom"/>
            <w:gridSpan w:val="2"/>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12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860" w:type="dxa"/>
            <w:vAlign w:val="bottom"/>
            <w:tcBorders>
              <w:bottom w:val="single" w:sz="8" w:color="0E32E1"/>
            </w:tcBorders>
            <w:gridSpan w:val="21"/>
          </w:tcPr>
          <w:p>
            <w:pPr>
              <w:spacing w:after="0"/>
              <w:rPr>
                <w:rFonts w:ascii="Times New Roman" w:cs="Times New Roman" w:eastAsia="Times New Roman" w:hAnsi="Times New Roman"/>
                <w:sz w:val="16"/>
                <w:szCs w:val="16"/>
                <w:color w:val="0E32E1"/>
                <w:w w:val="97"/>
              </w:rPr>
            </w:pPr>
            <w:hyperlink w:anchor="page85">
              <w:r>
                <w:rPr>
                  <w:rFonts w:ascii="Times New Roman" w:cs="Times New Roman" w:eastAsia="Times New Roman" w:hAnsi="Times New Roman"/>
                  <w:sz w:val="16"/>
                  <w:szCs w:val="16"/>
                  <w:color w:val="0E32E1"/>
                  <w:w w:val="97"/>
                </w:rPr>
                <w:t>A. History and Development of the Company</w:t>
              </w:r>
            </w:hyperlink>
          </w:p>
        </w:tc>
        <w:tc>
          <w:tcPr>
            <w:tcW w:w="5520" w:type="dxa"/>
            <w:vAlign w:val="bottom"/>
            <w:gridSpan w:val="9"/>
          </w:tcPr>
          <w:p>
            <w:pPr>
              <w:spacing w:after="0"/>
              <w:rPr>
                <w:sz w:val="24"/>
                <w:szCs w:val="24"/>
                <w:color w:val="auto"/>
              </w:rPr>
            </w:pPr>
          </w:p>
        </w:tc>
        <w:tc>
          <w:tcPr>
            <w:tcW w:w="120" w:type="dxa"/>
            <w:vAlign w:val="bottom"/>
            <w:tcBorders>
              <w:bottom w:val="single" w:sz="8" w:color="0E32E1"/>
            </w:tcBorders>
            <w:gridSpan w:val="2"/>
          </w:tcPr>
          <w:p>
            <w:pPr>
              <w:jc w:val="center"/>
              <w:spacing w:after="0"/>
              <w:rPr>
                <w:rFonts w:ascii="Times New Roman" w:cs="Times New Roman" w:eastAsia="Times New Roman" w:hAnsi="Times New Roman"/>
                <w:sz w:val="16"/>
                <w:szCs w:val="16"/>
                <w:color w:val="0E32E1"/>
                <w:w w:val="74"/>
              </w:rPr>
            </w:pPr>
            <w:hyperlink w:anchor="page85">
              <w:r>
                <w:rPr>
                  <w:rFonts w:ascii="Times New Roman" w:cs="Times New Roman" w:eastAsia="Times New Roman" w:hAnsi="Times New Roman"/>
                  <w:sz w:val="16"/>
                  <w:szCs w:val="16"/>
                  <w:color w:val="0E32E1"/>
                  <w:w w:val="74"/>
                </w:rPr>
                <w:t>82</w:t>
              </w:r>
            </w:hyperlink>
          </w:p>
        </w:tc>
        <w:tc>
          <w:tcPr>
            <w:tcW w:w="40" w:type="dxa"/>
            <w:vAlign w:val="bottom"/>
          </w:tcPr>
          <w:p>
            <w:pPr>
              <w:spacing w:after="0"/>
              <w:rPr>
                <w:sz w:val="24"/>
                <w:szCs w:val="24"/>
                <w:color w:val="auto"/>
              </w:rPr>
            </w:pPr>
          </w:p>
        </w:tc>
      </w:tr>
      <w:tr>
        <w:trPr>
          <w:trHeight w:val="304"/>
        </w:trPr>
        <w:tc>
          <w:tcPr>
            <w:tcW w:w="1400" w:type="dxa"/>
            <w:vAlign w:val="bottom"/>
            <w:tcBorders>
              <w:bottom w:val="single" w:sz="8" w:color="0E32E1"/>
            </w:tcBorders>
            <w:gridSpan w:val="9"/>
          </w:tcPr>
          <w:p>
            <w:pPr>
              <w:spacing w:after="0"/>
              <w:rPr>
                <w:rFonts w:ascii="Times New Roman" w:cs="Times New Roman" w:eastAsia="Times New Roman" w:hAnsi="Times New Roman"/>
                <w:sz w:val="16"/>
                <w:szCs w:val="16"/>
                <w:color w:val="0E32E1"/>
                <w:w w:val="96"/>
              </w:rPr>
            </w:pPr>
            <w:hyperlink w:anchor="page85">
              <w:r>
                <w:rPr>
                  <w:rFonts w:ascii="Times New Roman" w:cs="Times New Roman" w:eastAsia="Times New Roman" w:hAnsi="Times New Roman"/>
                  <w:sz w:val="16"/>
                  <w:szCs w:val="16"/>
                  <w:color w:val="0E32E1"/>
                  <w:w w:val="96"/>
                </w:rPr>
                <w:t>B. Business Overview</w:t>
              </w:r>
            </w:hyperlink>
          </w:p>
        </w:tc>
        <w:tc>
          <w:tcPr>
            <w:tcW w:w="6980" w:type="dxa"/>
            <w:vAlign w:val="bottom"/>
            <w:gridSpan w:val="21"/>
          </w:tcPr>
          <w:p>
            <w:pPr>
              <w:spacing w:after="0"/>
              <w:rPr>
                <w:sz w:val="24"/>
                <w:szCs w:val="24"/>
                <w:color w:val="auto"/>
              </w:rPr>
            </w:pPr>
          </w:p>
        </w:tc>
        <w:tc>
          <w:tcPr>
            <w:tcW w:w="120" w:type="dxa"/>
            <w:vAlign w:val="bottom"/>
            <w:tcBorders>
              <w:bottom w:val="single" w:sz="8" w:color="0E32E1"/>
            </w:tcBorders>
            <w:gridSpan w:val="2"/>
          </w:tcPr>
          <w:p>
            <w:pPr>
              <w:jc w:val="center"/>
              <w:spacing w:after="0"/>
              <w:rPr>
                <w:rFonts w:ascii="Times New Roman" w:cs="Times New Roman" w:eastAsia="Times New Roman" w:hAnsi="Times New Roman"/>
                <w:sz w:val="16"/>
                <w:szCs w:val="16"/>
                <w:color w:val="0E32E1"/>
                <w:w w:val="74"/>
              </w:rPr>
            </w:pPr>
            <w:hyperlink w:anchor="page85">
              <w:r>
                <w:rPr>
                  <w:rFonts w:ascii="Times New Roman" w:cs="Times New Roman" w:eastAsia="Times New Roman" w:hAnsi="Times New Roman"/>
                  <w:sz w:val="16"/>
                  <w:szCs w:val="16"/>
                  <w:color w:val="0E32E1"/>
                  <w:w w:val="74"/>
                </w:rPr>
                <w:t>83</w:t>
              </w:r>
            </w:hyperlink>
          </w:p>
        </w:tc>
        <w:tc>
          <w:tcPr>
            <w:tcW w:w="40" w:type="dxa"/>
            <w:vAlign w:val="bottom"/>
          </w:tcPr>
          <w:p>
            <w:pPr>
              <w:spacing w:after="0"/>
              <w:rPr>
                <w:sz w:val="24"/>
                <w:szCs w:val="24"/>
                <w:color w:val="auto"/>
              </w:rPr>
            </w:pPr>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63">
              <w:r>
                <w:rPr>
                  <w:rFonts w:ascii="Times New Roman" w:cs="Times New Roman" w:eastAsia="Times New Roman" w:hAnsi="Times New Roman"/>
                  <w:sz w:val="16"/>
                  <w:szCs w:val="16"/>
                  <w:color w:val="0E32E1"/>
                </w:rPr>
                <w:t>C. Organizational Structure</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63">
              <w:r>
                <w:rPr>
                  <w:rFonts w:ascii="Times New Roman" w:cs="Times New Roman" w:eastAsia="Times New Roman" w:hAnsi="Times New Roman"/>
                  <w:sz w:val="14"/>
                  <w:szCs w:val="14"/>
                  <w:color w:val="0E32E1"/>
                  <w:w w:val="75"/>
                </w:rPr>
                <w:t>160</w:t>
              </w:r>
            </w:hyperlink>
          </w:p>
        </w:tc>
      </w:tr>
      <w:tr>
        <w:trPr>
          <w:trHeight w:val="20"/>
        </w:trPr>
        <w:tc>
          <w:tcPr>
            <w:tcW w:w="900" w:type="dxa"/>
            <w:vAlign w:val="bottom"/>
            <w:gridSpan w:val="2"/>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gridSpan w:val="2"/>
            <w:shd w:val="clear" w:color="auto" w:fill="0E32E1"/>
          </w:tcPr>
          <w:p>
            <w:pPr>
              <w:spacing w:after="0" w:line="20" w:lineRule="exact"/>
              <w:rPr>
                <w:sz w:val="1"/>
                <w:szCs w:val="1"/>
                <w:color w:val="auto"/>
              </w:rPr>
            </w:pPr>
          </w:p>
        </w:tc>
        <w:tc>
          <w:tcPr>
            <w:tcW w:w="2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63">
              <w:r>
                <w:rPr>
                  <w:rFonts w:ascii="Times New Roman" w:cs="Times New Roman" w:eastAsia="Times New Roman" w:hAnsi="Times New Roman"/>
                  <w:sz w:val="16"/>
                  <w:szCs w:val="16"/>
                  <w:color w:val="0E32E1"/>
                </w:rPr>
                <w:t>D. Property, Plant and Equipment</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63">
              <w:r>
                <w:rPr>
                  <w:rFonts w:ascii="Times New Roman" w:cs="Times New Roman" w:eastAsia="Times New Roman" w:hAnsi="Times New Roman"/>
                  <w:sz w:val="14"/>
                  <w:szCs w:val="14"/>
                  <w:color w:val="0E32E1"/>
                  <w:w w:val="75"/>
                </w:rPr>
                <w:t>160</w:t>
              </w:r>
            </w:hyperlink>
          </w:p>
        </w:tc>
      </w:tr>
      <w:tr>
        <w:trPr>
          <w:trHeight w:val="20"/>
        </w:trPr>
        <w:tc>
          <w:tcPr>
            <w:tcW w:w="900" w:type="dxa"/>
            <w:vAlign w:val="bottom"/>
            <w:gridSpan w:val="2"/>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gridSpan w:val="2"/>
            <w:shd w:val="clear" w:color="auto" w:fill="0E32E1"/>
          </w:tcPr>
          <w:p>
            <w:pPr>
              <w:spacing w:after="0" w:line="20" w:lineRule="exact"/>
              <w:rPr>
                <w:sz w:val="1"/>
                <w:szCs w:val="1"/>
                <w:color w:val="auto"/>
              </w:rPr>
            </w:pPr>
          </w:p>
        </w:tc>
        <w:tc>
          <w:tcPr>
            <w:tcW w:w="320" w:type="dxa"/>
            <w:vAlign w:val="bottom"/>
            <w:tcBorders>
              <w:left w:val="single" w:sz="8" w:color="0E32E1"/>
            </w:tcBorders>
            <w:gridSpan w:val="2"/>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400"/>
        </w:trPr>
        <w:tc>
          <w:tcPr>
            <w:tcW w:w="2520" w:type="dxa"/>
            <w:vAlign w:val="bottom"/>
            <w:tcBorders>
              <w:bottom w:val="single" w:sz="8" w:color="0E32E1"/>
            </w:tcBorders>
            <w:gridSpan w:val="19"/>
          </w:tcPr>
          <w:p>
            <w:pPr>
              <w:spacing w:after="0"/>
              <w:rPr>
                <w:rFonts w:ascii="Times New Roman" w:cs="Times New Roman" w:eastAsia="Times New Roman" w:hAnsi="Times New Roman"/>
                <w:sz w:val="16"/>
                <w:szCs w:val="16"/>
                <w:color w:val="0E32E1"/>
                <w:w w:val="97"/>
              </w:rPr>
            </w:pPr>
            <w:hyperlink w:anchor="page166">
              <w:r>
                <w:rPr>
                  <w:rFonts w:ascii="Times New Roman" w:cs="Times New Roman" w:eastAsia="Times New Roman" w:hAnsi="Times New Roman"/>
                  <w:sz w:val="16"/>
                  <w:szCs w:val="16"/>
                  <w:color w:val="0E32E1"/>
                  <w:w w:val="97"/>
                </w:rPr>
                <w:t>UNRESOLVED STAFF COMMENTS</w:t>
              </w:r>
            </w:hyperlink>
          </w:p>
        </w:tc>
        <w:tc>
          <w:tcPr>
            <w:tcW w:w="5860" w:type="dxa"/>
            <w:vAlign w:val="bottom"/>
            <w:gridSpan w:val="11"/>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66">
              <w:r>
                <w:rPr>
                  <w:rFonts w:ascii="Times New Roman" w:cs="Times New Roman" w:eastAsia="Times New Roman" w:hAnsi="Times New Roman"/>
                  <w:sz w:val="14"/>
                  <w:szCs w:val="14"/>
                  <w:color w:val="0E32E1"/>
                  <w:w w:val="75"/>
                </w:rPr>
                <w:t>163</w:t>
              </w:r>
            </w:hyperlink>
          </w:p>
        </w:tc>
      </w:tr>
      <w:tr>
        <w:trPr>
          <w:trHeight w:val="472"/>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66">
              <w:r>
                <w:rPr>
                  <w:rFonts w:ascii="Times New Roman" w:cs="Times New Roman" w:eastAsia="Times New Roman" w:hAnsi="Times New Roman"/>
                  <w:sz w:val="16"/>
                  <w:szCs w:val="16"/>
                  <w:color w:val="0E32E1"/>
                </w:rPr>
                <w:t>OPERATING AND FINANCIAL REVIEW AND PROSPECTS</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66">
              <w:r>
                <w:rPr>
                  <w:rFonts w:ascii="Times New Roman" w:cs="Times New Roman" w:eastAsia="Times New Roman" w:hAnsi="Times New Roman"/>
                  <w:sz w:val="14"/>
                  <w:szCs w:val="14"/>
                  <w:color w:val="0E32E1"/>
                  <w:w w:val="75"/>
                </w:rPr>
                <w:t>163</w:t>
              </w:r>
            </w:hyperlink>
          </w:p>
        </w:tc>
      </w:tr>
      <w:tr>
        <w:trPr>
          <w:trHeight w:val="304"/>
        </w:trPr>
        <w:tc>
          <w:tcPr>
            <w:tcW w:w="1320" w:type="dxa"/>
            <w:vAlign w:val="bottom"/>
            <w:tcBorders>
              <w:top w:val="single" w:sz="8" w:color="0E32E1"/>
              <w:bottom w:val="single" w:sz="8" w:color="0E32E1"/>
            </w:tcBorders>
            <w:gridSpan w:val="7"/>
          </w:tcPr>
          <w:p>
            <w:pPr>
              <w:spacing w:after="0"/>
              <w:rPr>
                <w:rFonts w:ascii="Times New Roman" w:cs="Times New Roman" w:eastAsia="Times New Roman" w:hAnsi="Times New Roman"/>
                <w:sz w:val="16"/>
                <w:szCs w:val="16"/>
                <w:color w:val="0E32E1"/>
                <w:w w:val="96"/>
              </w:rPr>
            </w:pPr>
            <w:hyperlink w:anchor="page166">
              <w:r>
                <w:rPr>
                  <w:rFonts w:ascii="Times New Roman" w:cs="Times New Roman" w:eastAsia="Times New Roman" w:hAnsi="Times New Roman"/>
                  <w:sz w:val="16"/>
                  <w:szCs w:val="16"/>
                  <w:color w:val="0E32E1"/>
                  <w:w w:val="96"/>
                </w:rPr>
                <w:t>A. Operating Results</w:t>
              </w:r>
            </w:hyperlink>
          </w:p>
        </w:tc>
        <w:tc>
          <w:tcPr>
            <w:tcW w:w="2740" w:type="dxa"/>
            <w:vAlign w:val="bottom"/>
            <w:tcBorders>
              <w:top w:val="single" w:sz="8" w:color="0E32E1"/>
            </w:tcBorders>
            <w:gridSpan w:val="19"/>
          </w:tcPr>
          <w:p>
            <w:pPr>
              <w:spacing w:after="0"/>
              <w:rPr>
                <w:sz w:val="24"/>
                <w:szCs w:val="24"/>
                <w:color w:val="auto"/>
              </w:rPr>
            </w:pPr>
          </w:p>
        </w:tc>
        <w:tc>
          <w:tcPr>
            <w:tcW w:w="4320" w:type="dxa"/>
            <w:vAlign w:val="bottom"/>
            <w:gridSpan w:val="4"/>
          </w:tcPr>
          <w:p>
            <w:pPr>
              <w:spacing w:after="0"/>
              <w:rPr>
                <w:sz w:val="24"/>
                <w:szCs w:val="24"/>
                <w:color w:val="auto"/>
              </w:rPr>
            </w:pPr>
          </w:p>
        </w:tc>
        <w:tc>
          <w:tcPr>
            <w:tcW w:w="160" w:type="dxa"/>
            <w:vAlign w:val="bottom"/>
            <w:tcBorders>
              <w:top w:val="single" w:sz="8" w:color="0E32E1"/>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66">
              <w:r>
                <w:rPr>
                  <w:rFonts w:ascii="Times New Roman" w:cs="Times New Roman" w:eastAsia="Times New Roman" w:hAnsi="Times New Roman"/>
                  <w:sz w:val="14"/>
                  <w:szCs w:val="14"/>
                  <w:color w:val="0E32E1"/>
                  <w:w w:val="75"/>
                </w:rPr>
                <w:t>164</w:t>
              </w:r>
            </w:hyperlink>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r>
              <w:rPr>
                <w:rFonts w:ascii="Times New Roman" w:cs="Times New Roman" w:eastAsia="Times New Roman" w:hAnsi="Times New Roman"/>
                <w:sz w:val="16"/>
                <w:szCs w:val="16"/>
                <w:color w:val="0E32E1"/>
              </w:rPr>
              <w:t xml:space="preserve">B. </w:t>
            </w:r>
            <w:hyperlink w:anchor="page172">
              <w:r>
                <w:rPr>
                  <w:rFonts w:ascii="Times New Roman" w:cs="Times New Roman" w:eastAsia="Times New Roman" w:hAnsi="Times New Roman"/>
                  <w:sz w:val="16"/>
                  <w:szCs w:val="16"/>
                  <w:color w:val="0E32E1"/>
                </w:rPr>
                <w:t>Liquidity and Capital Resources</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72">
              <w:r>
                <w:rPr>
                  <w:rFonts w:ascii="Times New Roman" w:cs="Times New Roman" w:eastAsia="Times New Roman" w:hAnsi="Times New Roman"/>
                  <w:sz w:val="14"/>
                  <w:szCs w:val="14"/>
                  <w:color w:val="0E32E1"/>
                  <w:w w:val="75"/>
                </w:rPr>
                <w:t>169</w:t>
              </w:r>
            </w:hyperlink>
          </w:p>
        </w:tc>
      </w:tr>
      <w:tr>
        <w:trPr>
          <w:trHeight w:val="20"/>
        </w:trPr>
        <w:tc>
          <w:tcPr>
            <w:tcW w:w="900" w:type="dxa"/>
            <w:vAlign w:val="bottom"/>
            <w:gridSpan w:val="2"/>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80" w:type="dxa"/>
            <w:vAlign w:val="bottom"/>
            <w:gridSpan w:val="2"/>
            <w:shd w:val="clear" w:color="auto" w:fill="0E32E1"/>
          </w:tcPr>
          <w:p>
            <w:pPr>
              <w:spacing w:after="0" w:line="20" w:lineRule="exact"/>
              <w:rPr>
                <w:sz w:val="1"/>
                <w:szCs w:val="1"/>
                <w:color w:val="auto"/>
              </w:rPr>
            </w:pPr>
          </w:p>
        </w:tc>
        <w:tc>
          <w:tcPr>
            <w:tcW w:w="320" w:type="dxa"/>
            <w:vAlign w:val="bottom"/>
            <w:tcBorders>
              <w:left w:val="single" w:sz="8" w:color="0E32E1"/>
            </w:tcBorders>
            <w:gridSpan w:val="2"/>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304"/>
        </w:trPr>
        <w:tc>
          <w:tcPr>
            <w:tcW w:w="3580" w:type="dxa"/>
            <w:vAlign w:val="bottom"/>
            <w:tcBorders>
              <w:bottom w:val="single" w:sz="8" w:color="0E32E1"/>
            </w:tcBorders>
            <w:gridSpan w:val="23"/>
          </w:tcPr>
          <w:p>
            <w:pPr>
              <w:spacing w:after="0"/>
              <w:rPr>
                <w:rFonts w:ascii="Times New Roman" w:cs="Times New Roman" w:eastAsia="Times New Roman" w:hAnsi="Times New Roman"/>
                <w:sz w:val="16"/>
                <w:szCs w:val="16"/>
                <w:color w:val="0E32E1"/>
                <w:w w:val="97"/>
              </w:rPr>
            </w:pPr>
            <w:r>
              <w:rPr>
                <w:rFonts w:ascii="Times New Roman" w:cs="Times New Roman" w:eastAsia="Times New Roman" w:hAnsi="Times New Roman"/>
                <w:sz w:val="16"/>
                <w:szCs w:val="16"/>
                <w:color w:val="0E32E1"/>
                <w:w w:val="97"/>
              </w:rPr>
              <w:t xml:space="preserve">C. </w:t>
            </w:r>
            <w:hyperlink w:anchor="page175">
              <w:r>
                <w:rPr>
                  <w:rFonts w:ascii="Times New Roman" w:cs="Times New Roman" w:eastAsia="Times New Roman" w:hAnsi="Times New Roman"/>
                  <w:sz w:val="16"/>
                  <w:szCs w:val="16"/>
                  <w:color w:val="0E32E1"/>
                  <w:w w:val="97"/>
                </w:rPr>
                <w:t xml:space="preserve">Research and Development, Patents and Licenses, </w:t>
              </w:r>
            </w:hyperlink>
            <w:r>
              <w:rPr>
                <w:rFonts w:ascii="Times New Roman" w:cs="Times New Roman" w:eastAsia="Times New Roman" w:hAnsi="Times New Roman"/>
                <w:sz w:val="16"/>
                <w:szCs w:val="16"/>
                <w:color w:val="0E32E1"/>
                <w:w w:val="97"/>
              </w:rPr>
              <w:t>etc.</w:t>
            </w:r>
          </w:p>
        </w:tc>
        <w:tc>
          <w:tcPr>
            <w:tcW w:w="4800" w:type="dxa"/>
            <w:vAlign w:val="bottom"/>
            <w:gridSpan w:val="7"/>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75">
              <w:r>
                <w:rPr>
                  <w:rFonts w:ascii="Times New Roman" w:cs="Times New Roman" w:eastAsia="Times New Roman" w:hAnsi="Times New Roman"/>
                  <w:sz w:val="14"/>
                  <w:szCs w:val="14"/>
                  <w:color w:val="0E32E1"/>
                  <w:w w:val="75"/>
                </w:rPr>
                <w:t>173</w:t>
              </w:r>
            </w:hyperlink>
          </w:p>
        </w:tc>
      </w:tr>
      <w:tr>
        <w:trPr>
          <w:trHeight w:val="304"/>
        </w:trPr>
        <w:tc>
          <w:tcPr>
            <w:tcW w:w="1360" w:type="dxa"/>
            <w:vAlign w:val="bottom"/>
            <w:tcBorders>
              <w:bottom w:val="single" w:sz="8" w:color="0E32E1"/>
            </w:tcBorders>
            <w:gridSpan w:val="8"/>
          </w:tcPr>
          <w:p>
            <w:pPr>
              <w:spacing w:after="0"/>
              <w:rPr>
                <w:rFonts w:ascii="Times New Roman" w:cs="Times New Roman" w:eastAsia="Times New Roman" w:hAnsi="Times New Roman"/>
                <w:sz w:val="16"/>
                <w:szCs w:val="16"/>
                <w:color w:val="0E32E1"/>
                <w:w w:val="96"/>
              </w:rPr>
            </w:pPr>
            <w:r>
              <w:rPr>
                <w:rFonts w:ascii="Times New Roman" w:cs="Times New Roman" w:eastAsia="Times New Roman" w:hAnsi="Times New Roman"/>
                <w:sz w:val="16"/>
                <w:szCs w:val="16"/>
                <w:color w:val="0E32E1"/>
                <w:w w:val="96"/>
              </w:rPr>
              <w:t xml:space="preserve">D. </w:t>
            </w:r>
            <w:hyperlink w:anchor="page176">
              <w:r>
                <w:rPr>
                  <w:rFonts w:ascii="Times New Roman" w:cs="Times New Roman" w:eastAsia="Times New Roman" w:hAnsi="Times New Roman"/>
                  <w:sz w:val="16"/>
                  <w:szCs w:val="16"/>
                  <w:color w:val="0E32E1"/>
                  <w:w w:val="96"/>
                </w:rPr>
                <w:t>Trend Information</w:t>
              </w:r>
            </w:hyperlink>
          </w:p>
        </w:tc>
        <w:tc>
          <w:tcPr>
            <w:tcW w:w="7020" w:type="dxa"/>
            <w:vAlign w:val="bottom"/>
            <w:gridSpan w:val="22"/>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76">
              <w:r>
                <w:rPr>
                  <w:rFonts w:ascii="Times New Roman" w:cs="Times New Roman" w:eastAsia="Times New Roman" w:hAnsi="Times New Roman"/>
                  <w:sz w:val="14"/>
                  <w:szCs w:val="14"/>
                  <w:color w:val="0E32E1"/>
                  <w:w w:val="75"/>
                </w:rPr>
                <w:t>173</w:t>
              </w:r>
            </w:hyperlink>
          </w:p>
        </w:tc>
      </w:tr>
      <w:tr>
        <w:trPr>
          <w:trHeight w:val="304"/>
        </w:trPr>
        <w:tc>
          <w:tcPr>
            <w:tcW w:w="2120" w:type="dxa"/>
            <w:vAlign w:val="bottom"/>
            <w:tcBorders>
              <w:bottom w:val="single" w:sz="8" w:color="0E32E1"/>
            </w:tcBorders>
            <w:gridSpan w:val="15"/>
          </w:tcPr>
          <w:p>
            <w:pPr>
              <w:spacing w:after="0"/>
              <w:rPr>
                <w:rFonts w:ascii="Times New Roman" w:cs="Times New Roman" w:eastAsia="Times New Roman" w:hAnsi="Times New Roman"/>
                <w:sz w:val="16"/>
                <w:szCs w:val="16"/>
                <w:color w:val="0E32E1"/>
                <w:w w:val="98"/>
              </w:rPr>
            </w:pPr>
            <w:hyperlink w:anchor="page176">
              <w:r>
                <w:rPr>
                  <w:rFonts w:ascii="Times New Roman" w:cs="Times New Roman" w:eastAsia="Times New Roman" w:hAnsi="Times New Roman"/>
                  <w:sz w:val="16"/>
                  <w:szCs w:val="16"/>
                  <w:color w:val="0E32E1"/>
                  <w:w w:val="98"/>
                </w:rPr>
                <w:t>E. Critical Accounting Estimates</w:t>
              </w:r>
            </w:hyperlink>
          </w:p>
        </w:tc>
        <w:tc>
          <w:tcPr>
            <w:tcW w:w="6260" w:type="dxa"/>
            <w:vAlign w:val="bottom"/>
            <w:gridSpan w:val="15"/>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76">
              <w:r>
                <w:rPr>
                  <w:rFonts w:ascii="Times New Roman" w:cs="Times New Roman" w:eastAsia="Times New Roman" w:hAnsi="Times New Roman"/>
                  <w:sz w:val="14"/>
                  <w:szCs w:val="14"/>
                  <w:color w:val="0E32E1"/>
                  <w:w w:val="75"/>
                </w:rPr>
                <w:t>173</w:t>
              </w:r>
            </w:hyperlink>
          </w:p>
        </w:tc>
      </w:tr>
      <w:tr>
        <w:trPr>
          <w:trHeight w:val="400"/>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76">
              <w:r>
                <w:rPr>
                  <w:rFonts w:ascii="Times New Roman" w:cs="Times New Roman" w:eastAsia="Times New Roman" w:hAnsi="Times New Roman"/>
                  <w:sz w:val="16"/>
                  <w:szCs w:val="16"/>
                  <w:color w:val="0E32E1"/>
                </w:rPr>
                <w:t>DIRECTORS, SENIOR MANAGEMENT AND EMPLOYEES</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76">
              <w:r>
                <w:rPr>
                  <w:rFonts w:ascii="Times New Roman" w:cs="Times New Roman" w:eastAsia="Times New Roman" w:hAnsi="Times New Roman"/>
                  <w:sz w:val="14"/>
                  <w:szCs w:val="14"/>
                  <w:color w:val="0E32E1"/>
                  <w:w w:val="75"/>
                </w:rPr>
                <w:t>173</w:t>
              </w:r>
            </w:hyperlink>
          </w:p>
        </w:tc>
      </w:tr>
      <w:tr>
        <w:trPr>
          <w:trHeight w:val="304"/>
        </w:trPr>
        <w:tc>
          <w:tcPr>
            <w:tcW w:w="4000" w:type="dxa"/>
            <w:vAlign w:val="bottom"/>
            <w:tcBorders>
              <w:top w:val="single" w:sz="8" w:color="0E32E1"/>
            </w:tcBorders>
            <w:gridSpan w:val="25"/>
          </w:tcPr>
          <w:p>
            <w:pPr>
              <w:spacing w:after="0"/>
              <w:rPr>
                <w:rFonts w:ascii="Times New Roman" w:cs="Times New Roman" w:eastAsia="Times New Roman" w:hAnsi="Times New Roman"/>
                <w:sz w:val="16"/>
                <w:szCs w:val="16"/>
                <w:color w:val="0E32E1"/>
              </w:rPr>
            </w:pPr>
            <w:hyperlink w:anchor="page176">
              <w:r>
                <w:rPr>
                  <w:rFonts w:ascii="Times New Roman" w:cs="Times New Roman" w:eastAsia="Times New Roman" w:hAnsi="Times New Roman"/>
                  <w:sz w:val="16"/>
                  <w:szCs w:val="16"/>
                  <w:color w:val="0E32E1"/>
                </w:rPr>
                <w:t>A. Directors and Senior Management</w:t>
              </w:r>
            </w:hyperlink>
          </w:p>
        </w:tc>
        <w:tc>
          <w:tcPr>
            <w:tcW w:w="4380" w:type="dxa"/>
            <w:vAlign w:val="bottom"/>
            <w:gridSpan w:val="5"/>
          </w:tcPr>
          <w:p>
            <w:pPr>
              <w:spacing w:after="0"/>
              <w:rPr>
                <w:sz w:val="24"/>
                <w:szCs w:val="24"/>
                <w:color w:val="auto"/>
              </w:rPr>
            </w:pPr>
          </w:p>
        </w:tc>
        <w:tc>
          <w:tcPr>
            <w:tcW w:w="160" w:type="dxa"/>
            <w:vAlign w:val="bottom"/>
            <w:tcBorders>
              <w:top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76">
              <w:r>
                <w:rPr>
                  <w:rFonts w:ascii="Times New Roman" w:cs="Times New Roman" w:eastAsia="Times New Roman" w:hAnsi="Times New Roman"/>
                  <w:sz w:val="14"/>
                  <w:szCs w:val="14"/>
                  <w:color w:val="0E32E1"/>
                  <w:w w:val="75"/>
                </w:rPr>
                <w:t>173</w:t>
              </w:r>
            </w:hyperlink>
          </w:p>
        </w:tc>
      </w:tr>
      <w:tr>
        <w:trPr>
          <w:trHeight w:val="304"/>
        </w:trPr>
        <w:tc>
          <w:tcPr>
            <w:tcW w:w="2340" w:type="dxa"/>
            <w:vAlign w:val="bottom"/>
            <w:tcBorders>
              <w:top w:val="single" w:sz="8" w:color="0E32E1"/>
            </w:tcBorders>
            <w:gridSpan w:val="18"/>
          </w:tcPr>
          <w:p>
            <w:pPr>
              <w:spacing w:after="0"/>
              <w:rPr>
                <w:rFonts w:ascii="Times New Roman" w:cs="Times New Roman" w:eastAsia="Times New Roman" w:hAnsi="Times New Roman"/>
                <w:sz w:val="16"/>
                <w:szCs w:val="16"/>
                <w:color w:val="0E32E1"/>
              </w:rPr>
            </w:pPr>
            <w:hyperlink w:anchor="page180">
              <w:r>
                <w:rPr>
                  <w:rFonts w:ascii="Times New Roman" w:cs="Times New Roman" w:eastAsia="Times New Roman" w:hAnsi="Times New Roman"/>
                  <w:sz w:val="16"/>
                  <w:szCs w:val="16"/>
                  <w:color w:val="0E32E1"/>
                </w:rPr>
                <w:t>B. Compensation</w:t>
              </w:r>
            </w:hyperlink>
          </w:p>
        </w:tc>
        <w:tc>
          <w:tcPr>
            <w:tcW w:w="6040" w:type="dxa"/>
            <w:vAlign w:val="bottom"/>
            <w:gridSpan w:val="12"/>
          </w:tcPr>
          <w:p>
            <w:pPr>
              <w:spacing w:after="0"/>
              <w:rPr>
                <w:sz w:val="24"/>
                <w:szCs w:val="24"/>
                <w:color w:val="auto"/>
              </w:rPr>
            </w:pPr>
          </w:p>
        </w:tc>
        <w:tc>
          <w:tcPr>
            <w:tcW w:w="160" w:type="dxa"/>
            <w:vAlign w:val="bottom"/>
            <w:tcBorders>
              <w:top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80">
              <w:r>
                <w:rPr>
                  <w:rFonts w:ascii="Times New Roman" w:cs="Times New Roman" w:eastAsia="Times New Roman" w:hAnsi="Times New Roman"/>
                  <w:sz w:val="14"/>
                  <w:szCs w:val="14"/>
                  <w:color w:val="0E32E1"/>
                  <w:w w:val="75"/>
                </w:rPr>
                <w:t>177</w:t>
              </w:r>
            </w:hyperlink>
          </w:p>
        </w:tc>
      </w:tr>
      <w:tr>
        <w:trPr>
          <w:trHeight w:val="20"/>
        </w:trPr>
        <w:tc>
          <w:tcPr>
            <w:tcW w:w="900" w:type="dxa"/>
            <w:vAlign w:val="bottom"/>
            <w:gridSpan w:val="2"/>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304"/>
        </w:trPr>
        <w:tc>
          <w:tcPr>
            <w:tcW w:w="1180" w:type="dxa"/>
            <w:vAlign w:val="bottom"/>
            <w:tcBorders>
              <w:bottom w:val="single" w:sz="8" w:color="0E32E1"/>
            </w:tcBorders>
            <w:gridSpan w:val="5"/>
          </w:tcPr>
          <w:p>
            <w:pPr>
              <w:spacing w:after="0"/>
              <w:rPr>
                <w:rFonts w:ascii="Times New Roman" w:cs="Times New Roman" w:eastAsia="Times New Roman" w:hAnsi="Times New Roman"/>
                <w:sz w:val="16"/>
                <w:szCs w:val="16"/>
                <w:color w:val="0E32E1"/>
                <w:w w:val="96"/>
              </w:rPr>
            </w:pPr>
            <w:hyperlink w:anchor="page189">
              <w:r>
                <w:rPr>
                  <w:rFonts w:ascii="Times New Roman" w:cs="Times New Roman" w:eastAsia="Times New Roman" w:hAnsi="Times New Roman"/>
                  <w:sz w:val="16"/>
                  <w:szCs w:val="16"/>
                  <w:color w:val="0E32E1"/>
                  <w:w w:val="96"/>
                </w:rPr>
                <w:t>C. Board Practices</w:t>
              </w:r>
            </w:hyperlink>
          </w:p>
        </w:tc>
        <w:tc>
          <w:tcPr>
            <w:tcW w:w="7200" w:type="dxa"/>
            <w:vAlign w:val="bottom"/>
            <w:gridSpan w:val="25"/>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89">
              <w:r>
                <w:rPr>
                  <w:rFonts w:ascii="Times New Roman" w:cs="Times New Roman" w:eastAsia="Times New Roman" w:hAnsi="Times New Roman"/>
                  <w:sz w:val="14"/>
                  <w:szCs w:val="14"/>
                  <w:color w:val="0E32E1"/>
                  <w:w w:val="75"/>
                </w:rPr>
                <w:t>186</w:t>
              </w:r>
            </w:hyperlink>
          </w:p>
        </w:tc>
      </w:tr>
      <w:tr>
        <w:trPr>
          <w:trHeight w:val="304"/>
        </w:trPr>
        <w:tc>
          <w:tcPr>
            <w:tcW w:w="900" w:type="dxa"/>
            <w:vAlign w:val="bottom"/>
            <w:tcBorders>
              <w:bottom w:val="single" w:sz="8" w:color="0E32E1"/>
            </w:tcBorders>
            <w:gridSpan w:val="2"/>
          </w:tcPr>
          <w:p>
            <w:pPr>
              <w:spacing w:after="0"/>
              <w:rPr>
                <w:rFonts w:ascii="Times New Roman" w:cs="Times New Roman" w:eastAsia="Times New Roman" w:hAnsi="Times New Roman"/>
                <w:sz w:val="16"/>
                <w:szCs w:val="16"/>
                <w:color w:val="0E32E1"/>
                <w:w w:val="97"/>
              </w:rPr>
            </w:pPr>
            <w:hyperlink w:anchor="page195">
              <w:r>
                <w:rPr>
                  <w:rFonts w:ascii="Times New Roman" w:cs="Times New Roman" w:eastAsia="Times New Roman" w:hAnsi="Times New Roman"/>
                  <w:sz w:val="16"/>
                  <w:szCs w:val="16"/>
                  <w:color w:val="0E32E1"/>
                  <w:w w:val="97"/>
                </w:rPr>
                <w:t>D. Employees</w:t>
              </w:r>
            </w:hyperlink>
          </w:p>
        </w:tc>
        <w:tc>
          <w:tcPr>
            <w:tcW w:w="7480" w:type="dxa"/>
            <w:vAlign w:val="bottom"/>
            <w:gridSpan w:val="28"/>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5">
              <w:r>
                <w:rPr>
                  <w:rFonts w:ascii="Times New Roman" w:cs="Times New Roman" w:eastAsia="Times New Roman" w:hAnsi="Times New Roman"/>
                  <w:sz w:val="14"/>
                  <w:szCs w:val="14"/>
                  <w:color w:val="0E32E1"/>
                  <w:w w:val="75"/>
                </w:rPr>
                <w:t>192</w:t>
              </w:r>
            </w:hyperlink>
          </w:p>
        </w:tc>
      </w:tr>
      <w:tr>
        <w:trPr>
          <w:trHeight w:val="304"/>
        </w:trPr>
        <w:tc>
          <w:tcPr>
            <w:tcW w:w="1260" w:type="dxa"/>
            <w:vAlign w:val="bottom"/>
            <w:tcBorders>
              <w:bottom w:val="single" w:sz="8" w:color="0E32E1"/>
            </w:tcBorders>
            <w:gridSpan w:val="6"/>
          </w:tcPr>
          <w:p>
            <w:pPr>
              <w:spacing w:after="0"/>
              <w:rPr>
                <w:rFonts w:ascii="Times New Roman" w:cs="Times New Roman" w:eastAsia="Times New Roman" w:hAnsi="Times New Roman"/>
                <w:sz w:val="16"/>
                <w:szCs w:val="16"/>
                <w:color w:val="0E32E1"/>
                <w:w w:val="96"/>
              </w:rPr>
            </w:pPr>
            <w:hyperlink w:anchor="page196">
              <w:r>
                <w:rPr>
                  <w:rFonts w:ascii="Times New Roman" w:cs="Times New Roman" w:eastAsia="Times New Roman" w:hAnsi="Times New Roman"/>
                  <w:sz w:val="16"/>
                  <w:szCs w:val="16"/>
                  <w:color w:val="0E32E1"/>
                  <w:w w:val="96"/>
                </w:rPr>
                <w:t>E. Share Ownership</w:t>
              </w:r>
            </w:hyperlink>
          </w:p>
        </w:tc>
        <w:tc>
          <w:tcPr>
            <w:tcW w:w="7120" w:type="dxa"/>
            <w:vAlign w:val="bottom"/>
            <w:gridSpan w:val="24"/>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6">
              <w:r>
                <w:rPr>
                  <w:rFonts w:ascii="Times New Roman" w:cs="Times New Roman" w:eastAsia="Times New Roman" w:hAnsi="Times New Roman"/>
                  <w:sz w:val="14"/>
                  <w:szCs w:val="14"/>
                  <w:color w:val="0E32E1"/>
                  <w:w w:val="75"/>
                </w:rPr>
                <w:t>193</w:t>
              </w:r>
            </w:hyperlink>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96">
              <w:r>
                <w:rPr>
                  <w:rFonts w:ascii="Times New Roman" w:cs="Times New Roman" w:eastAsia="Times New Roman" w:hAnsi="Times New Roman"/>
                  <w:sz w:val="16"/>
                  <w:szCs w:val="16"/>
                  <w:color w:val="0E32E1"/>
                </w:rPr>
                <w:t>F. Disclosure of a Registrant’s Action to Recover Erroneously Awarded Compensation</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96">
              <w:r>
                <w:rPr>
                  <w:rFonts w:ascii="Times New Roman" w:cs="Times New Roman" w:eastAsia="Times New Roman" w:hAnsi="Times New Roman"/>
                  <w:sz w:val="14"/>
                  <w:szCs w:val="14"/>
                  <w:color w:val="0E32E1"/>
                  <w:w w:val="75"/>
                </w:rPr>
                <w:t>193</w:t>
              </w:r>
            </w:hyperlink>
          </w:p>
        </w:tc>
      </w:tr>
      <w:tr>
        <w:trPr>
          <w:trHeight w:val="400"/>
        </w:trPr>
        <w:tc>
          <w:tcPr>
            <w:tcW w:w="5400" w:type="dxa"/>
            <w:vAlign w:val="bottom"/>
            <w:tcBorders>
              <w:top w:val="single" w:sz="8" w:color="0E32E1"/>
            </w:tcBorders>
            <w:gridSpan w:val="29"/>
          </w:tcPr>
          <w:p>
            <w:pPr>
              <w:spacing w:after="0"/>
              <w:rPr>
                <w:rFonts w:ascii="Times New Roman" w:cs="Times New Roman" w:eastAsia="Times New Roman" w:hAnsi="Times New Roman"/>
                <w:sz w:val="16"/>
                <w:szCs w:val="16"/>
                <w:color w:val="0E32E1"/>
              </w:rPr>
            </w:pPr>
            <w:hyperlink w:anchor="page196">
              <w:r>
                <w:rPr>
                  <w:rFonts w:ascii="Times New Roman" w:cs="Times New Roman" w:eastAsia="Times New Roman" w:hAnsi="Times New Roman"/>
                  <w:sz w:val="16"/>
                  <w:szCs w:val="16"/>
                  <w:color w:val="0E32E1"/>
                </w:rPr>
                <w:t>MAJOR SHAREHOLDERS AND RELATED PARTY TRANSACTIONS</w:t>
              </w:r>
            </w:hyperlink>
          </w:p>
        </w:tc>
        <w:tc>
          <w:tcPr>
            <w:tcW w:w="2980" w:type="dxa"/>
            <w:vAlign w:val="bottom"/>
          </w:tcPr>
          <w:p>
            <w:pPr>
              <w:spacing w:after="0"/>
              <w:rPr>
                <w:sz w:val="24"/>
                <w:szCs w:val="24"/>
                <w:color w:val="auto"/>
              </w:rPr>
            </w:pPr>
          </w:p>
        </w:tc>
        <w:tc>
          <w:tcPr>
            <w:tcW w:w="160" w:type="dxa"/>
            <w:vAlign w:val="bottom"/>
            <w:tcBorders>
              <w:top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6">
              <w:r>
                <w:rPr>
                  <w:rFonts w:ascii="Times New Roman" w:cs="Times New Roman" w:eastAsia="Times New Roman" w:hAnsi="Times New Roman"/>
                  <w:sz w:val="14"/>
                  <w:szCs w:val="14"/>
                  <w:color w:val="0E32E1"/>
                  <w:w w:val="75"/>
                </w:rPr>
                <w:t>193</w:t>
              </w:r>
            </w:hyperlink>
          </w:p>
        </w:tc>
      </w:tr>
      <w:tr>
        <w:trPr>
          <w:trHeight w:val="304"/>
        </w:trPr>
        <w:tc>
          <w:tcPr>
            <w:tcW w:w="1440" w:type="dxa"/>
            <w:vAlign w:val="bottom"/>
            <w:tcBorders>
              <w:top w:val="single" w:sz="8" w:color="0E32E1"/>
              <w:bottom w:val="single" w:sz="8" w:color="0E32E1"/>
            </w:tcBorders>
            <w:gridSpan w:val="10"/>
          </w:tcPr>
          <w:p>
            <w:pPr>
              <w:spacing w:after="0"/>
              <w:rPr>
                <w:rFonts w:ascii="Times New Roman" w:cs="Times New Roman" w:eastAsia="Times New Roman" w:hAnsi="Times New Roman"/>
                <w:sz w:val="16"/>
                <w:szCs w:val="16"/>
                <w:color w:val="0E32E1"/>
                <w:w w:val="95"/>
              </w:rPr>
            </w:pPr>
            <w:hyperlink w:anchor="page196">
              <w:r>
                <w:rPr>
                  <w:rFonts w:ascii="Times New Roman" w:cs="Times New Roman" w:eastAsia="Times New Roman" w:hAnsi="Times New Roman"/>
                  <w:sz w:val="16"/>
                  <w:szCs w:val="16"/>
                  <w:color w:val="0E32E1"/>
                  <w:w w:val="95"/>
                </w:rPr>
                <w:t>A. Major Shareholders</w:t>
              </w:r>
            </w:hyperlink>
          </w:p>
        </w:tc>
        <w:tc>
          <w:tcPr>
            <w:tcW w:w="3240" w:type="dxa"/>
            <w:vAlign w:val="bottom"/>
            <w:tcBorders>
              <w:top w:val="single" w:sz="8" w:color="0E32E1"/>
            </w:tcBorders>
            <w:gridSpan w:val="17"/>
          </w:tcPr>
          <w:p>
            <w:pPr>
              <w:spacing w:after="0"/>
              <w:rPr>
                <w:sz w:val="24"/>
                <w:szCs w:val="24"/>
                <w:color w:val="auto"/>
              </w:rPr>
            </w:pPr>
          </w:p>
        </w:tc>
        <w:tc>
          <w:tcPr>
            <w:tcW w:w="3700" w:type="dxa"/>
            <w:vAlign w:val="bottom"/>
            <w:gridSpan w:val="3"/>
          </w:tcPr>
          <w:p>
            <w:pPr>
              <w:spacing w:after="0"/>
              <w:rPr>
                <w:sz w:val="24"/>
                <w:szCs w:val="24"/>
                <w:color w:val="auto"/>
              </w:rPr>
            </w:pPr>
          </w:p>
        </w:tc>
        <w:tc>
          <w:tcPr>
            <w:tcW w:w="160" w:type="dxa"/>
            <w:vAlign w:val="bottom"/>
            <w:tcBorders>
              <w:top w:val="single" w:sz="8" w:color="0E32E1"/>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6">
              <w:r>
                <w:rPr>
                  <w:rFonts w:ascii="Times New Roman" w:cs="Times New Roman" w:eastAsia="Times New Roman" w:hAnsi="Times New Roman"/>
                  <w:sz w:val="14"/>
                  <w:szCs w:val="14"/>
                  <w:color w:val="0E32E1"/>
                  <w:w w:val="75"/>
                </w:rPr>
                <w:t>193</w:t>
              </w:r>
            </w:hyperlink>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B. Related Party Transactions</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20"/>
        </w:trPr>
        <w:tc>
          <w:tcPr>
            <w:tcW w:w="1440" w:type="dxa"/>
            <w:vAlign w:val="bottom"/>
            <w:gridSpan w:val="10"/>
            <w:shd w:val="clear" w:color="auto" w:fill="0E32E1"/>
          </w:tcPr>
          <w:p>
            <w:pPr>
              <w:spacing w:after="0" w:line="20" w:lineRule="exact"/>
              <w:rPr>
                <w:sz w:val="1"/>
                <w:szCs w:val="1"/>
                <w:color w:val="auto"/>
              </w:rPr>
            </w:pPr>
          </w:p>
        </w:tc>
        <w:tc>
          <w:tcPr>
            <w:tcW w:w="320" w:type="dxa"/>
            <w:vAlign w:val="bottom"/>
            <w:tcBorders>
              <w:left w:val="single" w:sz="8" w:color="0E32E1"/>
            </w:tcBorders>
            <w:gridSpan w:val="2"/>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580" w:type="dxa"/>
            <w:vAlign w:val="bottom"/>
            <w:tcBorders>
              <w:right w:val="single" w:sz="8" w:color="0E32E1"/>
            </w:tcBorders>
            <w:gridSpan w:val="6"/>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304"/>
        </w:trPr>
        <w:tc>
          <w:tcPr>
            <w:tcW w:w="2220" w:type="dxa"/>
            <w:vAlign w:val="bottom"/>
            <w:tcBorders>
              <w:bottom w:val="single" w:sz="8" w:color="0E32E1"/>
            </w:tcBorders>
            <w:gridSpan w:val="17"/>
          </w:tcPr>
          <w:p>
            <w:pPr>
              <w:spacing w:after="0"/>
              <w:rPr>
                <w:rFonts w:ascii="Times New Roman" w:cs="Times New Roman" w:eastAsia="Times New Roman" w:hAnsi="Times New Roman"/>
                <w:sz w:val="16"/>
                <w:szCs w:val="16"/>
                <w:color w:val="0E32E1"/>
                <w:w w:val="97"/>
              </w:rPr>
            </w:pPr>
            <w:hyperlink w:anchor="page198">
              <w:r>
                <w:rPr>
                  <w:rFonts w:ascii="Times New Roman" w:cs="Times New Roman" w:eastAsia="Times New Roman" w:hAnsi="Times New Roman"/>
                  <w:sz w:val="16"/>
                  <w:szCs w:val="16"/>
                  <w:color w:val="0E32E1"/>
                  <w:w w:val="97"/>
                </w:rPr>
                <w:t>C. Interests of Experts and Counsel</w:t>
              </w:r>
            </w:hyperlink>
          </w:p>
        </w:tc>
        <w:tc>
          <w:tcPr>
            <w:tcW w:w="6160" w:type="dxa"/>
            <w:vAlign w:val="bottom"/>
            <w:gridSpan w:val="13"/>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400"/>
        </w:trPr>
        <w:tc>
          <w:tcPr>
            <w:tcW w:w="1980" w:type="dxa"/>
            <w:vAlign w:val="bottom"/>
            <w:tcBorders>
              <w:bottom w:val="single" w:sz="8" w:color="0E32E1"/>
            </w:tcBorders>
            <w:gridSpan w:val="14"/>
          </w:tcPr>
          <w:p>
            <w:pPr>
              <w:spacing w:after="0"/>
              <w:rPr>
                <w:rFonts w:ascii="Times New Roman" w:cs="Times New Roman" w:eastAsia="Times New Roman" w:hAnsi="Times New Roman"/>
                <w:sz w:val="16"/>
                <w:szCs w:val="16"/>
                <w:color w:val="0E32E1"/>
                <w:w w:val="96"/>
              </w:rPr>
            </w:pPr>
            <w:hyperlink w:anchor="page198">
              <w:r>
                <w:rPr>
                  <w:rFonts w:ascii="Times New Roman" w:cs="Times New Roman" w:eastAsia="Times New Roman" w:hAnsi="Times New Roman"/>
                  <w:sz w:val="16"/>
                  <w:szCs w:val="16"/>
                  <w:color w:val="0E32E1"/>
                  <w:w w:val="96"/>
                </w:rPr>
                <w:t>FINANCIAL INFORMATION</w:t>
              </w:r>
            </w:hyperlink>
          </w:p>
        </w:tc>
        <w:tc>
          <w:tcPr>
            <w:tcW w:w="6400" w:type="dxa"/>
            <w:vAlign w:val="bottom"/>
            <w:gridSpan w:val="16"/>
          </w:tcPr>
          <w:p>
            <w:pPr>
              <w:spacing w:after="0"/>
              <w:rPr>
                <w:sz w:val="24"/>
                <w:szCs w:val="24"/>
                <w:color w:val="auto"/>
              </w:rPr>
            </w:pPr>
          </w:p>
        </w:tc>
        <w:tc>
          <w:tcPr>
            <w:tcW w:w="160" w:type="dxa"/>
            <w:vAlign w:val="bottom"/>
            <w:tcBorders>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A. Consolidated Statements and Other Financial Information</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304"/>
        </w:trPr>
        <w:tc>
          <w:tcPr>
            <w:tcW w:w="3800" w:type="dxa"/>
            <w:vAlign w:val="bottom"/>
            <w:tcBorders>
              <w:top w:val="single" w:sz="8" w:color="0E32E1"/>
            </w:tcBorders>
            <w:gridSpan w:val="24"/>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B. Significant Changes</w:t>
              </w:r>
            </w:hyperlink>
          </w:p>
        </w:tc>
        <w:tc>
          <w:tcPr>
            <w:tcW w:w="4580" w:type="dxa"/>
            <w:vAlign w:val="bottom"/>
            <w:gridSpan w:val="6"/>
          </w:tcPr>
          <w:p>
            <w:pPr>
              <w:spacing w:after="0"/>
              <w:rPr>
                <w:sz w:val="24"/>
                <w:szCs w:val="24"/>
                <w:color w:val="auto"/>
              </w:rPr>
            </w:pPr>
          </w:p>
        </w:tc>
        <w:tc>
          <w:tcPr>
            <w:tcW w:w="160" w:type="dxa"/>
            <w:vAlign w:val="bottom"/>
            <w:tcBorders>
              <w:top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20"/>
        </w:trPr>
        <w:tc>
          <w:tcPr>
            <w:tcW w:w="1440" w:type="dxa"/>
            <w:vAlign w:val="bottom"/>
            <w:gridSpan w:val="10"/>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tcBorders>
              <w:right w:val="single" w:sz="8" w:color="0E32E1"/>
            </w:tcBorders>
            <w:gridSpan w:val="17"/>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r>
      <w:tr>
        <w:trPr>
          <w:trHeight w:val="400"/>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THE OFFER AND LISTING</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304"/>
        </w:trPr>
        <w:tc>
          <w:tcPr>
            <w:tcW w:w="1760" w:type="dxa"/>
            <w:vAlign w:val="bottom"/>
            <w:tcBorders>
              <w:top w:val="single" w:sz="8" w:color="0E32E1"/>
              <w:bottom w:val="single" w:sz="8" w:color="0E32E1"/>
            </w:tcBorders>
            <w:gridSpan w:val="12"/>
          </w:tcPr>
          <w:p>
            <w:pPr>
              <w:spacing w:after="0"/>
              <w:rPr>
                <w:rFonts w:ascii="Times New Roman" w:cs="Times New Roman" w:eastAsia="Times New Roman" w:hAnsi="Times New Roman"/>
                <w:sz w:val="16"/>
                <w:szCs w:val="16"/>
                <w:color w:val="0E32E1"/>
                <w:w w:val="96"/>
              </w:rPr>
            </w:pPr>
            <w:hyperlink w:anchor="page198">
              <w:r>
                <w:rPr>
                  <w:rFonts w:ascii="Times New Roman" w:cs="Times New Roman" w:eastAsia="Times New Roman" w:hAnsi="Times New Roman"/>
                  <w:sz w:val="16"/>
                  <w:szCs w:val="16"/>
                  <w:color w:val="0E32E1"/>
                  <w:w w:val="96"/>
                </w:rPr>
                <w:t>A. Offer and Listing Details</w:t>
              </w:r>
            </w:hyperlink>
          </w:p>
        </w:tc>
        <w:tc>
          <w:tcPr>
            <w:tcW w:w="100" w:type="dxa"/>
            <w:vAlign w:val="bottom"/>
            <w:tcBorders>
              <w:top w:val="single" w:sz="8" w:color="0E32E1"/>
            </w:tcBorders>
          </w:tcPr>
          <w:p>
            <w:pPr>
              <w:spacing w:after="0"/>
              <w:rPr>
                <w:sz w:val="24"/>
                <w:szCs w:val="24"/>
                <w:color w:val="auto"/>
              </w:rPr>
            </w:pPr>
          </w:p>
        </w:tc>
        <w:tc>
          <w:tcPr>
            <w:tcW w:w="6520" w:type="dxa"/>
            <w:vAlign w:val="bottom"/>
            <w:gridSpan w:val="17"/>
          </w:tcPr>
          <w:p>
            <w:pPr>
              <w:spacing w:after="0"/>
              <w:rPr>
                <w:sz w:val="24"/>
                <w:szCs w:val="24"/>
                <w:color w:val="auto"/>
              </w:rPr>
            </w:pPr>
          </w:p>
        </w:tc>
        <w:tc>
          <w:tcPr>
            <w:tcW w:w="160" w:type="dxa"/>
            <w:vAlign w:val="bottom"/>
            <w:tcBorders>
              <w:top w:val="single" w:sz="8" w:color="0E32E1"/>
              <w:bottom w:val="single" w:sz="8" w:color="0E32E1"/>
            </w:tcBorders>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304"/>
        </w:trPr>
        <w:tc>
          <w:tcPr>
            <w:tcW w:w="8380" w:type="dxa"/>
            <w:vAlign w:val="bottom"/>
            <w:gridSpan w:val="30"/>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B. Plan Of Distribution</w:t>
              </w:r>
            </w:hyperlink>
          </w:p>
        </w:tc>
        <w:tc>
          <w:tcPr>
            <w:tcW w:w="160" w:type="dxa"/>
            <w:vAlign w:val="bottom"/>
            <w:gridSpan w:val="3"/>
          </w:tcPr>
          <w:p>
            <w:pPr>
              <w:jc w:val="center"/>
              <w:spacing w:after="0"/>
              <w:rPr>
                <w:rFonts w:ascii="Times New Roman" w:cs="Times New Roman" w:eastAsia="Times New Roman" w:hAnsi="Times New Roman"/>
                <w:sz w:val="14"/>
                <w:szCs w:val="14"/>
                <w:color w:val="0E32E1"/>
                <w:w w:val="75"/>
              </w:rPr>
            </w:pPr>
            <w:hyperlink w:anchor="page198">
              <w:r>
                <w:rPr>
                  <w:rFonts w:ascii="Times New Roman" w:cs="Times New Roman" w:eastAsia="Times New Roman" w:hAnsi="Times New Roman"/>
                  <w:sz w:val="14"/>
                  <w:szCs w:val="14"/>
                  <w:color w:val="0E32E1"/>
                  <w:w w:val="75"/>
                </w:rPr>
                <w:t>195</w:t>
              </w:r>
            </w:hyperlink>
          </w:p>
        </w:tc>
      </w:tr>
      <w:tr>
        <w:trPr>
          <w:trHeight w:val="20"/>
        </w:trPr>
        <w:tc>
          <w:tcPr>
            <w:tcW w:w="8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r>
    </w:tbl>
    <w:p>
      <w:pPr>
        <w:sectPr>
          <w:pgSz w:w="11900" w:h="16840" w:orient="portrait"/>
          <w:cols w:equalWidth="0" w:num="2">
            <w:col w:w="660" w:space="660"/>
            <w:col w:w="8580"/>
          </w:cols>
          <w:pgMar w:left="720" w:top="542" w:right="1280" w:bottom="773"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46355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677" w:right="1440" w:bottom="1440" w:gutter="0" w:footer="0" w:header="0"/>
        </w:sectPr>
      </w:pPr>
    </w:p>
    <w:bookmarkStart w:id="4" w:name="page5"/>
    <w:bookmarkEnd w:id="4"/>
    <w:p>
      <w:pPr>
        <w:ind w:left="340"/>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9840"/>
          </w:cols>
          <w:pgMar w:left="720" w:top="557" w:right="1340" w:bottom="3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11.</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16B.</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16F.</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16H.</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16J.</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Borders>
              <w:bottom w:val="single" w:sz="8" w:color="0E32E1"/>
            </w:tcBorders>
            <w:gridSpan w:val="2"/>
          </w:tcPr>
          <w:p>
            <w:pPr>
              <w:spacing w:after="0"/>
              <w:rPr>
                <w:rFonts w:ascii="Times New Roman" w:cs="Times New Roman" w:eastAsia="Times New Roman" w:hAnsi="Times New Roman"/>
                <w:sz w:val="16"/>
                <w:szCs w:val="16"/>
                <w:color w:val="0E32E1"/>
                <w:w w:val="95"/>
              </w:rPr>
            </w:pPr>
            <w:hyperlink w:anchor="page198">
              <w:r>
                <w:rPr>
                  <w:rFonts w:ascii="Times New Roman" w:cs="Times New Roman" w:eastAsia="Times New Roman" w:hAnsi="Times New Roman"/>
                  <w:sz w:val="16"/>
                  <w:szCs w:val="16"/>
                  <w:color w:val="0E32E1"/>
                  <w:w w:val="95"/>
                </w:rPr>
                <w:t>C. Markets</w:t>
              </w:r>
            </w:hyperlink>
          </w:p>
        </w:tc>
        <w:tc>
          <w:tcPr>
            <w:tcW w:w="7640" w:type="dxa"/>
            <w:vAlign w:val="bottom"/>
            <w:gridSpan w:val="31"/>
          </w:tcPr>
          <w:p>
            <w:pPr>
              <w:spacing w:after="0"/>
              <w:rPr>
                <w:sz w:val="16"/>
                <w:szCs w:val="16"/>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304"/>
        </w:trPr>
        <w:tc>
          <w:tcPr>
            <w:tcW w:w="1480" w:type="dxa"/>
            <w:vAlign w:val="bottom"/>
            <w:tcBorders>
              <w:bottom w:val="single" w:sz="8" w:color="0E32E1"/>
            </w:tcBorders>
            <w:gridSpan w:val="14"/>
          </w:tcPr>
          <w:p>
            <w:pPr>
              <w:spacing w:after="0"/>
              <w:rPr>
                <w:rFonts w:ascii="Times New Roman" w:cs="Times New Roman" w:eastAsia="Times New Roman" w:hAnsi="Times New Roman"/>
                <w:sz w:val="16"/>
                <w:szCs w:val="16"/>
                <w:color w:val="0E32E1"/>
                <w:w w:val="95"/>
              </w:rPr>
            </w:pPr>
            <w:hyperlink w:anchor="page198">
              <w:r>
                <w:rPr>
                  <w:rFonts w:ascii="Times New Roman" w:cs="Times New Roman" w:eastAsia="Times New Roman" w:hAnsi="Times New Roman"/>
                  <w:sz w:val="16"/>
                  <w:szCs w:val="16"/>
                  <w:color w:val="0E32E1"/>
                  <w:w w:val="95"/>
                </w:rPr>
                <w:t>D. Selling Shareholders</w:t>
              </w:r>
            </w:hyperlink>
          </w:p>
        </w:tc>
        <w:tc>
          <w:tcPr>
            <w:tcW w:w="6860" w:type="dxa"/>
            <w:vAlign w:val="bottom"/>
            <w:gridSpan w:val="19"/>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E. Dilution</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20"/>
        </w:trPr>
        <w:tc>
          <w:tcPr>
            <w:tcW w:w="680" w:type="dxa"/>
            <w:vAlign w:val="bottom"/>
            <w:shd w:val="clear" w:color="auto" w:fill="0E32E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F. Expenses of the Issue</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100" w:type="dxa"/>
            <w:vAlign w:val="bottom"/>
            <w:tcBorders>
              <w:bottom w:val="single" w:sz="8" w:color="0E32E1"/>
            </w:tcBorders>
            <w:gridSpan w:val="21"/>
          </w:tcPr>
          <w:p>
            <w:pPr>
              <w:spacing w:after="0"/>
              <w:rPr>
                <w:rFonts w:ascii="Times New Roman" w:cs="Times New Roman" w:eastAsia="Times New Roman" w:hAnsi="Times New Roman"/>
                <w:sz w:val="16"/>
                <w:szCs w:val="16"/>
                <w:color w:val="0E32E1"/>
                <w:w w:val="96"/>
              </w:rPr>
            </w:pPr>
            <w:hyperlink w:anchor="page198">
              <w:r>
                <w:rPr>
                  <w:rFonts w:ascii="Times New Roman" w:cs="Times New Roman" w:eastAsia="Times New Roman" w:hAnsi="Times New Roman"/>
                  <w:sz w:val="16"/>
                  <w:szCs w:val="16"/>
                  <w:color w:val="0E32E1"/>
                  <w:w w:val="96"/>
                </w:rPr>
                <w:t>ADDITIONAL INFORMATION</w:t>
              </w:r>
            </w:hyperlink>
          </w:p>
        </w:tc>
        <w:tc>
          <w:tcPr>
            <w:tcW w:w="6240" w:type="dxa"/>
            <w:vAlign w:val="bottom"/>
            <w:gridSpan w:val="12"/>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304"/>
        </w:trPr>
        <w:tc>
          <w:tcPr>
            <w:tcW w:w="1040" w:type="dxa"/>
            <w:vAlign w:val="bottom"/>
            <w:tcBorders>
              <w:bottom w:val="single" w:sz="8" w:color="0E32E1"/>
            </w:tcBorders>
            <w:gridSpan w:val="7"/>
          </w:tcPr>
          <w:p>
            <w:pPr>
              <w:spacing w:after="0"/>
              <w:rPr>
                <w:rFonts w:ascii="Times New Roman" w:cs="Times New Roman" w:eastAsia="Times New Roman" w:hAnsi="Times New Roman"/>
                <w:sz w:val="16"/>
                <w:szCs w:val="16"/>
                <w:color w:val="0E32E1"/>
                <w:w w:val="95"/>
              </w:rPr>
            </w:pPr>
            <w:hyperlink w:anchor="page198">
              <w:r>
                <w:rPr>
                  <w:rFonts w:ascii="Times New Roman" w:cs="Times New Roman" w:eastAsia="Times New Roman" w:hAnsi="Times New Roman"/>
                  <w:sz w:val="16"/>
                  <w:szCs w:val="16"/>
                  <w:color w:val="0E32E1"/>
                  <w:w w:val="95"/>
                </w:rPr>
                <w:t>A. Share Capital</w:t>
              </w:r>
            </w:hyperlink>
          </w:p>
        </w:tc>
        <w:tc>
          <w:tcPr>
            <w:tcW w:w="7300" w:type="dxa"/>
            <w:vAlign w:val="bottom"/>
            <w:gridSpan w:val="26"/>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195</w:t>
              </w:r>
            </w:hyperlink>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198">
              <w:r>
                <w:rPr>
                  <w:rFonts w:ascii="Times New Roman" w:cs="Times New Roman" w:eastAsia="Times New Roman" w:hAnsi="Times New Roman"/>
                  <w:sz w:val="16"/>
                  <w:szCs w:val="16"/>
                  <w:color w:val="0E32E1"/>
                </w:rPr>
                <w:t>B. Memorandum and Articles of Association</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198">
              <w:r>
                <w:rPr>
                  <w:rFonts w:ascii="Times New Roman" w:cs="Times New Roman" w:eastAsia="Times New Roman" w:hAnsi="Times New Roman"/>
                  <w:sz w:val="16"/>
                  <w:szCs w:val="16"/>
                  <w:color w:val="0E32E1"/>
                  <w:w w:val="91"/>
                </w:rPr>
                <w:t>196</w:t>
              </w:r>
            </w:hyperlink>
          </w:p>
        </w:tc>
        <w:tc>
          <w:tcPr>
            <w:tcW w:w="0" w:type="dxa"/>
            <w:vAlign w:val="bottom"/>
          </w:tcPr>
          <w:p>
            <w:pPr>
              <w:spacing w:after="0"/>
              <w:rPr>
                <w:sz w:val="1"/>
                <w:szCs w:val="1"/>
                <w:color w:val="auto"/>
              </w:rPr>
            </w:pPr>
          </w:p>
        </w:tc>
      </w:tr>
      <w:tr>
        <w:trPr>
          <w:trHeight w:val="304"/>
        </w:trPr>
        <w:tc>
          <w:tcPr>
            <w:tcW w:w="2800" w:type="dxa"/>
            <w:vAlign w:val="bottom"/>
            <w:tcBorders>
              <w:top w:val="single" w:sz="8" w:color="0E32E1"/>
            </w:tcBorders>
            <w:gridSpan w:val="25"/>
          </w:tcPr>
          <w:p>
            <w:pPr>
              <w:spacing w:after="0"/>
              <w:rPr>
                <w:rFonts w:ascii="Times New Roman" w:cs="Times New Roman" w:eastAsia="Times New Roman" w:hAnsi="Times New Roman"/>
                <w:sz w:val="16"/>
                <w:szCs w:val="16"/>
                <w:color w:val="0E32E1"/>
              </w:rPr>
            </w:pPr>
            <w:hyperlink w:anchor="page204">
              <w:r>
                <w:rPr>
                  <w:rFonts w:ascii="Times New Roman" w:cs="Times New Roman" w:eastAsia="Times New Roman" w:hAnsi="Times New Roman"/>
                  <w:sz w:val="16"/>
                  <w:szCs w:val="16"/>
                  <w:color w:val="0E32E1"/>
                </w:rPr>
                <w:t>C. Material Contracts</w:t>
              </w:r>
            </w:hyperlink>
          </w:p>
        </w:tc>
        <w:tc>
          <w:tcPr>
            <w:tcW w:w="5540" w:type="dxa"/>
            <w:vAlign w:val="bottom"/>
            <w:gridSpan w:val="8"/>
          </w:tcPr>
          <w:p>
            <w:pPr>
              <w:spacing w:after="0"/>
              <w:rPr>
                <w:sz w:val="24"/>
                <w:szCs w:val="24"/>
                <w:color w:val="auto"/>
              </w:rPr>
            </w:pPr>
          </w:p>
        </w:tc>
        <w:tc>
          <w:tcPr>
            <w:tcW w:w="240" w:type="dxa"/>
            <w:vAlign w:val="bottom"/>
            <w:tcBorders>
              <w:top w:val="single" w:sz="8" w:color="0E32E1"/>
            </w:tcBorders>
          </w:tcPr>
          <w:p>
            <w:pPr>
              <w:jc w:val="right"/>
              <w:spacing w:after="0"/>
              <w:rPr>
                <w:rFonts w:ascii="Times New Roman" w:cs="Times New Roman" w:eastAsia="Times New Roman" w:hAnsi="Times New Roman"/>
                <w:sz w:val="16"/>
                <w:szCs w:val="16"/>
                <w:color w:val="0E32E1"/>
                <w:w w:val="91"/>
              </w:rPr>
            </w:pPr>
            <w:hyperlink w:anchor="page204">
              <w:r>
                <w:rPr>
                  <w:rFonts w:ascii="Times New Roman" w:cs="Times New Roman" w:eastAsia="Times New Roman" w:hAnsi="Times New Roman"/>
                  <w:sz w:val="16"/>
                  <w:szCs w:val="16"/>
                  <w:color w:val="0E32E1"/>
                  <w:w w:val="91"/>
                </w:rPr>
                <w:t>201</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tcBorders>
              <w:bottom w:val="single" w:sz="8" w:color="0E32E1"/>
            </w:tcBorders>
            <w:gridSpan w:val="11"/>
          </w:tcPr>
          <w:p>
            <w:pPr>
              <w:spacing w:after="0"/>
              <w:rPr>
                <w:rFonts w:ascii="Times New Roman" w:cs="Times New Roman" w:eastAsia="Times New Roman" w:hAnsi="Times New Roman"/>
                <w:sz w:val="16"/>
                <w:szCs w:val="16"/>
                <w:color w:val="0E32E1"/>
                <w:w w:val="95"/>
              </w:rPr>
            </w:pPr>
            <w:hyperlink w:anchor="page204">
              <w:r>
                <w:rPr>
                  <w:rFonts w:ascii="Times New Roman" w:cs="Times New Roman" w:eastAsia="Times New Roman" w:hAnsi="Times New Roman"/>
                  <w:sz w:val="16"/>
                  <w:szCs w:val="16"/>
                  <w:color w:val="0E32E1"/>
                  <w:w w:val="95"/>
                </w:rPr>
                <w:t>D. Exchange Controls</w:t>
              </w:r>
            </w:hyperlink>
          </w:p>
        </w:tc>
        <w:tc>
          <w:tcPr>
            <w:tcW w:w="6960" w:type="dxa"/>
            <w:vAlign w:val="bottom"/>
            <w:gridSpan w:val="22"/>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04">
              <w:r>
                <w:rPr>
                  <w:rFonts w:ascii="Times New Roman" w:cs="Times New Roman" w:eastAsia="Times New Roman" w:hAnsi="Times New Roman"/>
                  <w:sz w:val="16"/>
                  <w:szCs w:val="16"/>
                  <w:color w:val="0E32E1"/>
                  <w:w w:val="91"/>
                </w:rPr>
                <w:t>201</w:t>
              </w:r>
            </w:hyperlink>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04">
              <w:r>
                <w:rPr>
                  <w:rFonts w:ascii="Times New Roman" w:cs="Times New Roman" w:eastAsia="Times New Roman" w:hAnsi="Times New Roman"/>
                  <w:sz w:val="16"/>
                  <w:szCs w:val="16"/>
                  <w:color w:val="0E32E1"/>
                </w:rPr>
                <w:t>E. Taxation</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04">
              <w:r>
                <w:rPr>
                  <w:rFonts w:ascii="Times New Roman" w:cs="Times New Roman" w:eastAsia="Times New Roman" w:hAnsi="Times New Roman"/>
                  <w:sz w:val="16"/>
                  <w:szCs w:val="16"/>
                  <w:color w:val="0E32E1"/>
                  <w:w w:val="91"/>
                </w:rPr>
                <w:t>201</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4">
              <w:r>
                <w:rPr>
                  <w:rFonts w:ascii="Times New Roman" w:cs="Times New Roman" w:eastAsia="Times New Roman" w:hAnsi="Times New Roman"/>
                  <w:sz w:val="16"/>
                  <w:szCs w:val="16"/>
                  <w:color w:val="0E32E1"/>
                </w:rPr>
                <w:t>F. Dividends and Paying Agents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4">
              <w:r>
                <w:rPr>
                  <w:rFonts w:ascii="Times New Roman" w:cs="Times New Roman" w:eastAsia="Times New Roman" w:hAnsi="Times New Roman"/>
                  <w:sz w:val="16"/>
                  <w:szCs w:val="16"/>
                  <w:color w:val="0E32E1"/>
                  <w:w w:val="91"/>
                </w:rPr>
                <w:t>211</w:t>
              </w:r>
            </w:hyperlink>
          </w:p>
        </w:tc>
        <w:tc>
          <w:tcPr>
            <w:tcW w:w="0" w:type="dxa"/>
            <w:vAlign w:val="bottom"/>
          </w:tcPr>
          <w:p>
            <w:pPr>
              <w:spacing w:after="0"/>
              <w:rPr>
                <w:sz w:val="1"/>
                <w:szCs w:val="1"/>
                <w:color w:val="auto"/>
              </w:rPr>
            </w:pPr>
          </w:p>
        </w:tc>
      </w:tr>
      <w:tr>
        <w:trPr>
          <w:trHeight w:val="304"/>
        </w:trPr>
        <w:tc>
          <w:tcPr>
            <w:tcW w:w="1520" w:type="dxa"/>
            <w:vAlign w:val="bottom"/>
            <w:tcBorders>
              <w:top w:val="single" w:sz="8" w:color="0E32E1"/>
              <w:bottom w:val="single" w:sz="8" w:color="0E32E1"/>
            </w:tcBorders>
            <w:gridSpan w:val="16"/>
          </w:tcPr>
          <w:p>
            <w:pPr>
              <w:spacing w:after="0"/>
              <w:rPr>
                <w:rFonts w:ascii="Times New Roman" w:cs="Times New Roman" w:eastAsia="Times New Roman" w:hAnsi="Times New Roman"/>
                <w:sz w:val="16"/>
                <w:szCs w:val="16"/>
                <w:color w:val="0E32E1"/>
                <w:w w:val="95"/>
              </w:rPr>
            </w:pPr>
            <w:hyperlink w:anchor="page214">
              <w:r>
                <w:rPr>
                  <w:rFonts w:ascii="Times New Roman" w:cs="Times New Roman" w:eastAsia="Times New Roman" w:hAnsi="Times New Roman"/>
                  <w:sz w:val="16"/>
                  <w:szCs w:val="16"/>
                  <w:color w:val="0E32E1"/>
                  <w:w w:val="95"/>
                </w:rPr>
                <w:t>G. Statement by Experts</w:t>
              </w:r>
            </w:hyperlink>
          </w:p>
        </w:tc>
        <w:tc>
          <w:tcPr>
            <w:tcW w:w="480" w:type="dxa"/>
            <w:vAlign w:val="bottom"/>
            <w:tcBorders>
              <w:top w:val="single" w:sz="8" w:color="0E32E1"/>
            </w:tcBorders>
            <w:gridSpan w:val="4"/>
          </w:tcPr>
          <w:p>
            <w:pPr>
              <w:spacing w:after="0"/>
              <w:rPr>
                <w:sz w:val="24"/>
                <w:szCs w:val="24"/>
                <w:color w:val="auto"/>
              </w:rPr>
            </w:pPr>
          </w:p>
        </w:tc>
        <w:tc>
          <w:tcPr>
            <w:tcW w:w="6340" w:type="dxa"/>
            <w:vAlign w:val="bottom"/>
            <w:gridSpan w:val="13"/>
          </w:tcPr>
          <w:p>
            <w:pPr>
              <w:spacing w:after="0"/>
              <w:rPr>
                <w:sz w:val="24"/>
                <w:szCs w:val="24"/>
                <w:color w:val="auto"/>
              </w:rPr>
            </w:pPr>
          </w:p>
        </w:tc>
        <w:tc>
          <w:tcPr>
            <w:tcW w:w="240" w:type="dxa"/>
            <w:vAlign w:val="bottom"/>
            <w:tcBorders>
              <w:top w:val="single" w:sz="8" w:color="0E32E1"/>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4">
              <w:r>
                <w:rPr>
                  <w:rFonts w:ascii="Times New Roman" w:cs="Times New Roman" w:eastAsia="Times New Roman" w:hAnsi="Times New Roman"/>
                  <w:sz w:val="16"/>
                  <w:szCs w:val="16"/>
                  <w:color w:val="0E32E1"/>
                  <w:w w:val="91"/>
                </w:rPr>
                <w:t>211</w:t>
              </w:r>
            </w:hyperlink>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4">
              <w:r>
                <w:rPr>
                  <w:rFonts w:ascii="Times New Roman" w:cs="Times New Roman" w:eastAsia="Times New Roman" w:hAnsi="Times New Roman"/>
                  <w:sz w:val="16"/>
                  <w:szCs w:val="16"/>
                  <w:color w:val="0E32E1"/>
                </w:rPr>
                <w:t>H. Documents on Display</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4">
              <w:r>
                <w:rPr>
                  <w:rFonts w:ascii="Times New Roman" w:cs="Times New Roman" w:eastAsia="Times New Roman" w:hAnsi="Times New Roman"/>
                  <w:sz w:val="16"/>
                  <w:szCs w:val="16"/>
                  <w:color w:val="0E32E1"/>
                  <w:w w:val="91"/>
                </w:rPr>
                <w:t>211</w:t>
              </w:r>
            </w:hyperlink>
          </w:p>
        </w:tc>
        <w:tc>
          <w:tcPr>
            <w:tcW w:w="0" w:type="dxa"/>
            <w:vAlign w:val="bottom"/>
          </w:tcPr>
          <w:p>
            <w:pPr>
              <w:spacing w:after="0"/>
              <w:rPr>
                <w:sz w:val="1"/>
                <w:szCs w:val="1"/>
                <w:color w:val="auto"/>
              </w:rPr>
            </w:pPr>
          </w:p>
        </w:tc>
      </w:tr>
      <w:tr>
        <w:trPr>
          <w:trHeight w:val="304"/>
        </w:trPr>
        <w:tc>
          <w:tcPr>
            <w:tcW w:w="1580" w:type="dxa"/>
            <w:vAlign w:val="bottom"/>
            <w:tcBorders>
              <w:top w:val="single" w:sz="8" w:color="0E32E1"/>
              <w:bottom w:val="single" w:sz="8" w:color="0E32E1"/>
            </w:tcBorders>
            <w:gridSpan w:val="17"/>
          </w:tcPr>
          <w:p>
            <w:pPr>
              <w:spacing w:after="0"/>
              <w:rPr>
                <w:rFonts w:ascii="Times New Roman" w:cs="Times New Roman" w:eastAsia="Times New Roman" w:hAnsi="Times New Roman"/>
                <w:sz w:val="16"/>
                <w:szCs w:val="16"/>
                <w:color w:val="0E32E1"/>
                <w:w w:val="96"/>
              </w:rPr>
            </w:pPr>
            <w:hyperlink w:anchor="page214">
              <w:r>
                <w:rPr>
                  <w:rFonts w:ascii="Times New Roman" w:cs="Times New Roman" w:eastAsia="Times New Roman" w:hAnsi="Times New Roman"/>
                  <w:sz w:val="16"/>
                  <w:szCs w:val="16"/>
                  <w:color w:val="0E32E1"/>
                  <w:w w:val="96"/>
                </w:rPr>
                <w:t>I. Subsidiary Information</w:t>
              </w:r>
            </w:hyperlink>
          </w:p>
        </w:tc>
        <w:tc>
          <w:tcPr>
            <w:tcW w:w="20" w:type="dxa"/>
            <w:vAlign w:val="bottom"/>
            <w:tcBorders>
              <w:top w:val="single" w:sz="8" w:color="0E32E1"/>
            </w:tcBorders>
          </w:tcPr>
          <w:p>
            <w:pPr>
              <w:spacing w:after="0"/>
              <w:rPr>
                <w:sz w:val="24"/>
                <w:szCs w:val="24"/>
                <w:color w:val="auto"/>
              </w:rPr>
            </w:pPr>
          </w:p>
        </w:tc>
        <w:tc>
          <w:tcPr>
            <w:tcW w:w="6740" w:type="dxa"/>
            <w:vAlign w:val="bottom"/>
            <w:gridSpan w:val="15"/>
          </w:tcPr>
          <w:p>
            <w:pPr>
              <w:spacing w:after="0"/>
              <w:rPr>
                <w:sz w:val="24"/>
                <w:szCs w:val="24"/>
                <w:color w:val="auto"/>
              </w:rPr>
            </w:pPr>
          </w:p>
        </w:tc>
        <w:tc>
          <w:tcPr>
            <w:tcW w:w="240" w:type="dxa"/>
            <w:vAlign w:val="bottom"/>
            <w:tcBorders>
              <w:top w:val="single" w:sz="8" w:color="0E32E1"/>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4">
              <w:r>
                <w:rPr>
                  <w:rFonts w:ascii="Times New Roman" w:cs="Times New Roman" w:eastAsia="Times New Roman" w:hAnsi="Times New Roman"/>
                  <w:sz w:val="16"/>
                  <w:szCs w:val="16"/>
                  <w:color w:val="0E32E1"/>
                  <w:w w:val="91"/>
                </w:rPr>
                <w:t>212</w:t>
              </w:r>
            </w:hyperlink>
          </w:p>
        </w:tc>
        <w:tc>
          <w:tcPr>
            <w:tcW w:w="0" w:type="dxa"/>
            <w:vAlign w:val="bottom"/>
          </w:tcPr>
          <w:p>
            <w:pPr>
              <w:spacing w:after="0"/>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5">
              <w:r>
                <w:rPr>
                  <w:rFonts w:ascii="Times New Roman" w:cs="Times New Roman" w:eastAsia="Times New Roman" w:hAnsi="Times New Roman"/>
                  <w:sz w:val="16"/>
                  <w:szCs w:val="16"/>
                  <w:color w:val="0E32E1"/>
                </w:rPr>
                <w:t>QUANTITATIVE AND QUALITATIVE DISCLOSURES ABOUT MARKET RISK</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5">
              <w:r>
                <w:rPr>
                  <w:rFonts w:ascii="Times New Roman" w:cs="Times New Roman" w:eastAsia="Times New Roman" w:hAnsi="Times New Roman"/>
                  <w:sz w:val="16"/>
                  <w:szCs w:val="16"/>
                  <w:color w:val="0E32E1"/>
                  <w:w w:val="91"/>
                </w:rPr>
                <w:t>212</w:t>
              </w:r>
            </w:hyperlink>
          </w:p>
        </w:tc>
        <w:tc>
          <w:tcPr>
            <w:tcW w:w="0" w:type="dxa"/>
            <w:vAlign w:val="bottom"/>
          </w:tcPr>
          <w:p>
            <w:pPr>
              <w:spacing w:after="0"/>
              <w:rPr>
                <w:sz w:val="1"/>
                <w:szCs w:val="1"/>
                <w:color w:val="auto"/>
              </w:rPr>
            </w:pPr>
          </w:p>
        </w:tc>
      </w:tr>
      <w:tr>
        <w:trPr>
          <w:trHeight w:val="472"/>
        </w:trPr>
        <w:tc>
          <w:tcPr>
            <w:tcW w:w="5360" w:type="dxa"/>
            <w:vAlign w:val="bottom"/>
            <w:tcBorders>
              <w:top w:val="single" w:sz="8" w:color="0E32E1"/>
            </w:tcBorders>
            <w:gridSpan w:val="31"/>
          </w:tcPr>
          <w:p>
            <w:pPr>
              <w:spacing w:after="0"/>
              <w:rPr>
                <w:rFonts w:ascii="Times New Roman" w:cs="Times New Roman" w:eastAsia="Times New Roman" w:hAnsi="Times New Roman"/>
                <w:sz w:val="16"/>
                <w:szCs w:val="16"/>
                <w:color w:val="0E32E1"/>
              </w:rPr>
            </w:pPr>
            <w:hyperlink w:anchor="page215">
              <w:r>
                <w:rPr>
                  <w:rFonts w:ascii="Times New Roman" w:cs="Times New Roman" w:eastAsia="Times New Roman" w:hAnsi="Times New Roman"/>
                  <w:sz w:val="16"/>
                  <w:szCs w:val="16"/>
                  <w:color w:val="0E32E1"/>
                </w:rPr>
                <w:t>DESCRIPTION OF SECURITIES OTHER THAN EQUITY SECURITIES</w:t>
              </w:r>
            </w:hyperlink>
          </w:p>
        </w:tc>
        <w:tc>
          <w:tcPr>
            <w:tcW w:w="2980" w:type="dxa"/>
            <w:vAlign w:val="bottom"/>
            <w:gridSpan w:val="2"/>
          </w:tcPr>
          <w:p>
            <w:pPr>
              <w:spacing w:after="0"/>
              <w:rPr>
                <w:sz w:val="24"/>
                <w:szCs w:val="24"/>
                <w:color w:val="auto"/>
              </w:rPr>
            </w:pPr>
          </w:p>
        </w:tc>
        <w:tc>
          <w:tcPr>
            <w:tcW w:w="240" w:type="dxa"/>
            <w:vAlign w:val="bottom"/>
            <w:tcBorders>
              <w:top w:val="single" w:sz="8" w:color="0E32E1"/>
            </w:tcBorders>
          </w:tcPr>
          <w:p>
            <w:pPr>
              <w:jc w:val="right"/>
              <w:spacing w:after="0"/>
              <w:rPr>
                <w:rFonts w:ascii="Times New Roman" w:cs="Times New Roman" w:eastAsia="Times New Roman" w:hAnsi="Times New Roman"/>
                <w:sz w:val="16"/>
                <w:szCs w:val="16"/>
                <w:color w:val="0E32E1"/>
                <w:w w:val="91"/>
              </w:rPr>
            </w:pPr>
            <w:hyperlink w:anchor="page215">
              <w:r>
                <w:rPr>
                  <w:rFonts w:ascii="Times New Roman" w:cs="Times New Roman" w:eastAsia="Times New Roman" w:hAnsi="Times New Roman"/>
                  <w:sz w:val="16"/>
                  <w:szCs w:val="16"/>
                  <w:color w:val="0E32E1"/>
                  <w:w w:val="91"/>
                </w:rPr>
                <w:t>212</w:t>
              </w:r>
            </w:hyperlink>
          </w:p>
        </w:tc>
        <w:tc>
          <w:tcPr>
            <w:tcW w:w="0" w:type="dxa"/>
            <w:vAlign w:val="bottom"/>
          </w:tcPr>
          <w:p>
            <w:pPr>
              <w:spacing w:after="0"/>
              <w:rPr>
                <w:sz w:val="1"/>
                <w:szCs w:val="1"/>
                <w:color w:val="auto"/>
              </w:rPr>
            </w:pPr>
          </w:p>
        </w:tc>
      </w:tr>
      <w:tr>
        <w:trPr>
          <w:trHeight w:val="304"/>
        </w:trPr>
        <w:tc>
          <w:tcPr>
            <w:tcW w:w="4720" w:type="dxa"/>
            <w:vAlign w:val="bottom"/>
            <w:tcBorders>
              <w:top w:val="single" w:sz="8" w:color="0E32E1"/>
            </w:tcBorders>
            <w:gridSpan w:val="30"/>
          </w:tcPr>
          <w:p>
            <w:pPr>
              <w:spacing w:after="0"/>
              <w:rPr>
                <w:rFonts w:ascii="Times New Roman" w:cs="Times New Roman" w:eastAsia="Times New Roman" w:hAnsi="Times New Roman"/>
                <w:sz w:val="16"/>
                <w:szCs w:val="16"/>
                <w:color w:val="0E32E1"/>
              </w:rPr>
            </w:pPr>
            <w:hyperlink w:anchor="page215">
              <w:r>
                <w:rPr>
                  <w:rFonts w:ascii="Times New Roman" w:cs="Times New Roman" w:eastAsia="Times New Roman" w:hAnsi="Times New Roman"/>
                  <w:sz w:val="16"/>
                  <w:szCs w:val="16"/>
                  <w:color w:val="0E32E1"/>
                </w:rPr>
                <w:t>A. Debt Securities</w:t>
              </w:r>
            </w:hyperlink>
          </w:p>
        </w:tc>
        <w:tc>
          <w:tcPr>
            <w:tcW w:w="3620" w:type="dxa"/>
            <w:vAlign w:val="bottom"/>
            <w:gridSpan w:val="3"/>
          </w:tcPr>
          <w:p>
            <w:pPr>
              <w:spacing w:after="0"/>
              <w:rPr>
                <w:sz w:val="24"/>
                <w:szCs w:val="24"/>
                <w:color w:val="auto"/>
              </w:rPr>
            </w:pPr>
          </w:p>
        </w:tc>
        <w:tc>
          <w:tcPr>
            <w:tcW w:w="240" w:type="dxa"/>
            <w:vAlign w:val="bottom"/>
            <w:tcBorders>
              <w:top w:val="single" w:sz="8" w:color="0E32E1"/>
            </w:tcBorders>
          </w:tcPr>
          <w:p>
            <w:pPr>
              <w:jc w:val="right"/>
              <w:spacing w:after="0"/>
              <w:rPr>
                <w:rFonts w:ascii="Times New Roman" w:cs="Times New Roman" w:eastAsia="Times New Roman" w:hAnsi="Times New Roman"/>
                <w:sz w:val="16"/>
                <w:szCs w:val="16"/>
                <w:color w:val="0E32E1"/>
                <w:w w:val="91"/>
              </w:rPr>
            </w:pPr>
            <w:hyperlink w:anchor="page215">
              <w:r>
                <w:rPr>
                  <w:rFonts w:ascii="Times New Roman" w:cs="Times New Roman" w:eastAsia="Times New Roman" w:hAnsi="Times New Roman"/>
                  <w:sz w:val="16"/>
                  <w:szCs w:val="16"/>
                  <w:color w:val="0E32E1"/>
                  <w:w w:val="91"/>
                </w:rPr>
                <w:t>212</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Borders>
              <w:bottom w:val="single" w:sz="8" w:color="0E32E1"/>
            </w:tcBorders>
            <w:gridSpan w:val="13"/>
          </w:tcPr>
          <w:p>
            <w:pPr>
              <w:spacing w:after="0"/>
              <w:rPr>
                <w:rFonts w:ascii="Times New Roman" w:cs="Times New Roman" w:eastAsia="Times New Roman" w:hAnsi="Times New Roman"/>
                <w:sz w:val="16"/>
                <w:szCs w:val="16"/>
                <w:color w:val="0E32E1"/>
                <w:w w:val="95"/>
              </w:rPr>
            </w:pPr>
            <w:hyperlink w:anchor="page215">
              <w:r>
                <w:rPr>
                  <w:rFonts w:ascii="Times New Roman" w:cs="Times New Roman" w:eastAsia="Times New Roman" w:hAnsi="Times New Roman"/>
                  <w:sz w:val="16"/>
                  <w:szCs w:val="16"/>
                  <w:color w:val="0E32E1"/>
                  <w:w w:val="95"/>
                </w:rPr>
                <w:t>B. Warrants and Rights</w:t>
              </w:r>
            </w:hyperlink>
          </w:p>
        </w:tc>
        <w:tc>
          <w:tcPr>
            <w:tcW w:w="6880" w:type="dxa"/>
            <w:vAlign w:val="bottom"/>
            <w:gridSpan w:val="20"/>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5">
              <w:r>
                <w:rPr>
                  <w:rFonts w:ascii="Times New Roman" w:cs="Times New Roman" w:eastAsia="Times New Roman" w:hAnsi="Times New Roman"/>
                  <w:sz w:val="16"/>
                  <w:szCs w:val="16"/>
                  <w:color w:val="0E32E1"/>
                  <w:w w:val="91"/>
                </w:rPr>
                <w:t>213</w:t>
              </w:r>
            </w:hyperlink>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6">
              <w:r>
                <w:rPr>
                  <w:rFonts w:ascii="Times New Roman" w:cs="Times New Roman" w:eastAsia="Times New Roman" w:hAnsi="Times New Roman"/>
                  <w:sz w:val="16"/>
                  <w:szCs w:val="16"/>
                  <w:color w:val="0E32E1"/>
                </w:rPr>
                <w:t>C. Other Securities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6">
              <w:r>
                <w:rPr>
                  <w:rFonts w:ascii="Times New Roman" w:cs="Times New Roman" w:eastAsia="Times New Roman" w:hAnsi="Times New Roman"/>
                  <w:sz w:val="16"/>
                  <w:szCs w:val="16"/>
                  <w:color w:val="0E32E1"/>
                  <w:w w:val="91"/>
                </w:rPr>
                <w:t>213</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E32E1"/>
            </w:tcBorders>
            <w:gridSpan w:val="19"/>
          </w:tcPr>
          <w:p>
            <w:pPr>
              <w:spacing w:after="0"/>
              <w:rPr>
                <w:rFonts w:ascii="Times New Roman" w:cs="Times New Roman" w:eastAsia="Times New Roman" w:hAnsi="Times New Roman"/>
                <w:sz w:val="16"/>
                <w:szCs w:val="16"/>
                <w:color w:val="0E32E1"/>
                <w:w w:val="96"/>
              </w:rPr>
            </w:pPr>
            <w:hyperlink w:anchor="page216">
              <w:r>
                <w:rPr>
                  <w:rFonts w:ascii="Times New Roman" w:cs="Times New Roman" w:eastAsia="Times New Roman" w:hAnsi="Times New Roman"/>
                  <w:sz w:val="16"/>
                  <w:szCs w:val="16"/>
                  <w:color w:val="0E32E1"/>
                  <w:w w:val="96"/>
                </w:rPr>
                <w:t>D. American Depositary Shares</w:t>
              </w:r>
            </w:hyperlink>
          </w:p>
        </w:tc>
        <w:tc>
          <w:tcPr>
            <w:tcW w:w="6360" w:type="dxa"/>
            <w:vAlign w:val="bottom"/>
            <w:gridSpan w:val="14"/>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6">
              <w:r>
                <w:rPr>
                  <w:rFonts w:ascii="Times New Roman" w:cs="Times New Roman" w:eastAsia="Times New Roman" w:hAnsi="Times New Roman"/>
                  <w:sz w:val="16"/>
                  <w:szCs w:val="16"/>
                  <w:color w:val="0E32E1"/>
                  <w:w w:val="91"/>
                </w:rPr>
                <w:t>213</w:t>
              </w:r>
            </w:hyperlink>
          </w:p>
        </w:tc>
        <w:tc>
          <w:tcPr>
            <w:tcW w:w="0" w:type="dxa"/>
            <w:vAlign w:val="bottom"/>
          </w:tcPr>
          <w:p>
            <w:pPr>
              <w:spacing w:after="0"/>
              <w:rPr>
                <w:sz w:val="1"/>
                <w:szCs w:val="1"/>
                <w:color w:val="auto"/>
              </w:rPr>
            </w:pPr>
          </w:p>
        </w:tc>
      </w:tr>
      <w:tr>
        <w:trPr>
          <w:trHeight w:val="78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7">
              <w:r>
                <w:rPr>
                  <w:rFonts w:ascii="Times New Roman" w:cs="Times New Roman" w:eastAsia="Times New Roman" w:hAnsi="Times New Roman"/>
                  <w:sz w:val="16"/>
                  <w:szCs w:val="16"/>
                  <w:color w:val="0E32E1"/>
                </w:rPr>
                <w:t>DEFAULTS, DIVIDEND ARREARAGES AND DELINQUENCIES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7">
              <w:r>
                <w:rPr>
                  <w:rFonts w:ascii="Times New Roman" w:cs="Times New Roman" w:eastAsia="Times New Roman" w:hAnsi="Times New Roman"/>
                  <w:sz w:val="16"/>
                  <w:szCs w:val="16"/>
                  <w:color w:val="0E32E1"/>
                  <w:w w:val="91"/>
                </w:rPr>
                <w:t>214</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00" w:type="dxa"/>
            <w:vAlign w:val="bottom"/>
            <w:gridSpan w:val="6"/>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700" w:type="dxa"/>
            <w:vAlign w:val="bottom"/>
            <w:gridSpan w:val="9"/>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7">
              <w:r>
                <w:rPr>
                  <w:rFonts w:ascii="Times New Roman" w:cs="Times New Roman" w:eastAsia="Times New Roman" w:hAnsi="Times New Roman"/>
                  <w:sz w:val="16"/>
                  <w:szCs w:val="16"/>
                  <w:color w:val="0E32E1"/>
                </w:rPr>
                <w:t>MATERIAL MODIFICATIONS TO THE RIGHTS OF SECURITY HOLDERS AND USE OF PROCEEDS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7">
              <w:r>
                <w:rPr>
                  <w:rFonts w:ascii="Times New Roman" w:cs="Times New Roman" w:eastAsia="Times New Roman" w:hAnsi="Times New Roman"/>
                  <w:sz w:val="16"/>
                  <w:szCs w:val="16"/>
                  <w:color w:val="0E32E1"/>
                  <w:w w:val="91"/>
                </w:rPr>
                <w:t>214</w:t>
              </w:r>
            </w:hyperlink>
          </w:p>
        </w:tc>
        <w:tc>
          <w:tcPr>
            <w:tcW w:w="0" w:type="dxa"/>
            <w:vAlign w:val="bottom"/>
          </w:tcPr>
          <w:p>
            <w:pPr>
              <w:spacing w:after="0"/>
              <w:rPr>
                <w:sz w:val="1"/>
                <w:szCs w:val="1"/>
                <w:color w:val="auto"/>
              </w:rPr>
            </w:pPr>
          </w:p>
        </w:tc>
      </w:tr>
      <w:tr>
        <w:trPr>
          <w:trHeight w:val="400"/>
        </w:trPr>
        <w:tc>
          <w:tcPr>
            <w:tcW w:w="6800" w:type="dxa"/>
            <w:vAlign w:val="bottom"/>
            <w:tcBorders>
              <w:top w:val="single" w:sz="8" w:color="0E32E1"/>
            </w:tcBorders>
            <w:gridSpan w:val="32"/>
          </w:tcPr>
          <w:p>
            <w:pPr>
              <w:spacing w:after="0"/>
              <w:rPr>
                <w:rFonts w:ascii="Times New Roman" w:cs="Times New Roman" w:eastAsia="Times New Roman" w:hAnsi="Times New Roman"/>
                <w:sz w:val="16"/>
                <w:szCs w:val="16"/>
                <w:color w:val="0E32E1"/>
              </w:rPr>
            </w:pPr>
            <w:hyperlink w:anchor="page217">
              <w:r>
                <w:rPr>
                  <w:rFonts w:ascii="Times New Roman" w:cs="Times New Roman" w:eastAsia="Times New Roman" w:hAnsi="Times New Roman"/>
                  <w:sz w:val="16"/>
                  <w:szCs w:val="16"/>
                  <w:color w:val="0E32E1"/>
                </w:rPr>
                <w:t>CONTROLS AND PROCEDURES</w:t>
              </w:r>
            </w:hyperlink>
          </w:p>
        </w:tc>
        <w:tc>
          <w:tcPr>
            <w:tcW w:w="1540" w:type="dxa"/>
            <w:vAlign w:val="bottom"/>
          </w:tcPr>
          <w:p>
            <w:pPr>
              <w:spacing w:after="0"/>
              <w:rPr>
                <w:sz w:val="24"/>
                <w:szCs w:val="24"/>
                <w:color w:val="auto"/>
              </w:rPr>
            </w:pPr>
          </w:p>
        </w:tc>
        <w:tc>
          <w:tcPr>
            <w:tcW w:w="240" w:type="dxa"/>
            <w:vAlign w:val="bottom"/>
            <w:tcBorders>
              <w:top w:val="single" w:sz="8" w:color="0E32E1"/>
            </w:tcBorders>
          </w:tcPr>
          <w:p>
            <w:pPr>
              <w:jc w:val="right"/>
              <w:spacing w:after="0"/>
              <w:rPr>
                <w:rFonts w:ascii="Times New Roman" w:cs="Times New Roman" w:eastAsia="Times New Roman" w:hAnsi="Times New Roman"/>
                <w:sz w:val="16"/>
                <w:szCs w:val="16"/>
                <w:color w:val="0E32E1"/>
                <w:w w:val="91"/>
              </w:rPr>
            </w:pPr>
            <w:hyperlink w:anchor="page217">
              <w:r>
                <w:rPr>
                  <w:rFonts w:ascii="Times New Roman" w:cs="Times New Roman" w:eastAsia="Times New Roman" w:hAnsi="Times New Roman"/>
                  <w:sz w:val="16"/>
                  <w:szCs w:val="16"/>
                  <w:color w:val="0E32E1"/>
                  <w:w w:val="91"/>
                </w:rPr>
                <w:t>214</w:t>
              </w:r>
            </w:hyperlink>
          </w:p>
        </w:tc>
        <w:tc>
          <w:tcPr>
            <w:tcW w:w="0" w:type="dxa"/>
            <w:vAlign w:val="bottom"/>
          </w:tcPr>
          <w:p>
            <w:pPr>
              <w:spacing w:after="0"/>
              <w:rPr>
                <w:sz w:val="1"/>
                <w:szCs w:val="1"/>
                <w:color w:val="auto"/>
              </w:rPr>
            </w:pPr>
          </w:p>
        </w:tc>
      </w:tr>
      <w:tr>
        <w:trPr>
          <w:trHeight w:val="352"/>
        </w:trPr>
        <w:tc>
          <w:tcPr>
            <w:tcW w:w="90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6"/>
                <w:szCs w:val="16"/>
                <w:color w:val="0E32E1"/>
                <w:w w:val="94"/>
              </w:rPr>
              <w:t>[RESERVED]</w:t>
            </w:r>
          </w:p>
        </w:tc>
        <w:tc>
          <w:tcPr>
            <w:tcW w:w="20" w:type="dxa"/>
            <w:vAlign w:val="bottom"/>
            <w:tcBorders>
              <w:top w:val="single" w:sz="8" w:color="0E32E1"/>
              <w:bottom w:val="single" w:sz="8" w:color="0E32E1"/>
            </w:tcBorders>
            <w:vMerge w:val="restart"/>
          </w:tcPr>
          <w:p>
            <w:pPr>
              <w:spacing w:after="0"/>
              <w:rPr>
                <w:sz w:val="24"/>
                <w:szCs w:val="24"/>
                <w:color w:val="auto"/>
              </w:rPr>
            </w:pPr>
          </w:p>
        </w:tc>
        <w:tc>
          <w:tcPr>
            <w:tcW w:w="500" w:type="dxa"/>
            <w:vAlign w:val="bottom"/>
            <w:tcBorders>
              <w:top w:val="single" w:sz="8" w:color="0E32E1"/>
              <w:bottom w:val="single" w:sz="8" w:color="0E32E1"/>
            </w:tcBorders>
            <w:gridSpan w:val="6"/>
            <w:vMerge w:val="restart"/>
          </w:tcPr>
          <w:p>
            <w:pPr>
              <w:spacing w:after="0"/>
              <w:rPr>
                <w:sz w:val="24"/>
                <w:szCs w:val="24"/>
                <w:color w:val="auto"/>
              </w:rPr>
            </w:pPr>
          </w:p>
        </w:tc>
        <w:tc>
          <w:tcPr>
            <w:tcW w:w="40" w:type="dxa"/>
            <w:vAlign w:val="bottom"/>
            <w:tcBorders>
              <w:top w:val="single" w:sz="8" w:color="0E32E1"/>
              <w:bottom w:val="single" w:sz="8" w:color="0E32E1"/>
            </w:tcBorders>
            <w:vMerge w:val="restart"/>
          </w:tcPr>
          <w:p>
            <w:pPr>
              <w:spacing w:after="0"/>
              <w:rPr>
                <w:sz w:val="24"/>
                <w:szCs w:val="24"/>
                <w:color w:val="auto"/>
              </w:rPr>
            </w:pPr>
          </w:p>
        </w:tc>
        <w:tc>
          <w:tcPr>
            <w:tcW w:w="700" w:type="dxa"/>
            <w:vAlign w:val="bottom"/>
            <w:tcBorders>
              <w:top w:val="single" w:sz="8" w:color="0E32E1"/>
              <w:bottom w:val="single" w:sz="8" w:color="0E32E1"/>
            </w:tcBorders>
            <w:gridSpan w:val="9"/>
            <w:vMerge w:val="restart"/>
          </w:tcPr>
          <w:p>
            <w:pPr>
              <w:spacing w:after="0"/>
              <w:rPr>
                <w:sz w:val="24"/>
                <w:szCs w:val="24"/>
                <w:color w:val="auto"/>
              </w:rPr>
            </w:pPr>
          </w:p>
        </w:tc>
        <w:tc>
          <w:tcPr>
            <w:tcW w:w="80" w:type="dxa"/>
            <w:vAlign w:val="bottom"/>
            <w:tcBorders>
              <w:top w:val="single" w:sz="8" w:color="0E32E1"/>
              <w:bottom w:val="single" w:sz="8" w:color="0E32E1"/>
            </w:tcBorders>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460" w:type="dxa"/>
            <w:vAlign w:val="bottom"/>
            <w:gridSpan w:val="2"/>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3980" w:type="dxa"/>
            <w:vAlign w:val="bottom"/>
            <w:gridSpan w:val="4"/>
            <w:vMerge w:val="restart"/>
          </w:tcPr>
          <w:p>
            <w:pPr>
              <w:spacing w:after="0"/>
              <w:rPr>
                <w:sz w:val="24"/>
                <w:szCs w:val="24"/>
                <w:color w:val="auto"/>
              </w:rPr>
            </w:pPr>
          </w:p>
        </w:tc>
        <w:tc>
          <w:tcPr>
            <w:tcW w:w="240" w:type="dxa"/>
            <w:vAlign w:val="bottom"/>
            <w:tcBorders>
              <w:top w:val="single" w:sz="8" w:color="0E32E1"/>
              <w:bottom w:val="single" w:sz="8" w:color="0E32E1"/>
            </w:tcBorders>
            <w:vMerge w:val="restart"/>
          </w:tcPr>
          <w:p>
            <w:pPr>
              <w:jc w:val="right"/>
              <w:spacing w:after="0"/>
              <w:rPr>
                <w:rFonts w:ascii="Times New Roman" w:cs="Times New Roman" w:eastAsia="Times New Roman" w:hAnsi="Times New Roman"/>
                <w:sz w:val="16"/>
                <w:szCs w:val="16"/>
                <w:color w:val="0E32E1"/>
                <w:w w:val="91"/>
              </w:rPr>
            </w:pPr>
            <w:hyperlink w:anchor="page218">
              <w:r>
                <w:rPr>
                  <w:rFonts w:ascii="Times New Roman" w:cs="Times New Roman" w:eastAsia="Times New Roman" w:hAnsi="Times New Roman"/>
                  <w:sz w:val="16"/>
                  <w:szCs w:val="16"/>
                  <w:color w:val="0E32E1"/>
                  <w:w w:val="91"/>
                </w:rPr>
                <w:t>215</w:t>
              </w:r>
            </w:hyperlink>
          </w:p>
        </w:tc>
        <w:tc>
          <w:tcPr>
            <w:tcW w:w="0" w:type="dxa"/>
            <w:vAlign w:val="bottom"/>
          </w:tcPr>
          <w:p>
            <w:pPr>
              <w:spacing w:after="0"/>
              <w:rPr>
                <w:sz w:val="1"/>
                <w:szCs w:val="1"/>
                <w:color w:val="auto"/>
              </w:rPr>
            </w:pPr>
          </w:p>
        </w:tc>
      </w:tr>
      <w:tr>
        <w:trPr>
          <w:trHeight w:val="28"/>
        </w:trPr>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500" w:type="dxa"/>
            <w:vAlign w:val="bottom"/>
            <w:gridSpan w:val="6"/>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700" w:type="dxa"/>
            <w:vAlign w:val="bottom"/>
            <w:gridSpan w:val="9"/>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980" w:type="dxa"/>
            <w:vAlign w:val="bottom"/>
            <w:gridSpan w:val="4"/>
            <w:vMerge w:val="continue"/>
          </w:tcPr>
          <w:p>
            <w:pPr>
              <w:spacing w:after="0"/>
              <w:rPr>
                <w:sz w:val="2"/>
                <w:szCs w:val="2"/>
                <w:color w:val="auto"/>
              </w:rPr>
            </w:pPr>
          </w:p>
        </w:tc>
        <w:tc>
          <w:tcPr>
            <w:tcW w:w="240" w:type="dxa"/>
            <w:vAlign w:val="bottom"/>
            <w:tcBorders>
              <w:bottom w:val="single" w:sz="8" w:color="0E32E1"/>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2160" w:type="dxa"/>
            <w:vAlign w:val="bottom"/>
            <w:tcBorders>
              <w:bottom w:val="single" w:sz="8" w:color="0E32E1"/>
            </w:tcBorders>
            <w:gridSpan w:val="22"/>
          </w:tcPr>
          <w:p>
            <w:pPr>
              <w:spacing w:after="0"/>
              <w:rPr>
                <w:rFonts w:ascii="Times New Roman" w:cs="Times New Roman" w:eastAsia="Times New Roman" w:hAnsi="Times New Roman"/>
                <w:sz w:val="16"/>
                <w:szCs w:val="16"/>
                <w:color w:val="0E32E1"/>
                <w:w w:val="96"/>
              </w:rPr>
            </w:pPr>
            <w:hyperlink w:anchor="page218">
              <w:r>
                <w:rPr>
                  <w:rFonts w:ascii="Times New Roman" w:cs="Times New Roman" w:eastAsia="Times New Roman" w:hAnsi="Times New Roman"/>
                  <w:sz w:val="16"/>
                  <w:szCs w:val="16"/>
                  <w:color w:val="0E32E1"/>
                  <w:w w:val="96"/>
                </w:rPr>
                <w:t>Audit Committee Financial Expert</w:t>
              </w:r>
            </w:hyperlink>
          </w:p>
        </w:tc>
        <w:tc>
          <w:tcPr>
            <w:tcW w:w="6180" w:type="dxa"/>
            <w:vAlign w:val="bottom"/>
            <w:gridSpan w:val="11"/>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8">
              <w:r>
                <w:rPr>
                  <w:rFonts w:ascii="Times New Roman" w:cs="Times New Roman" w:eastAsia="Times New Roman" w:hAnsi="Times New Roman"/>
                  <w:sz w:val="16"/>
                  <w:szCs w:val="16"/>
                  <w:color w:val="0E32E1"/>
                  <w:w w:val="91"/>
                </w:rPr>
                <w:t>215</w:t>
              </w:r>
            </w:hyperlink>
          </w:p>
        </w:tc>
        <w:tc>
          <w:tcPr>
            <w:tcW w:w="0" w:type="dxa"/>
            <w:vAlign w:val="bottom"/>
          </w:tcPr>
          <w:p>
            <w:pPr>
              <w:spacing w:after="0"/>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8">
              <w:r>
                <w:rPr>
                  <w:rFonts w:ascii="Times New Roman" w:cs="Times New Roman" w:eastAsia="Times New Roman" w:hAnsi="Times New Roman"/>
                  <w:sz w:val="16"/>
                  <w:szCs w:val="16"/>
                  <w:color w:val="0E32E1"/>
                </w:rPr>
                <w:t>Code of Ethics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8">
              <w:r>
                <w:rPr>
                  <w:rFonts w:ascii="Times New Roman" w:cs="Times New Roman" w:eastAsia="Times New Roman" w:hAnsi="Times New Roman"/>
                  <w:sz w:val="16"/>
                  <w:szCs w:val="16"/>
                  <w:color w:val="0E32E1"/>
                  <w:w w:val="91"/>
                </w:rPr>
                <w:t>215</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40" w:type="dxa"/>
            <w:vAlign w:val="bottom"/>
            <w:gridSpan w:val="2"/>
            <w:shd w:val="clear" w:color="auto" w:fill="0E32E1"/>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9">
              <w:r>
                <w:rPr>
                  <w:rFonts w:ascii="Times New Roman" w:cs="Times New Roman" w:eastAsia="Times New Roman" w:hAnsi="Times New Roman"/>
                  <w:sz w:val="16"/>
                  <w:szCs w:val="16"/>
                  <w:color w:val="0E32E1"/>
                </w:rPr>
                <w:t>Principal Accountant Fees and Services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9">
              <w:r>
                <w:rPr>
                  <w:rFonts w:ascii="Times New Roman" w:cs="Times New Roman" w:eastAsia="Times New Roman" w:hAnsi="Times New Roman"/>
                  <w:sz w:val="16"/>
                  <w:szCs w:val="16"/>
                  <w:color w:val="0E32E1"/>
                  <w:w w:val="91"/>
                </w:rPr>
                <w:t>216</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540" w:type="dxa"/>
            <w:vAlign w:val="bottom"/>
            <w:gridSpan w:val="8"/>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0" w:type="dxa"/>
            <w:vAlign w:val="bottom"/>
            <w:gridSpan w:val="11"/>
            <w:shd w:val="clear" w:color="auto" w:fill="0E32E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860" w:type="dxa"/>
            <w:vAlign w:val="bottom"/>
            <w:tcBorders>
              <w:bottom w:val="single" w:sz="8" w:color="0E32E1"/>
            </w:tcBorders>
            <w:gridSpan w:val="27"/>
          </w:tcPr>
          <w:p>
            <w:pPr>
              <w:spacing w:after="0"/>
              <w:rPr>
                <w:rFonts w:ascii="Times New Roman" w:cs="Times New Roman" w:eastAsia="Times New Roman" w:hAnsi="Times New Roman"/>
                <w:sz w:val="16"/>
                <w:szCs w:val="16"/>
                <w:color w:val="0E32E1"/>
                <w:w w:val="96"/>
              </w:rPr>
            </w:pPr>
            <w:hyperlink w:anchor="page219">
              <w:r>
                <w:rPr>
                  <w:rFonts w:ascii="Times New Roman" w:cs="Times New Roman" w:eastAsia="Times New Roman" w:hAnsi="Times New Roman"/>
                  <w:sz w:val="16"/>
                  <w:szCs w:val="16"/>
                  <w:color w:val="0E32E1"/>
                  <w:w w:val="96"/>
                </w:rPr>
                <w:t>Exemptions from the Listing Standards for Audit Committees</w:t>
              </w:r>
            </w:hyperlink>
          </w:p>
        </w:tc>
        <w:tc>
          <w:tcPr>
            <w:tcW w:w="4480" w:type="dxa"/>
            <w:vAlign w:val="bottom"/>
            <w:gridSpan w:val="6"/>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19">
              <w:r>
                <w:rPr>
                  <w:rFonts w:ascii="Times New Roman" w:cs="Times New Roman" w:eastAsia="Times New Roman" w:hAnsi="Times New Roman"/>
                  <w:sz w:val="16"/>
                  <w:szCs w:val="16"/>
                  <w:color w:val="0E32E1"/>
                  <w:w w:val="91"/>
                </w:rPr>
                <w:t>216</w:t>
              </w:r>
            </w:hyperlink>
          </w:p>
        </w:tc>
        <w:tc>
          <w:tcPr>
            <w:tcW w:w="0" w:type="dxa"/>
            <w:vAlign w:val="bottom"/>
          </w:tcPr>
          <w:p>
            <w:pPr>
              <w:spacing w:after="0"/>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19">
              <w:r>
                <w:rPr>
                  <w:rFonts w:ascii="Times New Roman" w:cs="Times New Roman" w:eastAsia="Times New Roman" w:hAnsi="Times New Roman"/>
                  <w:sz w:val="16"/>
                  <w:szCs w:val="16"/>
                  <w:color w:val="0E32E1"/>
                </w:rPr>
                <w:t>Purchases of Equity Securities by the Issuer and Affiliated Purchasers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19">
              <w:r>
                <w:rPr>
                  <w:rFonts w:ascii="Times New Roman" w:cs="Times New Roman" w:eastAsia="Times New Roman" w:hAnsi="Times New Roman"/>
                  <w:sz w:val="16"/>
                  <w:szCs w:val="16"/>
                  <w:color w:val="0E32E1"/>
                  <w:w w:val="91"/>
                </w:rPr>
                <w:t>217</w:t>
              </w:r>
            </w:hyperlink>
          </w:p>
        </w:tc>
        <w:tc>
          <w:tcPr>
            <w:tcW w:w="0" w:type="dxa"/>
            <w:vAlign w:val="bottom"/>
          </w:tcPr>
          <w:p>
            <w:pPr>
              <w:spacing w:after="0"/>
              <w:rPr>
                <w:sz w:val="1"/>
                <w:szCs w:val="1"/>
                <w:color w:val="auto"/>
              </w:rPr>
            </w:pPr>
          </w:p>
        </w:tc>
      </w:tr>
      <w:tr>
        <w:trPr>
          <w:trHeight w:val="400"/>
        </w:trPr>
        <w:tc>
          <w:tcPr>
            <w:tcW w:w="4360" w:type="dxa"/>
            <w:vAlign w:val="bottom"/>
            <w:tcBorders>
              <w:top w:val="single" w:sz="8" w:color="0E32E1"/>
            </w:tcBorders>
            <w:gridSpan w:val="29"/>
          </w:tcPr>
          <w:p>
            <w:pPr>
              <w:spacing w:after="0"/>
              <w:rPr>
                <w:rFonts w:ascii="Times New Roman" w:cs="Times New Roman" w:eastAsia="Times New Roman" w:hAnsi="Times New Roman"/>
                <w:sz w:val="16"/>
                <w:szCs w:val="16"/>
                <w:color w:val="0E32E1"/>
              </w:rPr>
            </w:pPr>
            <w:hyperlink w:anchor="page220">
              <w:r>
                <w:rPr>
                  <w:rFonts w:ascii="Times New Roman" w:cs="Times New Roman" w:eastAsia="Times New Roman" w:hAnsi="Times New Roman"/>
                  <w:sz w:val="16"/>
                  <w:szCs w:val="16"/>
                  <w:color w:val="0E32E1"/>
                </w:rPr>
                <w:t>Changes in Registrant’s Certifying Accountant</w:t>
              </w:r>
            </w:hyperlink>
          </w:p>
        </w:tc>
        <w:tc>
          <w:tcPr>
            <w:tcW w:w="3980" w:type="dxa"/>
            <w:vAlign w:val="bottom"/>
            <w:gridSpan w:val="4"/>
          </w:tcPr>
          <w:p>
            <w:pPr>
              <w:spacing w:after="0"/>
              <w:rPr>
                <w:sz w:val="24"/>
                <w:szCs w:val="24"/>
                <w:color w:val="auto"/>
              </w:rPr>
            </w:pPr>
          </w:p>
        </w:tc>
        <w:tc>
          <w:tcPr>
            <w:tcW w:w="240" w:type="dxa"/>
            <w:vAlign w:val="bottom"/>
            <w:tcBorders>
              <w:top w:val="single" w:sz="8" w:color="0E32E1"/>
            </w:tcBorders>
          </w:tcPr>
          <w:p>
            <w:pPr>
              <w:jc w:val="right"/>
              <w:spacing w:after="0"/>
              <w:rPr>
                <w:rFonts w:ascii="Times New Roman" w:cs="Times New Roman" w:eastAsia="Times New Roman" w:hAnsi="Times New Roman"/>
                <w:sz w:val="16"/>
                <w:szCs w:val="16"/>
                <w:color w:val="0E32E1"/>
                <w:w w:val="91"/>
              </w:rPr>
            </w:pPr>
            <w:hyperlink w:anchor="page220">
              <w:r>
                <w:rPr>
                  <w:rFonts w:ascii="Times New Roman" w:cs="Times New Roman" w:eastAsia="Times New Roman" w:hAnsi="Times New Roman"/>
                  <w:sz w:val="16"/>
                  <w:szCs w:val="16"/>
                  <w:color w:val="0E32E1"/>
                  <w:w w:val="91"/>
                </w:rPr>
                <w:t>218</w:t>
              </w:r>
            </w:hyperlink>
          </w:p>
        </w:tc>
        <w:tc>
          <w:tcPr>
            <w:tcW w:w="0" w:type="dxa"/>
            <w:vAlign w:val="bottom"/>
          </w:tcPr>
          <w:p>
            <w:pPr>
              <w:spacing w:after="0"/>
              <w:rPr>
                <w:sz w:val="1"/>
                <w:szCs w:val="1"/>
                <w:color w:val="auto"/>
              </w:rPr>
            </w:pPr>
          </w:p>
        </w:tc>
      </w:tr>
      <w:tr>
        <w:trPr>
          <w:trHeight w:val="400"/>
        </w:trPr>
        <w:tc>
          <w:tcPr>
            <w:tcW w:w="1420" w:type="dxa"/>
            <w:vAlign w:val="bottom"/>
            <w:tcBorders>
              <w:top w:val="single" w:sz="8" w:color="0E32E1"/>
              <w:bottom w:val="single" w:sz="8" w:color="0E32E1"/>
            </w:tcBorders>
            <w:gridSpan w:val="12"/>
          </w:tcPr>
          <w:p>
            <w:pPr>
              <w:spacing w:after="0"/>
              <w:rPr>
                <w:rFonts w:ascii="Times New Roman" w:cs="Times New Roman" w:eastAsia="Times New Roman" w:hAnsi="Times New Roman"/>
                <w:sz w:val="16"/>
                <w:szCs w:val="16"/>
                <w:color w:val="0E32E1"/>
                <w:w w:val="96"/>
              </w:rPr>
            </w:pPr>
            <w:hyperlink w:anchor="page221">
              <w:r>
                <w:rPr>
                  <w:rFonts w:ascii="Times New Roman" w:cs="Times New Roman" w:eastAsia="Times New Roman" w:hAnsi="Times New Roman"/>
                  <w:sz w:val="16"/>
                  <w:szCs w:val="16"/>
                  <w:color w:val="0E32E1"/>
                  <w:w w:val="96"/>
                </w:rPr>
                <w:t>Corporate Governance</w:t>
              </w:r>
            </w:hyperlink>
          </w:p>
        </w:tc>
        <w:tc>
          <w:tcPr>
            <w:tcW w:w="1500" w:type="dxa"/>
            <w:vAlign w:val="bottom"/>
            <w:tcBorders>
              <w:top w:val="single" w:sz="8" w:color="0E32E1"/>
            </w:tcBorders>
            <w:gridSpan w:val="14"/>
          </w:tcPr>
          <w:p>
            <w:pPr>
              <w:spacing w:after="0"/>
              <w:rPr>
                <w:sz w:val="24"/>
                <w:szCs w:val="24"/>
                <w:color w:val="auto"/>
              </w:rPr>
            </w:pPr>
          </w:p>
        </w:tc>
        <w:tc>
          <w:tcPr>
            <w:tcW w:w="5420" w:type="dxa"/>
            <w:vAlign w:val="bottom"/>
            <w:gridSpan w:val="7"/>
          </w:tcPr>
          <w:p>
            <w:pPr>
              <w:spacing w:after="0"/>
              <w:rPr>
                <w:sz w:val="24"/>
                <w:szCs w:val="24"/>
                <w:color w:val="auto"/>
              </w:rPr>
            </w:pPr>
          </w:p>
        </w:tc>
        <w:tc>
          <w:tcPr>
            <w:tcW w:w="240" w:type="dxa"/>
            <w:vAlign w:val="bottom"/>
            <w:tcBorders>
              <w:top w:val="single" w:sz="8" w:color="0E32E1"/>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21">
              <w:r>
                <w:rPr>
                  <w:rFonts w:ascii="Times New Roman" w:cs="Times New Roman" w:eastAsia="Times New Roman" w:hAnsi="Times New Roman"/>
                  <w:sz w:val="16"/>
                  <w:szCs w:val="16"/>
                  <w:color w:val="0E32E1"/>
                  <w:w w:val="91"/>
                </w:rPr>
                <w:t>218</w:t>
              </w:r>
            </w:hyperlink>
          </w:p>
        </w:tc>
        <w:tc>
          <w:tcPr>
            <w:tcW w:w="0" w:type="dxa"/>
            <w:vAlign w:val="bottom"/>
          </w:tcPr>
          <w:p>
            <w:pPr>
              <w:spacing w:after="0"/>
              <w:rPr>
                <w:sz w:val="1"/>
                <w:szCs w:val="1"/>
                <w:color w:val="auto"/>
              </w:rPr>
            </w:pPr>
          </w:p>
        </w:tc>
      </w:tr>
      <w:tr>
        <w:trPr>
          <w:trHeight w:val="400"/>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32">
              <w:r>
                <w:rPr>
                  <w:rFonts w:ascii="Times New Roman" w:cs="Times New Roman" w:eastAsia="Times New Roman" w:hAnsi="Times New Roman"/>
                  <w:sz w:val="16"/>
                  <w:szCs w:val="16"/>
                  <w:color w:val="0E32E1"/>
                </w:rPr>
                <w:t>Mine Safety Disclosure</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32">
              <w:r>
                <w:rPr>
                  <w:rFonts w:ascii="Times New Roman" w:cs="Times New Roman" w:eastAsia="Times New Roman" w:hAnsi="Times New Roman"/>
                  <w:sz w:val="16"/>
                  <w:szCs w:val="16"/>
                  <w:color w:val="0E32E1"/>
                  <w:w w:val="91"/>
                </w:rPr>
                <w:t>229</w:t>
              </w:r>
            </w:hyperlink>
          </w:p>
        </w:tc>
        <w:tc>
          <w:tcPr>
            <w:tcW w:w="0" w:type="dxa"/>
            <w:vAlign w:val="bottom"/>
          </w:tcPr>
          <w:p>
            <w:pPr>
              <w:spacing w:after="0"/>
              <w:rPr>
                <w:sz w:val="1"/>
                <w:szCs w:val="1"/>
                <w:color w:val="auto"/>
              </w:rPr>
            </w:pPr>
          </w:p>
        </w:tc>
      </w:tr>
      <w:tr>
        <w:trPr>
          <w:trHeight w:val="20"/>
        </w:trPr>
        <w:tc>
          <w:tcPr>
            <w:tcW w:w="880" w:type="dxa"/>
            <w:vAlign w:val="bottom"/>
            <w:gridSpan w:val="4"/>
            <w:shd w:val="clear" w:color="auto" w:fill="0E32E1"/>
          </w:tcPr>
          <w:p>
            <w:pPr>
              <w:spacing w:after="0" w:line="20" w:lineRule="exact"/>
              <w:rPr>
                <w:sz w:val="1"/>
                <w:szCs w:val="1"/>
                <w:color w:val="auto"/>
              </w:rPr>
            </w:pPr>
          </w:p>
        </w:tc>
        <w:tc>
          <w:tcPr>
            <w:tcW w:w="580" w:type="dxa"/>
            <w:vAlign w:val="bottom"/>
            <w:gridSpan w:val="9"/>
            <w:shd w:val="clear" w:color="auto" w:fill="0E32E1"/>
          </w:tcPr>
          <w:p>
            <w:pPr>
              <w:spacing w:after="0" w:line="20" w:lineRule="exact"/>
              <w:rPr>
                <w:sz w:val="1"/>
                <w:szCs w:val="1"/>
                <w:color w:val="auto"/>
              </w:rPr>
            </w:pPr>
          </w:p>
        </w:tc>
        <w:tc>
          <w:tcPr>
            <w:tcW w:w="2760" w:type="dxa"/>
            <w:vAlign w:val="bottom"/>
            <w:gridSpan w:val="1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220" w:type="dxa"/>
            <w:vAlign w:val="bottom"/>
            <w:tcBorders>
              <w:bottom w:val="single" w:sz="8" w:color="0E32E1"/>
            </w:tcBorders>
            <w:gridSpan w:val="28"/>
          </w:tcPr>
          <w:p>
            <w:pPr>
              <w:spacing w:after="0"/>
              <w:rPr>
                <w:rFonts w:ascii="Times New Roman" w:cs="Times New Roman" w:eastAsia="Times New Roman" w:hAnsi="Times New Roman"/>
                <w:sz w:val="16"/>
                <w:szCs w:val="16"/>
                <w:color w:val="0E32E1"/>
                <w:w w:val="96"/>
              </w:rPr>
            </w:pPr>
            <w:hyperlink w:anchor="page232">
              <w:r>
                <w:rPr>
                  <w:rFonts w:ascii="Times New Roman" w:cs="Times New Roman" w:eastAsia="Times New Roman" w:hAnsi="Times New Roman"/>
                  <w:sz w:val="16"/>
                  <w:szCs w:val="16"/>
                  <w:color w:val="0E32E1"/>
                  <w:w w:val="96"/>
                </w:rPr>
                <w:t>Disclosure Regarding Foreign Jurisdictions that Prevent Inspections</w:t>
              </w:r>
            </w:hyperlink>
          </w:p>
        </w:tc>
        <w:tc>
          <w:tcPr>
            <w:tcW w:w="4120" w:type="dxa"/>
            <w:vAlign w:val="bottom"/>
            <w:gridSpan w:val="5"/>
            <w:vMerge w:val="restart"/>
          </w:tcPr>
          <w:p>
            <w:pPr>
              <w:spacing w:after="0"/>
              <w:rPr>
                <w:sz w:val="24"/>
                <w:szCs w:val="24"/>
                <w:color w:val="auto"/>
              </w:rPr>
            </w:pPr>
          </w:p>
        </w:tc>
        <w:tc>
          <w:tcPr>
            <w:tcW w:w="240" w:type="dxa"/>
            <w:vAlign w:val="bottom"/>
            <w:vMerge w:val="restart"/>
          </w:tcPr>
          <w:p>
            <w:pPr>
              <w:jc w:val="right"/>
              <w:spacing w:after="0"/>
              <w:rPr>
                <w:rFonts w:ascii="Times New Roman" w:cs="Times New Roman" w:eastAsia="Times New Roman" w:hAnsi="Times New Roman"/>
                <w:sz w:val="16"/>
                <w:szCs w:val="16"/>
                <w:color w:val="0E32E1"/>
                <w:w w:val="91"/>
              </w:rPr>
            </w:pPr>
            <w:hyperlink w:anchor="page232">
              <w:r>
                <w:rPr>
                  <w:rFonts w:ascii="Times New Roman" w:cs="Times New Roman" w:eastAsia="Times New Roman" w:hAnsi="Times New Roman"/>
                  <w:sz w:val="16"/>
                  <w:szCs w:val="16"/>
                  <w:color w:val="0E32E1"/>
                  <w:w w:val="91"/>
                </w:rPr>
                <w:t>229</w:t>
              </w:r>
            </w:hyperlink>
          </w:p>
        </w:tc>
        <w:tc>
          <w:tcPr>
            <w:tcW w:w="0" w:type="dxa"/>
            <w:vAlign w:val="bottom"/>
          </w:tcPr>
          <w:p>
            <w:pPr>
              <w:spacing w:after="0"/>
              <w:rPr>
                <w:sz w:val="1"/>
                <w:szCs w:val="1"/>
                <w:color w:val="auto"/>
              </w:rPr>
            </w:pPr>
          </w:p>
        </w:tc>
      </w:tr>
      <w:tr>
        <w:trPr>
          <w:trHeight w:val="33"/>
        </w:trPr>
        <w:tc>
          <w:tcPr>
            <w:tcW w:w="880" w:type="dxa"/>
            <w:vAlign w:val="bottom"/>
            <w:gridSpan w:val="4"/>
          </w:tcPr>
          <w:p>
            <w:pPr>
              <w:spacing w:after="0"/>
              <w:rPr>
                <w:sz w:val="2"/>
                <w:szCs w:val="2"/>
                <w:color w:val="auto"/>
              </w:rPr>
            </w:pPr>
          </w:p>
        </w:tc>
        <w:tc>
          <w:tcPr>
            <w:tcW w:w="3340" w:type="dxa"/>
            <w:vAlign w:val="bottom"/>
            <w:gridSpan w:val="24"/>
          </w:tcPr>
          <w:p>
            <w:pPr>
              <w:spacing w:after="0"/>
              <w:rPr>
                <w:sz w:val="2"/>
                <w:szCs w:val="2"/>
                <w:color w:val="auto"/>
              </w:rPr>
            </w:pPr>
          </w:p>
        </w:tc>
        <w:tc>
          <w:tcPr>
            <w:tcW w:w="4120" w:type="dxa"/>
            <w:vAlign w:val="bottom"/>
            <w:gridSpan w:val="5"/>
            <w:vMerge w:val="continue"/>
          </w:tcPr>
          <w:p>
            <w:pPr>
              <w:spacing w:after="0"/>
              <w:rPr>
                <w:sz w:val="2"/>
                <w:szCs w:val="2"/>
                <w:color w:val="auto"/>
              </w:rPr>
            </w:pPr>
          </w:p>
        </w:tc>
        <w:tc>
          <w:tcPr>
            <w:tcW w:w="240" w:type="dxa"/>
            <w:vAlign w:val="bottom"/>
            <w:tcBorders>
              <w:bottom w:val="single" w:sz="8" w:color="0E32E1"/>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8340" w:type="dxa"/>
            <w:vAlign w:val="bottom"/>
            <w:gridSpan w:val="33"/>
          </w:tcPr>
          <w:p>
            <w:pPr>
              <w:spacing w:after="0"/>
              <w:rPr>
                <w:rFonts w:ascii="Times New Roman" w:cs="Times New Roman" w:eastAsia="Times New Roman" w:hAnsi="Times New Roman"/>
                <w:sz w:val="16"/>
                <w:szCs w:val="16"/>
                <w:color w:val="0E32E1"/>
              </w:rPr>
            </w:pPr>
            <w:hyperlink w:anchor="page232">
              <w:r>
                <w:rPr>
                  <w:rFonts w:ascii="Times New Roman" w:cs="Times New Roman" w:eastAsia="Times New Roman" w:hAnsi="Times New Roman"/>
                  <w:sz w:val="16"/>
                  <w:szCs w:val="16"/>
                  <w:color w:val="0E32E1"/>
                </w:rPr>
                <w:t>Insider Trading Policies</w:t>
              </w:r>
            </w:hyperlink>
          </w:p>
        </w:tc>
        <w:tc>
          <w:tcPr>
            <w:tcW w:w="240" w:type="dxa"/>
            <w:vAlign w:val="bottom"/>
          </w:tcPr>
          <w:p>
            <w:pPr>
              <w:jc w:val="right"/>
              <w:spacing w:after="0"/>
              <w:rPr>
                <w:rFonts w:ascii="Times New Roman" w:cs="Times New Roman" w:eastAsia="Times New Roman" w:hAnsi="Times New Roman"/>
                <w:sz w:val="16"/>
                <w:szCs w:val="16"/>
                <w:color w:val="0E32E1"/>
                <w:w w:val="91"/>
              </w:rPr>
            </w:pPr>
            <w:hyperlink w:anchor="page232">
              <w:r>
                <w:rPr>
                  <w:rFonts w:ascii="Times New Roman" w:cs="Times New Roman" w:eastAsia="Times New Roman" w:hAnsi="Times New Roman"/>
                  <w:sz w:val="16"/>
                  <w:szCs w:val="16"/>
                  <w:color w:val="0E32E1"/>
                  <w:w w:val="91"/>
                </w:rPr>
                <w:t>229</w:t>
              </w:r>
            </w:hyperlink>
          </w:p>
        </w:tc>
        <w:tc>
          <w:tcPr>
            <w:tcW w:w="0" w:type="dxa"/>
            <w:vAlign w:val="bottom"/>
          </w:tcPr>
          <w:p>
            <w:pPr>
              <w:spacing w:after="0"/>
              <w:rPr>
                <w:sz w:val="1"/>
                <w:szCs w:val="1"/>
                <w:color w:val="auto"/>
              </w:rPr>
            </w:pPr>
          </w:p>
        </w:tc>
      </w:tr>
      <w:tr>
        <w:trPr>
          <w:trHeight w:val="292"/>
        </w:trPr>
        <w:tc>
          <w:tcPr>
            <w:tcW w:w="880" w:type="dxa"/>
            <w:vAlign w:val="bottom"/>
            <w:tcBorders>
              <w:top w:val="single" w:sz="8" w:color="0E32E1"/>
              <w:bottom w:val="single" w:sz="8" w:color="3051F2"/>
            </w:tcBorders>
            <w:gridSpan w:val="4"/>
          </w:tcPr>
          <w:p>
            <w:pPr>
              <w:spacing w:after="0"/>
              <w:rPr>
                <w:rFonts w:ascii="Times New Roman" w:cs="Times New Roman" w:eastAsia="Times New Roman" w:hAnsi="Times New Roman"/>
                <w:sz w:val="16"/>
                <w:szCs w:val="16"/>
                <w:color w:val="3051F2"/>
                <w:w w:val="95"/>
              </w:rPr>
            </w:pPr>
            <w:hyperlink w:anchor="page232">
              <w:r>
                <w:rPr>
                  <w:rFonts w:ascii="Times New Roman" w:cs="Times New Roman" w:eastAsia="Times New Roman" w:hAnsi="Times New Roman"/>
                  <w:sz w:val="16"/>
                  <w:szCs w:val="16"/>
                  <w:color w:val="3051F2"/>
                  <w:w w:val="95"/>
                </w:rPr>
                <w:t>Cybersecurity</w:t>
              </w:r>
            </w:hyperlink>
          </w:p>
        </w:tc>
        <w:tc>
          <w:tcPr>
            <w:tcW w:w="600" w:type="dxa"/>
            <w:vAlign w:val="bottom"/>
            <w:tcBorders>
              <w:top w:val="single" w:sz="8" w:color="0E32E1"/>
            </w:tcBorders>
            <w:gridSpan w:val="10"/>
          </w:tcPr>
          <w:p>
            <w:pPr>
              <w:spacing w:after="0"/>
              <w:rPr>
                <w:sz w:val="24"/>
                <w:szCs w:val="24"/>
                <w:color w:val="auto"/>
              </w:rPr>
            </w:pPr>
          </w:p>
        </w:tc>
        <w:tc>
          <w:tcPr>
            <w:tcW w:w="6860" w:type="dxa"/>
            <w:vAlign w:val="bottom"/>
            <w:gridSpan w:val="19"/>
          </w:tcPr>
          <w:p>
            <w:pPr>
              <w:spacing w:after="0"/>
              <w:rPr>
                <w:sz w:val="24"/>
                <w:szCs w:val="24"/>
                <w:color w:val="auto"/>
              </w:rPr>
            </w:pPr>
          </w:p>
        </w:tc>
        <w:tc>
          <w:tcPr>
            <w:tcW w:w="240" w:type="dxa"/>
            <w:vAlign w:val="bottom"/>
            <w:tcBorders>
              <w:top w:val="single" w:sz="8" w:color="0E32E1"/>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32">
              <w:r>
                <w:rPr>
                  <w:rFonts w:ascii="Times New Roman" w:cs="Times New Roman" w:eastAsia="Times New Roman" w:hAnsi="Times New Roman"/>
                  <w:sz w:val="16"/>
                  <w:szCs w:val="16"/>
                  <w:color w:val="0E32E1"/>
                  <w:w w:val="91"/>
                </w:rPr>
                <w:t>229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2">
            <w:col w:w="740" w:space="520"/>
            <w:col w:w="8580"/>
          </w:cols>
          <w:pgMar w:left="720" w:top="557" w:right="1340" w:bottom="3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46355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720" w:top="557" w:right="1340" w:bottom="338" w:gutter="0" w:footer="0" w:header="0"/>
          <w:type w:val="continuous"/>
        </w:sectPr>
      </w:pPr>
    </w:p>
    <w:bookmarkStart w:id="5" w:name="page6"/>
    <w:bookmarkEnd w:id="5"/>
    <w:p>
      <w:pPr>
        <w:ind w:left="34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7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17.</w:t>
            </w:r>
          </w:p>
        </w:tc>
        <w:tc>
          <w:tcPr>
            <w:tcW w:w="1900" w:type="dxa"/>
            <w:vAlign w:val="bottom"/>
            <w:tcBorders>
              <w:bottom w:val="single" w:sz="8" w:color="0E32E1"/>
            </w:tcBorders>
            <w:gridSpan w:val="2"/>
          </w:tcPr>
          <w:p>
            <w:pPr>
              <w:spacing w:after="0"/>
              <w:rPr>
                <w:rFonts w:ascii="Times New Roman" w:cs="Times New Roman" w:eastAsia="Times New Roman" w:hAnsi="Times New Roman"/>
                <w:sz w:val="16"/>
                <w:szCs w:val="16"/>
                <w:color w:val="0E32E1"/>
                <w:w w:val="96"/>
              </w:rPr>
            </w:pPr>
            <w:hyperlink w:anchor="page234">
              <w:r>
                <w:rPr>
                  <w:rFonts w:ascii="Times New Roman" w:cs="Times New Roman" w:eastAsia="Times New Roman" w:hAnsi="Times New Roman"/>
                  <w:sz w:val="16"/>
                  <w:szCs w:val="16"/>
                  <w:color w:val="0E32E1"/>
                  <w:w w:val="96"/>
                </w:rPr>
                <w:t>FINANCIAL STATEMENTS</w:t>
              </w:r>
            </w:hyperlink>
          </w:p>
        </w:tc>
        <w:tc>
          <w:tcPr>
            <w:tcW w:w="6320" w:type="dxa"/>
            <w:vAlign w:val="bottom"/>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34">
              <w:r>
                <w:rPr>
                  <w:rFonts w:ascii="Times New Roman" w:cs="Times New Roman" w:eastAsia="Times New Roman" w:hAnsi="Times New Roman"/>
                  <w:sz w:val="16"/>
                  <w:szCs w:val="16"/>
                  <w:color w:val="0E32E1"/>
                  <w:w w:val="91"/>
                </w:rPr>
                <w:t>231</w:t>
              </w:r>
            </w:hyperlink>
          </w:p>
        </w:tc>
      </w:tr>
      <w:tr>
        <w:trPr>
          <w:trHeight w:val="40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18.</w:t>
            </w:r>
          </w:p>
        </w:tc>
        <w:tc>
          <w:tcPr>
            <w:tcW w:w="1900" w:type="dxa"/>
            <w:vAlign w:val="bottom"/>
            <w:tcBorders>
              <w:bottom w:val="single" w:sz="8" w:color="0E32E1"/>
            </w:tcBorders>
            <w:gridSpan w:val="2"/>
          </w:tcPr>
          <w:p>
            <w:pPr>
              <w:spacing w:after="0"/>
              <w:rPr>
                <w:rFonts w:ascii="Times New Roman" w:cs="Times New Roman" w:eastAsia="Times New Roman" w:hAnsi="Times New Roman"/>
                <w:sz w:val="16"/>
                <w:szCs w:val="16"/>
                <w:color w:val="0E32E1"/>
                <w:w w:val="96"/>
              </w:rPr>
            </w:pPr>
            <w:hyperlink w:anchor="page234">
              <w:r>
                <w:rPr>
                  <w:rFonts w:ascii="Times New Roman" w:cs="Times New Roman" w:eastAsia="Times New Roman" w:hAnsi="Times New Roman"/>
                  <w:sz w:val="16"/>
                  <w:szCs w:val="16"/>
                  <w:color w:val="0E32E1"/>
                  <w:w w:val="96"/>
                </w:rPr>
                <w:t>FINANCIAL STATEMENTS</w:t>
              </w:r>
            </w:hyperlink>
          </w:p>
        </w:tc>
        <w:tc>
          <w:tcPr>
            <w:tcW w:w="6320" w:type="dxa"/>
            <w:vAlign w:val="bottom"/>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34">
              <w:r>
                <w:rPr>
                  <w:rFonts w:ascii="Times New Roman" w:cs="Times New Roman" w:eastAsia="Times New Roman" w:hAnsi="Times New Roman"/>
                  <w:sz w:val="16"/>
                  <w:szCs w:val="16"/>
                  <w:color w:val="0E32E1"/>
                  <w:w w:val="91"/>
                </w:rPr>
                <w:t>231</w:t>
              </w:r>
            </w:hyperlink>
          </w:p>
        </w:tc>
      </w:tr>
      <w:tr>
        <w:trPr>
          <w:trHeight w:val="40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ITEM 19.</w:t>
            </w:r>
          </w:p>
        </w:tc>
        <w:tc>
          <w:tcPr>
            <w:tcW w:w="720" w:type="dxa"/>
            <w:vAlign w:val="bottom"/>
            <w:tcBorders>
              <w:bottom w:val="single" w:sz="8" w:color="0E32E1"/>
            </w:tcBorders>
          </w:tcPr>
          <w:p>
            <w:pPr>
              <w:spacing w:after="0"/>
              <w:rPr>
                <w:rFonts w:ascii="Times New Roman" w:cs="Times New Roman" w:eastAsia="Times New Roman" w:hAnsi="Times New Roman"/>
                <w:sz w:val="16"/>
                <w:szCs w:val="16"/>
                <w:color w:val="0E32E1"/>
                <w:w w:val="95"/>
              </w:rPr>
            </w:pPr>
            <w:hyperlink w:anchor="page234">
              <w:r>
                <w:rPr>
                  <w:rFonts w:ascii="Times New Roman" w:cs="Times New Roman" w:eastAsia="Times New Roman" w:hAnsi="Times New Roman"/>
                  <w:sz w:val="16"/>
                  <w:szCs w:val="16"/>
                  <w:color w:val="0E32E1"/>
                  <w:w w:val="95"/>
                </w:rPr>
                <w:t>EXHIBITS</w:t>
              </w:r>
            </w:hyperlink>
          </w:p>
        </w:tc>
        <w:tc>
          <w:tcPr>
            <w:tcW w:w="11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Borders>
              <w:bottom w:val="single" w:sz="8" w:color="0E32E1"/>
            </w:tcBorders>
          </w:tcPr>
          <w:p>
            <w:pPr>
              <w:jc w:val="right"/>
              <w:spacing w:after="0"/>
              <w:rPr>
                <w:rFonts w:ascii="Times New Roman" w:cs="Times New Roman" w:eastAsia="Times New Roman" w:hAnsi="Times New Roman"/>
                <w:sz w:val="16"/>
                <w:szCs w:val="16"/>
                <w:color w:val="0E32E1"/>
                <w:w w:val="91"/>
              </w:rPr>
            </w:pPr>
            <w:hyperlink w:anchor="page234">
              <w:r>
                <w:rPr>
                  <w:rFonts w:ascii="Times New Roman" w:cs="Times New Roman" w:eastAsia="Times New Roman" w:hAnsi="Times New Roman"/>
                  <w:sz w:val="16"/>
                  <w:szCs w:val="16"/>
                  <w:color w:val="0E32E1"/>
                  <w:w w:val="91"/>
                </w:rPr>
                <w:t>232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46355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720" w:top="557" w:right="1340" w:bottom="1440" w:gutter="0" w:footer="0" w:header="0"/>
        </w:sectPr>
      </w:pPr>
    </w:p>
    <w:bookmarkStart w:id="6" w:name="page7"/>
    <w:bookmarkEnd w:id="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GENERAL INFORMATION</w:t>
      </w:r>
    </w:p>
    <w:p>
      <w:pPr>
        <w:spacing w:after="0" w:line="178"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In this Annual Report on Form 20- F (“Annual Report”), “BioNTech,” the “Group,” the “Company,” “we,” “us,” and “our” refer to BioNTech SE and its consolidated subsidiaries, except where the context otherwise requires.</w:t>
      </w:r>
    </w:p>
    <w:p>
      <w:pPr>
        <w:spacing w:after="0" w:line="5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response to the fact that our consolidated financial statements are published in Euro, the selected consolidated financial data is presented in Euro as well. Amounts in U.S. dollar are translated into Euro using the exchange rates as per period end or average exchange rates for the periods indicated as published by the German Central Bank (</w:t>
      </w:r>
      <w:r>
        <w:rPr>
          <w:rFonts w:ascii="Times New Roman" w:cs="Times New Roman" w:eastAsia="Times New Roman" w:hAnsi="Times New Roman"/>
          <w:sz w:val="16"/>
          <w:szCs w:val="16"/>
          <w:i w:val="1"/>
          <w:iCs w:val="1"/>
          <w:color w:val="auto"/>
        </w:rPr>
        <w:t>Deutsche Bundesbank</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references in this Annual Report to “$” mean U.S. dollars and all references to “€” mean Euros.</w:t>
      </w:r>
    </w:p>
    <w:p>
      <w:pPr>
        <w:spacing w:after="0" w:line="92" w:lineRule="exact"/>
        <w:rPr>
          <w:sz w:val="20"/>
          <w:szCs w:val="20"/>
          <w:color w:val="auto"/>
        </w:rPr>
      </w:pPr>
    </w:p>
    <w:p>
      <w:pPr>
        <w:jc w:val="both"/>
        <w:ind w:right="20" w:firstLine="336"/>
        <w:spacing w:after="0" w:line="243" w:lineRule="auto"/>
        <w:rPr>
          <w:sz w:val="20"/>
          <w:szCs w:val="20"/>
          <w:color w:val="auto"/>
        </w:rPr>
      </w:pPr>
      <w:r>
        <w:rPr>
          <w:rFonts w:ascii="Times New Roman" w:cs="Times New Roman" w:eastAsia="Times New Roman" w:hAnsi="Times New Roman"/>
          <w:sz w:val="16"/>
          <w:szCs w:val="16"/>
          <w:color w:val="auto"/>
        </w:rPr>
        <w:t>This Annual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69"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Our trademark portfolio includes, but is not limited to,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Recon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Neo-Stim</w:t>
      </w:r>
      <w:r>
        <w:rPr>
          <w:rFonts w:ascii="Times New Roman" w:cs="Times New Roman" w:eastAsia="Times New Roman" w:hAnsi="Times New Roman"/>
          <w:sz w:val="16"/>
          <w:szCs w:val="16"/>
          <w:color w:val="auto"/>
        </w:rPr>
        <w:t>, including logo versions of some of these trademarks. Brand names appearing in italics throughout this report are trademarks owned by BioNTech.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 w:name="page8"/>
    <w:bookmarkEnd w:id="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8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that are not of historical facts may be deemed to be forward-looking statements. Many of the forward -looking statements contained in this Annual Report can be identified by the use of forward-looking words such as “believes”, “estimates”, “anticipates”, “expects”, “plans”, “intends”, “may”, “could”, “might”, “will”, “should”, “aims” or other similar expressions that convey uncertainty of future events or outcomes.</w:t>
      </w:r>
    </w:p>
    <w:p>
      <w:pPr>
        <w:spacing w:after="0" w:line="1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These forward -looking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intend to serve, to differ materially from those expressed in, or suggested by, these forward- looking statements. These forward-looking statements are based on assumptions regarding our present and future business strategies and the environment in which we expect to operate in the future. Important factors that could cause those differences include, but are not limited to:</w:t>
      </w:r>
    </w:p>
    <w:p>
      <w:pPr>
        <w:spacing w:after="0" w:line="109" w:lineRule="exact"/>
        <w:rPr>
          <w:sz w:val="20"/>
          <w:szCs w:val="20"/>
          <w:color w:val="auto"/>
        </w:rPr>
      </w:pPr>
    </w:p>
    <w:p>
      <w:pPr>
        <w:ind w:left="720" w:right="20" w:hanging="234"/>
        <w:spacing w:after="0" w:line="275"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extent to which COVID-19 vaccines continue to be necessary in the future and any effects of reduced demand for our COVID-19 vaccine, including the write-down of inventory and costs relating to contract manufacturing production capacities that become redundant or unutilized;</w:t>
      </w:r>
    </w:p>
    <w:p>
      <w:pPr>
        <w:spacing w:after="0" w:line="44" w:lineRule="exact"/>
        <w:rPr>
          <w:rFonts w:ascii="Times New Roman" w:cs="Times New Roman" w:eastAsia="Times New Roman" w:hAnsi="Times New Roman"/>
          <w:sz w:val="16"/>
          <w:szCs w:val="16"/>
          <w:color w:val="231F20"/>
        </w:rPr>
      </w:pPr>
    </w:p>
    <w:p>
      <w:pPr>
        <w:jc w:val="both"/>
        <w:ind w:left="720" w:right="20" w:hanging="234"/>
        <w:spacing w:after="0" w:line="235" w:lineRule="auto"/>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our expected revenues and net profit related to sales of our COVID-19 vaccine (also referred to as</w:t>
      </w:r>
      <w:r>
        <w:rPr>
          <w:rFonts w:ascii="Times New Roman" w:cs="Times New Roman" w:eastAsia="Times New Roman" w:hAnsi="Times New Roman"/>
          <w:sz w:val="16"/>
          <w:szCs w:val="16"/>
          <w:i w:val="1"/>
          <w:iCs w:val="1"/>
          <w:color w:val="231F20"/>
        </w:rPr>
        <w:t>Comirnaty</w:t>
      </w:r>
      <w:r>
        <w:rPr>
          <w:rFonts w:ascii="Times New Roman" w:cs="Times New Roman" w:eastAsia="Times New Roman" w:hAnsi="Times New Roman"/>
          <w:sz w:val="16"/>
          <w:szCs w:val="16"/>
          <w:color w:val="231F20"/>
        </w:rPr>
        <w:t xml:space="preserve"> in the United States and in the European Union to the extent authorized for use), respectively, in territories controlled by our collaboration partners, particularly for those figures that are derived from preliminary estimates provided by our partners;</w:t>
      </w:r>
    </w:p>
    <w:p>
      <w:pPr>
        <w:spacing w:after="0" w:line="61"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pricing and coverage negotiations for our COVID-19 vaccine with governmental authorities, private health insurers and other third-party payors after our initial sales to national governments;</w:t>
      </w:r>
    </w:p>
    <w:p>
      <w:pPr>
        <w:spacing w:after="0" w:line="59" w:lineRule="exact"/>
        <w:rPr>
          <w:rFonts w:ascii="Times New Roman" w:cs="Times New Roman" w:eastAsia="Times New Roman" w:hAnsi="Times New Roman"/>
          <w:sz w:val="16"/>
          <w:szCs w:val="16"/>
          <w:color w:val="231F20"/>
        </w:rPr>
      </w:pPr>
    </w:p>
    <w:p>
      <w:pPr>
        <w:jc w:val="both"/>
        <w:ind w:left="720" w:right="20" w:hanging="234"/>
        <w:spacing w:after="0" w:line="247"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competition from other COVID-19 vaccines or related to our other product candidates, including those with different mechanisms of action and different manufacturing and distribution constraints, on the basis of, among other things, efficacy, cost, convenience of storage and distribution, breadth of approved use, safety, side-effect profile and durability of immune response;</w:t>
      </w:r>
    </w:p>
    <w:p>
      <w:pPr>
        <w:spacing w:after="0" w:line="68" w:lineRule="exact"/>
        <w:rPr>
          <w:rFonts w:ascii="Times New Roman" w:cs="Times New Roman" w:eastAsia="Times New Roman" w:hAnsi="Times New Roman"/>
          <w:sz w:val="16"/>
          <w:szCs w:val="16"/>
          <w:color w:val="231F20"/>
        </w:rPr>
      </w:pPr>
    </w:p>
    <w:p>
      <w:pPr>
        <w:ind w:left="720" w:right="20" w:hanging="234"/>
        <w:spacing w:after="0" w:line="259"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timing and ability of us and our collaborators to obtain regulatory approval for our COVID-19 vaccine and our product candidates, and to commercialize our approved and investigational product candidates, if approved;</w:t>
      </w:r>
    </w:p>
    <w:p>
      <w:pPr>
        <w:spacing w:after="0" w:line="59"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pricing and reimbursement of our COVID-19 vaccine and our product candidates, if approved;</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rate and degree of market acceptance of our COVID-19 vaccine and our product candidates, if approved;</w:t>
      </w:r>
    </w:p>
    <w:p>
      <w:pPr>
        <w:spacing w:after="0" w:line="92" w:lineRule="exact"/>
        <w:rPr>
          <w:rFonts w:ascii="Times New Roman" w:cs="Times New Roman" w:eastAsia="Times New Roman" w:hAnsi="Times New Roman"/>
          <w:sz w:val="16"/>
          <w:szCs w:val="16"/>
          <w:color w:val="231F20"/>
        </w:rPr>
      </w:pPr>
    </w:p>
    <w:p>
      <w:pPr>
        <w:jc w:val="both"/>
        <w:ind w:left="720" w:right="20" w:hanging="234"/>
        <w:spacing w:after="0" w:line="247"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8"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identify research opportunities and discover and develop product candidates;</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ability and willingness of our third-party collaborators to continue research and development activities relating to our product candidates;</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expectations regarding the size of the patient populations for our product candidates, if approved for commercial use;</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impact of COVID-19 on our development programs, supply chain, collaborators and financial performance;</w:t>
      </w:r>
    </w:p>
    <w:p>
      <w:pPr>
        <w:spacing w:after="0" w:line="92" w:lineRule="exact"/>
        <w:rPr>
          <w:rFonts w:ascii="Times New Roman" w:cs="Times New Roman" w:eastAsia="Times New Roman" w:hAnsi="Times New Roman"/>
          <w:sz w:val="16"/>
          <w:szCs w:val="16"/>
          <w:color w:val="231F20"/>
        </w:rPr>
      </w:pPr>
    </w:p>
    <w:p>
      <w:pPr>
        <w:ind w:left="720" w:hanging="234"/>
        <w:spacing w:after="0" w:line="259" w:lineRule="auto"/>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unforeseen safety issues and claims for personal injury or death arising from the use of our COVID-19 vaccine and other products and product candidates developed or manufactured by us;</w:t>
      </w:r>
    </w:p>
    <w:p>
      <w:pPr>
        <w:spacing w:after="0" w:line="59"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estimates of our expenses, future revenue and capital requirements and our needs for or ability to obtain additional financing;</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identify, recruit and retain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 w:name="page9"/>
    <w:bookmarkEnd w:id="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line="259" w:lineRule="auto"/>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and our collaborators’ ability to protect and enforce our intellectual property protection for our proprietary and collaborative product candidates, our ability to protect and defend against potential claims of others' intellectual property, and the scope of such protection;</w:t>
      </w:r>
    </w:p>
    <w:p>
      <w:pPr>
        <w:spacing w:after="0" w:line="59"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development of and projections relating to our competitors or our industry;</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amount of and our ability to use net operating losses and research and development credits to offset future taxable income;</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and that of our collaboration partners, as applicable, to manage development and expansion;</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regulatory developments in the United States and foreign countries;</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effectively scale our production capabilities and manufacture our products, including our COVID-19 vaccine, and our product candidates;</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the timing and amount of any dividends and any potential repurchases of our outstanding ADSs;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timing of customer payments for delivered COVID-19 vaccine;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implement, maintain and improve effective internal controls; and</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factors not known to us at this time.</w:t>
      </w:r>
    </w:p>
    <w:p>
      <w:pPr>
        <w:spacing w:after="0" w:line="18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preceding list is not intended to be an exhaustive list of all of our forward- looking statements. The forward -looking statements contained in this Annual Report speak only as of the date of this report,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9" w:name="page10"/>
    <w:bookmarkEnd w:id="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Not </w:t>
      </w:r>
      <w:r>
        <w:rPr>
          <w:rFonts w:ascii="Times New Roman" w:cs="Times New Roman" w:eastAsia="Times New Roman" w:hAnsi="Times New Roman"/>
          <w:sz w:val="16"/>
          <w:szCs w:val="16"/>
          <w:color w:val="231F20"/>
        </w:rPr>
        <w:t>applicable</w:t>
      </w:r>
      <w:r>
        <w:rPr>
          <w:rFonts w:ascii="Times New Roman" w:cs="Times New Roman" w:eastAsia="Times New Roman" w:hAnsi="Times New Roman"/>
          <w:sz w:val="16"/>
          <w:szCs w:val="16"/>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176" w:lineRule="exact"/>
        <w:rPr>
          <w:sz w:val="20"/>
          <w:szCs w:val="20"/>
          <w:color w:val="auto"/>
        </w:rPr>
      </w:pPr>
    </w:p>
    <w:p>
      <w:pPr>
        <w:ind w:left="300" w:hanging="198"/>
        <w:spacing w:after="0"/>
        <w:tabs>
          <w:tab w:leader="none" w:pos="3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72" w:lineRule="exact"/>
        <w:rPr>
          <w:rFonts w:ascii="Times New Roman" w:cs="Times New Roman" w:eastAsia="Times New Roman" w:hAnsi="Times New Roman"/>
          <w:sz w:val="16"/>
          <w:szCs w:val="16"/>
          <w:b w:val="1"/>
          <w:bCs w:val="1"/>
          <w:color w:val="auto"/>
        </w:rPr>
      </w:pPr>
    </w:p>
    <w:p>
      <w:pPr>
        <w:ind w:left="400" w:right="8160" w:hanging="298"/>
        <w:spacing w:after="0" w:line="371" w:lineRule="auto"/>
        <w:tabs>
          <w:tab w:leader="none" w:pos="29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63" w:lineRule="exact"/>
        <w:rPr>
          <w:rFonts w:ascii="Times New Roman" w:cs="Times New Roman" w:eastAsia="Times New Roman" w:hAnsi="Times New Roman"/>
          <w:sz w:val="16"/>
          <w:szCs w:val="16"/>
          <w:b w:val="1"/>
          <w:bCs w:val="1"/>
          <w:color w:val="auto"/>
        </w:rPr>
      </w:pPr>
    </w:p>
    <w:p>
      <w:pPr>
        <w:ind w:left="400" w:right="7500" w:hanging="298"/>
        <w:spacing w:after="0" w:line="371" w:lineRule="auto"/>
        <w:tabs>
          <w:tab w:leader="none" w:pos="302"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spacing w:after="0" w:line="163" w:lineRule="exact"/>
        <w:rPr>
          <w:rFonts w:ascii="Times New Roman" w:cs="Times New Roman" w:eastAsia="Times New Roman" w:hAnsi="Times New Roman"/>
          <w:sz w:val="16"/>
          <w:szCs w:val="16"/>
          <w:b w:val="1"/>
          <w:bCs w:val="1"/>
          <w:color w:val="auto"/>
        </w:rPr>
      </w:pPr>
    </w:p>
    <w:p>
      <w:pPr>
        <w:ind w:left="300" w:hanging="198"/>
        <w:spacing w:after="0"/>
        <w:tabs>
          <w:tab w:leader="none" w:pos="3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8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94" w:lineRule="exact"/>
        <w:rPr>
          <w:sz w:val="20"/>
          <w:szCs w:val="20"/>
          <w:color w:val="auto"/>
        </w:rPr>
      </w:pPr>
    </w:p>
    <w:p>
      <w:pPr>
        <w:ind w:left="720" w:right="20" w:hanging="234"/>
        <w:spacing w:after="0" w:line="313"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12" w:lineRule="exact"/>
        <w:rPr>
          <w:rFonts w:ascii="Times New Roman" w:cs="Times New Roman" w:eastAsia="Times New Roman" w:hAnsi="Times New Roman"/>
          <w:sz w:val="14"/>
          <w:szCs w:val="14"/>
          <w:color w:val="auto"/>
        </w:rPr>
      </w:pPr>
    </w:p>
    <w:p>
      <w:pPr>
        <w:ind w:left="720" w:right="40" w:hanging="234"/>
        <w:spacing w:after="0" w:line="244"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reported commercial revenue is partially based on preliminary estimates of COVID-19 vaccine sales and costs from Pfizer Inc., or Pfizer, that are likely to change in future periods, which may impact our reported financial results.</w:t>
      </w:r>
    </w:p>
    <w:p>
      <w:pPr>
        <w:spacing w:after="0" w:line="58"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unsuccessful in adapting our COVID-19 vaccine or developing future versions of our COVID-19 vaccine to protect against variants of the SARS-CoV-2 virus and, even if we are successful, a market for vaccines against these variants may not develop.</w:t>
      </w:r>
    </w:p>
    <w:p>
      <w:pPr>
        <w:spacing w:after="0" w:line="58" w:lineRule="exact"/>
        <w:rPr>
          <w:rFonts w:ascii="Times New Roman" w:cs="Times New Roman" w:eastAsia="Times New Roman" w:hAnsi="Times New Roman"/>
          <w:sz w:val="16"/>
          <w:szCs w:val="16"/>
          <w:color w:val="auto"/>
        </w:rPr>
      </w:pPr>
    </w:p>
    <w:p>
      <w:pPr>
        <w:jc w:val="both"/>
        <w:ind w:left="720" w:hanging="234"/>
        <w:spacing w:after="0" w:line="247"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adverse events may occur during our clinical trials or even after receiving regulatory approval, which could delay or terminate clinical trials, delay or prevent regulatory approval or market acceptance of any of our product candidates. Since commercialization, we have received, and expect to continue to receive, product liability claims related to our COVID-19 vaccine.</w:t>
      </w:r>
    </w:p>
    <w:p>
      <w:pPr>
        <w:spacing w:after="0" w:line="68"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continue to increase our marketing and sales capabilities on our own or through third parties, we may not be able to market and sell our product candidates effectively in the United States and other jurisdictions, if approved, or generate product sales revenue.</w:t>
      </w:r>
    </w:p>
    <w:p>
      <w:pPr>
        <w:spacing w:after="0" w:line="58" w:lineRule="exact"/>
        <w:rPr>
          <w:rFonts w:ascii="Times New Roman" w:cs="Times New Roman" w:eastAsia="Times New Roman" w:hAnsi="Times New Roman"/>
          <w:sz w:val="16"/>
          <w:szCs w:val="16"/>
          <w:color w:val="auto"/>
        </w:rPr>
      </w:pPr>
    </w:p>
    <w:p>
      <w:pPr>
        <w:ind w:left="720" w:right="40" w:hanging="234"/>
        <w:spacing w:after="0" w:line="259"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or organizations may challenge our intellectual property rights or may assert intellectual property rights that prevent us from developing and commercializing our COVID-19 vaccine or our product candidates and other technologies, or that negatively affect our results of operations.</w:t>
      </w:r>
    </w:p>
    <w:p>
      <w:pPr>
        <w:spacing w:after="0" w:line="59"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0" w:name="page11"/>
    <w:bookmarkEnd w:id="1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line="24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results may fluctuate significantly, which makes our future operating results difficult to predict. If our operating results fall below expectations, the price of the ADSs representing our shares could decline.</w:t>
      </w:r>
    </w:p>
    <w:p>
      <w:pPr>
        <w:spacing w:after="0" w:line="58"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identify material weaknesses in our internal control over financial reporting and fail to remediate such material weaknesses, we may not be able to report our financial results accurately or to prevent fraud.</w:t>
      </w:r>
    </w:p>
    <w:p>
      <w:pPr>
        <w:spacing w:after="0" w:line="58"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“foreign private issuer,” we are exempt from a number of rules under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62" w:lineRule="exact"/>
        <w:rPr>
          <w:rFonts w:ascii="Times New Roman" w:cs="Times New Roman" w:eastAsia="Times New Roman" w:hAnsi="Times New Roman"/>
          <w:sz w:val="16"/>
          <w:szCs w:val="16"/>
          <w:color w:val="auto"/>
        </w:rPr>
      </w:pPr>
    </w:p>
    <w:p>
      <w:pPr>
        <w:jc w:val="both"/>
        <w:ind w:left="720" w:hanging="234"/>
        <w:spacing w:after="0" w:line="23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mRNA drug development has substantial clinical development and regulatory risks due to limited regulatory experience with mRNA immunotherapies.</w:t>
      </w:r>
    </w:p>
    <w:p>
      <w:pPr>
        <w:spacing w:after="0" w:line="80" w:lineRule="exact"/>
        <w:rPr>
          <w:rFonts w:ascii="Times New Roman" w:cs="Times New Roman" w:eastAsia="Times New Roman" w:hAnsi="Times New Roman"/>
          <w:sz w:val="16"/>
          <w:szCs w:val="16"/>
          <w:color w:val="auto"/>
        </w:rPr>
      </w:pPr>
    </w:p>
    <w:p>
      <w:pPr>
        <w:jc w:val="both"/>
        <w:ind w:left="720" w:hanging="234"/>
        <w:spacing w:after="0" w:line="281" w:lineRule="auto"/>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approved product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34" w:lineRule="exact"/>
        <w:rPr>
          <w:rFonts w:ascii="Times New Roman" w:cs="Times New Roman" w:eastAsia="Times New Roman" w:hAnsi="Times New Roman"/>
          <w:sz w:val="14"/>
          <w:szCs w:val="14"/>
          <w:color w:val="auto"/>
        </w:rPr>
      </w:pPr>
    </w:p>
    <w:p>
      <w:pPr>
        <w:ind w:left="720" w:right="20" w:hanging="234"/>
        <w:spacing w:after="0" w:line="24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experienced and may continue to experience significant volatility in the market price of the ADSs representing our ordinary shares.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principal shareholders and management own a significant percentage of our ordinary shares and will be able to exert significant control over matters subject to shareholder approval.</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COVID-19 Vaccine and the Commercialization of our Pipeline</w:t>
      </w:r>
    </w:p>
    <w:p>
      <w:pPr>
        <w:spacing w:after="0" w:line="78" w:lineRule="exact"/>
        <w:rPr>
          <w:sz w:val="20"/>
          <w:szCs w:val="20"/>
          <w:color w:val="auto"/>
        </w:rPr>
      </w:pPr>
    </w:p>
    <w:p>
      <w:pPr>
        <w:jc w:val="both"/>
        <w:ind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r>
        <w:rPr>
          <w:rFonts w:ascii="Times New Roman" w:cs="Times New Roman" w:eastAsia="Times New Roman" w:hAnsi="Times New Roman"/>
          <w:sz w:val="14"/>
          <w:szCs w:val="14"/>
          <w:color w:val="auto"/>
        </w:rPr>
        <w:t>.</w:t>
      </w:r>
    </w:p>
    <w:p>
      <w:pPr>
        <w:spacing w:after="0" w:line="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Prior to the commercialization of our COVID-19 vaccine, we had not sold or marketed any products in our pipeline. As a result, a majority of our total revenues to date are attributable to sales of our COVID- 19 vaccine. However, we have experienced and we expect to continue to experience increasing reductions in demand for COVID-19 vaccination generally, including for our vaccine, as the virus becomes endemic and as a growing proportion of the population becomes vaccinated. We expect that future revenues from sales of our COVID-19 vaccine will decrease as demand for vaccination wanes. Such revenues will depend on numerous factors, including:</w:t>
      </w:r>
    </w:p>
    <w:p>
      <w:pPr>
        <w:spacing w:after="0" w:line="73" w:lineRule="exact"/>
        <w:rPr>
          <w:sz w:val="20"/>
          <w:szCs w:val="20"/>
          <w:color w:val="auto"/>
        </w:rPr>
      </w:pPr>
    </w:p>
    <w:p>
      <w:pPr>
        <w:ind w:left="720" w:hanging="234"/>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a COVID-19 vaccine, including any booster shot, continues to be necessary as COVID-19 becomes an endemic virus;</w:t>
      </w:r>
    </w:p>
    <w:p>
      <w:pPr>
        <w:spacing w:after="0" w:line="92" w:lineRule="exact"/>
        <w:rPr>
          <w:rFonts w:ascii="Times New Roman" w:cs="Times New Roman" w:eastAsia="Times New Roman" w:hAnsi="Times New Roman"/>
          <w:sz w:val="16"/>
          <w:szCs w:val="16"/>
          <w:color w:val="auto"/>
        </w:rPr>
      </w:pPr>
    </w:p>
    <w:p>
      <w:pPr>
        <w:jc w:val="both"/>
        <w:ind w:left="720" w:hanging="234"/>
        <w:spacing w:after="0" w:line="247" w:lineRule="auto"/>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other COVID-19 vaccines, including those with different mechanisms of action and different manufacturing and distribution constraints, on the basis of, among other things, efficacy, cost, convenience of storage and distribution, breadth of approved use, side-effect profile and durability of immune response;</w:t>
      </w:r>
    </w:p>
    <w:p>
      <w:pPr>
        <w:spacing w:after="0" w:line="6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and timely develop effective vaccines targeting new variants and mutations of COVID-19;</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receive full regulatory approvals where we currently have emergency use authorizations or equivalents;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geographic customer base;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 w:name="page12"/>
    <w:bookmarkEnd w:id="1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line="259" w:lineRule="auto"/>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pricing and reimbursement negotiations with governmental authorities, private health insurers and other third-party payors after our initial sales to national governments, including the transition towards ordinary-course insurance coverage in the public and private sectors;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countries and jurisdictions to store and distribute doses of our COVID-19 vaccine to end users at cold temperatures;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profile of our COVID-19 vaccine, including if previously unknown undesirable effects or increased incidence or severity of known undesirable effects are identified with our COVID-19 vaccine;</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litigation involving our COVID-19 vaccine and COVID-19 vaccines in general;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manufacturing and distribution capabilities for our COVID-19 vaccine.</w:t>
      </w:r>
    </w:p>
    <w:p>
      <w:pPr>
        <w:spacing w:after="0" w:line="9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cannot accurately predict the revenues our COVID- 19 vaccine will generate in future periods or for how long our COVID -19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69"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reported commercial revenue is based on preliminary estimates of COVID-19 vaccine sales and costs from Pfizer that are likely to change in future periods, which may impact our reported financial results.</w:t>
      </w:r>
    </w:p>
    <w:p>
      <w:pPr>
        <w:spacing w:after="0" w:line="55"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Our reported commercial revenue is based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73"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depend on Pfizer to determine and provide estimates of the costs and profits to be shared with us in the countries where it is commercializing our COVID -19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73"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169"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be unsuccessful in adapting our COVID- 19 vaccine or developing future versions of our COVID- 19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 w:name="page13"/>
    <w:bookmarkEnd w:id="1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The COVID-19 disease itself is unpredictable and each variant comes with varying levels of transmissibility and severity. Consequently, the burden of the disease may wane or dissipate such that our and other COVID-19 vaccines may be less essential from individual and public health perspectives.</w:t>
      </w:r>
    </w:p>
    <w:p>
      <w:pPr>
        <w:spacing w:after="0" w:line="59"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Our COVID-19 vaccine was initially developed based upon the genetic sequence of the original SARS -CoV-2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While we continue to monitor emerging SARS -CoV-2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 CoV-2 virus could lead to significant reputational harm and adversely affect our financial results.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172"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68"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Our COVID-19 vaccine and any other product candidates for which we receive approval or emergency use authorization are subject to continuing regulatory oversight, including the review of additional safety information. Billions of doses of our COVID-19 vaccination have now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 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75"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60" w:lineRule="exact"/>
        <w:rPr>
          <w:sz w:val="20"/>
          <w:szCs w:val="20"/>
          <w:color w:val="auto"/>
        </w:rPr>
      </w:pPr>
    </w:p>
    <w:p>
      <w:pPr>
        <w:jc w:val="both"/>
        <w:ind w:right="4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continuing regulatory requirements by us or our collaboration partners could adversely impact regulatory approvals for our products, result in product recalls or suspensions, subject us to fines and/or other types of liabilities.</w:t>
      </w:r>
    </w:p>
    <w:p>
      <w:pPr>
        <w:spacing w:after="0" w:line="55"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If we or our collaborators fail to comply with applicable continuing regulatory requirements, including good industry practices, such as good manufacturing practices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 w:name="page14"/>
    <w:bookmarkEnd w:id="1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to use the facility to make our product or a determination that inventories are not safe for commercial sale. Any of these factors could adversely affect our business prospects and our financial position could be materially harmed.</w:t>
      </w:r>
    </w:p>
    <w:p>
      <w:pPr>
        <w:spacing w:after="0" w:line="151"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72"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77"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 -cutting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76"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Moreover, increasing efforts by governmental and third- 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the U.S. Department of Health and Human Services, or HHS, to negotiate the price of certain drugs and biologics that CMS reimburses under Medicare Part B and Part D. The IRA’s negotiation program will apply to high- 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 w:name="page15"/>
    <w:bookmarkEnd w:id="1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fail to comply with the IRA may be subject to various penalties, including civil monetary penalties. These IRA provisions will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w:t>
      </w:r>
    </w:p>
    <w:p>
      <w:pPr>
        <w:spacing w:after="0" w:line="7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63" w:lineRule="exact"/>
        <w:rPr>
          <w:sz w:val="20"/>
          <w:szCs w:val="20"/>
          <w:color w:val="auto"/>
        </w:rPr>
      </w:pPr>
    </w:p>
    <w:p>
      <w:pPr>
        <w:jc w:val="both"/>
        <w:ind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Government policies, including relating to manufacturing or export controls, and negative public perception regarding vaccines and mRNA-based therapeutics could severely and adversely impact the manufacturing and sales of our COVID-19 vaccine and other product candidates we may develop, if approved.</w:t>
      </w:r>
    </w:p>
    <w:p>
      <w:pPr>
        <w:spacing w:after="0" w:line="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Furthermore, public sentiment regarding commercialization of vaccines, the safety and efficacy of our COVID -19 vaccine, other COVID-19 vaccines and treatments, and other public perceptions and misinformation relating to COVID-19, mRNA technology, and our and other COVID- 19 vaccines may limit our ability to generate income from sales of our COVID-19 vaccine and other product candidates we may develop and sell, and cause reputational damage.</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with other makers of COVID-19 vaccines and may be unable to maintain a competitive market share for our COVID-19 vaccine.</w:t>
      </w:r>
    </w:p>
    <w:p>
      <w:pPr>
        <w:spacing w:after="0" w:line="5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color w:val="auto"/>
        </w:rPr>
        <w:t>A large number of vaccine manufacturers, academic institutions and other organizations currently have programs to develop COVID- 19 vaccine candidates and more than thirty other vaccines have been authorized for emergency use or approved in various countries, including vaccines developed by Moderna, Inc., Johnson &amp; Johnson and University of Oxford/AstraZeneca plc.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4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efforts to continue successful commercialization of our COVID-19 vaccine may fail if competitors develop and commercialize COVID-19 vaccines that are safer, more effective, produce longer immunity against COVID- 19,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demonstrate sufficient efficacy or safety of our COVID-19 vaccine to obtain permanent regulatory approval in jurisdictions where it has been authorized for emergency use or granted conditional marketing approval.</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COVID-19 vaccine has been granted full U.S. FDA approval for individuals 12 years and older, emergency or limited use authorization in a number of countries and in the United States for individuals 6 months to 12 years of age and approval for use in certain other countries. Our COVID-19 vaccine has not yet received full approval by regulatory authorities in certain countries where it has been authorized for emergency or temporary use. We and Pfizer intend to continue to observe our COVID-19 vaccine, including vaccine candidates that we may develop for other variants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COVID -19,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COVID-19 vaccine will arise from the widespread use of our COVID-19 vaccine outside of clinical trials. Our COVID -19 vaccine may not receive approval outside of the emergency use setting in the countries where it is not currently approved, which could adversely affect our business prospects.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COVID-19 vaccine is sensitive to temperature, shipping and storage conditions and could be subject to risk of loss or damage.</w:t>
      </w:r>
    </w:p>
    <w:p>
      <w:pPr>
        <w:spacing w:after="0" w:line="9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Our COVID- 19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COVID- 19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166"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68"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68" w:lineRule="exact"/>
        <w:rPr>
          <w:sz w:val="20"/>
          <w:szCs w:val="20"/>
          <w:color w:val="auto"/>
        </w:rPr>
      </w:pPr>
    </w:p>
    <w:p>
      <w:pPr>
        <w:ind w:left="720" w:hanging="234"/>
        <w:spacing w:after="0"/>
        <w:tabs>
          <w:tab w:leader="none" w:pos="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technical and human resources than we have at every stage of the discovery, development, manufacture and commercialization of products;</w:t>
      </w:r>
    </w:p>
    <w:p>
      <w:pPr>
        <w:spacing w:after="0" w:line="103" w:lineRule="exact"/>
        <w:rPr>
          <w:rFonts w:ascii="Times New Roman" w:cs="Times New Roman" w:eastAsia="Times New Roman" w:hAnsi="Times New Roman"/>
          <w:sz w:val="14"/>
          <w:szCs w:val="14"/>
          <w:color w:val="auto"/>
        </w:rPr>
      </w:pPr>
    </w:p>
    <w:p>
      <w:pPr>
        <w:ind w:left="720" w:right="20" w:hanging="234"/>
        <w:spacing w:after="0" w:line="244" w:lineRule="auto"/>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extensive experience in preclinical testing, conducting clinical trials, obtaining regulatory approvals and manufacturing, marketing and selling drug products;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that are based on previously tested or accepted technologies;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products that have been approved or are in late stages of development;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collaborative arrangements in our target markets with leading companies and research institutions.</w:t>
      </w:r>
    </w:p>
    <w:p>
      <w:pPr>
        <w:spacing w:after="0" w:line="80"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anticipate competing with the largest pharmaceutical companies in the world, many of which are currently conducting research in the fields of infectious diseases, immuno -oncology,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we successfully develop other product candidates, and obtain approval for them, we will face competition based on many different factors, including: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 w:name="page17"/>
    <w:bookmarkEnd w:id="1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and effectiveness of our products relative to alternative therapies, if any;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ease with which our products can be administered and the extent to which patients accept relatively new routes of administration;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scope of regulatory approvals for these products;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cost of manufacturing, marketing and sales capabilities;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any approved immunotherapy;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coverage;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position.</w:t>
      </w:r>
    </w:p>
    <w:p>
      <w:pPr>
        <w:spacing w:after="0" w:line="8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Following our acquisition of InstaDeep Ltd., we also face competition in the rapidly growing and developing artificial intelligence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69"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68"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4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165"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55"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We have only relatively recently developed our sales, distribution or marketing capabilities in Germany and Türkiye, and, other than for our COVID -19 vaccine, we have not historically designed our preclinical studies and clinical trials with specific commercialization or marketing considerations in mind. In addition, with respect to our COVID -19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 w:name="page18"/>
    <w:bookmarkEnd w:id="1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68"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68" w:lineRule="exact"/>
        <w:rPr>
          <w:sz w:val="20"/>
          <w:szCs w:val="20"/>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on a country-by-country basis, the applicable marketing authorization from the competent regulatory authority;</w:t>
      </w:r>
    </w:p>
    <w:p>
      <w:pPr>
        <w:spacing w:after="0" w:line="80"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burden of complying with complex and changing regulatory, tax, accounting, labor and other legal requirements in each jurisdiction that we or our collaborators pursue;</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protection for intellectual property rights;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medical practices and customs affecting acceptance in the marketplace;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or export licensing requirements;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controls, trade restrictions or changes in tariffs;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particularly in non-U.S. economies and markets;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accounts receivable collection times;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lead times for shipping;</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language barriers;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epidemics, pandemics and other public health developments, such as COVID-19, on employees and the global economy;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pricing and insurance regimes;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interpretation of contractual provisions governed by local laws in the event of a contract dispute.</w:t>
      </w:r>
    </w:p>
    <w:p>
      <w:pPr>
        <w:spacing w:after="0" w:line="8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59"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Any product that we bring to the market may not gain market acceptance by physicians, trial participants, third-party payors, and others in the medical community. Additionally, ethical, social and legal concerns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73" w:lineRule="exact"/>
        <w:rPr>
          <w:sz w:val="20"/>
          <w:szCs w:val="20"/>
          <w:color w:val="auto"/>
        </w:rPr>
      </w:pPr>
    </w:p>
    <w:p>
      <w:pPr>
        <w:ind w:left="720" w:hanging="234"/>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efficacy and potential advantages over alternative treatments;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offer our products, if approved, at competitive prices;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undesirable effects, including any limitations or warnings contained in a product’s approved labeling;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8" w:name="page19"/>
    <w:bookmarkEnd w:id="1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hanging="234"/>
        <w:spacing w:after="0" w:line="259" w:lineRule="auto"/>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undesirable effects resulting from checkpoint inhibitors or other drugs or therapies with which our products are administered;</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convenience and ease of transportation, storage and administration;</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if approved, together with other medications;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such as mRNA vaccines and therapies, and of physicians to prescribe these therapies;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 and timing of market introduction of competitive products;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concerning our products or competing products and treatments; and</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sufficient third-party insurance coverage or reimbursement, and patients’ willingness to pay out-of-pocket in the absence of third-party coverage or adequate reimbursement.</w:t>
      </w:r>
    </w:p>
    <w:p>
      <w:pPr>
        <w:spacing w:after="0" w:line="59"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good manufacturing practices, or GMP, and current good clinical practices, or GCP, for any clinical trials that we or a collaborator conduct post-approval. In addition, there is always the risk that we or a collaborator or regulatory authority might identify previously unknown problems with a product post- 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69"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55"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4"/>
          <w:szCs w:val="14"/>
          <w:color w:val="auto"/>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4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Patients who are provided medical treatment for their conditions generally rely on third -party payors to reimburse all or part of the costs associated with their treatment. Obtaining coverage and adequate reimbursement from third-party payors is critical to new product acceptance.</w:t>
      </w:r>
    </w:p>
    <w:p>
      <w:pPr>
        <w:spacing w:after="0" w:line="59"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Third- 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9" w:lineRule="exact"/>
        <w:rPr>
          <w:sz w:val="20"/>
          <w:szCs w:val="20"/>
          <w:color w:val="auto"/>
        </w:rPr>
      </w:pPr>
    </w:p>
    <w:p>
      <w:pPr>
        <w:ind w:left="720" w:hanging="23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benefit under its health plan;</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effective and medically necessary;</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for the specific patient;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experimental nor investigational.</w:t>
      </w:r>
    </w:p>
    <w:p>
      <w:pPr>
        <w:spacing w:after="0" w:line="9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Obtaining coverage and reimbursement of a product from a government or other third -party payor is a time- consuming and costly process that could require us to provide to the payor supporting scientific, clinical and cost-effectiveness data for the use of our products. Third- party payors could require us to conduct additional studies, including post-marketing studies related to the cost effectiveness of a product, to qualify for reimbursement, which could be costly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 w:name="page20"/>
    <w:bookmarkEnd w:id="1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 -party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the United States, no uniform policy of coverage and reimbursement for products exists among third- 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71" w:lineRule="exact"/>
        <w:rPr>
          <w:sz w:val="20"/>
          <w:szCs w:val="20"/>
          <w:color w:val="auto"/>
        </w:rPr>
      </w:pPr>
    </w:p>
    <w:p>
      <w:pPr>
        <w:jc w:val="both"/>
        <w:ind w:right="20" w:firstLine="384"/>
        <w:spacing w:after="0" w:line="278" w:lineRule="auto"/>
        <w:rPr>
          <w:sz w:val="20"/>
          <w:szCs w:val="20"/>
          <w:color w:val="auto"/>
        </w:rPr>
      </w:pPr>
      <w:r>
        <w:rPr>
          <w:rFonts w:ascii="Times New Roman" w:cs="Times New Roman" w:eastAsia="Times New Roman" w:hAnsi="Times New Roman"/>
          <w:sz w:val="14"/>
          <w:szCs w:val="14"/>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5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3"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77"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In August 2022, the U.S. Inflation Reduction Act, or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We cannot be sure whether additional legislative changes will be enacted, or the effect of forthcoming guidance implementing the IRA, or what the impact of such changes on our products and product candidates may be.</w:t>
      </w:r>
    </w:p>
    <w:p>
      <w:pPr>
        <w:spacing w:after="0" w:line="4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71"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expect that additional healthcare reform measures or proposals will be adopted in the future, any of which could limit the amounts that governments will pay for healthcare products and services,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63"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Drug marketing and reimbursement regulations in the European Union and elsewhere may materially affect our ability to market and receive coverage for our products in the member states of the European Union and elsewhere.</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74" w:lineRule="exact"/>
        <w:rPr>
          <w:sz w:val="20"/>
          <w:szCs w:val="20"/>
          <w:color w:val="auto"/>
        </w:rPr>
      </w:pPr>
    </w:p>
    <w:p>
      <w:pPr>
        <w:jc w:val="both"/>
        <w:ind w:firstLine="384"/>
        <w:spacing w:after="0" w:line="274" w:lineRule="auto"/>
        <w:rPr>
          <w:sz w:val="20"/>
          <w:szCs w:val="20"/>
          <w:color w:val="auto"/>
        </w:rPr>
      </w:pPr>
      <w:r>
        <w:rPr>
          <w:rFonts w:ascii="Times New Roman" w:cs="Times New Roman" w:eastAsia="Times New Roman" w:hAnsi="Times New Roman"/>
          <w:sz w:val="14"/>
          <w:szCs w:val="14"/>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 -effectiveness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 -party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 w:name="page22"/>
    <w:bookmarkEnd w:id="2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right="2220"/>
        <w:spacing w:after="0" w:line="353" w:lineRule="auto"/>
        <w:rPr>
          <w:sz w:val="20"/>
          <w:szCs w:val="20"/>
          <w:color w:val="auto"/>
        </w:rPr>
      </w:pPr>
      <w:r>
        <w:rPr>
          <w:rFonts w:ascii="Times New Roman" w:cs="Times New Roman" w:eastAsia="Times New Roman" w:hAnsi="Times New Roman"/>
          <w:sz w:val="16"/>
          <w:szCs w:val="16"/>
          <w:b w:val="1"/>
          <w:bCs w:val="1"/>
          <w:color w:val="auto"/>
        </w:rPr>
        <w:t xml:space="preserve">Risks Related to our Financial Condition and Capital Requirements </w:t>
      </w:r>
      <w:r>
        <w:rPr>
          <w:rFonts w:ascii="Times New Roman" w:cs="Times New Roman" w:eastAsia="Times New Roman" w:hAnsi="Times New Roman"/>
          <w:sz w:val="16"/>
          <w:szCs w:val="16"/>
          <w:b w:val="1"/>
          <w:bCs w:val="1"/>
          <w:i w:val="1"/>
          <w:iCs w:val="1"/>
          <w:color w:val="auto"/>
        </w:rPr>
        <w:t>Long-term sustainable profitability is difficult to achieve and maintain over time and is highly dependent on various factors.</w:t>
      </w:r>
    </w:p>
    <w:p>
      <w:pPr>
        <w:spacing w:after="0" w:line="1"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Our ability to continue to generate revenue and achieve and maintain long-term sustainable profitability depends on our ability, alone or with collaborators, to successfully complete the development of, and obtain the regulatory approvals necessary to commercialize, our product candidates. Although we generate revenue from sales of our COVID-19 vaccine and additional limited revenue from other transactions, we expect that future revenues from sales of our COVID-19 vaccine will decrease as demand for vaccination wanes.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93" w:lineRule="exact"/>
        <w:rPr>
          <w:sz w:val="20"/>
          <w:szCs w:val="20"/>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completing research and preclinical and clinical development of our product candidates;</w:t>
      </w:r>
    </w:p>
    <w:p>
      <w:pPr>
        <w:spacing w:after="0" w:line="105"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seeking and obtaining U.S. and non-U.S. marketing approvals for product candidates for which we complete clinical trials;</w:t>
      </w:r>
    </w:p>
    <w:p>
      <w:pPr>
        <w:spacing w:after="0" w:line="105"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seeking and obtaining market access and favorable pricing terms in the United States, the European Union, and other key geographies;</w:t>
      </w:r>
    </w:p>
    <w:p>
      <w:pPr>
        <w:spacing w:after="0" w:line="121" w:lineRule="exact"/>
        <w:rPr>
          <w:rFonts w:ascii="Arial" w:cs="Arial" w:eastAsia="Arial" w:hAnsi="Arial"/>
          <w:sz w:val="19"/>
          <w:szCs w:val="19"/>
          <w:color w:val="auto"/>
        </w:rPr>
      </w:pPr>
    </w:p>
    <w:p>
      <w:pPr>
        <w:ind w:left="580" w:right="20" w:hanging="286"/>
        <w:spacing w:after="0" w:line="261" w:lineRule="auto"/>
        <w:tabs>
          <w:tab w:leader="none" w:pos="58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5"/>
          <w:szCs w:val="15"/>
          <w:color w:val="auto"/>
        </w:rPr>
        <w:t>furthering the development of our own manufacturing capabilities and manufacturing relationships with third parties in order to provide adequate (in amount and quality) products and services to support clinical development and the market demand for our approved products and product candidates, if approved;</w:t>
      </w:r>
    </w:p>
    <w:p>
      <w:pPr>
        <w:spacing w:after="0" w:line="76" w:lineRule="exact"/>
        <w:rPr>
          <w:rFonts w:ascii="Arial" w:cs="Arial" w:eastAsia="Arial" w:hAnsi="Arial"/>
          <w:sz w:val="18"/>
          <w:szCs w:val="18"/>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obtaining market acceptance of our approved products and product candidates as a treatment option;</w:t>
      </w:r>
    </w:p>
    <w:p>
      <w:pPr>
        <w:spacing w:after="0" w:line="121" w:lineRule="exact"/>
        <w:rPr>
          <w:rFonts w:ascii="Arial" w:cs="Arial" w:eastAsia="Arial" w:hAnsi="Arial"/>
          <w:sz w:val="19"/>
          <w:szCs w:val="19"/>
          <w:color w:val="auto"/>
        </w:rPr>
      </w:pPr>
    </w:p>
    <w:p>
      <w:pPr>
        <w:ind w:left="580" w:right="20" w:hanging="286"/>
        <w:spacing w:after="0" w:line="235" w:lineRule="auto"/>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launching and commercializing products for which we obtain marketing approval and reimbursement, either through collaborations or, if launched independently, by establishing a sales force, marketing and distribution infrastructure;</w:t>
      </w:r>
    </w:p>
    <w:p>
      <w:pPr>
        <w:spacing w:after="0" w:line="94"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addressing any competing technological and market developments, in particular, declining demand for any of our approved products;</w:t>
      </w:r>
    </w:p>
    <w:p>
      <w:pPr>
        <w:spacing w:after="0" w:line="105"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implementing additional internal systems and infrastructure;</w:t>
      </w:r>
    </w:p>
    <w:p>
      <w:pPr>
        <w:spacing w:after="0" w:line="105"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w:t>
      </w:r>
    </w:p>
    <w:p>
      <w:pPr>
        <w:spacing w:after="0" w:line="85" w:lineRule="exact"/>
        <w:rPr>
          <w:rFonts w:ascii="Arial" w:cs="Arial" w:eastAsia="Arial" w:hAnsi="Arial"/>
          <w:sz w:val="19"/>
          <w:szCs w:val="19"/>
          <w:color w:val="auto"/>
        </w:rPr>
      </w:pPr>
    </w:p>
    <w:p>
      <w:pPr>
        <w:ind w:left="580" w:hanging="286"/>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expenses;</w:t>
      </w:r>
    </w:p>
    <w:p>
      <w:pPr>
        <w:spacing w:after="0" w:line="12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5"/>
          <w:szCs w:val="15"/>
          <w:color w:val="auto"/>
        </w:rPr>
        <w:t>maintaining, defending, protecting, enforcing and expanding our portfolio of intellectual property rights, including patents, trade secrets and know-how; and</w:t>
      </w:r>
    </w:p>
    <w:p>
      <w:pPr>
        <w:spacing w:after="0" w:line="105" w:lineRule="exact"/>
        <w:rPr>
          <w:rFonts w:ascii="Arial" w:cs="Arial" w:eastAsia="Arial" w:hAnsi="Arial"/>
          <w:sz w:val="18"/>
          <w:szCs w:val="18"/>
          <w:color w:val="auto"/>
        </w:rPr>
      </w:pPr>
    </w:p>
    <w:p>
      <w:pPr>
        <w:ind w:left="580" w:hanging="286"/>
        <w:spacing w:after="0"/>
        <w:tabs>
          <w:tab w:leader="none" w:pos="58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6"/>
          <w:szCs w:val="16"/>
          <w:color w:val="auto"/>
        </w:rPr>
        <w:t>attracting, hiring and retaining qualified personnel.</w:t>
      </w:r>
    </w:p>
    <w:p>
      <w:pPr>
        <w:spacing w:after="0" w:line="8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63"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operating results may fluctuate significantly, which makes our future operating results difficult to predict. If our operating results fall below expectations, the price of the ADSs representing our ordinary shares could decline.</w:t>
      </w:r>
    </w:p>
    <w:p>
      <w:pPr>
        <w:spacing w:after="0" w:line="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financial condition and operating results have varied in the past and will continue to fluctuate from one financial period to the next due to a variety of factors, many of which are beyond our control.</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Factors relating to our business that may contribute to these fluctuations include the following, as well as other factors described elsewhere in this report:</w:t>
      </w:r>
    </w:p>
    <w:p>
      <w:pPr>
        <w:spacing w:after="0" w:line="92" w:lineRule="exact"/>
        <w:rPr>
          <w:sz w:val="20"/>
          <w:szCs w:val="20"/>
          <w:color w:val="auto"/>
        </w:rPr>
      </w:pPr>
    </w:p>
    <w:p>
      <w:pPr>
        <w:ind w:left="580" w:hanging="286"/>
        <w:spacing w:after="0"/>
        <w:tabs>
          <w:tab w:leader="none" w:pos="580" w:val="left"/>
        </w:tabs>
        <w:numPr>
          <w:ilvl w:val="0"/>
          <w:numId w:val="20"/>
        </w:numPr>
        <w:rPr>
          <w:rFonts w:ascii="Arial" w:cs="Arial" w:eastAsia="Arial" w:hAnsi="Arial"/>
          <w:sz w:val="16"/>
          <w:szCs w:val="16"/>
          <w:color w:val="auto"/>
        </w:rPr>
      </w:pPr>
      <w:r>
        <w:rPr>
          <w:rFonts w:ascii="Times New Roman" w:cs="Times New Roman" w:eastAsia="Times New Roman" w:hAnsi="Times New Roman"/>
          <w:sz w:val="16"/>
          <w:szCs w:val="16"/>
          <w:color w:val="auto"/>
        </w:rPr>
        <w:t>the size and timing of orders for our COVID-19 vaccine;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 w:name="page23"/>
    <w:bookmarkEnd w:id="2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delays or failures in advancement of existing or future product candidates into the clinic or in clinical trials;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the occurrence of adverse events during our clinical trials or post marketing authorization;</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develop and manufacture our product candidates and commercialize and manufacture our COVID-19 vaccine at commercial scale;</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manage our growth and spending;</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execute our corporate objectives;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the outcomes of research programs, clinical trials, or other product development or approval processes conducted by us and our collaborators;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the ability of our collaborators to develop and successfully commercialize products developed from our suite of therapeutic classes;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relationships, and any associated exclusivity terms, with collaborators;</w:t>
      </w:r>
    </w:p>
    <w:p>
      <w:pPr>
        <w:spacing w:after="0" w:line="91" w:lineRule="exact"/>
        <w:rPr>
          <w:rFonts w:ascii="Arial" w:cs="Arial" w:eastAsia="Arial" w:hAnsi="Arial"/>
          <w:sz w:val="16"/>
          <w:szCs w:val="16"/>
          <w:color w:val="auto"/>
        </w:rPr>
      </w:pPr>
    </w:p>
    <w:p>
      <w:pPr>
        <w:ind w:left="58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contractual or other obligations to provide resources to fund our product candidates, and to provide resources to our collaborators or to the collaborations themselves, including take-or-pay or similar obligations;</w:t>
      </w:r>
    </w:p>
    <w:p>
      <w:pPr>
        <w:spacing w:after="0" w:line="59"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the extent to which we repurchase outstanding ADSs under any share repurchase plans we may enter in the future;</w:t>
      </w:r>
    </w:p>
    <w:p>
      <w:pPr>
        <w:spacing w:after="0" w:line="91"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risks associated with the international aspects of our business outside Germany, including the conduct of clinical trials in multiple locations and potential commercialization in such locations;</w:t>
      </w:r>
    </w:p>
    <w:p>
      <w:pPr>
        <w:spacing w:after="0" w:line="59"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minimize and manage product recalls or inventory losses caused by unforeseen events, cold chain interruption</w:t>
      </w:r>
      <w:r>
        <w:rPr>
          <w:rFonts w:ascii="Times New Roman" w:cs="Times New Roman" w:eastAsia="Times New Roman" w:hAnsi="Times New Roman"/>
          <w:sz w:val="16"/>
          <w:szCs w:val="16"/>
          <w:color w:val="008080"/>
        </w:rPr>
        <w:t>,</w:t>
      </w:r>
      <w:r>
        <w:rPr>
          <w:rFonts w:ascii="Times New Roman" w:cs="Times New Roman" w:eastAsia="Times New Roman" w:hAnsi="Times New Roman"/>
          <w:sz w:val="16"/>
          <w:szCs w:val="16"/>
          <w:color w:val="auto"/>
        </w:rPr>
        <w:t xml:space="preserve"> testing difficulties or decreased demand, and our ability to write down certain inventory;</w:t>
      </w:r>
    </w:p>
    <w:p>
      <w:pPr>
        <w:spacing w:after="0" w:line="59"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report our financial results accurately and in a timely manner;</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dependence on, and the need to attract and retain, key management and other personnel;</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obtain, protect, maintain, defend and enforce our intellectual property rights;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prevent the theft or infringement, misappropriation or other violation of our intellectual property, trade secrets, know-how or technologies;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and our collaborators’ ability to defend against claims of infringement of the intellectual property rights of third parties;</w:t>
      </w:r>
    </w:p>
    <w:p>
      <w:pPr>
        <w:spacing w:after="0" w:line="91"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potential advantages that our competitors and potential competitors may have in securing funding, obtaining the rights to critical intellectual property or developing competing technologies or products;</w:t>
      </w:r>
    </w:p>
    <w:p>
      <w:pPr>
        <w:spacing w:after="0" w:line="59"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obtain additional capital that may be necessary to expand our business;</w:t>
      </w:r>
    </w:p>
    <w:p>
      <w:pPr>
        <w:spacing w:after="0" w:line="91"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collaborators’ ability to obtain and devote additional capital that may be necessary to develop and commercialize products under our collaboration agreements, including our COVID-19 vaccine;</w:t>
      </w:r>
    </w:p>
    <w:p>
      <w:pPr>
        <w:spacing w:after="0" w:line="59"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our ability to minimize and manage product liability claims arising from the use of our COVID-19 vaccine and our product candidates and other future products, if approved;</w:t>
      </w:r>
    </w:p>
    <w:p>
      <w:pPr>
        <w:spacing w:after="0" w:line="59"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business interruptions such as power outages, strikes, acts of terrorism or natural disasters;</w:t>
      </w:r>
    </w:p>
    <w:p>
      <w:pPr>
        <w:spacing w:after="0" w:line="9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our net operating loss carryforwards to offset future taxable income;</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counterparty defaults within our asset management portfolio; and</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or unpredictable pricing for the commodities we rely on, including as a result of inflation.</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Each of the factors listed above may be affected by the changing impact of COVID-19 on the global community and the global economy.</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in the past and we may incur significant losses in the future.</w:t>
      </w:r>
    </w:p>
    <w:p>
      <w:pPr>
        <w:spacing w:after="0" w:line="96"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Prior to the first full year of commercialization of our COVID -19 vaccine, we incurred significant losses and negative cash flows from operations due to our significant research and development expenses and our investment in our manufacturing capabilities, and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71"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We have experienced, and we expect to continue to experience, increasing reductions in demand for COVID-19 vaccination generally, including for our vaccine. We expect that future revenues from sales of our COVID- 19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4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68"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59" w:lineRule="exact"/>
        <w:rPr>
          <w:sz w:val="20"/>
          <w:szCs w:val="20"/>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or expand our research or development of our programs in preclinical development;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or expand the scope of our clinical trials for our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additional preclinical, clinical, or other trials for our product candidates, including under our collaboration agreements;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invest in our immunotherapy platforms to conduct research to identify novel technologies;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increase our manufacturing capacity or capability;</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add additional suppliers;</w:t>
      </w:r>
    </w:p>
    <w:p>
      <w:pPr>
        <w:spacing w:after="0" w:line="92" w:lineRule="exact"/>
        <w:rPr>
          <w:rFonts w:ascii="Times New Roman" w:cs="Times New Roman" w:eastAsia="Times New Roman" w:hAnsi="Times New Roman"/>
          <w:sz w:val="16"/>
          <w:szCs w:val="16"/>
          <w:color w:val="auto"/>
        </w:rPr>
      </w:pPr>
    </w:p>
    <w:p>
      <w:pPr>
        <w:ind w:left="720" w:right="40" w:hanging="234"/>
        <w:spacing w:after="0" w:line="259" w:lineRule="auto"/>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skilled personnel;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marketing approvals and reimbursement for our product candidates;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our sales, marketing, and distribution infrastructure for our COVID-19 vaccine and any other products for which we may obtain marketing approval or emergency use authorization;</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identify and validate additional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other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4" w:name="page25"/>
    <w:bookmarkEnd w:id="2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other companies;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or other payments under any in-license agreements;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protect, defend, enforce and expand our intellectual property portfolio;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any delays or encounter issues with any of the above.</w:t>
      </w:r>
    </w:p>
    <w:p>
      <w:pPr>
        <w:spacing w:after="0" w:line="184"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7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In Germany, we have unused German tax loss carryforwards for corporate taxes for German group entities with pre tax group losses, though we have not recognized deferred tax assets </w:t>
      </w:r>
      <w:r>
        <w:rPr>
          <w:rFonts w:ascii="Times New Roman" w:cs="Times New Roman" w:eastAsia="Times New Roman" w:hAnsi="Times New Roman"/>
          <w:sz w:val="16"/>
          <w:szCs w:val="16"/>
          <w:color w:val="000000"/>
        </w:rPr>
        <w:t>related to</w:t>
      </w:r>
      <w:r>
        <w:rPr>
          <w:rFonts w:ascii="Times New Roman" w:cs="Times New Roman" w:eastAsia="Times New Roman" w:hAnsi="Times New Roman"/>
          <w:sz w:val="16"/>
          <w:szCs w:val="16"/>
          <w:color w:val="231F20"/>
        </w:rPr>
        <w:t xml:space="preserve"> such loss </w:t>
      </w:r>
      <w:r>
        <w:rPr>
          <w:rFonts w:ascii="Times New Roman" w:cs="Times New Roman" w:eastAsia="Times New Roman" w:hAnsi="Times New Roman"/>
          <w:sz w:val="16"/>
          <w:szCs w:val="16"/>
          <w:color w:val="000000"/>
        </w:rPr>
        <w:t>carryforwards</w:t>
      </w:r>
      <w:r>
        <w:rPr>
          <w:rFonts w:ascii="Times New Roman" w:cs="Times New Roman" w:eastAsia="Times New Roman" w:hAnsi="Times New Roman"/>
          <w:sz w:val="16"/>
          <w:szCs w:val="16"/>
          <w:color w:val="231F20"/>
        </w:rPr>
        <w:t xml:space="preserve"> for International Financial Reporting Standards, or IFRS, reporting purposes as of</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73" w:lineRule="exact"/>
        <w:rPr>
          <w:sz w:val="20"/>
          <w:szCs w:val="20"/>
          <w:color w:val="auto"/>
        </w:rPr>
      </w:pPr>
    </w:p>
    <w:p>
      <w:pPr>
        <w:jc w:val="both"/>
        <w:ind w:right="20" w:firstLine="576"/>
        <w:spacing w:after="0" w:line="331" w:lineRule="auto"/>
        <w:rPr>
          <w:sz w:val="20"/>
          <w:szCs w:val="20"/>
          <w:color w:val="auto"/>
        </w:rPr>
      </w:pPr>
      <w:r>
        <w:rPr>
          <w:rFonts w:ascii="Times New Roman" w:cs="Times New Roman" w:eastAsia="Times New Roman" w:hAnsi="Times New Roman"/>
          <w:sz w:val="14"/>
          <w:szCs w:val="14"/>
          <w:color w:val="231F20"/>
        </w:rPr>
        <w:t>For the German tax group we incurred tax losses up to and including December 31, 2020. Even though we recognized deferred tax assets on a majority of German tax loss carry forwards in 2020 which were fully utilized in 2021, t</w:t>
      </w:r>
      <w:r>
        <w:rPr>
          <w:rFonts w:ascii="Times New Roman" w:cs="Times New Roman" w:eastAsia="Times New Roman" w:hAnsi="Times New Roman"/>
          <w:sz w:val="14"/>
          <w:szCs w:val="14"/>
          <w:color w:val="000000"/>
        </w:rPr>
        <w:t>hey</w:t>
      </w:r>
      <w:r>
        <w:rPr>
          <w:rFonts w:ascii="Times New Roman" w:cs="Times New Roman" w:eastAsia="Times New Roman" w:hAnsi="Times New Roman"/>
          <w:sz w:val="14"/>
          <w:szCs w:val="14"/>
          <w:color w:val="231F20"/>
        </w:rPr>
        <w:t xml:space="preserve"> are, however, subject to review and possible adjustment by the German tax authorities.</w:t>
      </w:r>
    </w:p>
    <w:p>
      <w:pPr>
        <w:spacing w:after="0" w:line="12"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231F20"/>
        </w:rPr>
        <w:t>In addition, we have U.S. federal and state NOL carryforwards due to our subsidiaries in the United States, which may be subject to limitations on use after an ownership change.</w:t>
      </w:r>
    </w:p>
    <w:p>
      <w:pPr>
        <w:spacing w:after="0" w:line="5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Furthermore, our ability to use our NOLs or credits is conditioned upon our attaining profitability and generating taxable income. Taxable income exceeding NOLs will be subject to taxation resulting tax liabilities. As described above, we incurred significant net losses in every year since our inception other than 2018, 2021, 2022 and 2023 and anticipate that in the future, we may incur significant losses for some of the group entities. Our ability </w:t>
      </w:r>
      <w:r>
        <w:rPr>
          <w:rFonts w:ascii="Times New Roman" w:cs="Times New Roman" w:eastAsia="Times New Roman" w:hAnsi="Times New Roman"/>
          <w:sz w:val="16"/>
          <w:szCs w:val="16"/>
          <w:color w:val="231F20"/>
        </w:rPr>
        <w:t>to utilize our NOL or credit carryforwards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the United States and for some other group entities is uncertain.</w:t>
      </w:r>
    </w:p>
    <w:p>
      <w:pPr>
        <w:spacing w:after="0" w:line="163"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6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7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 w:name="page26"/>
    <w:bookmarkEnd w:id="2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In addition, value added taxes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future funding requirements, both near and long term, will depend on many factors, including, but not limited to:</w:t>
      </w:r>
    </w:p>
    <w:p>
      <w:pPr>
        <w:spacing w:after="0" w:line="92" w:lineRule="exact"/>
        <w:rPr>
          <w:sz w:val="20"/>
          <w:szCs w:val="20"/>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progress, timing, costs, and results of preclinical or nonclinical studies and clinical trials for our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revenues and associated costs from sales of our COVID-19 vaccine;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research and our other platform activities;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development plans we establish for our product candidates;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agreements with our current or future collaborators, and the achievement of any milestone payments under such agreements to be paid to us or our collaborators;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other strategic transactions, including relating to any acquisitions, into which we enter;</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characteristics of product candidates that we develop or may in-license;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timing and cost of meeting regulatory requirements established by the FDA, the EMA and other comparable regulatory authorities;</w:t>
      </w:r>
    </w:p>
    <w:p>
      <w:pPr>
        <w:spacing w:after="0" w:line="92" w:lineRule="exact"/>
        <w:rPr>
          <w:rFonts w:ascii="Times New Roman" w:cs="Times New Roman" w:eastAsia="Times New Roman" w:hAnsi="Times New Roman"/>
          <w:sz w:val="16"/>
          <w:szCs w:val="16"/>
          <w:color w:val="auto"/>
        </w:rPr>
      </w:pPr>
    </w:p>
    <w:p>
      <w:pPr>
        <w:jc w:val="both"/>
        <w:ind w:left="720" w:right="20" w:hanging="234"/>
        <w:spacing w:after="0" w:line="247" w:lineRule="auto"/>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6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including other products that may compete with one or more of our product candidates;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cost and timing of completion and further expansion of clinical and commercial scale manufacturing activities sufficient to support all of our current and future programs, including the development of modular production and clinical facilities in various markets via our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network; and</w:t>
      </w:r>
    </w:p>
    <w:p>
      <w:pPr>
        <w:spacing w:after="0" w:line="59"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5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divert our management from their day -to-day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3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73"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17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encounter difficulties in developing and expanding our company and managing such development and expansion, which could disrupt our operations.</w:t>
      </w:r>
    </w:p>
    <w:p>
      <w:pPr>
        <w:spacing w:after="0" w:line="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To manage our anticipated development and expansion, we must continue to implement and improve our managerial, operational, legal, compliance and financial systems, expand our facilities, and continue to recruit and train additional qualified personnel. In addition, our management may need to divert a disproportionate amount of its attention away from its day-to-day activities and devote a substantial amount of time to managing these development activities.</w:t>
      </w:r>
    </w:p>
    <w:p>
      <w:pPr>
        <w:spacing w:after="0" w:line="68"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and expansion of our company.</w:t>
      </w:r>
    </w:p>
    <w:p>
      <w:pPr>
        <w:spacing w:after="0" w:line="328"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7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The U.S. federal securities laws, including the Sarbanes-Oxley Act of 2002, or the Sarbanes-Oxley Act, and rules subsequently implemented by the SEC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 w:name="page28"/>
    <w:bookmarkEnd w:id="2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77"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7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60"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identify material weaknesses in our internal control over financial reporting and fail to remediate such material weaknesses, we may not be able to report our financial results accurately or to prevent fraud.</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7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Prior to our initial public offering, we identified a material weakness in our internal control which has been fully remediated, but there can be no guarantee that we will not identify additional material weaknesses in the future.</w:t>
      </w:r>
    </w:p>
    <w:p>
      <w:pPr>
        <w:spacing w:after="0" w:line="5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If we are unable to successfully remediate any future material weaknesses or successfully supervise and rely on outside advisors with expertise in these matters to assist us in the preparation of our financial statements, our financial statements could contain material misstatements discovered in the future that could cause us to fail to meet our future reporting obligations and cause the price of the ADSs to decline.</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55"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certain of our and our subsidiaries’ customs value calculations were not applied correctly, following which we notified the customs authorities of potential late payments.</w:t>
      </w:r>
    </w:p>
    <w:p>
      <w:pPr>
        <w:spacing w:after="0" w:line="59"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51"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68"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7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w:t>
      </w:r>
      <w:r>
        <w:rPr>
          <w:rFonts w:ascii="Times New Roman" w:cs="Times New Roman" w:eastAsia="Times New Roman" w:hAnsi="Times New Roman"/>
          <w:sz w:val="16"/>
          <w:szCs w:val="16"/>
          <w:i w:val="1"/>
          <w:iCs w:val="1"/>
          <w:color w:val="auto"/>
        </w:rPr>
        <w:t>Aktiengesetz</w:t>
      </w:r>
      <w:r>
        <w:rPr>
          <w:rFonts w:ascii="Times New Roman" w:cs="Times New Roman" w:eastAsia="Times New Roman" w:hAnsi="Times New Roman"/>
          <w:sz w:val="16"/>
          <w:szCs w:val="16"/>
          <w:color w:val="auto"/>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Times New Roman" w:cs="Times New Roman" w:eastAsia="Times New Roman" w:hAnsi="Times New Roman"/>
          <w:sz w:val="16"/>
          <w:szCs w:val="16"/>
          <w:i w:val="1"/>
          <w:iCs w:val="1"/>
          <w:color w:val="auto"/>
        </w:rPr>
        <w:t>Gesetz zur Ausführung 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Verordnung (EG) NR. 2157/2001 des Rates vom 8. Oktober 2001 über das Statut der Europäischen Gesellschaft (SE)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 xml:space="preserve">SE-Ausführungsgesetz-SEAG </w:t>
      </w:r>
      <w:r>
        <w:rPr>
          <w:rFonts w:ascii="Times New Roman" w:cs="Times New Roman" w:eastAsia="Times New Roman" w:hAnsi="Times New Roman"/>
          <w:sz w:val="16"/>
          <w:szCs w:val="16"/>
          <w:color w:val="auto"/>
        </w:rPr>
        <w:t>), in particular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regard to certain aspects of corporate governance. This allows us to follow certain corporate governance practices that differ in significant respects from the corporate governance requirements applicable to U.S. companies listed on Nasdaq.</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example, we are exempt from regulations of Nasdaq that require a listed U.S. company to:</w:t>
      </w:r>
    </w:p>
    <w:p>
      <w:pPr>
        <w:spacing w:after="0" w:line="92" w:lineRule="exact"/>
        <w:rPr>
          <w:sz w:val="20"/>
          <w:szCs w:val="20"/>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majority of the board of directors consist of independent directors;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non-management directors to meet on a regular basis without management present;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code of conduct and promptly disclose any waivers of the code for directors or executive officers that should address certain specified items;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independent compensation committee;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independent nominating committee;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proxies and provide proxy statements for all shareholder meetings;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related party transactions;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shareholder approval for the implementation of certain equity compensation plans and issuances of ordinary shares.</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73"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Our audit committee is required to comply with the provisions of Section 301 of the Sarbanes-Oxley Act and Rule 10A-3 of the Exchange Act, both of which are also applicable to U.S. companies listed on Nasdaq. As we are a foreign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5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catastrophic global events including natural disasters, political crises, or publichealth epidemics and pandemics and other public health developments, that could adversely affect our operations.</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in Ukraine, and resulting sanctions imposed by the United States and other countries and retaliatory actions taken by Russia in response to such sanctions; or other catastrophic events.</w:t>
      </w:r>
    </w:p>
    <w:p>
      <w:pPr>
        <w:spacing w:after="0" w:line="71" w:lineRule="exact"/>
        <w:rPr>
          <w:sz w:val="20"/>
          <w:szCs w:val="20"/>
          <w:color w:val="auto"/>
        </w:rPr>
      </w:pPr>
    </w:p>
    <w:p>
      <w:pPr>
        <w:jc w:val="both"/>
        <w:ind w:firstLine="444"/>
        <w:spacing w:after="0" w:line="277" w:lineRule="auto"/>
        <w:rPr>
          <w:sz w:val="20"/>
          <w:szCs w:val="20"/>
          <w:color w:val="auto"/>
        </w:rPr>
      </w:pPr>
      <w:r>
        <w:rPr>
          <w:rFonts w:ascii="Times New Roman" w:cs="Times New Roman" w:eastAsia="Times New Roman" w:hAnsi="Times New Roman"/>
          <w:sz w:val="14"/>
          <w:szCs w:val="14"/>
          <w:color w:val="auto"/>
        </w:rPr>
        <w:t>For example, the ongoing conflict between Russia and Ukraine and the conflicts in the Middle East, and resulting sanctions and other economic actions, have contributed to, and are expected to continue to contribute to, rising prices and shortages of crude oil and natural gas. Prolonged or expanded conflict between Russia and Ukraine and in the Middle East, and political responses to global actions, could further reduce oil and gas supplies, increase energy volatility and have severe adverse effects on regional and global supply chains and economies and our business. Our commercial production of our COVID-19 vaccine is currently run on natural gas, although we believe our production could be powered by alternative fuel sources if needed. Additionally, we continue to evaluate the impacts that a growing or subsequent energy shortage may have on our partners, suppliers and service providers. Were any of these parties to experience significant impacts from this or any other energy shortage, our business could be materially harmed. We cannot predict with certainty the impact a continuing or more severe natural gas shortage would have on our or their operations, including on the manufacturing of our COVID-19 vaccine and the manufacturing and testing of our product candidates.</w:t>
      </w:r>
    </w:p>
    <w:p>
      <w:pPr>
        <w:spacing w:after="0" w:line="5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Our insurance policies are expensive and protect us only from some business risks, which leaves us exposed to significant uninsured liabilities.</w:t>
      </w:r>
    </w:p>
    <w:p>
      <w:pPr>
        <w:spacing w:after="0" w:line="9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7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 w:name="page31"/>
    <w:bookmarkEnd w:id="3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40" w:firstLine="44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5"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a bank which we previously used to support operations in the United States, was closed by the California Department of Financial Protection and Innovation, which appointed the Federal Deposit Insurance Corporation, or the FDIC, as receiver.</w:t>
      </w:r>
    </w:p>
    <w:p>
      <w:pPr>
        <w:spacing w:after="0" w:line="73"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While a statement by the U.S. Department of the Treasury, the Federal Reserve and the FDIC stated that all depositors of SVB would have access to all of their money after only one business day following the date of closure and we received such access on March 13, 2023, and neither the amount in question nor any delays in access were material to our operations,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7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78"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68"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7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CROs, regulatory consultants or collaborators to assist us in this process. We expect to submit initial BLAs/MAAs for our mRNA-based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1" w:name="page32"/>
    <w:bookmarkEnd w:id="3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7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 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7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Regulatory agencies also may approve a product candidate for fewer or more limited indications or patient populations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6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7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mRNA drug development carries substantial clinical development and regulatory risks due to limited regulatory experience with mRNA immunotherapies.</w:t>
      </w:r>
    </w:p>
    <w:p>
      <w:pPr>
        <w:spacing w:after="0" w:line="96"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To our knowledge, other than our and Moderna, Inc.’s COVID -19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73" w:lineRule="exact"/>
        <w:rPr>
          <w:sz w:val="20"/>
          <w:szCs w:val="20"/>
          <w:color w:val="auto"/>
        </w:rPr>
      </w:pPr>
    </w:p>
    <w:p>
      <w:pPr>
        <w:ind w:left="720" w:hanging="234"/>
        <w:spacing w:after="0"/>
        <w:tabs>
          <w:tab w:leader="none" w:pos="7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discovery efforts aimed at identifying potential immunotherapies may not be successful;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nonclinical or preclinical study results may show product candidates to be less effective than desired or have harmful or problematic side effects;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2" w:name="page33"/>
    <w:bookmarkEnd w:id="3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hanging="234"/>
        <w:spacing w:after="0" w:line="259" w:lineRule="auto"/>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results may show the product candidates to be less effective than expected, including a failure to meet one or more endpoints or have unacceptable side effects or toxicities;</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or distribution failures or insufficient supply of GMP materials for clinical trials, or higher than expected cost could delay or set back clinical trials, or make our product candidates commercially unattractive;</w:t>
      </w:r>
    </w:p>
    <w:p>
      <w:pPr>
        <w:spacing w:after="0" w:line="59"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improvements in the manufacturing processes may not be sufficient to satisfy the clinical or commercial demand of our product candidates or regulatory requirements for clinical trials;</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that we make to optimize our manufacturing, testing or formulating of GMP materials could impact the safety, tolerability and efficacy of our product candidates;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or reimbursement issues or other factors could delay clinical trials or make any immunotherapy uneconomical or noncompetitive with other therapies;</w:t>
      </w:r>
    </w:p>
    <w:p>
      <w:pPr>
        <w:spacing w:after="0" w:line="115" w:lineRule="exact"/>
        <w:rPr>
          <w:rFonts w:ascii="Times New Roman" w:cs="Times New Roman" w:eastAsia="Times New Roman" w:hAnsi="Times New Roman"/>
          <w:sz w:val="14"/>
          <w:szCs w:val="14"/>
          <w:color w:val="auto"/>
        </w:rPr>
      </w:pPr>
    </w:p>
    <w:p>
      <w:pPr>
        <w:jc w:val="both"/>
        <w:ind w:left="720" w:hanging="234"/>
        <w:spacing w:after="0" w:line="243" w:lineRule="auto"/>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71"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proprietary rights, products and technologies of our competitors may prevent our immunotherapies from being commercialized.</w:t>
      </w:r>
    </w:p>
    <w:p>
      <w:pPr>
        <w:spacing w:after="0" w:line="92"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For administrative purposes, mRNA products are classified together with gene therapy products by the FDA. Unlike certain gene therapies that irreversibly alter cell DNA and may cause certain side effects, mRNA is highly unlikely to localize to the nucleus, be reverse transcribed or integrated into the genome. Side effects observed in other gene therapies, however, could negatively impact the perception of immunotherapies despite the differences in mechanism. In addition, the regulatory pathway in the United States and many other jurisdictions for approval is uncertain. Our COVID-19 vaccine is not currently classified as a gene therapy. The regulatory pathway for an individualized therapy, such as our iNeST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166"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As with most biological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3" w:name="page34"/>
    <w:bookmarkEnd w:id="3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could result in patient injury or death. Any of these occurrences may harm our business, financial condition and prospects significantly.</w:t>
      </w:r>
    </w:p>
    <w:p>
      <w:pPr>
        <w:spacing w:after="0" w:line="184" w:lineRule="exact"/>
        <w:rPr>
          <w:sz w:val="20"/>
          <w:szCs w:val="20"/>
          <w:color w:val="auto"/>
        </w:rPr>
      </w:pPr>
    </w:p>
    <w:p>
      <w:pPr>
        <w:ind w:right="4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Monitoring the safety of patients receiving our product candidates is challenging, which could adversely affect our ability to obtain regulatory approval and commercialize our product candidates.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74"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auto"/>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71"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If any of our product candidates receives marketing approval and we or others later identify undesirable effects caused by such products, a number of potentially significant negative consequences could result, including:</w:t>
      </w:r>
    </w:p>
    <w:p>
      <w:pPr>
        <w:spacing w:after="0" w:line="59" w:lineRule="exact"/>
        <w:rPr>
          <w:sz w:val="20"/>
          <w:szCs w:val="20"/>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their approval of the product;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recall a product or change the way such product is administered to patients;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restrictions may be imposed on the marketing of the particular product or the manufacturing processes for the product or any component thereof;</w:t>
      </w:r>
    </w:p>
    <w:p>
      <w:pPr>
        <w:spacing w:after="0" w:line="115" w:lineRule="exact"/>
        <w:rPr>
          <w:rFonts w:ascii="Times New Roman" w:cs="Times New Roman" w:eastAsia="Times New Roman" w:hAnsi="Times New Roman"/>
          <w:sz w:val="14"/>
          <w:szCs w:val="14"/>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“black box” warning or a contraindication;</w:t>
      </w:r>
    </w:p>
    <w:p>
      <w:pPr>
        <w:spacing w:after="0" w:line="92" w:lineRule="exact"/>
        <w:rPr>
          <w:rFonts w:ascii="Times New Roman" w:cs="Times New Roman" w:eastAsia="Times New Roman" w:hAnsi="Times New Roman"/>
          <w:sz w:val="16"/>
          <w:szCs w:val="16"/>
          <w:color w:val="auto"/>
        </w:rPr>
      </w:pPr>
    </w:p>
    <w:p>
      <w:pPr>
        <w:ind w:left="720" w:right="60" w:hanging="234"/>
        <w:spacing w:after="0" w:line="259" w:lineRule="auto"/>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implement a Risk Evaluation and Mitigation Strategy, or REMS, or create a Medication Guide outlining the risks of such side effects for distribution to patients;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 may become less competitive;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w:t>
      </w:r>
    </w:p>
    <w:p>
      <w:pPr>
        <w:spacing w:after="0" w:line="92"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163" w:lineRule="exact"/>
        <w:rPr>
          <w:sz w:val="20"/>
          <w:szCs w:val="20"/>
          <w:color w:val="auto"/>
        </w:rPr>
      </w:pPr>
    </w:p>
    <w:p>
      <w:pPr>
        <w:jc w:val="both"/>
        <w:ind w:right="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55"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34" w:name="page35"/>
    <w:bookmarkEnd w:id="3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69"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7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71" w:lineRule="exact"/>
        <w:rPr>
          <w:sz w:val="20"/>
          <w:szCs w:val="20"/>
          <w:color w:val="auto"/>
        </w:rPr>
      </w:pPr>
    </w:p>
    <w:p>
      <w:pPr>
        <w:ind w:left="720" w:right="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59" w:lineRule="exact"/>
        <w:rPr>
          <w:rFonts w:ascii="Times New Roman" w:cs="Times New Roman" w:eastAsia="Times New Roman" w:hAnsi="Times New Roman"/>
          <w:sz w:val="16"/>
          <w:szCs w:val="16"/>
          <w:color w:val="auto"/>
        </w:rPr>
      </w:pPr>
    </w:p>
    <w:p>
      <w:pPr>
        <w:jc w:val="both"/>
        <w:ind w:left="720" w:hanging="234"/>
        <w:spacing w:after="0" w:line="247"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68"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our preclinical studies and our early clinical trials may not be predictive of the success of later clinical trials, and interim results of a clinical trial do not necessarily predict final results;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establish clinical endpoints that applicable regulatory authorities would consider clinically meaningful;</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59"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trial design between early-stage clinical trials and later-stage clinical trials may make it difficult to extrapolate the results of earlier clinical trials to later clinical trials;</w:t>
      </w:r>
    </w:p>
    <w:p>
      <w:pPr>
        <w:spacing w:after="0" w:line="59"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59" w:lineRule="exact"/>
        <w:rPr>
          <w:rFonts w:ascii="Times New Roman" w:cs="Times New Roman" w:eastAsia="Times New Roman" w:hAnsi="Times New Roman"/>
          <w:sz w:val="16"/>
          <w:szCs w:val="16"/>
          <w:color w:val="auto"/>
        </w:rPr>
      </w:pPr>
    </w:p>
    <w:p>
      <w:pPr>
        <w:jc w:val="both"/>
        <w:ind w:left="720" w:hanging="234"/>
        <w:spacing w:after="0" w:line="247"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have undesirable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68"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 participants required for clinical trials of any product candidates may be larger than we anticipate, identification of trial participants for such trials may be limited, enrollment in these clinical trials may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5" w:name="page36"/>
    <w:bookmarkEnd w:id="3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16"/>
          <w:szCs w:val="16"/>
          <w:color w:val="auto"/>
        </w:rPr>
        <w:t>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59" w:lineRule="exact"/>
        <w:rPr>
          <w:sz w:val="20"/>
          <w:szCs w:val="20"/>
          <w:color w:val="auto"/>
        </w:rPr>
      </w:pPr>
    </w:p>
    <w:p>
      <w:pPr>
        <w:ind w:left="720" w:hanging="234"/>
        <w:spacing w:after="0" w:line="259" w:lineRule="auto"/>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despite robust sponsor oversight, 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59" w:lineRule="exact"/>
        <w:rPr>
          <w:rFonts w:ascii="Times New Roman" w:cs="Times New Roman" w:eastAsia="Times New Roman" w:hAnsi="Times New Roman"/>
          <w:sz w:val="16"/>
          <w:szCs w:val="16"/>
          <w:color w:val="auto"/>
        </w:rPr>
      </w:pPr>
    </w:p>
    <w:p>
      <w:pPr>
        <w:jc w:val="both"/>
        <w:ind w:left="720" w:hanging="234"/>
        <w:spacing w:after="0" w:line="247" w:lineRule="auto"/>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68"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infectious disease vaccine trials in particular, we have to wait for particular level of infection in the placebo arm in order to assess protection provided by vaccine, and we cannot control the rate of exposure or infection which can make timing uncertain;</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preclinical or nonclinical testing and studies and clinical trials of any product candidates may be greater than we anticipate;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our product candidates or other materials necessary to conduct clinical trials may be insufficient or inadequate;</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regulatory authorities may require us to submit additional data, such as long-term toxicology studies, or impose other requirements before permitting us to initiate a clinical trial.</w:t>
      </w:r>
    </w:p>
    <w:p>
      <w:pPr>
        <w:spacing w:after="0" w:line="59"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76"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77"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Moreover, the FDA and other regulatory authorities have indicated that, prior to commencing later stage clinical trials for our mRNA -based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6" w:name="page37"/>
    <w:bookmarkEnd w:id="3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or our collaborators encounter difficulties enrolling participants in our clinical trials, our clinical development activities could be delayed or otherwise adversely affected.</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7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59" w:lineRule="exact"/>
        <w:rPr>
          <w:sz w:val="20"/>
          <w:szCs w:val="20"/>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severity of the disease under investigation;</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complexity and design of the study protocol;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size of the patient population;</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eligibility criteria for the study in question;</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proximity and availability of clinical study sites for prospective trial participants;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competing therapies and clinical trials, including between our own clinical trials;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to facilitate timely enrollment in clinical trials;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referral practices of physicians;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monitor trial participants adequately during and after treatment;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recruit clinical trial investigators with the appropriate competencies and experience;</w:t>
      </w:r>
    </w:p>
    <w:p>
      <w:pPr>
        <w:spacing w:after="0" w:line="92" w:lineRule="exact"/>
        <w:rPr>
          <w:rFonts w:ascii="Times New Roman" w:cs="Times New Roman" w:eastAsia="Times New Roman" w:hAnsi="Times New Roman"/>
          <w:sz w:val="16"/>
          <w:szCs w:val="16"/>
          <w:color w:val="auto"/>
        </w:rPr>
      </w:pPr>
    </w:p>
    <w:p>
      <w:pPr>
        <w:ind w:left="720" w:right="60" w:hanging="234"/>
        <w:spacing w:after="0" w:line="259" w:lineRule="auto"/>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participant informed consent;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changes in the approval status of competitor investigational products during the clinical trial period;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impacts related to the spread of COVID-19;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trial participants enrolled in clinical trials will not complete a clinical trial.</w:t>
      </w:r>
    </w:p>
    <w:p>
      <w:pPr>
        <w:spacing w:after="0" w:line="92"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7" w:name="page38"/>
    <w:bookmarkEnd w:id="3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59" w:lineRule="exact"/>
        <w:rPr>
          <w:sz w:val="20"/>
          <w:szCs w:val="20"/>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regulatory requirements in such countries;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price and exchange controls and other regulatory requirements;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difficulties in managing the logistics and transportation of storing and shipping product candidates produced in Germany and shipping the product candidate to the patient abroad;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and export requirements and restrictions;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transfers of information, including certain technologies and personal data;</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economies and markets;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including withholding of payroll taxes;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fluctuations, which could result in increased operating expenses and reduced revenue, and other obligations incident to doing business in another country;</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operations outside of Germany;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payor reimbursement regimes, governmental payors or patient self-pay systems, and price controls;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U.S. Foreign Corrupt Practices Act of 1977 or comparable regulations in other jurisdictions;</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countries that do not respect and protect intellectual property rights to the same extent as Germany and the United States;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or public health epidemics or pandemics.</w:t>
      </w:r>
    </w:p>
    <w:p>
      <w:pPr>
        <w:spacing w:after="0" w:line="80"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extent to which the COVID-19 virus continues to impact our operations, including our clinical trial operations, as it becomes endemic will depend on future developments, which are highly uncertain and cannot be predicted with confidence, including new outbreaks, new information which may emerge concerning the severity of the coronavirus and the actions to contain the coronavirus or treat its impact, among others. In the future, similar events could affect our ability to manufacture and commercialize our product candidates.</w:t>
      </w:r>
    </w:p>
    <w:p>
      <w:pPr>
        <w:spacing w:after="0" w:line="71"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8" w:name="page39"/>
    <w:bookmarkEnd w:id="3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application or IND requires the clinical trial to have been conducted in accordance with GCPs, and that FDA is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7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These and other risks associated with our international operations and our collaborations with our collaborators may materially adversely affect our ability to attain or maintain profitable operations.</w:t>
      </w:r>
    </w:p>
    <w:p>
      <w:pPr>
        <w:spacing w:after="0" w:line="151"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77"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 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Results of earlier studies and trials of our product candidates may not be predictive of future trial results.</w:t>
      </w:r>
    </w:p>
    <w:p>
      <w:pPr>
        <w:spacing w:after="0" w:line="9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9" w:name="page40"/>
    <w:bookmarkEnd w:id="3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trials. Even if we are able to initiate and complete clinical trials, the results may not be sufficient to obtain regulatory approval for our product candidates.</w:t>
      </w:r>
    </w:p>
    <w:p>
      <w:pPr>
        <w:spacing w:after="0" w:line="184"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There is typically an extremely high rate of attrition for product candidates across categories of medicines proceeding through clinical trials.</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Many of our product candidates are being developed or are intended to be co-administered with other developmental therapies or approved medicines. For example, autogene cevumeran (BNT122) is being developed to be co-administered with checkpoint inhibitors. Such combinations may have additional side effects, which may be difficult to predict in future clinical trials.</w:t>
      </w:r>
    </w:p>
    <w:p>
      <w:pPr>
        <w:spacing w:after="0" w:line="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169"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77" w:lineRule="exact"/>
        <w:rPr>
          <w:sz w:val="20"/>
          <w:szCs w:val="20"/>
          <w:color w:val="auto"/>
        </w:rPr>
      </w:pPr>
    </w:p>
    <w:p>
      <w:pPr>
        <w:ind w:left="720" w:hanging="234"/>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product candidates;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competitors may develop alternatives that render our product candidates obsolete;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we develop may nevertheless be covered by third parties’ patents or other exclusive rights;</w:t>
      </w:r>
    </w:p>
    <w:p>
      <w:pPr>
        <w:spacing w:after="0" w:line="80" w:lineRule="exact"/>
        <w:rPr>
          <w:rFonts w:ascii="Times New Roman" w:cs="Times New Roman" w:eastAsia="Times New Roman" w:hAnsi="Times New Roman"/>
          <w:sz w:val="16"/>
          <w:szCs w:val="16"/>
          <w:color w:val="auto"/>
        </w:rPr>
      </w:pPr>
    </w:p>
    <w:p>
      <w:pPr>
        <w:ind w:left="720" w:right="620" w:hanging="234"/>
        <w:spacing w:after="0" w:line="244" w:lineRule="auto"/>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product candidate may not be capable of being produced in commercial quantities at an acceptable cost, or at all;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approved product may not be accepted as safe and effective by trial participants, the medical community or third-party payors.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we are unsuccessful in identifying and developing additional products, our potential for growth may be impaired.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0" w:name="page41"/>
    <w:bookmarkEnd w:id="4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employees, consultants and advisors and to attract, retain and motivate qualified senior management and scientific personnel.</w:t>
      </w:r>
    </w:p>
    <w:p>
      <w:pPr>
        <w:spacing w:after="0" w:line="55"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employees and increased our security generally. We currently do not have “key person” insurance on any of our employees.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16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55" w:lineRule="exact"/>
        <w:rPr>
          <w:sz w:val="20"/>
          <w:szCs w:val="20"/>
          <w:color w:val="auto"/>
        </w:rPr>
      </w:pPr>
    </w:p>
    <w:p>
      <w:pPr>
        <w:jc w:val="both"/>
        <w:ind w:right="20" w:firstLine="384"/>
        <w:spacing w:after="0" w:line="275"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3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Employment-related disputes, including employee litigation and unfavorable publicity, could negatively affect our future business.</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From time to time we may be subject to claims by our employees or regulatory authorities with respect to employment and workplace matters, includinglawsuits or proceedings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 related lawsuits have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1" w:name="page42"/>
    <w:bookmarkEnd w:id="4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had to terminate management or other key personnel, and have suffered reputational harm that has negatively impacted their business. If we were to face any employment-related claims, our business could be negatively affected.</w:t>
      </w:r>
    </w:p>
    <w:p>
      <w:pPr>
        <w:spacing w:after="0" w:line="151" w:lineRule="exact"/>
        <w:rPr>
          <w:sz w:val="20"/>
          <w:szCs w:val="20"/>
          <w:color w:val="auto"/>
        </w:rPr>
      </w:pPr>
    </w:p>
    <w:p>
      <w:pPr>
        <w:jc w:val="both"/>
        <w:ind w:right="20" w:firstLine="44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illegal distribution and sale by third parties of counterfeit versions of our COVID-19 vaccine, or, if approved, our other product candidates, could have a negative impact on our financial performance or reputation.</w:t>
      </w:r>
    </w:p>
    <w:p>
      <w:pPr>
        <w:spacing w:after="0" w:line="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68" w:lineRule="exact"/>
        <w:rPr>
          <w:sz w:val="20"/>
          <w:szCs w:val="20"/>
          <w:color w:val="auto"/>
        </w:rPr>
      </w:pPr>
    </w:p>
    <w:p>
      <w:pPr>
        <w:jc w:val="both"/>
        <w:ind w:right="20" w:firstLine="444"/>
        <w:spacing w:after="0" w:line="239" w:lineRule="auto"/>
        <w:rPr>
          <w:sz w:val="20"/>
          <w:szCs w:val="20"/>
          <w:color w:val="auto"/>
        </w:rPr>
      </w:pPr>
      <w:r>
        <w:rPr>
          <w:rFonts w:ascii="Times New Roman" w:cs="Times New Roman" w:eastAsia="Times New Roman" w:hAnsi="Times New Roman"/>
          <w:sz w:val="16"/>
          <w:szCs w:val="16"/>
          <w:color w:val="auto"/>
        </w:rPr>
        <w:t>Reports of adverse reactions to counterfeit products, increased levels of counterfeiting, or unsafe vaccines could materially affect public confidence in our COVID- 19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169"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68"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3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71"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could limit commercialization of our current or future product candidates.</w:t>
      </w:r>
    </w:p>
    <w:p>
      <w:pPr>
        <w:spacing w:after="0" w:line="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 -19 vaccine, and expect to receive additional product liability claims in the future. If we cannot successfully defend ourselves against claims that our products and/or our product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2" w:name="page43"/>
    <w:bookmarkEnd w:id="4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candidates have caused injuries, we could incur substantial liabilities. Regardless of merit or eventual outcome, liability claims may result in:</w:t>
      </w:r>
    </w:p>
    <w:p>
      <w:pPr>
        <w:spacing w:after="0" w:line="92" w:lineRule="exact"/>
        <w:rPr>
          <w:sz w:val="20"/>
          <w:szCs w:val="20"/>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or product candidate that we may develop;</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healthy volunteers or their children;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time and costs to defend the related litigation;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or product candidates that we may develop;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80"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We carry clinical trial insurance and product liability insurance, which we believe to be sufficient in light of our current clinical programs and commercial operations; however, the amount of coverage we have obtained may not be adequate and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If our products become subject to a product recall it could harm our reputation, business and financial results.</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7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51" w:lineRule="exact"/>
        <w:rPr>
          <w:sz w:val="20"/>
          <w:szCs w:val="20"/>
          <w:color w:val="auto"/>
        </w:rPr>
      </w:pPr>
    </w:p>
    <w:p>
      <w:pPr>
        <w:jc w:val="both"/>
        <w:ind w:firstLine="336"/>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Issues in the development and use of AI, combined with an uncertain regulatory environment, may result in reputational harm, liability or other adverse consequences to our business.</w:t>
      </w:r>
    </w:p>
    <w:p>
      <w:pPr>
        <w:spacing w:after="0" w:line="55"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73"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6"/>
          <w:szCs w:val="16"/>
          <w:color w:val="auto"/>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163" w:lineRule="exact"/>
        <w:rPr>
          <w:sz w:val="20"/>
          <w:szCs w:val="20"/>
          <w:color w:val="auto"/>
        </w:rPr>
      </w:pPr>
    </w:p>
    <w:p>
      <w:pPr>
        <w:jc w:val="both"/>
        <w:ind w:right="20" w:firstLine="336"/>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3" w:name="page44"/>
    <w:bookmarkEnd w:id="4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36"/>
        <w:spacing w:after="0" w:line="247" w:lineRule="auto"/>
        <w:rPr>
          <w:sz w:val="20"/>
          <w:szCs w:val="20"/>
          <w:color w:val="auto"/>
        </w:rPr>
      </w:pPr>
      <w:r>
        <w:rPr>
          <w:rFonts w:ascii="Times New Roman" w:cs="Times New Roman" w:eastAsia="Times New Roman" w:hAnsi="Times New Roman"/>
          <w:sz w:val="16"/>
          <w:szCs w:val="16"/>
          <w:color w:val="auto"/>
        </w:rPr>
        <w:t>There are rapid and ongoing developments and changing expectations relating to ESG matters and factors such as the impact of our operations on the environment, access to our COVID-19 vaccine, corporate governance, our practices relating to product stewardship, management of business ethics, human rights diligence in our own operations and our supply chain, and human resource development, which may result in increased regulatory, social or other scrutiny on us.</w:t>
      </w:r>
    </w:p>
    <w:p>
      <w:pPr>
        <w:spacing w:after="0" w:line="68" w:lineRule="exact"/>
        <w:rPr>
          <w:sz w:val="20"/>
          <w:szCs w:val="20"/>
          <w:color w:val="auto"/>
        </w:rPr>
      </w:pPr>
    </w:p>
    <w:p>
      <w:pPr>
        <w:jc w:val="both"/>
        <w:ind w:right="20" w:firstLine="336"/>
        <w:spacing w:after="0" w:line="243" w:lineRule="auto"/>
        <w:rPr>
          <w:sz w:val="20"/>
          <w:szCs w:val="20"/>
          <w:color w:val="auto"/>
        </w:rPr>
      </w:pPr>
      <w:r>
        <w:rPr>
          <w:rFonts w:ascii="Times New Roman" w:cs="Times New Roman" w:eastAsia="Times New Roman" w:hAnsi="Times New Roman"/>
          <w:sz w:val="16"/>
          <w:szCs w:val="16"/>
          <w:color w:val="auto"/>
        </w:rPr>
        <w:t>We believe we must address climate risks due to our own contribution to climate change (inside-out perspective), risks due to physical effects of climate change as well as transition risks (outside-in perspective), and interactions between both perspectives. To this end, we have set ourselves near -term scienced -based emissions reduction targets for our own operations (scope 1, 2) and for our supply chain (supplier engagement target for scope 3), validated by the Science Based Targets initiative (SBTi) in early February 2024.</w:t>
      </w:r>
    </w:p>
    <w:p>
      <w:pPr>
        <w:spacing w:after="0" w:line="71"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6"/>
          <w:szCs w:val="16"/>
          <w:color w:val="auto"/>
        </w:rPr>
        <w:t xml:space="preserve">Additionally, we are addressing increasingly complex regulatory requirements with respect to human rights risks, including German legislation (for example, the Act on Corporate Due Diligence Obligations for the Prevention of Human Rights Violations in Supply Chains (“ </w:t>
      </w:r>
      <w:r>
        <w:rPr>
          <w:rFonts w:ascii="Times New Roman" w:cs="Times New Roman" w:eastAsia="Times New Roman" w:hAnsi="Times New Roman"/>
          <w:sz w:val="16"/>
          <w:szCs w:val="16"/>
          <w:i w:val="1"/>
          <w:iCs w:val="1"/>
          <w:color w:val="auto"/>
        </w:rPr>
        <w:t>Lieferkettensorgfaltspflichtengesetz - LkSG</w:t>
      </w:r>
      <w:r>
        <w:rPr>
          <w:rFonts w:ascii="Times New Roman" w:cs="Times New Roman" w:eastAsia="Times New Roman" w:hAnsi="Times New Roman"/>
          <w:sz w:val="16"/>
          <w:szCs w:val="16"/>
          <w:color w:val="auto"/>
        </w:rPr>
        <w:t>”)), potential legislative planning by the European Union and local or regional regulations. We are expected by regulation to identify, prevent, mitigate and ideally end the extent of any potential adverse impacts or violations throughout our own operations and value chain.</w:t>
      </w:r>
    </w:p>
    <w:p>
      <w:pPr>
        <w:spacing w:after="0" w:line="71" w:lineRule="exact"/>
        <w:rPr>
          <w:sz w:val="20"/>
          <w:szCs w:val="20"/>
          <w:color w:val="auto"/>
        </w:rPr>
      </w:pPr>
    </w:p>
    <w:p>
      <w:pPr>
        <w:jc w:val="both"/>
        <w:ind w:right="20" w:firstLine="336"/>
        <w:spacing w:after="0" w:line="247" w:lineRule="auto"/>
        <w:rPr>
          <w:sz w:val="20"/>
          <w:szCs w:val="20"/>
          <w:color w:val="auto"/>
        </w:rPr>
      </w:pPr>
      <w:r>
        <w:rPr>
          <w:rFonts w:ascii="Times New Roman" w:cs="Times New Roman" w:eastAsia="Times New Roman" w:hAnsi="Times New Roman"/>
          <w:sz w:val="16"/>
          <w:szCs w:val="16"/>
          <w:color w:val="auto"/>
        </w:rPr>
        <w:t>Finally, we are faced with increasing ESG related transparency and reporting obligations. These requirements arise, for example, from the EU CSRD regulation and the ESRS sustainability standards, from specific human right reporting regulations (e.g. section 10 of the German LkSG), the recently-announced SEC rules that will require registrants to provide additional climate-related disclosures in future periods, and other possible obligations.</w:t>
      </w:r>
    </w:p>
    <w:p>
      <w:pPr>
        <w:spacing w:after="0" w:line="68"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6"/>
          <w:szCs w:val="16"/>
          <w:color w:val="auto"/>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71" w:lineRule="exact"/>
        <w:rPr>
          <w:sz w:val="20"/>
          <w:szCs w:val="20"/>
          <w:color w:val="auto"/>
        </w:rPr>
      </w:pPr>
    </w:p>
    <w:p>
      <w:pPr>
        <w:jc w:val="both"/>
        <w:ind w:right="20" w:firstLine="336"/>
        <w:spacing w:after="0" w:line="238" w:lineRule="auto"/>
        <w:rPr>
          <w:sz w:val="20"/>
          <w:szCs w:val="20"/>
          <w:color w:val="auto"/>
        </w:rPr>
      </w:pPr>
      <w:r>
        <w:rPr>
          <w:rFonts w:ascii="Times New Roman" w:cs="Times New Roman" w:eastAsia="Times New Roman" w:hAnsi="Times New Roman"/>
          <w:sz w:val="16"/>
          <w:szCs w:val="16"/>
          <w:color w:val="auto"/>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In addition, investment in funds that specialize in companies that perform well in such assessments are increasingly popular, and major institutional investors have publicly emphasized the importance of such ESG measures to their investment decisions. 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the Manufacturing of our COVID-19 Vaccine, our Product Candidates and Future Pipeline</w:t>
      </w:r>
    </w:p>
    <w:p>
      <w:pPr>
        <w:spacing w:after="0" w:line="90"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4" w:name="page45"/>
    <w:bookmarkEnd w:id="4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For example, in March 2021 we received product quality complaints related to our COVID-19 vaccine in Hong Kong. A thorough investigation into these complaints concluded that the reported product quality complaints were due to the combination of a deficient container closure process, or crimping, at one specific contract manufacturing organization when such containers were later shipped at ultra-cold conditions created by shipping on dry ice. The investigation did not identify any safety issues related to the product quality complaints. We and our COVID -19 vaccine collaboration partner in Hong Kong, Fosun Pharma, subsequently supplied replacement COVID-19 vaccine vials, but we cannot assure you that we will not experience similar product quality complaints in the future.</w:t>
      </w:r>
    </w:p>
    <w:p>
      <w:pPr>
        <w:spacing w:after="0" w:line="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6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163"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6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Due to the number of different programs, we may in the future have cross contamination of products inside of our factories, CROs, external contract manufacturing organizations, or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73"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and thus impacting supply of both clinical and commercial material.</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5" w:name="page46"/>
    <w:bookmarkEnd w:id="4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are transporting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169"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7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59" w:lineRule="exact"/>
        <w:rPr>
          <w:sz w:val="20"/>
          <w:szCs w:val="20"/>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logistics associated with the collection of a patient’s tumor, blood or other tissue sample;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shipping such samples to a facility for genetic sequencing;</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next-generation sequencing of the tumor mRNA;</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biopsy of a sufficient quantity of cancerous tissue to allow for proper sequencing and identification of tumor-specific mutations;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appropriate tumor-specific mutations;</w:t>
      </w:r>
    </w:p>
    <w:p>
      <w:pPr>
        <w:spacing w:after="0" w:line="80" w:lineRule="exact"/>
        <w:rPr>
          <w:rFonts w:ascii="Times New Roman" w:cs="Times New Roman" w:eastAsia="Times New Roman" w:hAnsi="Times New Roman"/>
          <w:sz w:val="16"/>
          <w:szCs w:val="16"/>
          <w:color w:val="auto"/>
        </w:rPr>
      </w:pPr>
    </w:p>
    <w:p>
      <w:pPr>
        <w:ind w:left="720" w:right="120" w:hanging="234"/>
        <w:spacing w:after="0" w:line="244"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design of the patient-specific mRNA that encodes for the required neoantigens;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batch-specific manufacturing failures or issues that arise due to the uniqueness of each patient-specific batch that may not have been foreseen;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control testing failures;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failures of batches placed on stability;</w:t>
      </w:r>
    </w:p>
    <w:p>
      <w:pPr>
        <w:spacing w:after="0" w:line="80" w:lineRule="exact"/>
        <w:rPr>
          <w:rFonts w:ascii="Times New Roman" w:cs="Times New Roman" w:eastAsia="Times New Roman" w:hAnsi="Times New Roman"/>
          <w:sz w:val="16"/>
          <w:szCs w:val="16"/>
          <w:color w:val="auto"/>
        </w:rPr>
      </w:pPr>
    </w:p>
    <w:p>
      <w:pPr>
        <w:ind w:left="720" w:right="240" w:hanging="234"/>
        <w:spacing w:after="0" w:line="244"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shortages or quality control issues with single-use assemblies, consumables or critical parts sourced from third-party vendors that must be changed out for each patient-specific batch;</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associated with individualized manufacturing that may adversely affect our ability to continue development;</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and timely manufacture and release of the patient-specific batch;</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shipment issues encountered during transport of the batch to the site of patient care;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define a consistent safety profile at a given dose when each participant receives a unique treatment;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single source suppliers.</w:t>
      </w:r>
    </w:p>
    <w:p>
      <w:pPr>
        <w:spacing w:after="0" w:line="8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6" w:name="page47"/>
    <w:bookmarkEnd w:id="4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6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55"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color w:val="auto"/>
        </w:rPr>
        <w:t xml:space="preserve">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 </w:t>
      </w:r>
      <w:r>
        <w:rPr>
          <w:rFonts w:ascii="Times New Roman" w:cs="Times New Roman" w:eastAsia="Times New Roman" w:hAnsi="Times New Roman"/>
          <w:sz w:val="14"/>
          <w:szCs w:val="14"/>
          <w:i w:val="1"/>
          <w:iCs w:val="1"/>
          <w:color w:val="auto"/>
        </w:rPr>
        <w:t>BioNTainer</w:t>
      </w:r>
      <w:r>
        <w:rPr>
          <w:rFonts w:ascii="Times New Roman" w:cs="Times New Roman" w:eastAsia="Times New Roman" w:hAnsi="Times New Roman"/>
          <w:sz w:val="14"/>
          <w:szCs w:val="14"/>
          <w:color w:val="auto"/>
        </w:rPr>
        <w:t xml:space="preserve">,” and the construction of a facility to support manufacturing of our Individualized Vaccines Against Cancer ( </w:t>
      </w:r>
      <w:r>
        <w:rPr>
          <w:rFonts w:ascii="Times New Roman" w:cs="Times New Roman" w:eastAsia="Times New Roman" w:hAnsi="Times New Roman"/>
          <w:sz w:val="14"/>
          <w:szCs w:val="14"/>
          <w:i w:val="1"/>
          <w:iCs w:val="1"/>
          <w:color w:val="auto"/>
        </w:rPr>
        <w:t>IVAC</w:t>
      </w:r>
      <w:r>
        <w:rPr>
          <w:rFonts w:ascii="Times New Roman" w:cs="Times New Roman" w:eastAsia="Times New Roman" w:hAnsi="Times New Roman"/>
          <w:sz w:val="14"/>
          <w:szCs w:val="14"/>
          <w:color w:val="auto"/>
        </w:rPr>
        <w:t xml:space="preserve">) candidates. All internal manufacturing is performed under GMP guidelines. We also 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w:t>
      </w:r>
      <w:r>
        <w:rPr>
          <w:rFonts w:ascii="Times New Roman" w:cs="Times New Roman" w:eastAsia="Times New Roman" w:hAnsi="Times New Roman"/>
          <w:sz w:val="14"/>
          <w:szCs w:val="14"/>
          <w:i w:val="1"/>
          <w:iCs w:val="1"/>
          <w:color w:val="auto"/>
        </w:rPr>
        <w:t>BioNTainer</w:t>
      </w:r>
      <w:r>
        <w:rPr>
          <w:rFonts w:ascii="Times New Roman" w:cs="Times New Roman" w:eastAsia="Times New Roman" w:hAnsi="Times New Roman"/>
          <w:sz w:val="14"/>
          <w:szCs w:val="14"/>
          <w:color w:val="auto"/>
        </w:rPr>
        <w:t xml:space="preserve">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50" w:lineRule="exact"/>
        <w:rPr>
          <w:sz w:val="20"/>
          <w:szCs w:val="20"/>
          <w:color w:val="auto"/>
        </w:rPr>
      </w:pPr>
    </w:p>
    <w:p>
      <w:pPr>
        <w:jc w:val="both"/>
        <w:ind w:firstLine="444"/>
        <w:spacing w:after="0" w:line="284" w:lineRule="auto"/>
        <w:rPr>
          <w:sz w:val="20"/>
          <w:szCs w:val="20"/>
          <w:color w:val="auto"/>
        </w:rPr>
      </w:pPr>
      <w:r>
        <w:rPr>
          <w:rFonts w:ascii="Times New Roman" w:cs="Times New Roman" w:eastAsia="Times New Roman" w:hAnsi="Times New Roman"/>
          <w:sz w:val="14"/>
          <w:szCs w:val="14"/>
          <w:color w:val="auto"/>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COVID- 19 vaccine and increased internal manufacturing capacities. Significant inventory write-downs or redundant manufacturing expenses would negatively impact our results of operations.</w:t>
      </w:r>
    </w:p>
    <w:p>
      <w:pPr>
        <w:spacing w:after="0" w:line="4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regulatory and operational risks associated with the physical and digital infrastructure at both our internal manufacturing facilities and at those of our external service providers.</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7" w:name="page48"/>
    <w:bookmarkEnd w:id="4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COVID- 19 vaccine and certain of our product candidates rely on the availability of specialty raw materials, which may not be available to us on acceptable terms or at all.</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 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77"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169"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significant regulatory oversight with respect to manufacturing our products and product candidates. Our manufacturing facilities or the manufacturing facilities of our third -party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6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 sales revenue, cost overruns and delays to clinical timelines for our clinical programs, which could be extensive. Such production process issues include but are not limited to:</w:t>
      </w:r>
    </w:p>
    <w:p>
      <w:pPr>
        <w:spacing w:after="0" w:line="73" w:lineRule="exact"/>
        <w:rPr>
          <w:sz w:val="20"/>
          <w:szCs w:val="20"/>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critical deviations in the manufacturing process;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and equipment failures;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contamination of the product due to an ineffective quality control strategy;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contamination as assessed by the facility and utility environmental monitoring program;</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process, equipment or analytical change management, resulting in failed lot release criteria;</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raw material failures due to ineffective supplier qualification or regulatory compliance issues at critical suppliers;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product stability;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8" w:name="page49"/>
    <w:bookmarkEnd w:id="4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failed lot release or facility and utility quality control testing;</w:t>
      </w:r>
    </w:p>
    <w:p>
      <w:pPr>
        <w:spacing w:after="0" w:line="80" w:lineRule="exact"/>
        <w:rPr>
          <w:rFonts w:ascii="Times New Roman" w:cs="Times New Roman" w:eastAsia="Times New Roman" w:hAnsi="Times New Roman"/>
          <w:sz w:val="16"/>
          <w:szCs w:val="16"/>
          <w:color w:val="auto"/>
        </w:rPr>
      </w:pPr>
    </w:p>
    <w:p>
      <w:pPr>
        <w:ind w:left="720" w:right="200" w:hanging="234"/>
        <w:spacing w:after="0" w:line="244" w:lineRule="auto"/>
        <w:tabs>
          <w:tab w:leader="none" w:pos="7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corrective actions or preventative actions taken to correct or avoid critical deviations due to our developing understanding of the manufacturing process as we scale; and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failed or defective components or consumables.</w:t>
      </w:r>
    </w:p>
    <w:p>
      <w:pPr>
        <w:spacing w:after="0" w:line="8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59"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23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7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7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We also may encounter problems hiring and retaining the experienced scientific, quality-control and manufacturing personnel needed to operate our manufacturing processes and operations, which could result in delays in production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9" w:name="page50"/>
    <w:bookmarkEnd w:id="4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78"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6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71"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73"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8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77" w:lineRule="exact"/>
        <w:rPr>
          <w:sz w:val="20"/>
          <w:szCs w:val="20"/>
          <w:color w:val="auto"/>
        </w:rPr>
      </w:pPr>
    </w:p>
    <w:p>
      <w:pPr>
        <w:ind w:left="720" w:hanging="234"/>
        <w:spacing w:after="0"/>
        <w:tabs>
          <w:tab w:leader="none" w:pos="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staffing difficulties;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comply with contractual obligations;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regulatory compliance issues;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0" w:name="page51"/>
    <w:bookmarkEnd w:id="5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undergo changes in priorities or become financially distressed;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relationships with other entities, some of which may be our competitors;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human errors; 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cyberattacks.</w:t>
      </w:r>
    </w:p>
    <w:p>
      <w:pPr>
        <w:spacing w:after="0" w:line="8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 Each of the risks set forth above continues to be affected by the spread of COVID-19 globally, even as the virus begins to enter an endemic phase.</w:t>
      </w:r>
    </w:p>
    <w:p>
      <w:pPr>
        <w:spacing w:after="0" w:line="169"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6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68" w:lineRule="exact"/>
        <w:rPr>
          <w:sz w:val="20"/>
          <w:szCs w:val="20"/>
          <w:color w:val="auto"/>
        </w:rPr>
      </w:pPr>
    </w:p>
    <w:p>
      <w:pPr>
        <w:ind w:left="720" w:hanging="234"/>
        <w:spacing w:after="0"/>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perform or prioritize their obligations as expected;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trials conducted as part of such collaborations may not be successful;</w:t>
      </w:r>
    </w:p>
    <w:p>
      <w:pPr>
        <w:spacing w:after="0" w:line="80"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any product candidates and products that achieve regulatory approval or may elect not to continue or renew development or commercialization of programs based on clinical trial results, changes in the collaborators’ focus or available funding (for example, we are aware that there have been allegations that Fosun International Ltd., an affiliate of our collaboration partner Fosun Pharma, is facing liquidity risks), or external factors, such as an acquisition, that divert resources or create competing priorities;</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58"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58" w:lineRule="exact"/>
        <w:rPr>
          <w:rFonts w:ascii="Times New Roman" w:cs="Times New Roman" w:eastAsia="Times New Roman" w:hAnsi="Times New Roman"/>
          <w:sz w:val="16"/>
          <w:szCs w:val="16"/>
          <w:color w:val="auto"/>
        </w:rPr>
      </w:pPr>
    </w:p>
    <w:p>
      <w:pPr>
        <w:jc w:val="both"/>
        <w:ind w:left="720" w:hanging="234"/>
        <w:spacing w:after="0" w:line="234"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1" w:name="page52"/>
    <w:bookmarkEnd w:id="5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respect to such product candidates, or may result in litigation or arbitration, any of which would be time-consuming and expensive;</w:t>
      </w:r>
    </w:p>
    <w:p>
      <w:pPr>
        <w:spacing w:after="0" w:line="80" w:lineRule="exact"/>
        <w:rPr>
          <w:sz w:val="20"/>
          <w:szCs w:val="20"/>
          <w:color w:val="auto"/>
        </w:rPr>
      </w:pPr>
    </w:p>
    <w:p>
      <w:pPr>
        <w:ind w:left="720" w:right="40" w:hanging="234"/>
        <w:spacing w:after="0" w:line="244"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may arise with respect to the ownership of intellectual property developed pursuant to our collaborations;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infringe, misappropriate or otherwise violate the intellectual property rights of third parties, which may expose us to litigation and potential liability;</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58"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relationships may require us to incur non-recurring and other charges, increase our near- and long-term expenditures, issue securities that dilute our existing shareholders, or disrupt our management and business;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face significant competition in seeking appropriate collaborators, and the negotiation process is time-consuming and complex; and</w:t>
      </w:r>
    </w:p>
    <w:p>
      <w:pPr>
        <w:spacing w:after="0" w:line="80"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international operations through any future collaborations, acquisitions or joint ventures may expose us to certain operating, legal and other risks not encountered in Germany or the United States.</w:t>
      </w:r>
    </w:p>
    <w:p>
      <w:pPr>
        <w:spacing w:after="0" w:line="58"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establish collaborations on commercially reasonable terms, we may have to alter our research, development and commercialization plans.</w:t>
      </w:r>
    </w:p>
    <w:p>
      <w:pPr>
        <w:spacing w:after="0" w:line="119"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236"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2" w:name="page53"/>
    <w:bookmarkEnd w:id="5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6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entered into in-licensing arrangements and may form or seek to enter into additional licensing arrangements in the future, and we may not realize the benefits of such licensing arrangements.</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are a party to licenses that give us rights to third-party intellectual property, including patents and patent applications, that are necessary or useful for our business. In particular, we have obtained licenses from Acuitas Therapeutics,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71"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Disputes may also arise between us and our licensors regarding intellectual property subject to a license agreement, including:</w:t>
      </w:r>
    </w:p>
    <w:p>
      <w:pPr>
        <w:spacing w:after="0" w:line="92" w:lineRule="exact"/>
        <w:rPr>
          <w:sz w:val="20"/>
          <w:szCs w:val="20"/>
          <w:color w:val="auto"/>
        </w:rPr>
      </w:pPr>
    </w:p>
    <w:p>
      <w:pPr>
        <w:ind w:left="720" w:hanging="234"/>
        <w:spacing w:after="0"/>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our technology and processes infringe, misappropriate or otherwise violate the intellectual property of the licensor that is not subject to the licensing agreement;</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sublicense patent and other intellectual property rights to third parties under collaborative relationships;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58"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trade secrets, know-how and other intellectual property resulting from the joint creation or use of intellectual property by our licensors and us and our collaborators; and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 and</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amounts to be paid pursuant to certain program milestones being achieved or to royalty obligations, including the triggering of royalty obligations and amounts to be paid pursuant thereto.</w:t>
      </w:r>
    </w:p>
    <w:p>
      <w:pPr>
        <w:spacing w:after="0" w:line="5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5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3" w:name="page54"/>
    <w:bookmarkEnd w:id="5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and our collaborators rely on third parties to manufacture certain of our clinical product supplies, and we may have to rely on third parties to produce and process our product candidates, if approved.</w:t>
      </w:r>
    </w:p>
    <w:p>
      <w:pPr>
        <w:spacing w:after="0" w:line="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 scale manufacturing and processing for our other product candidates, if approved, and may be unable to create an inventory of mass-produced, off-the-shelf product to satisfy demands for our product candidates, if approved.</w:t>
      </w:r>
    </w:p>
    <w:p>
      <w:pPr>
        <w:spacing w:after="0" w:line="71"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addition, our reliance on a limited number of CMOs exposes us to the following risks:</w:t>
      </w:r>
    </w:p>
    <w:p>
      <w:pPr>
        <w:spacing w:after="0" w:line="92" w:lineRule="exact"/>
        <w:rPr>
          <w:sz w:val="20"/>
          <w:szCs w:val="20"/>
          <w:color w:val="auto"/>
        </w:rPr>
      </w:pPr>
    </w:p>
    <w:p>
      <w:pPr>
        <w:jc w:val="both"/>
        <w:ind w:left="720" w:right="20" w:hanging="234"/>
        <w:spacing w:after="0" w:line="230"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CMOs might be unable to timely formulate and manufacture our product or produce the quantity and quality required to meet our clinical and commercial needs, if any;</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CMOs may not be able to execute our manufacturing procedures appropriately;</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CMOs may not perform as agreed or may not remain in the contract manufacturing business for the time required to supply our clinical trials or to successfully produce, store and distribute our products;</w:t>
      </w:r>
    </w:p>
    <w:p>
      <w:pPr>
        <w:spacing w:after="0" w:line="58"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own, or may have to share, the intellectual property rights to any improvements made in the manufacturing process for our products;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CMOs could breach or terminate their agreement with us;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CMOs would also be subject to the same risks we face in developing our own manufacturing capabilities, as described above.</w:t>
      </w:r>
    </w:p>
    <w:p>
      <w:pPr>
        <w:spacing w:after="0" w:line="80"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Each of these risks could delay our clinical trials, the approval, if any, of our COVID -19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71"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Certain of our collaborators currently rely on CMOs located outside of the United States to manufacture their clinical materials, and we expect to rely on CMOs located outside of the United States in the future. Such ex-U.S. CMOs may be subject to or affected by U.S. legislation, executive orders, regulations, or investigations, including but not limited to the proposed BIOSECURE Act,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141"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single source suppliers for some of the components and materials used in, and the processes required to develop, our COVID-19 vaccine and our product candidates.</w:t>
      </w:r>
    </w:p>
    <w:p>
      <w:pPr>
        <w:spacing w:after="0" w:line="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currently depend on single source suppliers for some of the components and materials used in, and manufacturing processes required to develop, our COVID-19 vaccine and our product candidates. We cannot ensure that these suppliers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4" w:name="page55"/>
    <w:bookmarkEnd w:id="5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7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59"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Our reliance on these suppliers, service providers and manufacturers subjects us to a number of risks that could harm our reputation, business and financial condition, including, among other things:</w:t>
      </w:r>
    </w:p>
    <w:p>
      <w:pPr>
        <w:spacing w:after="0" w:line="59" w:lineRule="exact"/>
        <w:rPr>
          <w:sz w:val="20"/>
          <w:szCs w:val="20"/>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to the development timelines for our product candidates;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supply resulting from modifications to or discontinuation of a supplier’s operations;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product shipments resulting from uncorrected defects, reliability issues, or a supplier’s variation in a component;</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lack of long-term supply arrangements for key components with our suppliers;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adequate supply in a timely manner, or to obtain adequate supply on commercially reasonable terms;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and cost associated with locating and qualifying alternative suppliers for our components in a timely manner;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delays related to the evaluation and testing of components from alternative suppliers, and corresponding regulatory qualifications;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 in delivery due to our suppliers’ prioritizing other customer orders over ours;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our reputation caused by defective components produced by our suppliers;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delivery by our suppliers due to changes in demand from us or their other customers.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any of these risks materialize, costs could significantly increase and our ability to meet demand for our products could be impacted.</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78"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COVID- 19 vaccine or one or more of our product candidates without infringing, misappropriating or otherwise violating the intellectual property or other proprietary rights of our competitors or any other third parties,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5" w:name="page56"/>
    <w:bookmarkEnd w:id="5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including any non -practicing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23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77"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71" w:lineRule="exact"/>
        <w:rPr>
          <w:sz w:val="20"/>
          <w:szCs w:val="20"/>
          <w:color w:val="auto"/>
        </w:rPr>
      </w:pPr>
    </w:p>
    <w:p>
      <w:pPr>
        <w:jc w:val="both"/>
        <w:ind w:left="720" w:right="20" w:hanging="234"/>
        <w:spacing w:after="0" w:line="234"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USPTO and various other governmental patent agencies require compliance with a number of procedural, documentary, fee payment 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may not result in any patents being issued;</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of issued patents that we own (solely or jointly) or have in-licensed may be challenged, invalidated, modified, revoked, circumvented, found to be unenforceable or otherwise may not provide any competitive advantage;</w:t>
      </w:r>
    </w:p>
    <w:p>
      <w:pPr>
        <w:spacing w:after="0" w:line="58"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parties may have designed around our patent claims or developed technologies that may be related or competitive to our COVID-19 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successful opposition to claims of any patents owned by or in-licensed to us could deprive us of rights necessary for the development and exploitation of our COVID-19 vaccine or our product candidates and other technologies, or the successful commercialization of any product candidates and other technologies that we may develop;</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58" w:lineRule="exact"/>
        <w:rPr>
          <w:rFonts w:ascii="Times New Roman" w:cs="Times New Roman" w:eastAsia="Times New Roman" w:hAnsi="Times New Roman"/>
          <w:sz w:val="16"/>
          <w:szCs w:val="16"/>
          <w:color w:val="auto"/>
        </w:rPr>
      </w:pPr>
    </w:p>
    <w:p>
      <w:pPr>
        <w:jc w:val="both"/>
        <w:ind w:left="720" w:hanging="234"/>
        <w:spacing w:after="0" w:line="234"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6" w:name="page57"/>
    <w:bookmarkEnd w:id="5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720" w:right="20" w:hanging="234"/>
        <w:spacing w:after="0" w:line="234"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30"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62"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58" w:lineRule="exact"/>
        <w:rPr>
          <w:sz w:val="20"/>
          <w:szCs w:val="20"/>
          <w:color w:val="auto"/>
        </w:rPr>
      </w:pPr>
    </w:p>
    <w:p>
      <w:pPr>
        <w:jc w:val="both"/>
        <w:ind w:right="20" w:firstLine="384"/>
        <w:spacing w:after="0" w:line="278"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231"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 how, and technology, which are not protected by patents, to maintain our competitive position. If any trade secret, know -how or other technology not protected by a patent were to be disclosed to or independently developed by a competitor, our business and financial condition could be materially adversely affected.</w:t>
      </w:r>
    </w:p>
    <w:p>
      <w:pPr>
        <w:spacing w:after="0" w:line="77"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for example, various third parties have filed opposition papers challenging our issued EP patent number 2714071, which relates to our iNeST product candidates, and whose claims recite steps relating to neoantigen selection. While the claims of our issued EP patent 2714071 were upheld after opposition, there is currently a pending appeal against the opposition decision.Such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7" w:name="page58"/>
    <w:bookmarkEnd w:id="5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7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Furthermore, patents or other intellectual property rights that we may be able to secure for our COVID -19 vaccine or our other COVID-19 vaccine candidates could be restricted or preempted if governments determine that they will not enforce, or will require compulsory licensing of, technologies useful to address the spread of COVID-19.</w:t>
      </w:r>
    </w:p>
    <w:p>
      <w:pPr>
        <w:spacing w:after="0" w:line="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degree of future protection for our intellectual property and other proprietary rights is uncertain, and we cannot ensure that:</w:t>
      </w:r>
    </w:p>
    <w:p>
      <w:pPr>
        <w:spacing w:after="0" w:line="92" w:lineRule="exact"/>
        <w:rPr>
          <w:sz w:val="20"/>
          <w:szCs w:val="20"/>
          <w:color w:val="auto"/>
        </w:rPr>
      </w:pPr>
    </w:p>
    <w:p>
      <w:pPr>
        <w:ind w:left="720" w:hanging="234"/>
        <w:spacing w:after="0" w:line="244"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patents, or any of our pending patent applications, if issued, or those of our licensors, will include claims having a scope sufficient to protect our product(s), our product candidates and other technologies;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pending patent applications or those of our licensors may issue as patents;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will not or may not be able to make, use, offer to sell or sell products that are the same as or similar to our own but that are not covered by the claims of the patents that we own or license;</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able to successfully commercialize our products on a substantial scale, if approved, before the relevant patents that we own or license expire;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were the first to make the inventions covered by each of the patents and pending patent applications that we own or license;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our co-owners or our licensors were the first to file patent applications for these inventions;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will not develop similar or alternative products or technologies that do not infringe the patents we own or license;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claims of patents we own or license will be found to ultimately be valid and enforceable;</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patents issued to us or our licensors will provide a basis for an exclusive market for our commercially viable product candidates and other technologies or will provide us with any competitive advantages;</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third party may not challenge the claims of patents we own or license and, if challenged, a court would hold that such patent claims are valid, enforceable and infringed;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develop or in-license additional proprietary technologies that are patentable;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will not have an adverse effect on our ability to issue patents, or otherwise on our business;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do not conduct research, development, testing or commercialization activities in countries where we do not have enforceable patent rights and then use the information learned from such activities to develop competitive products for sale in our major commercial markets;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develop additional proprietary technologies, product(s) or product candidates that are separately patentable; 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8" w:name="page59"/>
    <w:bookmarkEnd w:id="5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hanging="234"/>
        <w:spacing w:after="0" w:line="244" w:lineRule="auto"/>
        <w:tabs>
          <w:tab w:leader="none" w:pos="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collaborators’, development and commercialization activities, including our manufacturing processes, or products will not infringe patents of our competitors or any other third parties, including any non-practicing entities or patent assertion entities.</w:t>
      </w:r>
    </w:p>
    <w:p>
      <w:pPr>
        <w:spacing w:after="0" w:line="150" w:lineRule="exact"/>
        <w:rPr>
          <w:sz w:val="20"/>
          <w:szCs w:val="20"/>
          <w:color w:val="auto"/>
        </w:rPr>
      </w:pPr>
    </w:p>
    <w:p>
      <w:pPr>
        <w:jc w:val="both"/>
        <w:ind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7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For example, various third parties have filed oppositions challenging our issued EP patent 2714071 which relates to our iNeST product candidates, and whose claims recite steps relating to neoantigen selection. While the patent was upheld through the opposition proceedings, some of the opposing parties have appealed that decision.</w:t>
      </w:r>
    </w:p>
    <w:p>
      <w:pPr>
        <w:spacing w:after="0" w:line="74" w:lineRule="exact"/>
        <w:rPr>
          <w:sz w:val="20"/>
          <w:szCs w:val="20"/>
          <w:color w:val="auto"/>
        </w:rPr>
      </w:pPr>
    </w:p>
    <w:p>
      <w:pPr>
        <w:jc w:val="both"/>
        <w:ind w:firstLine="336"/>
        <w:spacing w:after="0" w:line="237" w:lineRule="auto"/>
        <w:rPr>
          <w:sz w:val="20"/>
          <w:szCs w:val="20"/>
          <w:color w:val="auto"/>
        </w:rPr>
      </w:pPr>
      <w:r>
        <w:rPr>
          <w:rFonts w:ascii="Times New Roman" w:cs="Times New Roman" w:eastAsia="Times New Roman" w:hAnsi="Times New Roman"/>
          <w:sz w:val="16"/>
          <w:szCs w:val="16"/>
          <w:color w:val="auto"/>
        </w:rPr>
        <w:t>Additionally, we face ongoing COVID-19 vaccine-related patent litigation. Alnylam Pharmaceuticals Inc. has brought litigation against us and Pfizer regarding U.S. Patent Nos. 11,245,933; 11,382,979; 11,633,479; 11,633,480; 11,612,657; and 11,590,229, the latter five of which are continuations of the ‘933 Patent. In addition, CureVac SE initiated litigation against us regarding European patents 1857122B1 and 3708668B1 (EP’122 and EP’668 Patents), and three German utility models, or the CureVac IP, in Germany, and then a subsequent litigation was brought by us and Pfizer in the United States regarding U.S. Patent Nos. 11,135,312, 11,149,278 and 11,241,493 that are “U.S. counterparts” to the CureVac IP. CureVac responded with counterclaims asserting infringement of seven additional U.S. patents, U.S. Patent Nos. 10,760,070; 11,286,492; 11,345,920; 11,471,525; 11,576,966; 11,596,686, and 11,667,910. BioNTech and Pfizer also initiated proceedings seeking the revocation of the EP’122 and EP’668 Patents in the Business and Property Courts of England and Wales. In addition, BioNTech filed a nullity action in the Federal Patent Court of Germany seeking a declaration that the EP’122 Patent is invalid, initiated cancellation actions against the CureVac IP in the German Patent and Trademark Office, and filed an opposition proceeding in the European Patent Office seeking the revocation of EP’668. CureVac initiated a second litigation against us in Germany regarding European patent EP4023755B1 (EP’755 Patent), and two Utility Models DE202021004123U1 and DE202021004130U1. BioNTech filed an opposition proceeding seeing the revocation of EP’755 and cancellation actions against DE’123 and DE’130. ModernaTX, Inc., or Moderna, has brought litigation against us and Pfizer regarding European patents 3590949B1 and 3718565B1 (EP’949 and EP’565 Patents) in Germany, England and Wales, the Netherlands, Ireland, and Belgium, and regarding U.S. Patent Nos. 10,898,574,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9" w:name="page60"/>
    <w:bookmarkEnd w:id="5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 xml:space="preserve">10,702,600, and 10,933,127 in the United States. BioNTech and Pfizer also initiated proceedings seeking the revocation of the EP’949 and EP’565 Patents in the Business and Property Courts of England and Wales and have filed opposition proceedings in the European Patent Office seeking the revocation of the EP’949 and EP’565 Patents. BioNTech and Pfizer have filed petitions for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before the Patent Trial and Appeal Board in the U.S. with respect to U.S. Patent Nos. 10,702,600 and 10,933,127. Arbutus Biopharma Corp. and Genevant Sciences GmbH have brought litigation against us and Pfizer in the United States regarding U.S. Patent Nos. 9,504,651; 8,492,359; 11,141,378; 11,298,320; and 11,318,098. Promosome initiated litigation against us and Pfizer in the United States regarding U.S. Patent No. 8,853,179; it has since been dismissed with prejudice. We cannot guarantee that we will not become subject to additional COVID -19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w:t>
      </w:r>
    </w:p>
    <w:p>
      <w:pPr>
        <w:spacing w:after="0" w:line="80"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We expect that we will continue to be subject to similar proceedings or priority disputes, including oppositions, in Europe or other jurisdictions relating to patents and patent applications in our portfolio.</w:t>
      </w:r>
    </w:p>
    <w:p>
      <w:pPr>
        <w:spacing w:after="0" w:line="59"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If we, our co-owners, our partners or our licensors are unsuccessful in any interference proceedings or other priority or validity disputes, including any derivations, post -grant review, inter partes review or oppositions, to which we or they are subject, we may lose valuable intellectual property rights through the narrowing or loss of one or more patents owned or in-licensed, or our owned or in -licensed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7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168"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55"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0" w:name="page61"/>
    <w:bookmarkEnd w:id="6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73"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23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Moreover, some of our owned patents and patent applications are, and may in the future be, co-owned with third parties. If we are unable to obtain, or continue to maintain, exclusive rights to any such third- party co-owners’ interest in such patents or patent applications, such co -owners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73"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The lifespans of our patents may not be sufficient to effectively protect our products or product candidates, technologies and business.</w:t>
      </w:r>
    </w:p>
    <w:p>
      <w:pPr>
        <w:spacing w:after="0" w:line="96"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1" w:name="page62"/>
    <w:bookmarkEnd w:id="6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and data exclusivity for any product candidates we may develop, our business may be materially harmed.</w:t>
      </w:r>
    </w:p>
    <w:p>
      <w:pPr>
        <w:spacing w:after="0" w:line="96"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28"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77" w:lineRule="exact"/>
        <w:rPr>
          <w:sz w:val="20"/>
          <w:szCs w:val="20"/>
          <w:color w:val="auto"/>
        </w:rPr>
      </w:pPr>
    </w:p>
    <w:p>
      <w:pPr>
        <w:jc w:val="both"/>
        <w:ind w:firstLine="384"/>
        <w:spacing w:after="0" w:line="273" w:lineRule="auto"/>
        <w:rPr>
          <w:sz w:val="20"/>
          <w:szCs w:val="20"/>
          <w:color w:val="auto"/>
        </w:rPr>
      </w:pPr>
      <w:r>
        <w:rPr>
          <w:rFonts w:ascii="Times New Roman" w:cs="Times New Roman" w:eastAsia="Times New Roman" w:hAnsi="Times New Roman"/>
          <w:sz w:val="14"/>
          <w:szCs w:val="14"/>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3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Moreover, we may disagree from time to time with licensors or collaborators regarding, among other things, the interpretation of each party’s obligations or the amounts payable under our agreements. For example, we are in ongoing discussions with the University of Pennsylvania and the National Institute of Health, or NIH, concerning royalties and other related amounts allegedly owed on sales of our COVID- 19 vaccine since commercialization. We and the NIH have exchanged detailed characterizations of our positions and NIH has delivered a communication threatening to send a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2" w:name="page63"/>
    <w:bookmarkEnd w:id="6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of default for breach of our agreement. While we disagree with the positions being taken by the University of Pennsylvania and NIH, the ultimate outcome of these matters is uncertain and we cannot guarantee that our interpretation of these license agreements will prevail, or that we will not ultimately need to pay some or all of the royalty and other related amounts in dispute.</w:t>
      </w:r>
    </w:p>
    <w:p>
      <w:pPr>
        <w:spacing w:after="0" w:line="68" w:lineRule="exact"/>
        <w:rPr>
          <w:sz w:val="20"/>
          <w:szCs w:val="20"/>
          <w:color w:val="auto"/>
        </w:rPr>
      </w:pPr>
    </w:p>
    <w:p>
      <w:pPr>
        <w:jc w:val="both"/>
        <w:ind w:firstLine="384"/>
        <w:spacing w:after="0" w:line="272" w:lineRule="auto"/>
        <w:rPr>
          <w:sz w:val="20"/>
          <w:szCs w:val="20"/>
          <w:color w:val="auto"/>
        </w:rPr>
      </w:pPr>
      <w:r>
        <w:rPr>
          <w:rFonts w:ascii="Times New Roman" w:cs="Times New Roman" w:eastAsia="Times New Roman" w:hAnsi="Times New Roman"/>
          <w:sz w:val="14"/>
          <w:szCs w:val="14"/>
          <w:color w:val="auto"/>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200" w:lineRule="exact"/>
        <w:rPr>
          <w:sz w:val="20"/>
          <w:szCs w:val="20"/>
          <w:color w:val="auto"/>
        </w:rPr>
      </w:pPr>
    </w:p>
    <w:p>
      <w:pPr>
        <w:spacing w:after="0" w:line="223"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 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136"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Some of our in- 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68"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3" w:name="page64"/>
    <w:bookmarkEnd w:id="6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 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166"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68" w:lineRule="exact"/>
        <w:rPr>
          <w:sz w:val="20"/>
          <w:szCs w:val="20"/>
          <w:color w:val="auto"/>
        </w:rPr>
      </w:pPr>
    </w:p>
    <w:p>
      <w:pPr>
        <w:jc w:val="both"/>
        <w:ind w:firstLine="384"/>
        <w:spacing w:after="0" w:line="273" w:lineRule="auto"/>
        <w:rPr>
          <w:sz w:val="20"/>
          <w:szCs w:val="20"/>
          <w:color w:val="auto"/>
        </w:rPr>
      </w:pPr>
      <w:r>
        <w:rPr>
          <w:rFonts w:ascii="Times New Roman" w:cs="Times New Roman" w:eastAsia="Times New Roman" w:hAnsi="Times New Roman"/>
          <w:sz w:val="14"/>
          <w:szCs w:val="14"/>
          <w:color w:val="auto"/>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 -licensed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331"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55" w:lineRule="exact"/>
        <w:rPr>
          <w:sz w:val="20"/>
          <w:szCs w:val="20"/>
          <w:color w:val="auto"/>
        </w:rPr>
      </w:pPr>
    </w:p>
    <w:p>
      <w:pPr>
        <w:jc w:val="both"/>
        <w:ind w:firstLine="384"/>
        <w:spacing w:after="0" w:line="272" w:lineRule="auto"/>
        <w:rPr>
          <w:sz w:val="20"/>
          <w:szCs w:val="20"/>
          <w:color w:val="auto"/>
        </w:rPr>
      </w:pPr>
      <w:r>
        <w:rPr>
          <w:rFonts w:ascii="Times New Roman" w:cs="Times New Roman" w:eastAsia="Times New Roman" w:hAnsi="Times New Roman"/>
          <w:sz w:val="14"/>
          <w:szCs w:val="14"/>
          <w:color w:val="auto"/>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6"/>
          <w:szCs w:val="16"/>
          <w:color w:val="auto"/>
        </w:rPr>
        <w:t>(1),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4" w:name="page65"/>
    <w:bookmarkEnd w:id="6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77"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COVID- 19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69"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be involved in lawsuits or other legal proceedings to protect or enforce our intellectual property or the intellectual property of our licensors, or to defend against third -party claims that we infringe, misappropriate or otherwise violate such third party’s intellectual property, each of which could be expensive, time consuming and unsuccessful.</w:t>
      </w:r>
    </w:p>
    <w:p>
      <w:pPr>
        <w:spacing w:after="0" w:line="6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 consuming. In certain instances, we have instituted and may in the future institute inter partes review proceedings against issued U.S. patents and opposition proceedings against European patents owned by third parties. We have a number of opposition proceedings ongoing at the European Patent Office against third-party patents related to mRNA technologies; also, multiple oppositions have been filed against our EP patent number 2714071, which relates to our iNeST product candidates, and whose claims recite steps relating to neoantigen selection. While the claims of our issued EP patent 2714071 were upheld after opposition, there is currently an appeal pending.As the biotechnology and pharmaceutical industries expand and more patents are issued, the risk increases that our products, product candidates and services may be subject to claims of infringement of the patent rights of third parties.</w:t>
      </w:r>
    </w:p>
    <w:p>
      <w:pPr>
        <w:spacing w:after="0" w:line="7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color w:val="auto"/>
        </w:rPr>
        <w:t>In addition, in a patent infringement proceeding, our owned or in -licensed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5" w:name="page66"/>
    <w:bookmarkEnd w:id="6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 U.S. patent offices and may result in the revocation, cancellation or amendment of any ex- 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7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SE, Alnylam Pharmaceuticals, Inc., ModernaTX, Inc., Arbutus Biopharma Corp. and Genevant Sciences GmbH regarding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73"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6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Such licenses are likely to be non -exclusive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6" w:name="page67"/>
    <w:bookmarkEnd w:id="6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6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6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55"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72"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patent law in the United States or in other countries could diminish the value of patents in general, thereby impairing our ability to protect our products.</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7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7" w:name="page68"/>
    <w:bookmarkEnd w:id="6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71" w:lineRule="exact"/>
        <w:rPr>
          <w:sz w:val="20"/>
          <w:szCs w:val="20"/>
          <w:color w:val="auto"/>
        </w:rPr>
      </w:pPr>
    </w:p>
    <w:p>
      <w:pPr>
        <w:jc w:val="both"/>
        <w:ind w:firstLine="384"/>
        <w:spacing w:after="0" w:line="236" w:lineRule="auto"/>
        <w:rPr>
          <w:sz w:val="20"/>
          <w:szCs w:val="20"/>
          <w:color w:val="auto"/>
        </w:rPr>
      </w:pPr>
      <w:r>
        <w:rPr>
          <w:rFonts w:ascii="Times New Roman" w:cs="Times New Roman" w:eastAsia="Times New Roman" w:hAnsi="Times New Roman"/>
          <w:sz w:val="16"/>
          <w:szCs w:val="16"/>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 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172" w:lineRule="exact"/>
        <w:rPr>
          <w:sz w:val="20"/>
          <w:szCs w:val="20"/>
          <w:color w:val="auto"/>
        </w:rPr>
      </w:pPr>
    </w:p>
    <w:p>
      <w:pPr>
        <w:ind w:right="4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55"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 -how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8" w:name="page69"/>
    <w:bookmarkEnd w:id="6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or ownership of our patents and other intellectual property.</w:t>
      </w:r>
    </w:p>
    <w:p>
      <w:pPr>
        <w:spacing w:after="0" w:line="9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7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16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9" w:name="page70"/>
    <w:bookmarkEnd w:id="6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80"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5"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 to our competitive advantage.</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9" w:lineRule="exact"/>
        <w:rPr>
          <w:sz w:val="20"/>
          <w:szCs w:val="20"/>
          <w:color w:val="auto"/>
        </w:rPr>
      </w:pPr>
    </w:p>
    <w:p>
      <w:pPr>
        <w:jc w:val="both"/>
        <w:ind w:left="720" w:right="20" w:hanging="234"/>
        <w:spacing w:after="0" w:line="234" w:lineRule="auto"/>
        <w:tabs>
          <w:tab w:leader="none" w:pos="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COVID-19 vaccines or therapies, and/or personalized cancer immunotherapies that are similar to our COVID-19 vaccine and/or any product candidates we may develop and commercialize or utilize similar technologies that are not covered by the claims of the patents that we now or may in the future own or have exclusively in-licensed;</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our co-owners or our licensors or future collaborators might not have been the first to make the inventions covered by the issued patents or pending patent applications that we own or have exclusively in-licensed;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co-owners or our licensors or future collaborators might not have been the first to file patent applications covering certain of our or their inventions;</w:t>
      </w:r>
    </w:p>
    <w:p>
      <w:pPr>
        <w:spacing w:after="0" w:line="103" w:lineRule="exact"/>
        <w:rPr>
          <w:rFonts w:ascii="Times New Roman" w:cs="Times New Roman" w:eastAsia="Times New Roman" w:hAnsi="Times New Roman"/>
          <w:sz w:val="14"/>
          <w:szCs w:val="14"/>
          <w:color w:val="auto"/>
        </w:rPr>
      </w:pPr>
    </w:p>
    <w:p>
      <w:pPr>
        <w:ind w:left="720" w:right="20" w:hanging="234"/>
        <w:spacing w:after="0" w:line="244" w:lineRule="auto"/>
        <w:tabs>
          <w:tab w:leader="none" w:pos="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owned or in-licensed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0" w:name="page71"/>
    <w:bookmarkEnd w:id="7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pending patent applications or those that we may own or in-license in the future will not lead to issued patents;</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of issued patents that we own or have exclusively in-licensed may be held invalid or unenforceable, including as a result of legal challenges by our competitors;</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development, testing or commercialization activities in countries where we do not have patent rights and then use the information learned from such activities to develop competitive products for sale in our major commercial markets;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not to file a patent in order to maintain certain trade secrets or know-how, and a third party may subsequently file a patent covering such intellectual property.</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Should any of these events occur, they could have a material adverse effect on our business, financial condition, results of operations and prospects.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Government Regulation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develop or obtain approval for companion diagnostics required for commercialization of some of our product candidates.</w:t>
      </w:r>
    </w:p>
    <w:p>
      <w:pPr>
        <w:spacing w:after="0" w:line="9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77"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172"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6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1" w:name="page72"/>
    <w:bookmarkEnd w:id="7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may not achieve the pre-specified endpoint to a degree of statistical significance in any pivotal or other clinical trials we or our collaborators may conduct for our programs. Further, even if we do achieve the pre- 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169"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FDA, the EMA or other comparable regulatory authorities may disagree with our regulatory plan and we may fail to obtain regulatory approval of our product candidates.</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7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Our clinical trial results may also not support approval. In addition, our product candidates could fail to receive regulatory approval for many reasons, including the following:</w:t>
      </w:r>
    </w:p>
    <w:p>
      <w:pPr>
        <w:spacing w:after="0" w:line="59" w:lineRule="exact"/>
        <w:rPr>
          <w:sz w:val="20"/>
          <w:szCs w:val="20"/>
          <w:color w:val="auto"/>
        </w:rPr>
      </w:pPr>
    </w:p>
    <w:p>
      <w:pPr>
        <w:ind w:left="720" w:hanging="234"/>
        <w:spacing w:after="0"/>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the EMA or comparable regulatory authorities may disagree with the design or implementation of our clinical trials;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to the satisfaction of the FDA, the EMA or comparable regulatory authorities that our product candidates are safe and effective for any of their proposed indications;</w:t>
      </w:r>
    </w:p>
    <w:p>
      <w:pPr>
        <w:spacing w:after="0" w:line="58"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that our product candidates’ clinical and other benefits outweigh their safety risks;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the EMA or comparable regulatory authorities may disagree with our interpretation of data from preclinical studies or clinical trials;</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the EMA or comparable regulatory authorities will inspect our manufacturing facilities and may not approve our facilities or our manufacturing processes and controls; and</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the EMA or comparable regulatory authorities may significantly change in a manner rendering our clinical data insufficient for approval.</w:t>
      </w:r>
    </w:p>
    <w:p>
      <w:pPr>
        <w:spacing w:after="0" w:line="150"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6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2" w:name="page73"/>
    <w:bookmarkEnd w:id="7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151" w:lineRule="exact"/>
        <w:rPr>
          <w:sz w:val="20"/>
          <w:szCs w:val="20"/>
          <w:color w:val="auto"/>
        </w:rPr>
      </w:pPr>
    </w:p>
    <w:p>
      <w:pPr>
        <w:jc w:val="both"/>
        <w:ind w:right="20"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8"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 -fee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3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66"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68"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We may seek a breakthrough therapy designation in the United States for one or more of our product candidates. A breakthrough therapy is defined as a drug that is intended, alone or in combination with one or more other drugs,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4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7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3" w:name="page74"/>
    <w:bookmarkEnd w:id="7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expect some of the product candidates we develop will be regulated as biologics in the United States and therefore they may be subject to competition from biosimilars approved through an abbreviated regulatory pathway.</w:t>
      </w:r>
    </w:p>
    <w:p>
      <w:pPr>
        <w:spacing w:after="0" w:line="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ACA includes a subtitle called the Biologics Price Competition and Innovation Act of 2009, or the BPCIA, which created an abbreviated approval pathway for biological products that are biosimilar to or interchangeable with an FDA -approved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71"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9"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2"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74"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4" w:name="page75"/>
    <w:bookmarkEnd w:id="7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66"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68"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235"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73"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 -approval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7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obtain regulatory approval for our product candidates under applicable international regulatory requirements.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denial or delay of such approval would delay commercialization of our product candidates and adversely impact our potential to generate revenue, our business and our results of operations.</w:t>
      </w:r>
    </w:p>
    <w:p>
      <w:pPr>
        <w:spacing w:after="0" w:line="59"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Approval by the FDA in the United States, if obtained, does not ensure approval by regulatory authorities in other countries or jurisdictions. In order to market our products or product candidates in any other jurisdiction, we must establish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5" w:name="page76"/>
    <w:bookmarkEnd w:id="7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3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73"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6"/>
          <w:szCs w:val="16"/>
          <w:color w:val="auto"/>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executed batch records for the production of biological products or other records or documents that set forth detailed information about the manufacturing process. If these records are disclosed, lost, or diverted to third parties or competitors during the application preparation process, this could negatively affect our ability to protect our intellectual property.</w:t>
      </w:r>
    </w:p>
    <w:p>
      <w:pPr>
        <w:spacing w:after="0" w:line="73" w:lineRule="exact"/>
        <w:rPr>
          <w:sz w:val="20"/>
          <w:szCs w:val="20"/>
          <w:color w:val="auto"/>
        </w:rPr>
      </w:pPr>
    </w:p>
    <w:p>
      <w:pPr>
        <w:jc w:val="both"/>
        <w:ind w:right="20" w:firstLine="336"/>
        <w:spacing w:after="0" w:line="241" w:lineRule="auto"/>
        <w:rPr>
          <w:sz w:val="20"/>
          <w:szCs w:val="20"/>
          <w:color w:val="auto"/>
        </w:rPr>
      </w:pPr>
      <w:r>
        <w:rPr>
          <w:rFonts w:ascii="Times New Roman" w:cs="Times New Roman" w:eastAsia="Times New Roman" w:hAnsi="Times New Roman"/>
          <w:sz w:val="16"/>
          <w:szCs w:val="16"/>
          <w:color w:val="auto"/>
        </w:rPr>
        <w:t>Our partners in different countries are subject to local regulatory requirements on the manufacturing and distribution of drugs and the implementation of clinical and non-clinical research. These include but are not limited to good manufacturing, distribution, laboratory, and clinical practice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165"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third-party investigational product candidate used in combination with our product candidates may be unable to obtain regulatory approval, which may delay commercialization of our product candidates.</w:t>
      </w:r>
    </w:p>
    <w:p>
      <w:pPr>
        <w:spacing w:after="0" w:line="55"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23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60"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6" w:name="page77"/>
    <w:bookmarkEnd w:id="7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fail to comply with regulatory requirements or experience unanticipated problems with our products or product candidates.</w:t>
      </w:r>
    </w:p>
    <w:p>
      <w:pPr>
        <w:spacing w:after="0" w:line="96"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231F20"/>
        </w:rPr>
        <w:t xml:space="preserve">Our COVID-19 vaccine </w:t>
      </w:r>
      <w:r>
        <w:rPr>
          <w:rFonts w:ascii="Times New Roman" w:cs="Times New Roman" w:eastAsia="Times New Roman" w:hAnsi="Times New Roman"/>
          <w:sz w:val="14"/>
          <w:szCs w:val="14"/>
          <w:color w:val="000000"/>
        </w:rPr>
        <w:t>and any other product candidates for which we receive approval or emergency use authorization are subject to continuing regulatory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we fail to comply with applicable regulatory requirements following approval of any of our product candidates, a regulatory agency may:</w:t>
      </w:r>
    </w:p>
    <w:p>
      <w:pPr>
        <w:spacing w:after="0" w:line="92" w:lineRule="exact"/>
        <w:rPr>
          <w:sz w:val="20"/>
          <w:szCs w:val="20"/>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 warning letter asserting that we are in violation of the law;</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an injunction or impose civil or criminal penalties or monetary fines;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or withdraw regulatory approval or revoke a license;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any ongoing clinical studies;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refuse to approve a pending BLA (or comparable approval) or supplements to a BLA (or comparable approval) submitted by us;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seize product; 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refuse to allow us to enter into supply contracts, including government contracts.</w:t>
      </w:r>
    </w:p>
    <w:p>
      <w:pPr>
        <w:spacing w:after="0" w:line="80"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5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73"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7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Additionally, following regulatory approval of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Furthermore, if we or others later identify undesirable side effects caused by any product that we develop, several potentially significant negative consequences could result, including: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7" w:name="page78"/>
    <w:bookmarkEnd w:id="7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suspend or withdraw approvals or revoke licenses of such product;</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additional warnings on the label;</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change the way a product is administered or conduct additional clinical trials;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and their children;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w:t>
      </w:r>
    </w:p>
    <w:p>
      <w:pPr>
        <w:spacing w:after="0" w:line="8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59"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69"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74" w:lineRule="exact"/>
        <w:rPr>
          <w:sz w:val="20"/>
          <w:szCs w:val="20"/>
          <w:color w:val="auto"/>
        </w:rPr>
      </w:pPr>
    </w:p>
    <w:p>
      <w:pPr>
        <w:jc w:val="both"/>
        <w:ind w:left="720" w:hanging="234"/>
        <w:spacing w:after="0" w:line="226" w:lineRule="auto"/>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64"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public or private);</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8" w:name="page79"/>
    <w:bookmarkEnd w:id="7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hanging="234"/>
        <w:spacing w:after="0" w:line="244"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Food, Drug, and Cosmetic Act, which prohibits, among other things, the adulteration or misbranding of drugs, biologics and medical devices;</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Public Health Service Act, which prohibits, among other things, the introduction into interstate commerce of a biological product unless a biologics license is in effect for that product;</w:t>
      </w:r>
    </w:p>
    <w:p>
      <w:pPr>
        <w:spacing w:after="0" w:line="58" w:lineRule="exact"/>
        <w:rPr>
          <w:rFonts w:ascii="Times New Roman" w:cs="Times New Roman" w:eastAsia="Times New Roman" w:hAnsi="Times New Roman"/>
          <w:sz w:val="16"/>
          <w:szCs w:val="16"/>
          <w:color w:val="auto"/>
        </w:rPr>
      </w:pPr>
    </w:p>
    <w:p>
      <w:pPr>
        <w:jc w:val="both"/>
        <w:ind w:left="720" w:hanging="234"/>
        <w:spacing w:after="0" w:line="234"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62"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30"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Foreign Corrupt Practices Act of 1977, as amended, which prohibits, among other things, U.S. companies and their employees 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6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statutes, healthcare laws and regulations in the European Union and other jurisdictions, including reporting requirements detailing interactions with and payments to healthcare providers.</w:t>
      </w:r>
    </w:p>
    <w:p>
      <w:pPr>
        <w:spacing w:after="0" w:line="5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3" w:lineRule="exact"/>
        <w:rPr>
          <w:sz w:val="20"/>
          <w:szCs w:val="20"/>
          <w:color w:val="auto"/>
        </w:rPr>
      </w:pPr>
    </w:p>
    <w:p>
      <w:pPr>
        <w:ind w:right="4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anti-corruption, anti-money laundering, export control, sanctions, and other trade laws and regulations. We can face serious consequences for violations.</w:t>
      </w:r>
    </w:p>
    <w:p>
      <w:pPr>
        <w:spacing w:after="0" w:line="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9" w:name="page80"/>
    <w:bookmarkEnd w:id="7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stringent privacy laws, information security policies and contractual obligations governing the use, processing, and cross-border transfer of personal information and our data privacy and security practices.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receive, generate and store significant and increasing volumes of sensitive information, such as employee, personal and patient data.</w:t>
      </w:r>
    </w:p>
    <w:p>
      <w:pPr>
        <w:spacing w:after="0" w:line="9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7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73"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now only regulates transfer human genetic data generated in clinical research to foreign or foreign controlled parties), are relatively new and evolving, and their interpretation and application may be uncertain. In the United States, we may be subject to restrictions and requirements under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7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cannot guarantee that we are, or will be, in compliance with all applicable international regulations as they are enforced now or as they evolve. For example, our privacy policies may be insufficient to protect any personal information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0" w:name="page81"/>
    <w:bookmarkEnd w:id="8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35"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324"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5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0"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5"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1" w:name="page82"/>
    <w:bookmarkEnd w:id="8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6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and time- consuming and may require significant personnel resources. Therefore, even if we are successful in defending against any such actions that may be brought against us, our business may be impaired.</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Risks Related to Ownership of the ADSs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We have experienced and may continue to experience significant volatility in the market price of the ADSs representing our ordinary shares.</w:t>
      </w:r>
    </w:p>
    <w:p>
      <w:pPr>
        <w:spacing w:after="0" w:line="96"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 and commercialization activities. For example, during 2023, the closing sales price of the ADSs representing our ordinary shares on the Nasdaq Global Select Market ranged from $88.00 to $156.28,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 -19 vaccine is currently among the primary vaccines being used worldwide, any news regarding manufacturing, supply and distribution of our COVID -19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165"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59" w:lineRule="exact"/>
        <w:rPr>
          <w:sz w:val="20"/>
          <w:szCs w:val="20"/>
          <w:color w:val="auto"/>
        </w:rPr>
      </w:pPr>
    </w:p>
    <w:p>
      <w:pPr>
        <w:ind w:left="720" w:hanging="234"/>
        <w:spacing w:after="0"/>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 including difficulties associated with integrating new personnel;</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 strategic merger or acquisition;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products or product candidates and regulatory approvals;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2" w:name="page83"/>
    <w:bookmarkEnd w:id="8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line="244" w:lineRule="auto"/>
        <w:tabs>
          <w:tab w:leader="none" w:pos="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58" w:lineRule="exact"/>
        <w:rPr>
          <w:sz w:val="20"/>
          <w:szCs w:val="20"/>
          <w:color w:val="auto"/>
        </w:rPr>
      </w:pPr>
    </w:p>
    <w:p>
      <w:pPr>
        <w:jc w:val="both"/>
        <w:ind w:firstLine="384"/>
        <w:spacing w:after="0" w:line="287" w:lineRule="auto"/>
        <w:rPr>
          <w:sz w:val="20"/>
          <w:szCs w:val="20"/>
          <w:color w:val="auto"/>
        </w:rPr>
      </w:pPr>
      <w:r>
        <w:rPr>
          <w:rFonts w:ascii="Times New Roman" w:cs="Times New Roman" w:eastAsia="Times New Roman" w:hAnsi="Times New Roman"/>
          <w:sz w:val="14"/>
          <w:szCs w:val="14"/>
          <w:color w:val="auto"/>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There is no guarantee that we will realize any anticipated benefits of this or future acquisitions, or that the diversification of our business through acquired technology or products will be successful.</w:t>
      </w:r>
    </w:p>
    <w:p>
      <w:pPr>
        <w:spacing w:after="0" w:line="4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51"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55"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 This choice of forum provision will not apply to suits brought to enforce duties or liabilities created by the Securities Exchange Act of 1934, as amended, which already provides that such federal district courts have exclusive jurisdictions over such suits.</w:t>
      </w:r>
    </w:p>
    <w:p>
      <w:pPr>
        <w:spacing w:after="0" w:line="73"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168" w:lineRule="exact"/>
        <w:rPr>
          <w:sz w:val="20"/>
          <w:szCs w:val="20"/>
          <w:color w:val="auto"/>
        </w:rPr>
      </w:pPr>
    </w:p>
    <w:p>
      <w:pPr>
        <w:ind w:right="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deposit agreement provides that the depositary need not make rights available to you unless the distribution to ADS holders of both the rights and any related securities are either registered under the Securities Act or exempted from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3" w:name="page84"/>
    <w:bookmarkEnd w:id="8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The amount and frequency of our dividends and ADS repurchases may fluctuate.</w:t>
      </w:r>
    </w:p>
    <w:p>
      <w:pPr>
        <w:spacing w:after="0" w:line="96"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69"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55"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Our executive officers, directors, five percent shareholders, and their affiliates beneficially own a majority of our ordinary shares (including ordinary shares represented by ADSs) as of December 31, 2023,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166"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large number of shares eligible for sale or subject to rights requiring us to register them for sale could cause the market price of the ADSs to drop significantly, even if our business is performing well.</w:t>
      </w:r>
    </w:p>
    <w:p>
      <w:pPr>
        <w:spacing w:after="0" w:line="55"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6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If we are a “passive foreign investment company” for U.S. federal income tax purposes, there may be adverse U.S. federal income tax consequences to 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w:t>
      </w:r>
    </w:p>
    <w:p>
      <w:pPr>
        <w:spacing w:after="0" w:line="74"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Based on our income and assets, we believe that we should be treated as a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84" w:name="page85"/>
    <w:bookmarkEnd w:id="8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passive income for purposes of the PFIC test. For example, if we were to be characterized as a PFIC for U.S. federal income tax purposes in any taxable year during which a U.S. Holder (as defined in “Taxation —Material United States federal income tax considerations”)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intend to provide U.S. holders with the information necessary to make and maintain a QEF election for any taxable year in which we are treated as a PFIC. See “Taxation —Material United States federal income tax considerations —Passive foreign investment company considerations.”</w:t>
      </w:r>
    </w:p>
    <w:p>
      <w:pPr>
        <w:spacing w:after="0" w:line="4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Whether we are a PFIC for any taxable year will depend on the composition of our income and the composition and value of our assets from time to time. Each U.S. Holder is strongly urged to consult its tax advisor regarding these issues and any available elections to mitigate such tax consequences.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History and Development of the Company</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are committed to improving the health of people worldwide with our fundamental research and development of immunotherapies. Scientific rigor, innovation and passion are our driving forces. BioNTech was founded by scientists and physicians to translate science into survival by combining fundamental research and operational excellence.</w:t>
      </w:r>
    </w:p>
    <w:p>
      <w:pPr>
        <w:spacing w:after="0" w:line="162"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color w:val="auto"/>
        </w:rPr>
        <w:t>We were founded and incorporated on June 2, 2008 as Petersberg 91, V AG, a German stock corporation (</w:t>
      </w:r>
      <w:r>
        <w:rPr>
          <w:rFonts w:ascii="Times New Roman" w:cs="Times New Roman" w:eastAsia="Times New Roman" w:hAnsi="Times New Roman"/>
          <w:sz w:val="16"/>
          <w:szCs w:val="16"/>
          <w:i w:val="1"/>
          <w:iCs w:val="1"/>
          <w:color w:val="auto"/>
        </w:rPr>
        <w:t>Aktiengesellschaft</w:t>
      </w:r>
      <w:r>
        <w:rPr>
          <w:rFonts w:ascii="Times New Roman" w:cs="Times New Roman" w:eastAsia="Times New Roman" w:hAnsi="Times New Roman"/>
          <w:sz w:val="16"/>
          <w:szCs w:val="16"/>
          <w:color w:val="auto"/>
        </w:rPr>
        <w:t>). We changed our name to BioNTech AG on December 11, 2008. On March 8, 2019, we converted to a European stock corporation (</w:t>
      </w:r>
      <w:r>
        <w:rPr>
          <w:rFonts w:ascii="Times New Roman" w:cs="Times New Roman" w:eastAsia="Times New Roman" w:hAnsi="Times New Roman"/>
          <w:sz w:val="16"/>
          <w:szCs w:val="16"/>
          <w:i w:val="1"/>
          <w:iCs w:val="1"/>
          <w:color w:val="auto"/>
        </w:rPr>
        <w:t>Societas Europaea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SE</w:t>
      </w:r>
      <w:r>
        <w:rPr>
          <w:rFonts w:ascii="Times New Roman" w:cs="Times New Roman" w:eastAsia="Times New Roman" w:hAnsi="Times New Roman"/>
          <w:sz w:val="16"/>
          <w:szCs w:val="16"/>
          <w:color w:val="auto"/>
        </w:rPr>
        <w:t>)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16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principal executive offices are located at An der Goldgrube 12, D- 55131 Mainz, Germany. Our telephone number is +49 6131-9084- 0. Our website address is www.biontech.com. The information contained on, or that can be accessed through, our website is not part of this document. Our agent for service of solely for the purpose of notices and communications from the Securities and Exchange Commission in the United States is c/o BioNTech US Inc., 40 Erie Street, Suite 110, Cambridge, Massachusetts 02139, +1 (617) 337-4701.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5" w:name="page86"/>
    <w:bookmarkEnd w:id="8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Business Overview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 Overview</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are a global next- generation immunotherapy company pioneering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(AI) and machine learning (ML) capabilities to discover, develop and commercialize our marketed products and product candidates.</w:t>
      </w:r>
    </w:p>
    <w:p>
      <w:pPr>
        <w:spacing w:after="0" w:line="16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built a broad toolkit across multiple technology platforms, including a diverse range of potentially first-in-class therapeutic approaches. This includes investigational messenger ribonucleic acid, or mRNA vaccines, protein-based therapeutics (including targeted antibodies such as monoclonal, bispecific and antibody-drug conjugates, or ADCs), cell therapies and small molecules.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expect each platform to yield a pipeline of product candidates for further development. Our multi-technology combination of platforms and product candidates positions us as pioneers in the field of individualized, patient-centric therapeutic approaches in oncology and infectious diseases. We aim to expand this status into other disease areas in the future.</w:t>
      </w:r>
    </w:p>
    <w:p>
      <w:pPr>
        <w:spacing w:after="0" w:line="16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oncology, we endeavor to address the continuum of cancer patients.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synergistic mechanisms of action.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infectious disease, our product strategy is rooted in global social responsibility and our goal of contributing to equitable access to medicine.</w:t>
      </w:r>
    </w:p>
    <w:p>
      <w:pPr>
        <w:spacing w:after="0" w:line="18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Our approach has generated a robust and diversified product pipeline across a range of technologies in oncology and infectious disease,and has led to the approval of our first marketed product, </w:t>
      </w:r>
      <w:r>
        <w:rPr>
          <w:rFonts w:ascii="Times New Roman" w:cs="Times New Roman" w:eastAsia="Times New Roman" w:hAnsi="Times New Roman"/>
          <w:sz w:val="16"/>
          <w:szCs w:val="16"/>
          <w:i w:val="1"/>
          <w:iCs w:val="1"/>
          <w:color w:val="auto"/>
        </w:rPr>
        <w:t>Comirnaty.</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II. The BioNTech Approach</w:t>
      </w:r>
    </w:p>
    <w:p>
      <w:pPr>
        <w:spacing w:after="0" w:line="92"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color w:val="auto"/>
        </w:rPr>
        <w:t xml:space="preserve">Our key objectives are to build a sustainable respiratory infectious disease vaccine business based on the BioNTech-Pfizer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franchise and to develop an innovative precision medicine pipeline targeting multiple product approvals in the coming years. We are uniquely positioned to pursue our objectives by leveraging our technology agnostic approach rooted in decades of research in immunology coupled with expertise in emerging mRNA technologies. Our vision is to establish a multi-product company based on our pioneering technologies and science to contribute to improving the health of people worldwide.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Oncology Pipeline Strategy</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Cancer is one of the biggest medical challenges of humankind. Genetic and phenotypic heterogeneity, the tumor microenvironment and immune diversity make cancer a complex and heterogeneous disease. Our long-term oncology vision is to expand the number of available treatment options for cancer patients. We aim to address the full continuum of cancer treatment by developing novel therapies to best serve the needs of cancer patients from adjuvant to late-stage settings.</w:t>
      </w:r>
    </w:p>
    <w:p>
      <w:pPr>
        <w:spacing w:after="0" w:line="16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Since our founding, we have been a multi-technology company.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 By building a diverse toolkit and clinical portfolio with synergistic mechanisms of action we aim to exploit the potential of our technologies: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6" w:name="page87"/>
    <w:bookmarkEnd w:id="8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580" w:right="40" w:hanging="286"/>
        <w:spacing w:after="0" w:line="244"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Immunomodulators. </w:t>
      </w:r>
      <w:r>
        <w:rPr>
          <w:rFonts w:ascii="Times New Roman" w:cs="Times New Roman" w:eastAsia="Times New Roman" w:hAnsi="Times New Roman"/>
          <w:sz w:val="16"/>
          <w:szCs w:val="16"/>
          <w:color w:val="auto"/>
        </w:rPr>
        <w:t>We are building a modality agnostic toolkit to focus on crucial immuno-oncology pathways. We target different but complementary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players in the complex cancer immunity cycle to promote a thorough and durable antitumor effect. We use our in-house capabilities and collaborate with Genmab A/S, or Genmab, OncoC4, Inc., or OncoC4, and Biotheus Inc., or Biotheus, to develop next-generation immunomodulators that are designed to modulate the patient’s immune response to cancer.</w:t>
      </w:r>
    </w:p>
    <w:p>
      <w:pPr>
        <w:spacing w:after="0" w:line="68" w:lineRule="exact"/>
        <w:rPr>
          <w:rFonts w:ascii="Times New Roman" w:cs="Times New Roman" w:eastAsia="Times New Roman" w:hAnsi="Times New Roman"/>
          <w:sz w:val="16"/>
          <w:szCs w:val="16"/>
          <w:color w:val="auto"/>
        </w:rPr>
      </w:pPr>
    </w:p>
    <w:p>
      <w:pPr>
        <w:jc w:val="both"/>
        <w:ind w:left="580" w:right="40" w:hanging="286"/>
        <w:spacing w:after="0" w:line="279" w:lineRule="auto"/>
        <w:tabs>
          <w:tab w:leader="none" w:pos="5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Targeted Therapies. </w:t>
      </w:r>
      <w:r>
        <w:rPr>
          <w:rFonts w:ascii="Times New Roman" w:cs="Times New Roman" w:eastAsia="Times New Roman" w:hAnsi="Times New Roman"/>
          <w:sz w:val="14"/>
          <w:szCs w:val="14"/>
          <w:color w:val="auto"/>
        </w:rPr>
        <w:t>We aim to develop potent and precise therapies that could reduce tumor burden across the entire disease continuum, including late lines.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2023, we expanded our targeted therapy portfolio by adding several next-generation ADCs to our clinical pipeline through collaborations with Duality Biologics (Suzhou) Co. Ltd., or DualityBio, and MediLink Therapeutics (Suzhou) Co.</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Ltd., or MediLink Therapeutics. ADCs will transform cancer care. We believe they have the potential to supplement or replace chemotherapy in the future. We believe that a differentiated ADC linker technology could improve efficacy and safety compared to currently approved ADCs, and novel mechanisms of action may be able to improve tumor specific activation. We are also developing a range of cell therapies against solid tumors, including chimeric antigen receptor, or CAR-T cell therapies, neoantigen-based T-cell therapies and T-cell receptor, or TCR therapies in which the patient’s T cells are modified or primed to target cancer-specific antigens.</w:t>
      </w:r>
    </w:p>
    <w:p>
      <w:pPr>
        <w:spacing w:after="0" w:line="57" w:lineRule="exact"/>
        <w:rPr>
          <w:rFonts w:ascii="Times New Roman" w:cs="Times New Roman" w:eastAsia="Times New Roman" w:hAnsi="Times New Roman"/>
          <w:sz w:val="14"/>
          <w:szCs w:val="14"/>
          <w:color w:val="auto"/>
        </w:rPr>
      </w:pPr>
    </w:p>
    <w:p>
      <w:pPr>
        <w:ind w:left="580" w:hanging="286"/>
        <w:spacing w:after="0" w:line="239" w:lineRule="auto"/>
        <w:tabs>
          <w:tab w:leader="none" w:pos="568" w:val="left"/>
        </w:tabs>
        <w:numPr>
          <w:ilvl w:val="0"/>
          <w:numId w:val="58"/>
        </w:numPr>
        <w:rPr>
          <w:rFonts w:ascii="Calibri" w:cs="Calibri" w:eastAsia="Calibri" w:hAnsi="Calibri"/>
          <w:sz w:val="18"/>
          <w:szCs w:val="18"/>
          <w:color w:val="auto"/>
        </w:rPr>
      </w:pPr>
      <w:r>
        <w:rPr>
          <w:rFonts w:ascii="Times New Roman" w:cs="Times New Roman" w:eastAsia="Times New Roman" w:hAnsi="Times New Roman"/>
          <w:sz w:val="16"/>
          <w:szCs w:val="16"/>
          <w:b w:val="1"/>
          <w:bCs w:val="1"/>
          <w:color w:val="auto"/>
        </w:rPr>
        <w:t xml:space="preserve">mRNA Vaccines and mRNA Therapeutics. </w:t>
      </w:r>
      <w:r>
        <w:rPr>
          <w:rFonts w:ascii="Times New Roman" w:cs="Times New Roman" w:eastAsia="Times New Roman" w:hAnsi="Times New Roman"/>
          <w:sz w:val="16"/>
          <w:szCs w:val="16"/>
          <w:color w:val="auto"/>
        </w:rPr>
        <w:t>We are developing a portfolio of mRNA-based therapeutic candidates to treat cancer: cancer vaccine candidates,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FixVac (fully-owned) and iNeST (in collaboration with Genentech, Inc., a member of the Roche group, or Genentech), and mRNA-encoded cytokines and antibodies. We believe that mRNA cancer vaccine candidates, if successful, could have the potential to eliminate polyclonal residual disease by targeting multiple antigens at once for potential long-term impact.</w:t>
      </w:r>
    </w:p>
    <w:p>
      <w:pPr>
        <w:spacing w:after="0" w:line="7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We expect to continue building our oncology pipeline in 2024 in anticipation of potential commercial oncology launches as soon as 2026, if approved. We aim to have ten indication approvals by 2030.</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Infectious Disease Pipeline Strategy</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Infectious diseases remain among the leading causes of death and disability worldwide: in 2019, an estimated 13.7 million lives were lost to infectious diseases globally. Low - and middle-income countries continue to bear much of the burden of communicable diseases, which include tuberculosis, human immunodeficiency virus, or HIV, malaria, neglected tropical diseases and hepatitis B. Climate change, rising population numbers and global travel may all contribute to an increased risk of global infectious disease outbreaks.</w:t>
      </w:r>
    </w:p>
    <w:p>
      <w:pPr>
        <w:spacing w:after="0" w:line="167"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Our goal is to advance and expand our infectious disease programs by developing vaccines and therapeutics for infectious diseases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Our infectious disease programs aim to contribute to equitable access to effective and well tolerated vaccines for high medical need indications.</w:t>
      </w:r>
    </w:p>
    <w:p>
      <w:pPr>
        <w:spacing w:after="0" w:line="137"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We plan to build a sustainable respiratory vaccine business, leveraging our COVID-19 vaccine franchise for potential combination vaccines. We expect seasonal COVID-19 vaccination to continue, driven by the continuous evolution of the virus. We are also evaluating combination vaccine candidates addressing additional respiratory diseases in collaboration with Pfizer Inc., or Pfizer.</w:t>
      </w:r>
    </w:p>
    <w:p>
      <w:pPr>
        <w:spacing w:after="0" w:line="16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We and our partners are committed to developing product candidates against latent viruses, including herpes-simplex virus (HSV) and varicella-zoster virus (shingles). Latent viruses remain in the body after an infection and can lead to lifelong medical complications.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addition, we have ongoing trials evaluating mRNA vaccine candidates against diseases caused by bacteria (tuberculosis) and parasites (malaria).</w:t>
      </w:r>
    </w:p>
    <w:p>
      <w:pPr>
        <w:spacing w:after="0" w:line="188"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Longer term, we see potential applications for our technologies beyond oncology and infectious disease, including autoimmune diseases, inflammatory diseases, cardiovascular diseases, neurodegenerative diseases, and regenerative medicines.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87" w:name="page88"/>
    <w:bookmarkEnd w:id="8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III. Execution in 2023</w:t>
      </w:r>
    </w:p>
    <w:p>
      <w:pPr>
        <w:spacing w:after="0" w:line="94"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In 2023, we executed across our four key strategic pillars to strengthen our technology platforms, digital capabilities and infrastructure, through strategic investments, acquisitions, licensing agreements and public-private partnerships impacting patients, shareholders and other stakeholders.</w:t>
      </w:r>
    </w:p>
    <w:p>
      <w:pPr>
        <w:spacing w:after="0" w:line="153" w:lineRule="exact"/>
        <w:rPr>
          <w:sz w:val="20"/>
          <w:szCs w:val="20"/>
          <w:color w:val="auto"/>
        </w:rPr>
      </w:pPr>
    </w:p>
    <w:p>
      <w:pPr>
        <w:ind w:left="580" w:hanging="286"/>
        <w:spacing w:after="0"/>
        <w:tabs>
          <w:tab w:leader="none" w:pos="580" w:val="left"/>
        </w:tabs>
        <w:numPr>
          <w:ilvl w:val="0"/>
          <w:numId w:val="5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Leadership in COVID-19 Vaccine Development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 continued to build our COVID-19 vaccine franchise and maintained market leadership in multiple key geographies. In 2023, we and Pfizer distributed over</w:t>
      </w:r>
    </w:p>
    <w:p>
      <w:pPr>
        <w:spacing w:after="0" w:line="37" w:lineRule="exact"/>
        <w:rPr>
          <w:sz w:val="20"/>
          <w:szCs w:val="20"/>
          <w:color w:val="auto"/>
        </w:rPr>
      </w:pPr>
    </w:p>
    <w:p>
      <w:pPr>
        <w:ind w:right="20" w:firstLine="6"/>
        <w:spacing w:after="0" w:line="238" w:lineRule="auto"/>
        <w:tabs>
          <w:tab w:leader="none" w:pos="29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million total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doses, of which over 190 million doses were our Omicron XBB.1.5-adapted monovalent COVID-19 vaccine. We and Pfizer introduced single-dose vials and never-frozen syringes in the United States.</w:t>
      </w:r>
    </w:p>
    <w:p>
      <w:pPr>
        <w:spacing w:after="0" w:line="167" w:lineRule="exact"/>
        <w:rPr>
          <w:sz w:val="20"/>
          <w:szCs w:val="20"/>
          <w:color w:val="auto"/>
        </w:rPr>
      </w:pPr>
    </w:p>
    <w:p>
      <w:pPr>
        <w:ind w:left="580" w:hanging="286"/>
        <w:spacing w:after="0"/>
        <w:tabs>
          <w:tab w:leader="none" w:pos="580" w:val="left"/>
        </w:tabs>
        <w:numPr>
          <w:ilvl w:val="0"/>
          <w:numId w:val="6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Healthcare and Social Responsibility</w:t>
      </w:r>
    </w:p>
    <w:p>
      <w:pPr>
        <w:spacing w:after="0" w:line="92"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We advanced our goal of contributing to equitable access to medicine around the globe, with over 30% of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doses delivered to low- and middle-income countries in 2023 in line with demand. We continue to work with non-governmental organizations (NGOs), institutes and governments to plan for equitable access to novel medicines, especially in low and middle-income countries and regions.</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Our global health goal is to advance and expand our infectious diseases programs and pipeline while contributing to equitable access to mRNA medicines. To further advance this vision, we established our Global Health Office (GHO) in 2023. The GHO provides a public health perspective supporting end-to-end development of innovative medicines that address major unmet public health needs, particularly those affecting populations in low- and middle -income countries and those with an inequity or pandemic preparedness dimension. The GHO leads on building clinical development and manufacturing capacity to support our goals; this includes the “AFRIKA KOMMT” program, where we hosted our first batch of fellows for internships in Germany in 2023. The GHO works closely with a large ecosystem of partners including the WHO, African Union, Africa CDC, local authorities, study centers, and organizations like CEPI and Gavi, the Vaccine Alliance.</w:t>
      </w:r>
    </w:p>
    <w:p>
      <w:pPr>
        <w:spacing w:after="0" w:line="173"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We are progressing the development of mRNA vaccine candidates for infectious diseases with high medical need, including vaccine candidates against tuberculosis, malaria, and HIV, as well as against infectious diseases with pandemic potential, such as mpox. In December 2023, we reached an important milestone towards the establishment of mRNA vaccine manufacturing capacities in Africa with the inauguration of our facility in Kigali, Rwanda.</w:t>
      </w:r>
    </w:p>
    <w:p>
      <w:pPr>
        <w:spacing w:after="0" w:line="162" w:lineRule="exact"/>
        <w:rPr>
          <w:sz w:val="20"/>
          <w:szCs w:val="20"/>
          <w:color w:val="auto"/>
        </w:rPr>
      </w:pPr>
    </w:p>
    <w:p>
      <w:pPr>
        <w:ind w:left="580" w:hanging="286"/>
        <w:spacing w:after="0"/>
        <w:tabs>
          <w:tab w:leader="none" w:pos="580" w:val="left"/>
        </w:tabs>
        <w:numPr>
          <w:ilvl w:val="0"/>
          <w:numId w:val="6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Innovative and Diversified Pipeline</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continued to develop our innovative oncology and infectious disease pipeline. Today, our pipeline consists of over 20 programs in oncology and seven programs in infectious disease being evaluated in over 40 clinical trials, including eight Phase 2 and two Phase 3 clinical trials in oncology. In 2023, we and our partners reported data across our portfolio at multiple medical meetings and published manuscripts in peer reviewed journals.</w:t>
      </w:r>
    </w:p>
    <w:p>
      <w:pPr>
        <w:spacing w:after="0" w:line="16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In oncology, we started seven clinical trials and in -licensed six clinical assets throughout the year. Most importantly, we brought several assets into mid- and late-stage development, namely Phase 2 and Phase 3 clinical trials, across a range of technologies, in particular ADCs and mRNA vaccines.</w:t>
      </w:r>
    </w:p>
    <w:p>
      <w:pPr>
        <w:spacing w:after="0" w:line="155"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expanded our technology base to include ADCs by initiating new collaborations with DualityBio and MediLink Therapeutics. We believe ADCs have the potential to supplement or replace highly toxic chemotherapy regimens as a new combination backbone of cancer treatment. Our growing ADC pipeline includes ADCs directed against four distinct targets and is of interest for a broad range of cancer types. Our collaborations with OncoC4 and Biotheus complement our toolkit of technologies with next-generation immuno-oncology antibodies that offer unique mechanisms of action and have augmented our oncology pipeline with mid- to -late-stage clinical programs.</w:t>
      </w:r>
    </w:p>
    <w:p>
      <w:pPr>
        <w:spacing w:after="0" w:line="169"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In infectious diseases, we started three first-in-human Phase 1 clinical trials leveraging our proprietary mRNA prophylactic vaccine technology, including candidates being evaluated against shingles, tuberculosis, and mpox.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8" w:name="page89"/>
    <w:bookmarkEnd w:id="8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Over the next year, we aim to advance additional product candidates to late-stage development, and we expect to have ten or more potentially registrational trials running by the end of 2024. The Company expects to continue building its pipeline towards its planned first oncology launch in 2026. BioNTech aims to have ten indication approvals by 2030.</w:t>
      </w:r>
    </w:p>
    <w:p>
      <w:pPr>
        <w:spacing w:after="0" w:line="162" w:lineRule="exact"/>
        <w:rPr>
          <w:sz w:val="20"/>
          <w:szCs w:val="20"/>
          <w:color w:val="auto"/>
        </w:rPr>
      </w:pPr>
    </w:p>
    <w:p>
      <w:pPr>
        <w:ind w:left="580" w:hanging="286"/>
        <w:spacing w:after="0"/>
        <w:tabs>
          <w:tab w:leader="none" w:pos="580" w:val="left"/>
        </w:tabs>
        <w:numPr>
          <w:ilvl w:val="0"/>
          <w:numId w:val="6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Innovation at Scale</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We are building and scaling biotech innovation with the aim of becoming a patient -centric, AI-driven, multi-product company. In 2023, we attracted top talent, including clinical and regulatory experts, to advance the development of our pipeline. We expanded our team to roughly 6,300 employees globally by welcoming more than 1,600 new hires. Our diverse workforce represents more than 80 nations, and we have subsidiaries in countries across five continents.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2023, we expanded our organization in Asia, Africa, North America, Australia and Europe. We increased our overall research and development and production capabilities, including completing construction of our first proprietary plasmid DNA manufacturing facility in Marburg, Germany. Furthermore, we established a corporate office in Shanghai, China.</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2023, we entered into multiple complementary agreements and collaborations, including:</w:t>
      </w:r>
    </w:p>
    <w:p>
      <w:pPr>
        <w:spacing w:after="0" w:line="92" w:lineRule="exact"/>
        <w:rPr>
          <w:sz w:val="20"/>
          <w:szCs w:val="20"/>
          <w:color w:val="auto"/>
        </w:rPr>
      </w:pPr>
    </w:p>
    <w:p>
      <w:pPr>
        <w:jc w:val="both"/>
        <w:ind w:left="580" w:right="20" w:hanging="286"/>
        <w:spacing w:after="0" w:line="247"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completion of the acquisition of our long-time strategic collaboration partner, InstaDeep Ltd, or InstaDeep, which enables us to leverage AI and ML technologies across our therapeutic platforms and operations. With our acquisition of InstaDeep, we have added industry-leading AI and ML capabilities and approximately 290 highly skilled professionals to our organization. InstaDeep operates as a London-based subsidiary.</w:t>
      </w:r>
    </w:p>
    <w:p>
      <w:pPr>
        <w:spacing w:after="0" w:line="104" w:lineRule="exact"/>
        <w:rPr>
          <w:rFonts w:ascii="Times New Roman" w:cs="Times New Roman" w:eastAsia="Times New Roman" w:hAnsi="Times New Roman"/>
          <w:sz w:val="16"/>
          <w:szCs w:val="16"/>
          <w:color w:val="auto"/>
        </w:rPr>
      </w:pPr>
    </w:p>
    <w:p>
      <w:pPr>
        <w:jc w:val="both"/>
        <w:ind w:left="580" w:hanging="286"/>
        <w:spacing w:after="0" w:line="235" w:lineRule="auto"/>
        <w:tabs>
          <w:tab w:leader="none" w:pos="58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6"/>
          <w:szCs w:val="16"/>
          <w:color w:val="auto"/>
        </w:rPr>
        <w:t>A strategic collaboration with the Government of the United Kingdom, or the UK, to provide up to 10,000 patients with personalized mRNA cancer immunotherapies by 2030, either in clinical trials or as authorized treatments. We plan to invest in a research and development hub in Cambridge, UK, with an expected capacity of more than 70 highly skilled scientists.</w:t>
      </w:r>
    </w:p>
    <w:p>
      <w:pPr>
        <w:spacing w:after="0" w:line="71" w:lineRule="exact"/>
        <w:rPr>
          <w:rFonts w:ascii="Arial" w:cs="Arial" w:eastAsia="Arial" w:hAnsi="Arial"/>
          <w:sz w:val="19"/>
          <w:szCs w:val="19"/>
          <w:color w:val="auto"/>
        </w:rPr>
      </w:pPr>
    </w:p>
    <w:p>
      <w:pPr>
        <w:ind w:left="580" w:hanging="286"/>
        <w:spacing w:after="0" w:line="262"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multi-year agreement with Australia’s State of Victoria to set up and operate clinical-scale mRNA vaccine manufacturing through our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units and establish an mRNA Innovation Center in Melbourne.</w:t>
      </w:r>
    </w:p>
    <w:p>
      <w:pPr>
        <w:spacing w:after="0" w:line="5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Post year-end, in February 2024, in line with our goal of scaling up innovation, we and Autolus Therapeutics plc, or Autolus, announced a strategic collaboration aimed at advancing both companies’ autologous CAR-T programs towards commercialization, pending regulatory authorizations. As part of the strategic collaboration, we have the option to access Autolus’ commercial and clinical site network, and manufacturing capacities in the UK and commercial supply infrastructure in a cost-efficient set-up allowing for the accelerated development of our product candidate, BNT211.</w:t>
      </w:r>
    </w:p>
    <w:p>
      <w:pPr>
        <w:spacing w:after="0" w:line="71"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In 2023, we strengthened our balance sheet through strong financial performance, ending the year with approximately €17.7 billion in total cash, cash equivalents and security investments. With a strong financial position, leading COVID-19 vaccine franchise, and innovative oncology and infectious disease pipeline, we believe are well positioned to continue executing our vision of pioneering novel medicines against cancer, infectious diseases and other serious diseases.</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IV. Marketed Products: </w:t>
      </w:r>
      <w:r>
        <w:rPr>
          <w:rFonts w:ascii="Times New Roman" w:cs="Times New Roman" w:eastAsia="Times New Roman" w:hAnsi="Times New Roman"/>
          <w:sz w:val="16"/>
          <w:szCs w:val="16"/>
          <w:b w:val="1"/>
          <w:bCs w:val="1"/>
          <w:i w:val="1"/>
          <w:iCs w:val="1"/>
          <w:color w:val="auto"/>
        </w:rPr>
        <w:t>Comirnaty</w:t>
      </w:r>
      <w:r>
        <w:rPr>
          <w:rFonts w:ascii="Times New Roman" w:cs="Times New Roman" w:eastAsia="Times New Roman" w:hAnsi="Times New Roman"/>
          <w:sz w:val="16"/>
          <w:szCs w:val="16"/>
          <w:b w:val="1"/>
          <w:bCs w:val="1"/>
          <w:color w:val="auto"/>
        </w:rPr>
        <w:t>, our COVID-19 Vaccine Program (BNT162)</w:t>
      </w:r>
    </w:p>
    <w:p>
      <w:pPr>
        <w:spacing w:after="0" w:line="94" w:lineRule="exact"/>
        <w:rPr>
          <w:sz w:val="20"/>
          <w:szCs w:val="20"/>
          <w:color w:val="auto"/>
        </w:rPr>
      </w:pPr>
    </w:p>
    <w:p>
      <w:pPr>
        <w:jc w:val="both"/>
        <w:ind w:firstLine="384"/>
        <w:spacing w:after="0" w:line="301" w:lineRule="auto"/>
        <w:rPr>
          <w:sz w:val="20"/>
          <w:szCs w:val="20"/>
          <w:color w:val="auto"/>
        </w:rPr>
      </w:pPr>
      <w:r>
        <w:rPr>
          <w:rFonts w:ascii="Times New Roman" w:cs="Times New Roman" w:eastAsia="Times New Roman" w:hAnsi="Times New Roman"/>
          <w:sz w:val="14"/>
          <w:szCs w:val="14"/>
          <w:color w:val="auto"/>
        </w:rPr>
        <w:t xml:space="preserve">Our commercial product, </w:t>
      </w:r>
      <w:r>
        <w:rPr>
          <w:rFonts w:ascii="Times New Roman" w:cs="Times New Roman" w:eastAsia="Times New Roman" w:hAnsi="Times New Roman"/>
          <w:sz w:val="14"/>
          <w:szCs w:val="14"/>
          <w:i w:val="1"/>
          <w:iCs w:val="1"/>
          <w:color w:val="auto"/>
        </w:rPr>
        <w:t>Comirnaty,</w:t>
      </w:r>
      <w:r>
        <w:rPr>
          <w:rFonts w:ascii="Times New Roman" w:cs="Times New Roman" w:eastAsia="Times New Roman" w:hAnsi="Times New Roman"/>
          <w:sz w:val="14"/>
          <w:szCs w:val="14"/>
          <w:color w:val="auto"/>
        </w:rPr>
        <w:t xml:space="preserve"> was the first-ever approved mRNA-based product, and, to our knowledge, represents the fastest ever developed prophylactic vaccine from viral sampling to approval. As of December 2023, our COVID-19 vaccine products have been authorized or approved for emergency or temporary use or granted marketing authorization in more than 180 countries and regions worldwide. Our efforts have resulted in more than 4.8 billion doses shipped globally.</w:t>
      </w:r>
    </w:p>
    <w:p>
      <w:pPr>
        <w:spacing w:after="0" w:line="12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Under our collaboration with Pfizer, we are the Marketing Authorization Holder in the United States, the European Union, or EU, the UK, Canada and other countries. Additionally, we are the holder of emergency use authorizations, or EUAs, or equivalents in the United States (jointly with Pfizer) and other countries for the COVID-19 vaccine program. Pfizer has marketing and distribution rights worldwide apart from Greater China, Germany, and Türkiye. We have the marketing and distribution rights to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in Germany and Türkiye.</w:t>
      </w:r>
    </w:p>
    <w:p>
      <w:pPr>
        <w:spacing w:after="0" w:line="16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Under our collaboration with Fosun Pharmaceutical Industrial Development, Co., Ltd, or Fosun Pharma, Fosun Pharma has marketing and distribution rights in Mainland China, Hong Kong Special Administrative Region, or SAR, Macau SAR and Taiwan.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9" w:name="page90"/>
    <w:bookmarkEnd w:id="8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hanging="286"/>
        <w:spacing w:after="0"/>
        <w:tabs>
          <w:tab w:leader="none" w:pos="58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Commercial Update</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In 2023, we and Pfizer continued our global COVID-19 vaccine leadership with our Omicron XBB.1.5-adapted monovalent COVID-19 vaccine directed against the Omicron XBB.1.5 SARS-CoV-2 variant. Since declaration of the pandemic, we have developed and commercialized four COVID-19 vaccine products: the original COVID-19 vaccine, two Original/Omicron-adapted bivalent vaccines (Original/BA.1 - and Original/Omicron BA.4- 5-adapted bivalent vaccines) and the Omicron XBB.1.5 -adapted monovalent COVID- 19 vaccine. Each is referred to as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Between their introduction in December 2020 and March 2023, COVID-19 vaccines are estimated to have reduced deaths due to the pandemic by at least 57%, saving more than 1.4 million lives in the World Health Organization, or WHO, European Region. Most of those saved were aged 60 or older, the group at highest risk of severe illness and death from the SARS-CoV-2 virus.</w:t>
      </w:r>
    </w:p>
    <w:p>
      <w:pPr>
        <w:spacing w:after="0" w:line="171"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6"/>
          <w:szCs w:val="16"/>
          <w:color w:val="auto"/>
        </w:rPr>
        <w:t>As part of our and Pfizer’s two-billion-doses pledge to support equitable access to medicines, we and Pfizer have delivered over 1.8 billion doses of</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to low- and middle-income countries since the beginning of the pandemic in line with demand.</w:t>
      </w:r>
    </w:p>
    <w:p>
      <w:pPr>
        <w:spacing w:after="0" w:line="15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September 2023, following regulatory approvals, we and Pfizer began shipping Omicron XBB.1.5-adapted monovalent COVID-19 vaccines in time for autumn and winter booster campaigns.</w:t>
      </w:r>
    </w:p>
    <w:p>
      <w:pPr>
        <w:spacing w:after="0" w:line="155" w:lineRule="exact"/>
        <w:rPr>
          <w:sz w:val="20"/>
          <w:szCs w:val="20"/>
          <w:color w:val="auto"/>
        </w:rPr>
      </w:pPr>
    </w:p>
    <w:p>
      <w:pPr>
        <w:jc w:val="both"/>
        <w:ind w:right="20" w:firstLine="384"/>
        <w:spacing w:after="0" w:line="278" w:lineRule="auto"/>
        <w:rPr>
          <w:sz w:val="20"/>
          <w:szCs w:val="20"/>
          <w:color w:val="auto"/>
        </w:rPr>
      </w:pPr>
      <w:r>
        <w:rPr>
          <w:rFonts w:ascii="Times New Roman" w:cs="Times New Roman" w:eastAsia="Times New Roman" w:hAnsi="Times New Roman"/>
          <w:sz w:val="14"/>
          <w:szCs w:val="14"/>
          <w:color w:val="auto"/>
        </w:rPr>
        <w:t>We believe that we and Pfizer are well positioned for the future as leading COVID-19 vaccine providers. We expect that as the market dynamics evolve across different geographies in 2024, there will be continued demand for vaccine boosting and primary vaccinations of immunologically naïve individuals, especially amongst older and immunocompromised populations. Studies have demonstrated that natural immunity acquired by SARS-CoV-2 infection is variable across individuals and the protection it offers wanes over time. A booster vaccination can restore and enhance infection-acquired immune protection and further reduce the risk of reinfection. The risk of severe COVID-19 disease remains high in vulnerable populations. Vaccination not only reduces the risk of severe COVID-19 but can also mitigate the risk of health impairments related to long- COVID. Given this, and our current understanding of COVID-19’s seasonality and its burden on healthcare systems during the autumn/winter season, we anticipate the need for annual adapted vaccines to be a long-term component of COVID-19 vaccination practices.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Manufacturing and Distribution</w:t>
      </w:r>
    </w:p>
    <w:p>
      <w:pPr>
        <w:spacing w:after="0" w:line="92"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We and Pfizer continue to collaborate with governments and health ministries around the world to efficiently distribute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We have developed a global COVID-19 vaccine supply chain and manufacturing network spanning four continents to meet the ongoing global demand of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2023, we began transitioning from an advanced purchase agreement framework to commercial market ordering in some geographies.</w:t>
      </w:r>
    </w:p>
    <w:p>
      <w:pPr>
        <w:spacing w:after="0" w:line="18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May 2023, we and Pfizer announced an agreement with the European Commission, or the EC, to amend the previous COVID- 19 Vaccine Purchase Agreement to deliver COVID-19 vaccines to the EU. The amended agreement reflects our and Pfizer’s commitment to working collaboratively to help address ongoing public health needs, while respecting the principles of the original agreement. The agreement rephased delivery of doses annually through 2026. In addition, the agreement includes an aggregate volume reduction, providing additional flexibility for EU Member States. The EC will maintain access to future adapted COVID-19 vaccines and the ability to donate doses, in alignment with the original agreement.</w:t>
      </w:r>
    </w:p>
    <w:p>
      <w:pPr>
        <w:spacing w:after="0" w:line="169"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In October 2023, we and Pfizer announced an agreement between the Japanese government and Pfizer Japan Co., Ltd. to supply an additional nine million doses of the Omicron XBB.1.5-adapted COVID-19 vaccine for the special vaccination program in Japan which started in autumn 2023. The agreement followed an agreement between the Japanese government and Pfizer in July 2023 to supply 20 million doses and additional supplies as needed, and an agreement announced in September 2023 to provide an additional 10 million doses of the companies’ Omicron XBB.1.5-adapted COVID-19 vaccine for the special vaccination program in Japan.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More details on our manufacturing operations and facilities can be found in “VII. Manufacturing.”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0" w:name="page91"/>
    <w:bookmarkEnd w:id="9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Clinical Development</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Omicron XBB.1.5-Adapted Monovalent COVID-19 Vaccine</w:t>
      </w:r>
    </w:p>
    <w:p>
      <w:pPr>
        <w:spacing w:after="0" w:line="94"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In August 2023, we and Pfizer initiated a Phase 2/3 study (NCT05997290) to investigate the safety, tolerability and immunogenicity of our Omicron XBB.1.5-adapted monovalent COVID-19 vaccine in healthy people 12 years and older. A manuscript reporting the safety and immunogenicity one month after vaccination with our monovalent Omicron XBB.1.5-adapted COVID-19 vaccine in COVID-19 experienced individuals 12 years of age and older was published in January 2024 (Gayed et al., 2024). These data support a favorable benefit-risk profile of our XBB.1.5-adapted COVID-19 vaccine. In this analysis, the XBB.1.5-adapted vaccine demonstrated</w:t>
      </w:r>
    </w:p>
    <w:p>
      <w:pPr>
        <w:jc w:val="both"/>
        <w:ind w:right="20" w:firstLine="6"/>
        <w:spacing w:after="0" w:line="286" w:lineRule="auto"/>
        <w:tabs>
          <w:tab w:leader="none" w:pos="12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tolerability profile similar to that seen with original and the BA.4/5-adapted and BA.1-adapted COVID-19 vaccines and induced substantial increases in neutralizing antibody responses against Omicron XBB.1.5 (overall geometric mean fold rises [GMFR]: 7.0), EG.5.1 (GMFR: 8.7), and BA.2.86 (GMFR: 4.5). We believe the safety and immunogenicity data support administration of the XBB.1.5-adapted BNT162b2 in vaccine-experienced individuals 12 years of age and older.</w:t>
      </w:r>
    </w:p>
    <w:p>
      <w:pPr>
        <w:spacing w:after="0" w:line="13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Real world data showed high vaccine effectiveness of the Omicron XBB.1.5-adapted monovalent COVID-19 vaccine against current variants of concern, with 63% (95%CI: 33-80%) vaccine effectiveness against hospitalization observed in adults aged 18 years and older approximately 30 days post vaccination in the United States against XBB.1.5, XBB.1.16, EG.5.1, and BA.2.86. Similar real world evidence trends have been reported in EU countries. In Denmark, vaccination was associated with a 75.3% reduced risk of COVID-19 hospitalization nine days post-immunization with a monovalent XBB.1.5 in people over 65 years of age. In the Netherlands, early estimate demonstrated a high vaccine effectiveness against hospitalization (68.3 – 71.4%) and ICU admission (73.3%) in people over 60 years of age in the two months post vaccination with XBB.1.5 vaccine.</w:t>
      </w:r>
    </w:p>
    <w:p>
      <w:pPr>
        <w:spacing w:after="0" w:line="173"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2023, we and Pfizer announced positive pre-clinical data examining our Omicron XBB.1.5-adapted monovalent COVID-19 vaccine against multiple Omicron XBB-related sublineages, including XBB.1.5, XBB.1.16, BA.2.86, EG.5.1 and XBB.2.3, compared to the Omicron BA.4 -5-adapted bivalent vaccine. These data demonstrate that the XBB.1.5-adapted COVID-19 vaccine generates improved neutralizing antibody responses against all Omicron-related sublineages mentioned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Regulatory Updates</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In 2023, our and Pfizer’s Original/Omicron BA.4-5-adapted bivalent COVID-19 vaccine received label expansions for pediatric vaccinations and conversions from conditional or emergency use approvals or authorizations to full/standard regulatory approvals in many jurisdictions worldwide.</w:t>
      </w:r>
    </w:p>
    <w:p>
      <w:pPr>
        <w:spacing w:after="0" w:line="155"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Our and Pfizer’s Omicron XBB.1.5-adapted monovalent COVID-19 vaccine received multiple regulatory approvals, including approvals, authorizations for emergency or temporary use or marketing authorizations in more than 40 countries and regions in 2023.</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i w:val="1"/>
          <w:iCs w:val="1"/>
          <w:color w:val="auto"/>
        </w:rPr>
        <w:t>riginal/Omicron BA.4-5-Adapted Bivalent COVID-19 Vaccine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2023, we and Pfizer received the following approvals for our Original/Omicron BA.4-5-adapted bivalent COVID-19 vaccine:</w:t>
      </w:r>
    </w:p>
    <w:p>
      <w:pPr>
        <w:spacing w:after="0" w:line="92" w:lineRule="exact"/>
        <w:rPr>
          <w:sz w:val="20"/>
          <w:szCs w:val="20"/>
          <w:color w:val="auto"/>
        </w:rPr>
      </w:pPr>
    </w:p>
    <w:p>
      <w:pPr>
        <w:jc w:val="both"/>
        <w:ind w:left="580" w:hanging="286"/>
        <w:spacing w:after="0" w:line="247" w:lineRule="auto"/>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 2023: U.S. Food and Drug Administration, or U.S. FDA approved an EUA for a single booster dose of our Original/Omicron BA.4-5-adapted bivalent COVID-19 vaccine for children six months through four years of age at least two months after completion of primary vaccination with three doses of the original COVID-19 vaccine.</w:t>
      </w:r>
    </w:p>
    <w:p>
      <w:pPr>
        <w:spacing w:after="0" w:line="68" w:lineRule="exact"/>
        <w:rPr>
          <w:rFonts w:ascii="Times New Roman" w:cs="Times New Roman" w:eastAsia="Times New Roman" w:hAnsi="Times New Roman"/>
          <w:sz w:val="16"/>
          <w:szCs w:val="16"/>
          <w:color w:val="auto"/>
        </w:rPr>
      </w:pPr>
    </w:p>
    <w:p>
      <w:pPr>
        <w:ind w:left="580" w:right="40" w:hanging="286"/>
        <w:spacing w:after="0" w:line="259" w:lineRule="auto"/>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April 2023: U.S. FDA updated this EUA to simplify the vaccination schedule for most individuals. This action included authorizing our original/Omicron BA.4-5-adapted bivalent COVID-19 vaccine to be used for all doses administered to individuals six months of age and older.</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Omicron XBB.1.5-Adapted Monovalent COVID-19 Vaccine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2023, we and Pfizer received the following approvals for our Omicron XBB.1.5-adapted monovalent COVID-19 vaccine:</w:t>
      </w:r>
    </w:p>
    <w:p>
      <w:pPr>
        <w:spacing w:after="0" w:line="92" w:lineRule="exact"/>
        <w:rPr>
          <w:sz w:val="20"/>
          <w:szCs w:val="20"/>
          <w:color w:val="auto"/>
        </w:rPr>
      </w:pPr>
    </w:p>
    <w:p>
      <w:pPr>
        <w:ind w:left="580" w:right="60" w:hanging="286"/>
        <w:spacing w:after="0" w:line="259" w:lineRule="auto"/>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August 2023: the Committee for Medicinal Products for Human Use, or CHMP, of the European Medicines Agency, or EMA recommended marketing authorization for our and Pfizer’s Omicron XBB.1.5-adapted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1" w:name="page92"/>
    <w:bookmarkEnd w:id="9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580"/>
        <w:spacing w:after="0" w:line="243" w:lineRule="auto"/>
        <w:rPr>
          <w:sz w:val="20"/>
          <w:szCs w:val="20"/>
          <w:color w:val="auto"/>
        </w:rPr>
      </w:pPr>
      <w:r>
        <w:rPr>
          <w:rFonts w:ascii="Times New Roman" w:cs="Times New Roman" w:eastAsia="Times New Roman" w:hAnsi="Times New Roman"/>
          <w:sz w:val="16"/>
          <w:szCs w:val="16"/>
          <w:color w:val="auto"/>
        </w:rPr>
        <w:t>monovalent COVID-19 vaccine administered as a single dose for individuals five years of age and older, regardless of prior COVID-19 vaccination history. The CHMP also recommended the updated vaccine for children six months through four years of age as part or all of the primary three-dose vaccination series, depending on how many prior doses received, or as a single dose for those with a history of completion of a COVID-19 primary vaccination course or prior SARS-CoV-2 infection. Positive EC Decisions followed CHMP recommendations the day after.</w:t>
      </w:r>
    </w:p>
    <w:p>
      <w:pPr>
        <w:spacing w:after="0" w:line="71" w:lineRule="exact"/>
        <w:rPr>
          <w:sz w:val="20"/>
          <w:szCs w:val="20"/>
          <w:color w:val="auto"/>
        </w:rPr>
      </w:pPr>
    </w:p>
    <w:p>
      <w:pPr>
        <w:jc w:val="both"/>
        <w:ind w:left="580" w:right="40" w:hanging="286"/>
        <w:spacing w:after="0" w:line="331" w:lineRule="auto"/>
        <w:tabs>
          <w:tab w:leader="none" w:pos="58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2023: U.S. FDA approved a supplemental Biologics License Application (BLA) for the monovalent XBB.1.5-adapted vaccine recommended for use in the 2023-2024 autumn and winter season for individuals 12 years of age and older, and granted an EUA for children six months through 11 years of age.</w:t>
      </w:r>
    </w:p>
    <w:p>
      <w:pPr>
        <w:spacing w:after="0" w:line="12" w:lineRule="exact"/>
        <w:rPr>
          <w:rFonts w:ascii="Times New Roman" w:cs="Times New Roman" w:eastAsia="Times New Roman" w:hAnsi="Times New Roman"/>
          <w:sz w:val="14"/>
          <w:szCs w:val="14"/>
          <w:color w:val="auto"/>
        </w:rPr>
      </w:pPr>
    </w:p>
    <w:p>
      <w:pPr>
        <w:ind w:left="580" w:right="40" w:hanging="286"/>
        <w:spacing w:after="0" w:line="259" w:lineRule="auto"/>
        <w:tabs>
          <w:tab w:leader="none" w:pos="58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national healthcare regulatory bodies, including in the UK, Japan, Canada, Australia and South Korea, have also approved our and Pfizer’s monovalent XBB.1.5-adapted vaccine.</w:t>
      </w:r>
    </w:p>
    <w:p>
      <w:pPr>
        <w:spacing w:after="0" w:line="153" w:lineRule="exact"/>
        <w:rPr>
          <w:rFonts w:ascii="Times New Roman" w:cs="Times New Roman" w:eastAsia="Times New Roman" w:hAnsi="Times New Roman"/>
          <w:sz w:val="16"/>
          <w:szCs w:val="16"/>
          <w:color w:val="auto"/>
        </w:rPr>
      </w:pPr>
    </w:p>
    <w:p>
      <w:pPr>
        <w:ind w:left="300" w:hanging="198"/>
        <w:spacing w:after="0"/>
        <w:tabs>
          <w:tab w:leader="none" w:pos="30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Pipeline of Product Candidates</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We are advancing a broad portfolio of product candidates derived from our four drug classes and multiple platforms, and are focused on immunotherapies for the potential treatment of cancer and mRNA vaccines to potentially prevent or treat infectious diseases.</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67945</wp:posOffset>
            </wp:positionV>
            <wp:extent cx="5045710" cy="2903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45710" cy="290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Infectious Disease Pipeline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2" w:name="page93"/>
    <w:bookmarkEnd w:id="9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531495</wp:posOffset>
            </wp:positionV>
            <wp:extent cx="5045710" cy="1898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4571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Oncology Programs</w:t>
      </w:r>
    </w:p>
    <w:p>
      <w:pPr>
        <w:spacing w:after="0" w:line="92" w:lineRule="exact"/>
        <w:rPr>
          <w:sz w:val="20"/>
          <w:szCs w:val="20"/>
          <w:color w:val="auto"/>
        </w:rPr>
      </w:pPr>
    </w:p>
    <w:p>
      <w:pPr>
        <w:ind w:left="260" w:hanging="158"/>
        <w:spacing w:after="0"/>
        <w:tabs>
          <w:tab w:leader="none" w:pos="26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mRNA Product Class in Oncology</w:t>
      </w:r>
    </w:p>
    <w:p>
      <w:pPr>
        <w:spacing w:after="0" w:line="90" w:lineRule="exact"/>
        <w:rPr>
          <w:rFonts w:ascii="Times New Roman" w:cs="Times New Roman" w:eastAsia="Times New Roman" w:hAnsi="Times New Roman"/>
          <w:sz w:val="16"/>
          <w:szCs w:val="16"/>
          <w:b w:val="1"/>
          <w:bCs w:val="1"/>
          <w:color w:val="auto"/>
        </w:rPr>
      </w:pPr>
    </w:p>
    <w:p>
      <w:pPr>
        <w:ind w:left="580" w:hanging="178"/>
        <w:spacing w:after="0"/>
        <w:tabs>
          <w:tab w:leader="none" w:pos="580" w:val="left"/>
        </w:tabs>
        <w:numPr>
          <w:ilvl w:val="1"/>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FixVac</w:t>
      </w:r>
    </w:p>
    <w:p>
      <w:pPr>
        <w:spacing w:after="0" w:line="9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FixVac </w:t>
      </w:r>
      <w:r>
        <w:rPr>
          <w:rFonts w:ascii="Times New Roman" w:cs="Times New Roman" w:eastAsia="Times New Roman" w:hAnsi="Times New Roman"/>
          <w:sz w:val="14"/>
          <w:szCs w:val="14"/>
          <w:color w:val="auto"/>
        </w:rPr>
        <w:t>is our wholly owned, systemic, off-the-shelf mRNA-based cancer immunotherapy approach, from which we are developing several first-in-human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potential first-in-class product candidates.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xml:space="preserve"> product candidates contain our non-nucleoside optimized uridine-RNA delivered in our proprietary RNA-LPX formulation for intravenous administration. Proprietary RNA-LPX is designed to deliver RNA to dendritic cells, or DCs, and protects RNA from degradation by RNAse and is designed for RNA delivery into antigen -presenting cells in lymphoid organs.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3" w:name="page94"/>
    <w:bookmarkEnd w:id="9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BNT111 for the Treatment of Advanced Melanoma</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BNT111 is designed to elicit an immune response to four antigens (NY-ESO-1, MAGE-A3, tyrosinase, TPTE) that have each been found to be associated with cutaneous melanoma.</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A global, randomized three-arm Phase 2 clinical trial (NCT04526899) is being conducted in collaboration with Regeneron Pharmaceuticals Inc., or Regeneron, and is evaluating BNT111 in combination with cemiplimab (Regeneron’s Libtayo) versus both agents as monotherapy in 184 patients with anti-PD-1- /anti-PD-L1 refractory/relapsed, unresectable Stage III or IV melanoma. The primary endpoint is objective response rate (ORR). Secondary endpoints include duration of response (DOR), disease control rate (DCR), time to response (TTR), progression-free survival (PFS), overall survival (OS) and safety. The trial achieved full enrollment in September 2023.</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Phase 1 Trial (LIPO-MERIT)</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 multi-center, open-label, first-in-human, Phase 1 dose escalation clinical trial (NCT02410733) evaluating the safety and tolerability of BNT111 in patients with advanced melanoma has been completed. This was the first clinical trial worldwide in which an mRNA-based cancer immunotherapy was administered intravenously for systemic treatment.</w:t>
      </w:r>
    </w:p>
    <w:p>
      <w:pPr>
        <w:spacing w:after="0" w:line="68" w:lineRule="exact"/>
        <w:rPr>
          <w:sz w:val="20"/>
          <w:szCs w:val="20"/>
          <w:color w:val="auto"/>
        </w:rPr>
      </w:pPr>
    </w:p>
    <w:p>
      <w:pPr>
        <w:ind w:left="580" w:hanging="286"/>
        <w:spacing w:after="0" w:line="259" w:lineRule="auto"/>
        <w:tabs>
          <w:tab w:leader="none" w:pos="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trial started in 2015, enrollment was completed in 2020 with 115 patients and the last patient visit under the follow-up period took place in June 2023. Final biomarker and clinical data of the trial are being gathered and evaluated and will be compiled in a clinical study report.</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ii. BNT112 for the Treatment of Prostate Cancer</w:t>
      </w:r>
    </w:p>
    <w:p>
      <w:pPr>
        <w:spacing w:after="0" w:line="94"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auto"/>
        </w:rPr>
        <w:t>BNT112 is designed to elicit an immune response to five antigens expressed in</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and metastatic prostate cancer, including prostate-specific antigen, or PSA, a transmembrane protein that is expressed by virtually all prostate cancers, prostatic acid phosphatase, or PAP, and three additional tumor-associated antigens.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Phase 1/2a Clinical Trial (PRO-MERIT)</w:t>
      </w:r>
    </w:p>
    <w:p>
      <w:pPr>
        <w:spacing w:after="0" w:line="94"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PRO- MERIT is a first-in- human Phase 1/2a, open-label dose titration and expansion clinical trial (NCT04382898) to evaluate the safety, immunogenicity and preliminary efficacy of BNT112 monotherapy and in combination with cemiplimab in patients with metastatic castration resistant prostate cancer, or mCRPC and high-risk localized prostate cancer (LPC) who are eligible for treatment with androgen deprivation therapy (ADT) followed by radical prostatectomy. The trial has been discontinued and the follow-up period ended in January 2024. Final data of the trial are being gathered and evaluated and will be compiled in a clinical study report.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iii. BNT113 for the Treatment of Human Papilloma Virus 16-positive, or HPV16+, Head and Neck Cancer, or HNSCC</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181010"/>
        </w:rPr>
        <w:t>BNT113 encodes two HPV-16 -related oncoproteins exclusively expressed in pre-malignant and malignant tissue.</w:t>
      </w:r>
      <w:r>
        <w:rPr>
          <w:rFonts w:ascii="Times New Roman" w:cs="Times New Roman" w:eastAsia="Times New Roman" w:hAnsi="Times New Roman"/>
          <w:sz w:val="16"/>
          <w:szCs w:val="16"/>
          <w:color w:val="000000"/>
        </w:rPr>
        <w:t>HPV-associated cancers are increasing, with</w:t>
      </w:r>
      <w:r>
        <w:rPr>
          <w:rFonts w:ascii="Times New Roman" w:cs="Times New Roman" w:eastAsia="Times New Roman" w:hAnsi="Times New Roman"/>
          <w:sz w:val="16"/>
          <w:szCs w:val="16"/>
          <w:color w:val="181010"/>
        </w:rPr>
        <w:t xml:space="preserve"> </w:t>
      </w:r>
      <w:r>
        <w:rPr>
          <w:rFonts w:ascii="Times New Roman" w:cs="Times New Roman" w:eastAsia="Times New Roman" w:hAnsi="Times New Roman"/>
          <w:sz w:val="16"/>
          <w:szCs w:val="16"/>
          <w:color w:val="000000"/>
        </w:rPr>
        <w:t>HPV16+ HNSCC typically occurring in younger populations. Most patients with HPV16+ HNSCC are diagnosed at more advanced clinical stages. We see a significant opportunity to improve the treatment landscape with BNT113 given that it has the potential to augment clinical responses in patients being treated with checkpoint inhibitors.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BNT113 Phase 2 Trial (AHEAD-MERIT)</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global randomized Phase 2 clinical trial (NCT04534205) evaluating BNT113 in combination with pembrolizumab (Merck &amp; Co., Inc.’s Keytruda) versus pembrolizumab monotherapy as a first-line treatment in patients with unresectable recurrent or metastatic HPV16+ HNSCC expressing PD-L1 is ongoing. Part A is a non-randomized run-in portion designed to demonstrate the safety of the combination of BNT113 and pembrolizumab. Part B is the randomized portion of the trial designed to generate efficacy and safety data. The trial plans to enroll a total of 267 patients.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Phase 1/2 Trial (Investigator-Initiated and Sponsored)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4" w:name="page95"/>
    <w:bookmarkEnd w:id="9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BNT113 was investigated by the University Hospital Southampton National Health Service (NHS) Foundation Trust in an investigator-sponsored open-label, Phase 1/2 dose escalation basket clinical trial with two different arms in 29 patients with HPV16+ head and neck and other cancers in the post-adjuvant and metastatic setting. The trial has been terminated and the patient follow-up period ended in July 2023.</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iv. BNT114 for the Triple Negative Breast Cancer, or TNBC</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multi-center, open-label, three-arm Phase 1 clinical trial (NCT02316457) to evaluate BNT114 as monotherapy and in combination with our individualized neoantigen specific immunotherapy in TNBC patients who had previously received the standard of care therapy (i.e., surgery, chemotherapy and/or radiotherapy) had its last patient last visit in May 2023. The trial results of the main study phase were summarized in a clinical trial report, or CTR, in 2021. The data generated within the three-year long-term follow-up period has been described in an addendum to the CTR.</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v. BNT115 for the Treatment of Ovarian Cancer</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Phase 1 Trial (Investigator-Initiated and Sponsored)</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BNT115 was studied in an investigator-initiated and -sponsored first-in-human, open-label Phase 1 dose escalation clinical trial in ovarian cancer patients eligible for standard-of-care treatment with (neo-) adjuvant chemotherapy. Although the original recruitment period was extended, the target number of evaluable patients, defined in the study protocol was not reached and recruitment for the trial was stopped. Recruitment of 10 patients was concluded in June 2022, and eight were ultimately dosed. The follow-up phase for the enrolled patients was completed in June 2023. The clinical data of the trial will be evaluated by the University Medical Center Groningen, Netherlands and recorded accordingly. No follow-up studies are planned with BNT115.</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vi. BNT116 for the Treatment of Non-small Cell Lung Cancer, or NSCLC</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BNT116 is being evaluated in two clinical trials as a monotherapy and in combination with other immunotherapies and chemotherapies in patients with advanced or metastasized NSCLC.</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NSCLC 1L</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randomized, controlled Phase 2 clinical trial (NCT05557591) is ongoing to evaluate BNT116 in combination with cemiplimab versus cemiplimab alone as first-line treatment of patients with advanced NSCLC whose tumors express PD-L1 in ≥ 50% of their tumor cells. The primary objective of the Phase 2 trial is to assess the safety and tolerability as well as the ORR and tumor burden reduction.</w:t>
      </w:r>
    </w:p>
    <w:p>
      <w:pPr>
        <w:spacing w:after="0" w:line="68" w:lineRule="exact"/>
        <w:rPr>
          <w:sz w:val="20"/>
          <w:szCs w:val="20"/>
          <w:color w:val="auto"/>
        </w:rPr>
      </w:pPr>
    </w:p>
    <w:p>
      <w:pPr>
        <w:ind w:left="580" w:hanging="286"/>
        <w:spacing w:after="0"/>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2023, a Trial-in-Progress poster was presented at the European Society for Medical Oncology (ESMO) Congress.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 Trial in NSCLC</w:t>
      </w:r>
    </w:p>
    <w:p>
      <w:pPr>
        <w:spacing w:after="0" w:line="94" w:lineRule="exact"/>
        <w:rPr>
          <w:sz w:val="20"/>
          <w:szCs w:val="20"/>
          <w:color w:val="auto"/>
        </w:rPr>
      </w:pPr>
    </w:p>
    <w:p>
      <w:pPr>
        <w:jc w:val="both"/>
        <w:ind w:right="20" w:firstLine="336"/>
        <w:spacing w:after="0" w:line="241" w:lineRule="auto"/>
        <w:rPr>
          <w:sz w:val="20"/>
          <w:szCs w:val="20"/>
          <w:color w:val="auto"/>
        </w:rPr>
      </w:pPr>
      <w:r>
        <w:rPr>
          <w:rFonts w:ascii="Times New Roman" w:cs="Times New Roman" w:eastAsia="Times New Roman" w:hAnsi="Times New Roman"/>
          <w:sz w:val="16"/>
          <w:szCs w:val="16"/>
          <w:color w:val="auto"/>
        </w:rPr>
        <w:t>A Phase 1 clinical trial (NCT05142189) is ongoing to evaluate the safety, tolerability and preliminary efficacy of BNT116 alone and in combination with cemiplimab in patients who have progressed on prior PD-1 inhibitor treatment or are not eligible for chemotherapy, in combination with docetaxel in patients who have received prior PD-1 inhibitor therapy and platinum-based chemotherapy, in combination with cemiplimab in patients with unresectable Stage III NSCLC who have undergone chemoradiotherapy, and in combination with cemiplimab with our without chemotherapy in the neoadjuvant and adjuvant settings in patients with resectable Stage II and III NSCLC.</w:t>
      </w:r>
    </w:p>
    <w:p>
      <w:pPr>
        <w:spacing w:after="0" w:line="73" w:lineRule="exact"/>
        <w:rPr>
          <w:sz w:val="20"/>
          <w:szCs w:val="20"/>
          <w:color w:val="auto"/>
        </w:rPr>
      </w:pPr>
    </w:p>
    <w:p>
      <w:pPr>
        <w:jc w:val="both"/>
        <w:ind w:left="580" w:hanging="286"/>
        <w:spacing w:after="0" w:line="247" w:lineRule="auto"/>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2023, two new cohorts were added to the study: a cohort enrolling NSCLC patients to evaluate BNT116 combination with cemiplimab and chemotherapy in the neo- and adjuvant settings; and a cohort to assess the potential of BNT116 plus cemiplimab as consolidation treatment after concurrent chemoradiotherapy.</w:t>
      </w:r>
    </w:p>
    <w:p>
      <w:pPr>
        <w:spacing w:after="0" w:line="68"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data from the trial were presented at the 2023 Society for Immunotherapy of Cancer (SITC) Annual Meeting. The tolerability profile of BNT116 was similar to other RNA-LPX-based therapeutic vaccines. In heavily pretreated NSCLC patients, early clinical activity was observed with treatment with BNT116 with the addition of cemiplimab from cycle 3 onward.</w:t>
      </w:r>
    </w:p>
    <w:p>
      <w:pPr>
        <w:spacing w:after="0" w:line="160" w:lineRule="exact"/>
        <w:rPr>
          <w:rFonts w:ascii="Times New Roman" w:cs="Times New Roman" w:eastAsia="Times New Roman" w:hAnsi="Times New Roman"/>
          <w:sz w:val="16"/>
          <w:szCs w:val="16"/>
          <w:color w:val="auto"/>
        </w:rPr>
      </w:pPr>
    </w:p>
    <w:p>
      <w:pPr>
        <w:ind w:left="580" w:hanging="178"/>
        <w:spacing w:after="0"/>
        <w:tabs>
          <w:tab w:leader="none" w:pos="580" w:val="left"/>
        </w:tabs>
        <w:numPr>
          <w:ilvl w:val="1"/>
          <w:numId w:val="7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Autogene Cevumeran (BNT122), an Individualized Neoantigen Specific Immunotherapy, or iNeST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5" w:name="page96"/>
    <w:bookmarkEnd w:id="9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Autogene cevumeran is an individualized cancer immunotherapy product candidate based on specific neoantigens that are present on a patient’s tumor. Similar to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programs, our iNeST approach is also based on a pharmacologically optimized-backbone equipped uridine mRNA, or uRNA, delivered in our proprietary RNA-LPX formulation. Proprietary RNA-LPX is designed to deliver RNA to DCs and protects RNA from degradation by RNAse and is designed for RNA delivery into antigen-presenting cells in lymphoid organs. Each patient is treated with a vaccine informed by the mutation profile of their personal cancer and manufactured on-demand. The RNA encodes a unique composition of the patient’s own tumor mutations and results in generation of neoantigen specific CD4+ and CD8+ T-cell responses. Each autogene cevumeran dose includes up to 20 different neoantigens selected on a patient -by-patient basis (up to 10 neoantigens on 1 RNA).We believe this modality may be well-suited for use in the adjuvant setting. </w:t>
      </w:r>
      <w:r>
        <w:rPr>
          <w:rFonts w:ascii="Times New Roman" w:cs="Times New Roman" w:eastAsia="Times New Roman" w:hAnsi="Times New Roman"/>
          <w:sz w:val="16"/>
          <w:szCs w:val="16"/>
          <w:i w:val="1"/>
          <w:iCs w:val="1"/>
          <w:color w:val="auto"/>
        </w:rPr>
        <w:t>iNeST</w:t>
      </w:r>
      <w:r>
        <w:rPr>
          <w:rFonts w:ascii="Times New Roman" w:cs="Times New Roman" w:eastAsia="Times New Roman" w:hAnsi="Times New Roman"/>
          <w:sz w:val="16"/>
          <w:szCs w:val="16"/>
          <w:color w:val="auto"/>
        </w:rPr>
        <w:t xml:space="preserve"> is partnered with Genentech as part of a 50:50 collaboration in which development costs and future profits are shared.</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Adjuvant Colorectal Cancer</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 randomized, multi-site, open -label Phase 2 clinical trial (NCT04486378) evaluating autogene cevumeran as an adjuvant treatment of circulating tumor DNA (ctDNA) positive, surgically resected Stage II (high risk)/Stage III colorectal cancer is ongoing. The trial is expected to enroll about 200 patients to evaluate the efficacy of autogene cevumeran compared to watchful waiting after surgery and chemotherapy, the current standard of care for these high-risk patients. The primary endpoint for the study is disease-free survival, or DFS. Secondary objectives include OS and safety. The trial is currently enrolling in the United States, Germany, Spain, Belgium, Sweden and the UK.</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Pancreatic Ductal Adenocarcinoma, or PDAC</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In October 2023, the first patient was dosed in the randomized Phase 2 clinical trial (NCT05968326) evaluating the safety and efficacy of autogene cevumeran in combination with atezolizumab (Genentech’s Tecentriq) followed by standard-of-care chemotherapy (mFOLFIRINOX) in patients with resected PDAC compared to chemotherapy alone. The Phase 2 study is expected to enroll 260 patients with resected PDAC who have not received prior systemic anti-cancer treatment and showed no evidence of disease after surgery. The primary endpoint is DFS. Secondary endpoints include OS and safety. The trial has been initiated in the United States and enrollment is planned in approximately 10 countries in total.</w:t>
      </w:r>
    </w:p>
    <w:p>
      <w:pPr>
        <w:spacing w:after="0" w:line="71" w:lineRule="exact"/>
        <w:rPr>
          <w:sz w:val="20"/>
          <w:szCs w:val="20"/>
          <w:color w:val="auto"/>
        </w:rPr>
      </w:pPr>
    </w:p>
    <w:p>
      <w:pPr>
        <w:jc w:val="both"/>
        <w:ind w:left="580" w:right="20" w:hanging="286"/>
        <w:spacing w:after="0" w:line="248" w:lineRule="auto"/>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May 2023, results from the investigator-initiated Phase 1 trial were published in the peer-reviewed journal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(Rojas, L.A et al. 2023). The paper reported preliminary evidence that adjuvant autogene cevumeran in combination with atezolizumab and mFOLFIRINOX induces substantial T-cell response in patients with surgically resected PDAC that correlates with delayed recurrence.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First-line Melanoma with Pembrolizumab</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 randomized Phase 2 clinical trial (NCT03815058) evaluating the efficacy and safety of autogene cevumeran in combination with pembrolizumab versus pembrolizumab alone as first line in patients with previously untreated advanced melanoma is fully enrolled and follow-up is ongoing. The primary endpoint is PFS and is events-based. Secondary endpoints include ORR, OS, DOR and safety.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1a/1b Clinical Trial</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An open-label Phase 1a monotherapy/1b in combination with atezolizumab clinical trial (NCT03289962) ofautogene cevumeran in patients with locally advanced or metastatic solid tumors, including patients with melanoma, NSCLC, bladder cancer, colorectal cancer, TNBC, renal cancer, head and neck cancer and sarcomas as well as other solid tumors is fully enrolled and follow-up is ongoing.</w:t>
      </w:r>
    </w:p>
    <w:p>
      <w:pPr>
        <w:spacing w:after="0" w:line="160" w:lineRule="exact"/>
        <w:rPr>
          <w:sz w:val="20"/>
          <w:szCs w:val="20"/>
          <w:color w:val="auto"/>
        </w:rPr>
      </w:pPr>
    </w:p>
    <w:p>
      <w:pPr>
        <w:ind w:left="560" w:hanging="158"/>
        <w:spacing w:after="0"/>
        <w:tabs>
          <w:tab w:leader="none" w:pos="560" w:val="left"/>
        </w:tabs>
        <w:numPr>
          <w:ilvl w:val="1"/>
          <w:numId w:val="7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mRNA Intratumoral Immunotherapy</w:t>
      </w:r>
    </w:p>
    <w:p>
      <w:pPr>
        <w:spacing w:after="0" w:line="92" w:lineRule="exact"/>
        <w:rPr>
          <w:rFonts w:ascii="Times New Roman" w:cs="Times New Roman" w:eastAsia="Times New Roman" w:hAnsi="Times New Roman"/>
          <w:sz w:val="16"/>
          <w:szCs w:val="16"/>
          <w:b w:val="1"/>
          <w:bCs w:val="1"/>
          <w:i w:val="1"/>
          <w:iCs w:val="1"/>
          <w:color w:val="auto"/>
        </w:rPr>
      </w:pPr>
    </w:p>
    <w:p>
      <w:pPr>
        <w:ind w:left="120" w:hanging="114"/>
        <w:spacing w:after="0"/>
        <w:tabs>
          <w:tab w:leader="none" w:pos="120"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BNT131/SAR441000 for the Treatment of Solid Tumors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BNT131/SAR441000 comprised four mRNAs encoding the cytokines IL-12sc, IL-15sushi, IFN-α and GM-CSF, which we had identified as mediators of tumor regression across different murine tumor models. The Collaboration and License Agreement with Sanofi to develop BNT131/SAR441000 was terminated effective December 30, 2023.</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Phase 1 Clinical Trial</w:t>
      </w:r>
    </w:p>
    <w:p>
      <w:pPr>
        <w:spacing w:after="0" w:line="9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We and Sanofi are running a first-in-human, multi-center, open-label, Phase 1, dose escalation and expansion clinical trial (NCT03871348) to evaluate the safety, pharmacokinetics, pharmacodynamics and anti-tumor activity of BNT131/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6" w:name="page97"/>
    <w:bookmarkEnd w:id="9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SAR441000 administered intratumorally as monotherapy and in combination with cemiplimab. In this trial, 77 patients with certain advanced solid tumors were enrolled.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trial has stopped recruitment; treatment of patients and follow-up are ongoing.</w:t>
      </w:r>
    </w:p>
    <w:p>
      <w:pPr>
        <w:spacing w:after="0" w:line="74" w:lineRule="exact"/>
        <w:rPr>
          <w:sz w:val="20"/>
          <w:szCs w:val="20"/>
          <w:color w:val="auto"/>
        </w:rPr>
      </w:pPr>
    </w:p>
    <w:p>
      <w:pPr>
        <w:jc w:val="both"/>
        <w:ind w:left="580" w:right="60" w:hanging="286"/>
        <w:spacing w:after="0" w:line="247" w:lineRule="auto"/>
        <w:tabs>
          <w:tab w:leader="none" w:pos="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2023, preliminary data from the dose escalation and expansion study trial were presented at the 2023 American Association for Cancer Research (AACR) Annual Meeting. Anti-tumor activity across multiple dose levels was observed with treatment with BNT131/SAR441000 and was primarily limited to loco-regional disease setting. No significant overall distant non-injected lesion response was seen.</w:t>
      </w:r>
    </w:p>
    <w:p>
      <w:pPr>
        <w:spacing w:after="0" w:line="6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interim analysis results, we and Sanofi have jointly decided to discontinue the development of the mRNA coding for cytokines, BNT131/SAR441000.</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 RiboMabs</w:t>
      </w:r>
    </w:p>
    <w:p>
      <w:pPr>
        <w:spacing w:after="0" w:line="94" w:lineRule="exact"/>
        <w:rPr>
          <w:sz w:val="20"/>
          <w:szCs w:val="20"/>
          <w:color w:val="auto"/>
        </w:rPr>
      </w:pPr>
    </w:p>
    <w:p>
      <w:pPr>
        <w:jc w:val="both"/>
        <w:ind w:right="40" w:firstLine="384"/>
        <w:spacing w:after="0" w:line="248"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product candidates, BNT141 and BNT142, are mRNAs that encode cancer cell targeting antibodies. These product candidates leverage our proprietary optimized mRNA technology combining nucleoside modifications to minimize immunogenicity with our improved mRNA backbone designs with the aim of maximizing protein expression.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product candidates are formulated using liver-targeting lipid nanoparticles, or LNPs for intravenous delivery.</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BNT141 for the Treatment of Solid Tumors</w:t>
      </w:r>
    </w:p>
    <w:p>
      <w:pPr>
        <w:spacing w:after="0" w:line="96"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In January 2022, we dosed the first patient in an open- label, multi-site, Phase 1/2 dose escalation, safety, and pharmacokinetic clinical trial of BNT141 followed by expansion cohorts in patients with CLDN18.2-positive tumors. The last patient visit was in July 2023. We have decided to discontinue the study based on observations regarding product characteristics, and are working on an optimized formulation of the product candidate for further clinical development.</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ii. BNT142 for the Treatment of Solid Tumors</w:t>
      </w:r>
    </w:p>
    <w:p>
      <w:pPr>
        <w:spacing w:after="0" w:line="96" w:lineRule="exact"/>
        <w:rPr>
          <w:sz w:val="20"/>
          <w:szCs w:val="20"/>
          <w:color w:val="auto"/>
        </w:rPr>
      </w:pPr>
    </w:p>
    <w:p>
      <w:pPr>
        <w:ind w:left="160" w:right="60" w:firstLine="216"/>
        <w:spacing w:after="0" w:line="331" w:lineRule="auto"/>
        <w:rPr>
          <w:sz w:val="20"/>
          <w:szCs w:val="20"/>
          <w:color w:val="auto"/>
        </w:rPr>
      </w:pPr>
      <w:r>
        <w:rPr>
          <w:rFonts w:ascii="Times New Roman" w:cs="Times New Roman" w:eastAsia="Times New Roman" w:hAnsi="Times New Roman"/>
          <w:sz w:val="14"/>
          <w:szCs w:val="14"/>
          <w:color w:val="auto"/>
        </w:rPr>
        <w:t>BNT142 codes for a T cell engaging bispecific antibody targeting CLDN6, and is being studied in an ongoing, open -label, multi-center Phase 1/2 clinical trial (NCT05262530) in patients with CLDN6-positive advanced solid tumors that have exhausted available standard therapy or are not eligible for such available therapy.</w:t>
      </w:r>
    </w:p>
    <w:p>
      <w:pPr>
        <w:spacing w:after="0" w:line="12" w:lineRule="exact"/>
        <w:rPr>
          <w:sz w:val="20"/>
          <w:szCs w:val="20"/>
          <w:color w:val="auto"/>
        </w:rPr>
      </w:pPr>
    </w:p>
    <w:p>
      <w:pPr>
        <w:ind w:left="580" w:right="80" w:hanging="286"/>
        <w:spacing w:after="0" w:line="259" w:lineRule="auto"/>
        <w:tabs>
          <w:tab w:leader="none" w:pos="5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trial-in-progress poster was presented at the 2023 American Society of Clinical Oncology (ASCO) Annual Meeting. The study is actively recruiting patients in the EU, the UK, the United States and Singapore.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 RiboCytokines</w:t>
      </w:r>
    </w:p>
    <w:p>
      <w:pPr>
        <w:spacing w:after="0" w:line="94" w:lineRule="exact"/>
        <w:rPr>
          <w:sz w:val="20"/>
          <w:szCs w:val="20"/>
          <w:color w:val="auto"/>
        </w:rPr>
      </w:pPr>
    </w:p>
    <w:p>
      <w:pPr>
        <w:jc w:val="both"/>
        <w:ind w:right="60" w:firstLine="384"/>
        <w:spacing w:after="0" w:line="248"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product candidates are designed to address the limitations of recombinantly expressed cytokines, including limited serum half-life and production costs. BNT151 and BNT152+153 are nucleoside- modified mRNAs encoding human cytokines fused to human serum albumin. The modified mRNA is formulated with liver-targeting LNPs for intravenous delivery. BNT151 encodes an IL-2 variant, BNT152 encodes IL-7, and BNT153 encodes IL-2.</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BNT151 for the Treatment of Solid Tumors</w:t>
      </w:r>
    </w:p>
    <w:p>
      <w:pPr>
        <w:spacing w:after="0" w:line="96" w:lineRule="exact"/>
        <w:rPr>
          <w:sz w:val="20"/>
          <w:szCs w:val="20"/>
          <w:color w:val="auto"/>
        </w:rPr>
      </w:pPr>
    </w:p>
    <w:p>
      <w:pPr>
        <w:jc w:val="both"/>
        <w:ind w:right="40" w:firstLine="390"/>
        <w:spacing w:after="0" w:line="243" w:lineRule="auto"/>
        <w:tabs>
          <w:tab w:leader="none" w:pos="5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first-in-human, open-label, dose escalation, multi-center Phase 1/2 clinical trial (NCT04455620) evaluating BNT151 (encoding an IL-2 variant) safety, pharmacokinetics and pharmacodynamics in patients with multiple solid tumors has been discontinued after the completion of enrollment for the Part 1 monotherapy dose escalation. The follow-up phase for enrolled patients is expected to be completed in 2024, after which the clinical data of the trial will be finally evaluated and reported accordingly.</w:t>
      </w:r>
    </w:p>
    <w:p>
      <w:pPr>
        <w:spacing w:after="0" w:line="163" w:lineRule="exact"/>
        <w:rPr>
          <w:rFonts w:ascii="Times New Roman" w:cs="Times New Roman" w:eastAsia="Times New Roman" w:hAnsi="Times New Roman"/>
          <w:sz w:val="16"/>
          <w:szCs w:val="16"/>
          <w:color w:val="auto"/>
        </w:rPr>
      </w:pPr>
    </w:p>
    <w:p>
      <w:pPr>
        <w:ind w:left="560" w:hanging="158"/>
        <w:spacing w:after="0"/>
        <w:tabs>
          <w:tab w:leader="none" w:pos="560" w:val="left"/>
        </w:tabs>
        <w:numPr>
          <w:ilvl w:val="1"/>
          <w:numId w:val="7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BNT152+BNT153 for the Treatment of Solid Tumors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 Trial of BNT152+153</w:t>
      </w:r>
    </w:p>
    <w:p>
      <w:pPr>
        <w:spacing w:after="0" w:line="94"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4"/>
          <w:szCs w:val="14"/>
          <w:color w:val="auto"/>
        </w:rPr>
        <w:t>An open-label, multi-site, first-in-human Phase 1 clinical trial (NCT04710043) is evaluating the safety, pharmacokinetics, pharmacodynamics, and preliminary anti-tumor activity of a combination of BNT152 and BNT153. The clinical trial is ongoing and enrolling patients with various metastatic or unresectable solid tumors for whom there is no available standard therapy likely to confer clinical benefit or patients who are not candidates for such available therapy. The clinical trial consists of two parts with adaptive design elements. Part 1 consisted of Groups A and B and was completed in May 2023. Group A was a BNT153 monotherapy dose escalation in patients with advanced solid malignancies until the maximum tolerated dose (MTD) or maximum administered dose (MAD) was defined. Group B was a BNT152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97" w:name="page98"/>
    <w:bookmarkEnd w:id="9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monotherapy dose escalation in patients with advanced solid malignancies until the MTD or optimal biological dose (OBD) was defined, whichever occured earlier. In Part 2, we are currently evaluating the combination treatment of BNT152 and BNT153.</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2. Oncology Cell Therapy Product Candidates</w:t>
      </w:r>
    </w:p>
    <w:p>
      <w:pPr>
        <w:spacing w:after="0" w:line="96" w:lineRule="exact"/>
        <w:rPr>
          <w:sz w:val="20"/>
          <w:szCs w:val="20"/>
          <w:color w:val="auto"/>
        </w:rPr>
      </w:pPr>
    </w:p>
    <w:p>
      <w:pPr>
        <w:ind w:left="580" w:hanging="178"/>
        <w:spacing w:after="0"/>
        <w:tabs>
          <w:tab w:leader="none" w:pos="580" w:val="left"/>
        </w:tabs>
        <w:numPr>
          <w:ilvl w:val="1"/>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CAR-T-cell therapy </w:t>
      </w:r>
      <w:r>
        <w:rPr>
          <w:rFonts w:ascii="Arial" w:cs="Arial" w:eastAsia="Arial" w:hAnsi="Arial"/>
          <w:sz w:val="21"/>
          <w:szCs w:val="21"/>
          <w:color w:val="1E1E23"/>
        </w:rPr>
        <w:t>-</w:t>
      </w:r>
      <w:r>
        <w:rPr>
          <w:rFonts w:ascii="Times New Roman" w:cs="Times New Roman" w:eastAsia="Times New Roman" w:hAnsi="Times New Roman"/>
          <w:sz w:val="16"/>
          <w:szCs w:val="16"/>
          <w:b w:val="1"/>
          <w:bCs w:val="1"/>
          <w:i w:val="1"/>
          <w:iCs w:val="1"/>
          <w:color w:val="auto"/>
        </w:rPr>
        <w:t xml:space="preserve"> CAR-T</w:t>
      </w:r>
    </w:p>
    <w:p>
      <w:pPr>
        <w:spacing w:after="0" w:line="100" w:lineRule="exact"/>
        <w:rPr>
          <w:rFonts w:ascii="Times New Roman" w:cs="Times New Roman" w:eastAsia="Times New Roman" w:hAnsi="Times New Roman"/>
          <w:sz w:val="16"/>
          <w:szCs w:val="16"/>
          <w:b w:val="1"/>
          <w:bCs w:val="1"/>
          <w:i w:val="1"/>
          <w:iCs w:val="1"/>
          <w:color w:val="auto"/>
        </w:rPr>
      </w:pPr>
    </w:p>
    <w:p>
      <w:pPr>
        <w:ind w:left="520" w:hanging="130"/>
        <w:spacing w:after="0"/>
        <w:tabs>
          <w:tab w:leader="none" w:pos="520" w:val="left"/>
        </w:tabs>
        <w:numPr>
          <w:ilvl w:val="0"/>
          <w:numId w:val="8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BNT211 for the Treatment of CLDN6+ Solid Tumors</w:t>
      </w:r>
    </w:p>
    <w:p>
      <w:pPr>
        <w:spacing w:after="0" w:line="96"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 xml:space="preserve">BNT211 consists of two investigational medicinal products: our first CAR-T-cell product candidate, which targets CLDN6-positive solid tumors, in combination with an mRNA named CARVac encoding CLDN6. The CAR-T cells are equipped with a second-generation CAR of high sensitivity and specificity for the tumor-specific carcino-embryonic antigen CLDN6. CARVac is intended to support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expansion of transferred CAR-T cells to increase their persistence and efficacy. As with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xml:space="preserve"> and iNeST, CARVac is also based on a pharmacologically optimized- backbone equipped uRNA delivered in our proprietary RNA-LPX formulation. BNT211 has been granted Priority Medicines, or PRIME, designation by the EMA for the third- or later-line treatment of testicular germ cell tumors.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An open-label, multi-center Phase 1/2 dose escalation and dose expansion basket clinical trial (NCT04503278) evaluating CLDN6 CAR -T cells with or without a CLDN6 CARVac in patients with CLDN6-positive relapsed or refractory advanced solid tumors, including ovarian and testicular cancers, is ongoing. The primary outcome measure of the trial is safety, with secondary efficacy outcome measures to include ORR, DCR and DOR.</w:t>
      </w:r>
    </w:p>
    <w:p>
      <w:pPr>
        <w:spacing w:after="0" w:line="68" w:lineRule="exact"/>
        <w:rPr>
          <w:sz w:val="20"/>
          <w:szCs w:val="20"/>
          <w:color w:val="auto"/>
        </w:rPr>
      </w:pPr>
    </w:p>
    <w:p>
      <w:pPr>
        <w:jc w:val="both"/>
        <w:ind w:left="580" w:right="40" w:hanging="286"/>
        <w:spacing w:after="0" w:line="289" w:lineRule="auto"/>
        <w:tabs>
          <w:tab w:leader="none" w:pos="5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data update from the ongoing clinical trial was provided at the 2023 ASCO Annual Meeting describing the new dose escalation of CLDN6 CAR-T cells with and without CLDN6 CARVac using an automated manufacturing process for treatment of relapsed/refractory solid tumors. CLDN6 CAR-T cells ± CLDN6 CARVac showed a manageable safety profile in-line with that of manually produced CLDN6 CAR-T cells. Encouraging signs of activity were observed, with dose-dependent expansion of CAR-T cells translating into ORR of 41% with 7 responses in 17 evaluable patients (ORR 75% at dose level 2).</w:t>
      </w:r>
    </w:p>
    <w:p>
      <w:pPr>
        <w:spacing w:after="0" w:line="38" w:lineRule="exact"/>
        <w:rPr>
          <w:rFonts w:ascii="Times New Roman" w:cs="Times New Roman" w:eastAsia="Times New Roman" w:hAnsi="Times New Roman"/>
          <w:sz w:val="14"/>
          <w:szCs w:val="14"/>
          <w:color w:val="auto"/>
        </w:rPr>
      </w:pPr>
    </w:p>
    <w:p>
      <w:pPr>
        <w:ind w:left="580" w:hanging="286"/>
        <w:spacing w:after="0"/>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October 2023, data from the manual manufacturing process were published in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(Mackensen, A. et al., 2023).</w:t>
      </w:r>
    </w:p>
    <w:p>
      <w:pPr>
        <w:spacing w:after="0" w:line="94" w:lineRule="exact"/>
        <w:rPr>
          <w:rFonts w:ascii="Times New Roman" w:cs="Times New Roman" w:eastAsia="Times New Roman" w:hAnsi="Times New Roman"/>
          <w:sz w:val="16"/>
          <w:szCs w:val="16"/>
          <w:color w:val="auto"/>
        </w:rPr>
      </w:pPr>
    </w:p>
    <w:p>
      <w:pPr>
        <w:ind w:left="580" w:right="20" w:hanging="286"/>
        <w:spacing w:after="0" w:line="241" w:lineRule="auto"/>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second data update from the ongoing clinical trial was presented at the 2023 ESMO Congress, describing the interim results from a repeat dose escalation of CLDN6 CAR-T cells manufactured with an automated process with and without CLDN6 CARVac vaccine for treatment of relapsed/refractory solid tumors. CLDN6 CAR-T cells ± CLDN6 CARVac demonstrated encouraging signs of clinical activity. In several patients co-administration of CARVac improved persistence of cancer-specific CAR-T cells. The rate of treatment-emergent adverse events (TEAEs) was dose-dependent. A Phase 2 trial evaluating BNT211 in patients with germ cell tumors is planned to start in 2024.</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 Neoantigen-Targeting T Cells</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Our neoantigen-targeting T-cell stimulation platform can be utilized to develop product candidates across several neoantigen-targeting non -engineered and engineered T-cell therapies. Autologous, neoantigen -specific T cells are primed, activated and expanded </w:t>
      </w:r>
      <w:r>
        <w:rPr>
          <w:rFonts w:ascii="Times New Roman" w:cs="Times New Roman" w:eastAsia="Times New Roman" w:hAnsi="Times New Roman"/>
          <w:sz w:val="16"/>
          <w:szCs w:val="16"/>
          <w:i w:val="1"/>
          <w:iCs w:val="1"/>
          <w:color w:val="auto"/>
        </w:rPr>
        <w:t>ex vivo</w:t>
      </w:r>
      <w:r>
        <w:rPr>
          <w:rFonts w:ascii="Times New Roman" w:cs="Times New Roman" w:eastAsia="Times New Roman" w:hAnsi="Times New Roman"/>
          <w:sz w:val="16"/>
          <w:szCs w:val="16"/>
          <w:color w:val="auto"/>
        </w:rPr>
        <w:t xml:space="preserve"> utilizing a proprietary antigen-specific T-cell induction protocol, </w:t>
      </w:r>
      <w:r>
        <w:rPr>
          <w:rFonts w:ascii="Times New Roman" w:cs="Times New Roman" w:eastAsia="Times New Roman" w:hAnsi="Times New Roman"/>
          <w:sz w:val="16"/>
          <w:szCs w:val="16"/>
          <w:i w:val="1"/>
          <w:iCs w:val="1"/>
          <w:color w:val="auto"/>
        </w:rPr>
        <w:t>Neo-Stim</w:t>
      </w:r>
      <w:r>
        <w:rPr>
          <w:rFonts w:ascii="Times New Roman" w:cs="Times New Roman" w:eastAsia="Times New Roman" w:hAnsi="Times New Roman"/>
          <w:sz w:val="16"/>
          <w:szCs w:val="16"/>
          <w:color w:val="auto"/>
        </w:rPr>
        <w:t>, to target either a personal set of neoantigens for each patient or a set of selected shared neoantigens.Our lead product candidate under this platform is our individualized neoantigen-targeting T-cell therapy, BNT221.</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BNT221 for the Treatment of Cancer</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BNT221 is our autologous, fully personalized, polyspecific T- cell therapy directed against selected sets of individual neoantigens. BNT221 is based on expanded neoantigen-specific memory T cells and induced naïve T cells. The proprietary stimulation process allows for the induction of T cells from the naïve compartment, as well as expansion of T cells from the memory compartment. Other product characteristics are (i) cells with high specificity profile towards the mutant epitope; (ii) cells exhibiting multiple effector functions; (iii) a product that contains both central and effector memory T cells; and (iv) cells that have cytotoxic response towards endogenously processed and presented antigens as well as recognition of autologous tumor. The neoantigens are selected using our proprietary </w:t>
      </w:r>
      <w:r>
        <w:rPr>
          <w:rFonts w:ascii="Times New Roman" w:cs="Times New Roman" w:eastAsia="Times New Roman" w:hAnsi="Times New Roman"/>
          <w:sz w:val="16"/>
          <w:szCs w:val="16"/>
          <w:i w:val="1"/>
          <w:iCs w:val="1"/>
          <w:color w:val="auto"/>
        </w:rPr>
        <w:t>RECON</w:t>
      </w:r>
      <w:r>
        <w:rPr>
          <w:rFonts w:ascii="Times New Roman" w:cs="Times New Roman" w:eastAsia="Times New Roman" w:hAnsi="Times New Roman"/>
          <w:sz w:val="16"/>
          <w:szCs w:val="16"/>
          <w:color w:val="auto"/>
        </w:rPr>
        <w:t xml:space="preserve"> bioinformatics engine.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8" w:name="page99"/>
    <w:bookmarkEnd w:id="9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 Clinical Trial</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first-in-human Phase 1 dose escalation clinical trial (NCT04625205) evaluating BNT221 in patients with checkpoint inhibitor unresponsive or refractory metastatic melanoma is ongoing. The first portion of the trial consists of a monotherapy dose escalation of BNT221, for which recruitment and treatment of patients is complete. Currently, BNT221 is being dosed in combination with anti-PD-1 therapy after first-line treatment. Major objectives of this study include evaluation of the safety and feasibility of administering BNT221, as well as evaluations of immunogenicity and preliminary efficacy.</w:t>
      </w:r>
    </w:p>
    <w:p>
      <w:pPr>
        <w:spacing w:after="0" w:line="71" w:lineRule="exact"/>
        <w:rPr>
          <w:sz w:val="20"/>
          <w:szCs w:val="20"/>
          <w:color w:val="auto"/>
        </w:rPr>
      </w:pPr>
    </w:p>
    <w:p>
      <w:pPr>
        <w:jc w:val="both"/>
        <w:ind w:left="580" w:right="20" w:hanging="286"/>
        <w:spacing w:after="0" w:line="247" w:lineRule="auto"/>
        <w:tabs>
          <w:tab w:leader="none" w:pos="5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monotherapy data from the dose escalation phase of this clinical trial were presented at the 2023 ESMO Congress and 2023 SITC Annual Meeting. These initial results demonstrated a manageable safety profile and signs of tumor regression in several patients with anti-PD-1 and anti-CTLA-4 pretreated advanced or metastatic melanoma.</w:t>
      </w:r>
    </w:p>
    <w:p>
      <w:pPr>
        <w:spacing w:after="0" w:line="162" w:lineRule="exact"/>
        <w:rPr>
          <w:sz w:val="20"/>
          <w:szCs w:val="20"/>
          <w:color w:val="auto"/>
        </w:rPr>
      </w:pPr>
    </w:p>
    <w:p>
      <w:pPr>
        <w:ind w:left="400" w:right="6060" w:firstLine="2"/>
        <w:spacing w:after="0" w:line="413" w:lineRule="auto"/>
        <w:tabs>
          <w:tab w:leader="none" w:pos="556"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Protein-based Therapeutic Product Candidates in Oncology </w:t>
      </w:r>
      <w:r>
        <w:rPr>
          <w:rFonts w:ascii="Times New Roman" w:cs="Times New Roman" w:eastAsia="Times New Roman" w:hAnsi="Times New Roman"/>
          <w:sz w:val="14"/>
          <w:szCs w:val="14"/>
          <w:b w:val="1"/>
          <w:bCs w:val="1"/>
          <w:i w:val="1"/>
          <w:iCs w:val="1"/>
          <w:color w:val="auto"/>
        </w:rPr>
        <w:t>a) Next-Generation Immune Checkpoint Modulators</w:t>
      </w: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We and Genmab are developing antibodies that are designed to function as tumor-targeted and dual immunomodulators, applying Genmab’s proprietary technologies in combination with our joint target identification and product concept expertise. BNT311/GEN1046 (acasunlimab), BNT312/GEN1042, BNT313/GEN1053, BNT314/GEN1059, BNT315/GEN1055, and BNT322/GEN1056 are partnered with Genmab as part of a 50:50 collaboration in which development costs and future profits are shared. We and Genmab have five product candidates currently in clinical development: BNT311/GEN1046 (acasunlimab, DuoBody PD-L1x4-1BB), BNT312/GEN1042 (DuoBody CD40x4-1BB), BNT313/GEN1053 (HexaBody-CD27), BNT314/GEN1059 (DuoBody-EpCAMx4-1BB), and BNT322/GEN1056 (target undisclosed). In October 2023, an Investigational New Drug Application (IND) was submitted for an additional product candidate, BNT315/GEN1055 (HexaBody-OX40) and the IND has been cleared by the U.S. FDA.</w:t>
      </w:r>
    </w:p>
    <w:p>
      <w:pPr>
        <w:spacing w:after="0" w:line="17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In March 2023, we and OncoC4 announced entry into a strategic collaboration, which includes joint development of BNT316/ONC-392 in a range of solid tumor indications, with the parties equally sharing development costs for such joint development studies. BioNTech holds the exclusive worldwide commercialization rights for this product candidate.</w:t>
      </w:r>
    </w:p>
    <w:p>
      <w:pPr>
        <w:spacing w:after="0" w:line="16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In November 2023, we announced an exclusive global license and collaboration with Biotheus under which we will be developing, manufacturing and commercializing Biotheus’ bispecific antibody candidate BNT327/PM8002 globally ex-Greater China.</w:t>
      </w:r>
    </w:p>
    <w:p>
      <w:pPr>
        <w:spacing w:after="0" w:line="187" w:lineRule="exact"/>
        <w:rPr>
          <w:sz w:val="20"/>
          <w:szCs w:val="20"/>
          <w:color w:val="auto"/>
        </w:rPr>
      </w:pPr>
    </w:p>
    <w:p>
      <w:pPr>
        <w:ind w:left="680" w:hanging="278"/>
        <w:spacing w:after="0"/>
        <w:tabs>
          <w:tab w:leader="none" w:pos="680"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BNT311/GEN1046 (acasunlimab) a PD-L1x4-1BB Bispecific Antibody for the Treatment of Solid Tumors</w:t>
      </w:r>
    </w:p>
    <w:p>
      <w:pPr>
        <w:spacing w:after="0" w:line="10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BNT311/GEN1046 (acasunlimab), our jointly owned PD-L1x4-1BB product candidate, is a potential first-in-class bispecific antibody combining PD-L1 checkpoint inhibition with 4-1BB stimulation. BNT311/GEN1046 (acasunlimab) is being developed for the treatment of solid tumors using Genmab’s proprietary DuoBody technology platform. We and Genmab are currently evaluating BNT311/GEN1046 (acasunlimab) in multiple clinical trials.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Metastatic NSCLC</w:t>
      </w:r>
    </w:p>
    <w:p>
      <w:pPr>
        <w:spacing w:after="0" w:line="94"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A Phase 2, multi-center, randomized, open-label clinical trial (NCT05117242) of BNT311/GEN1046 (acasunlimab) as monotherapy and in combination with pembrolizumab in patients with relapsed/refractory metastatic NSCLC and a tumor PD-L1 expression of tumor proportion score, or TPS, of ≥1% after treatment with standard of care therapy with an immune checkpoint inhibitor is ongoing. The primary endpoint is ORR according to Response Evaluation Criteria in Solid Tumors, or RECIST v1.1. Secondary endpoints include DOR, TTR, PFS, OS and safety.</w:t>
      </w:r>
    </w:p>
    <w:p>
      <w:pPr>
        <w:spacing w:after="0" w:line="7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We are planning to share data from this clinical trial at a medical conference in 2024. Based on the data, we are engaging with health authorities on the design of a pivotal trial evaluating BNT311/GEN1046 (acasunlimab) in second line NSCLC.</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Trial in Advanced Endometrial Cancer</w:t>
      </w:r>
    </w:p>
    <w:p>
      <w:pPr>
        <w:spacing w:after="0" w:line="94" w:lineRule="exact"/>
        <w:rPr>
          <w:sz w:val="20"/>
          <w:szCs w:val="20"/>
          <w:color w:val="auto"/>
        </w:rPr>
      </w:pPr>
    </w:p>
    <w:p>
      <w:pPr>
        <w:jc w:val="both"/>
        <w:ind w:right="40" w:firstLine="384"/>
        <w:spacing w:after="0" w:line="331" w:lineRule="auto"/>
        <w:rPr>
          <w:sz w:val="20"/>
          <w:szCs w:val="20"/>
          <w:color w:val="auto"/>
        </w:rPr>
      </w:pPr>
      <w:r>
        <w:rPr>
          <w:rFonts w:ascii="Times New Roman" w:cs="Times New Roman" w:eastAsia="Times New Roman" w:hAnsi="Times New Roman"/>
          <w:sz w:val="14"/>
          <w:szCs w:val="14"/>
          <w:color w:val="auto"/>
        </w:rPr>
        <w:t>In September 2023, an open-label Phase 2 clinical trial (NCT06046274) in treatment- experienced patients with advanced (unresectable and/or metastatic) endometrial cancer was initiated to evaluate the safety and clinical activity of BNT311/GEN1046 (acasunlimab) in combination with pembrolizumab in these patients.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99" w:name="page100"/>
    <w:bookmarkEnd w:id="9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 in Solid Tumors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May 2019, we and Genmab initiated a Phase 1/2, multi-center, open-label clinical trial (NCT03917381) with multiple expansion cohorts evaluating BNT311/GEN1046 (acasunlimab) as monotherapy and in combination therapies in patients with multiple solid tumors. The trial is currently ongoing.</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 Clinical Trial in Japanese Patients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June 2021, we and Genmab initiated a Phase 1 open-label, dose escalation clinical trial (NCT04937153) evaluating the safety and pharmacokinetics of BNT311/GEN1046 (acasunlimab) as monotherapy and in combination with pembrolizumab in Japanese patients with multiple solid tumors. The trial is currently ongoing.</w:t>
      </w:r>
    </w:p>
    <w:p>
      <w:pPr>
        <w:spacing w:after="0" w:line="196" w:lineRule="exact"/>
        <w:rPr>
          <w:sz w:val="20"/>
          <w:szCs w:val="20"/>
          <w:color w:val="auto"/>
        </w:rPr>
      </w:pPr>
    </w:p>
    <w:p>
      <w:pPr>
        <w:ind w:left="720" w:hanging="318"/>
        <w:spacing w:after="0"/>
        <w:tabs>
          <w:tab w:leader="none" w:pos="720" w:val="left"/>
        </w:tabs>
        <w:numPr>
          <w:ilvl w:val="0"/>
          <w:numId w:val="8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BNT312/GEN1042, a CD40x4-1BB Bispecific Antibody for the Treatment of Solid Tumors</w:t>
      </w:r>
    </w:p>
    <w:p>
      <w:pPr>
        <w:spacing w:after="0" w:line="108" w:lineRule="exact"/>
        <w:rPr>
          <w:sz w:val="20"/>
          <w:szCs w:val="20"/>
          <w:color w:val="auto"/>
        </w:rPr>
      </w:pPr>
    </w:p>
    <w:p>
      <w:pPr>
        <w:ind w:right="60" w:firstLine="384"/>
        <w:spacing w:after="0" w:line="247" w:lineRule="auto"/>
        <w:rPr>
          <w:sz w:val="20"/>
          <w:szCs w:val="20"/>
          <w:color w:val="auto"/>
        </w:rPr>
      </w:pPr>
      <w:r>
        <w:rPr>
          <w:rFonts w:ascii="Times New Roman" w:cs="Times New Roman" w:eastAsia="Times New Roman" w:hAnsi="Times New Roman"/>
          <w:sz w:val="16"/>
          <w:szCs w:val="16"/>
          <w:color w:val="auto"/>
        </w:rPr>
        <w:t>BNT312/GEN1042 is a jointly owned, novel, agonistic, bispecific antibody that combines targeting and conditional activation of the costimulatory molecules CD40 and 4-1BB on immune cells. BNT312/GEN1042 is being developed for the treatment of solid cancers using Genmab’s proprietary DuoBody technology platform and our CD40 and 4-1BB antibodies. We and Genmab are currently evaluating BNT312/GEN1042 in multiple clinical trials.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Clinical Trials</w:t>
      </w:r>
    </w:p>
    <w:p>
      <w:pPr>
        <w:spacing w:after="0" w:line="94" w:lineRule="exact"/>
        <w:rPr>
          <w:sz w:val="20"/>
          <w:szCs w:val="20"/>
          <w:color w:val="auto"/>
        </w:rPr>
      </w:pPr>
    </w:p>
    <w:p>
      <w:pPr>
        <w:jc w:val="both"/>
        <w:ind w:right="20" w:firstLine="384"/>
        <w:spacing w:after="0" w:line="331" w:lineRule="auto"/>
        <w:rPr>
          <w:sz w:val="20"/>
          <w:szCs w:val="20"/>
          <w:color w:val="auto"/>
        </w:rPr>
      </w:pPr>
      <w:r>
        <w:rPr>
          <w:rFonts w:ascii="Times New Roman" w:cs="Times New Roman" w:eastAsia="Times New Roman" w:hAnsi="Times New Roman"/>
          <w:sz w:val="14"/>
          <w:szCs w:val="14"/>
          <w:color w:val="auto"/>
        </w:rPr>
        <w:t>A Phase 1/2 dose-escalation clinical trial (NCT04083599) with expansion cohorts evaluating safety and anti-tumor activity of BNT312/GEN1042 as monotherapy and in combination therapies in patients with solid tumors is ongoing. We and Genmab are anticipating data needed to determine next steps for this program in 2024.</w:t>
      </w:r>
    </w:p>
    <w:p>
      <w:pPr>
        <w:spacing w:after="0" w:line="10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April 2023, we and Genmab initiated an open-label Phase 1/2 clinical trial (NCT05491317) evaluating the safety and clinical activity of BNT312/GEN1042 in combination with radiotherapy with or without pembrolizumab in patients with metastatic solid tumors.</w:t>
      </w:r>
    </w:p>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November 2023, we and Genmab initiated a Phase 1 clinical trial (NCT06057038) in Japan evaluating the safety, tolerability, pharmacokinetics, pharmacodynamics and antitumor activity of BNT312/GEN1042 monotherapy and in combination with pembrolizumab with or without chemotherapy in patients with multiple solid tumors.</w:t>
      </w:r>
    </w:p>
    <w:p>
      <w:pPr>
        <w:spacing w:after="0" w:line="160" w:lineRule="exact"/>
        <w:rPr>
          <w:sz w:val="20"/>
          <w:szCs w:val="20"/>
          <w:color w:val="auto"/>
        </w:rPr>
      </w:pPr>
    </w:p>
    <w:p>
      <w:pPr>
        <w:ind w:left="760" w:hanging="358"/>
        <w:spacing w:after="0"/>
        <w:tabs>
          <w:tab w:leader="none" w:pos="760" w:val="left"/>
        </w:tabs>
        <w:numPr>
          <w:ilvl w:val="0"/>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BNT313/GEN1053, an Agonistic Hexabody-CD27 Antibody for the Treatment of Malignant Solid Tumors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BNT313/GEN1053 is a novel CD27 antibody with an IgG Fc domain engineered to induce clustering of CD27 on the plasma membrane of T cells with the aim of enhancing T-cell activation, proliferation and differentiation without depleting T cells. In preclinical studies, BNT313/GEN1053 increases T-cell activation, proliferation, cytokine secretion and cytotoxic activity.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w:t>
      </w:r>
    </w:p>
    <w:p>
      <w:pPr>
        <w:spacing w:after="0" w:line="9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A Phase 1/2 clinical trial (NCT05435339) evaluating the safety, tolerability and preliminary efficacy of BNT313/GEN1053 as monotherapy in patients with advanced solid tumors is currently recruiting.</w:t>
      </w:r>
    </w:p>
    <w:p>
      <w:pPr>
        <w:spacing w:after="0" w:line="151" w:lineRule="exact"/>
        <w:rPr>
          <w:sz w:val="20"/>
          <w:szCs w:val="20"/>
          <w:color w:val="auto"/>
        </w:rPr>
      </w:pPr>
    </w:p>
    <w:p>
      <w:pPr>
        <w:ind w:left="740" w:hanging="338"/>
        <w:spacing w:after="0"/>
        <w:tabs>
          <w:tab w:leader="none" w:pos="740" w:val="left"/>
        </w:tabs>
        <w:numPr>
          <w:ilvl w:val="0"/>
          <w:numId w:val="8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BNT314/GEN1059, an EpCAMx4-1BB Bispecific Antibody for the Treatment of Advanced or Metastatic Solid Tumors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BNT314/GEN1059 is a potential first-in-class bispecific antibody product candidate, using Genmab’s proprietary DuoBody technology platform designed to boost antitumor immune responses through EpCAM-dependent 4-1BB agonistic activity.</w:t>
      </w:r>
    </w:p>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At the 2023 ESMO Congress, we and Genmab presented preclinical data describing the mechanism of action of BNT314/GEN1059. In preclinical studies, BNT314/GEN1059 was shown to enhance T-cell activation, proliferation, and effector functions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ex vivo</w:t>
      </w:r>
      <w:r>
        <w:rPr>
          <w:rFonts w:ascii="Times New Roman" w:cs="Times New Roman" w:eastAsia="Times New Roman" w:hAnsi="Times New Roman"/>
          <w:sz w:val="16"/>
          <w:szCs w:val="16"/>
          <w:color w:val="auto"/>
        </w:rPr>
        <w:t xml:space="preserve">, and to promote antitumor activity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These results suggest that BNT314/GEN1059 may boost antitumor immunity in cancer patients with EpCAM-positive tumors.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0" w:name="page101"/>
    <w:bookmarkEnd w:id="10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A first-in-human Phase 1/2 clinical trial (NCT06150183), which we are sponsoring, is currently recruiting to investigate the safety and preliminary antitumor activity of BNT314/GEN1059 in patients with advanced or metastatic solid tumors.</w:t>
      </w:r>
    </w:p>
    <w:p>
      <w:pPr>
        <w:spacing w:after="0" w:line="151" w:lineRule="exact"/>
        <w:rPr>
          <w:sz w:val="20"/>
          <w:szCs w:val="20"/>
          <w:color w:val="auto"/>
        </w:rPr>
      </w:pPr>
    </w:p>
    <w:p>
      <w:pPr>
        <w:ind w:left="720" w:hanging="318"/>
        <w:spacing w:after="0"/>
        <w:tabs>
          <w:tab w:leader="none" w:pos="72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BNT315/GEN1055, a HexaBody-OX40 Antibody for the Treatment of Advanced Solid Tumors</w:t>
      </w:r>
    </w:p>
    <w:p>
      <w:pPr>
        <w:spacing w:after="0" w:line="9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At the 2023 ESMO Immuno-Oncology Congress, we and Genmab presented preclinical data describing BNT315/GEN1055. In preclinical studies, BNT315/GEN1055 exhibited FcγR-crosslinking-independent OX40 agonist activity, a unique mechanism of action that is distinct from conventional IgG1 OX40 agonists. BNT315/GEN1055 enhanced T-cell activation and proliferation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showed antitumor activity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 first-in-human clinical trial is planned to start in the first half of 2024 to evaluate the clinical safety and preliminary efficacy of BNT315/GEN1055 in patients with advanced solid tumors.</w:t>
      </w:r>
    </w:p>
    <w:p>
      <w:pPr>
        <w:spacing w:after="0" w:line="151" w:lineRule="exact"/>
        <w:rPr>
          <w:sz w:val="20"/>
          <w:szCs w:val="20"/>
          <w:color w:val="auto"/>
        </w:rPr>
      </w:pPr>
    </w:p>
    <w:p>
      <w:pPr>
        <w:ind w:left="400"/>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vi</w:t>
      </w:r>
      <w:r>
        <w:rPr>
          <w:rFonts w:ascii="Times New Roman" w:cs="Times New Roman" w:eastAsia="Times New Roman" w:hAnsi="Times New Roman"/>
          <w:sz w:val="16"/>
          <w:szCs w:val="16"/>
          <w:b w:val="1"/>
          <w:bCs w:val="1"/>
          <w:i w:val="1"/>
          <w:iCs w:val="1"/>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BNT322/GEN1056, an Antibody for the Treatment of Solid Tumors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BNT322/GEN1056 is an antibody product candidate we are co-developing with Genmab for the treatment of solid tumors and for potential use in combination with other products. A first-in-human Phase 1 clinical trial (NCT05586321) of BNT322/GEN1056 in patients with advanced solid tumors is currently ongoing.</w:t>
      </w:r>
    </w:p>
    <w:p>
      <w:pPr>
        <w:spacing w:after="0" w:line="151" w:lineRule="exact"/>
        <w:rPr>
          <w:sz w:val="20"/>
          <w:szCs w:val="20"/>
          <w:color w:val="auto"/>
        </w:rPr>
      </w:pPr>
    </w:p>
    <w:p>
      <w:pPr>
        <w:ind w:left="800" w:hanging="398"/>
        <w:spacing w:after="0"/>
        <w:tabs>
          <w:tab w:leader="none" w:pos="800" w:val="left"/>
        </w:tabs>
        <w:numPr>
          <w:ilvl w:val="0"/>
          <w:numId w:val="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BNT327/PM8002, a Bispecific Antibody Candidate Targeting PD-L1 and VEGF, in Collaboration with Biotheus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BNT327/PM8002 is an anti -VEGF-A antibody candidate fused to a humanized anti -PD-L1 VHH being developed in collaboration with Biotheus. BNT327/PM8002 is currently being evaluated in Phase 1 and Phase 2/3 clinical trials in China to assess the efficacy and safety of the candidate as monotherapy or in combination with chemotherapy in various indications.</w:t>
      </w:r>
    </w:p>
    <w:p>
      <w:pPr>
        <w:spacing w:after="0" w:line="68" w:lineRule="exact"/>
        <w:rPr>
          <w:sz w:val="20"/>
          <w:szCs w:val="20"/>
          <w:color w:val="auto"/>
        </w:rPr>
      </w:pPr>
    </w:p>
    <w:p>
      <w:pPr>
        <w:ind w:left="580" w:hanging="286"/>
        <w:spacing w:after="0" w:line="259" w:lineRule="auto"/>
        <w:tabs>
          <w:tab w:leader="none" w:pos="5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from a Phase 1/2 trial in advanced solid tumors presented in 2023 demonstrated that BNT327/PM8002 as monotherapy was observed to have antitumor activity and a manageable safety profile.</w:t>
      </w:r>
    </w:p>
    <w:p>
      <w:pPr>
        <w:spacing w:after="0" w:line="59" w:lineRule="exact"/>
        <w:rPr>
          <w:rFonts w:ascii="Times New Roman" w:cs="Times New Roman" w:eastAsia="Times New Roman" w:hAnsi="Times New Roman"/>
          <w:sz w:val="16"/>
          <w:szCs w:val="16"/>
          <w:color w:val="auto"/>
        </w:rPr>
      </w:pPr>
    </w:p>
    <w:p>
      <w:pPr>
        <w:ind w:left="580" w:right="20" w:hanging="286"/>
        <w:spacing w:after="0" w:line="331" w:lineRule="auto"/>
        <w:tabs>
          <w:tab w:leader="none" w:pos="5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from Phase 2 trials in patients with small cell lung cancer, or SCLC, and TNBC presented in 2023 demonstrated that BNT327/PM8002 in combination with chemotherapy was observed to have encouraging antitumor activity and an acceptable toxicity profile as second- and first-line therapy, respectively.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data readouts, both in monotherapy and combination, are expected across a range of solid tumors in 2024.</w:t>
      </w:r>
    </w:p>
    <w:p>
      <w:pPr>
        <w:spacing w:after="0" w:line="184" w:lineRule="exact"/>
        <w:rPr>
          <w:sz w:val="20"/>
          <w:szCs w:val="20"/>
          <w:color w:val="auto"/>
        </w:rPr>
      </w:pPr>
    </w:p>
    <w:p>
      <w:pPr>
        <w:ind w:left="840" w:hanging="438"/>
        <w:spacing w:after="0"/>
        <w:tabs>
          <w:tab w:leader="none" w:pos="84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BNT316/ONC-392 (gotistobart), an Anti-CTLA-4 Monoclonal Antibody Candidate in Development in Collaboration with OncoC4</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BNT316/ONC- 392 (gotistobart) is a next-generation anti-CTLA-4 antibody candidate. CTLA- 4 is a molecule which inhibits T- cell immune response and reduces the activity of T cells in recognizing and eliminating cancer cells. Blocking CTLA-4 preserves T-cell activity and enhances anti-tumor activity. Our next-generation anti-CTLA-4 antibody candidate BNT316/ONC-392 (gotistobart) was designed to preserve CTLA-4 recycling and thus function of regulatory T cells in the peripheral tissues.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3 Clinical Trial in Metastatic, Immunotherapy-resistant NSCLC</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June 2023, a Phase 3 clinical trial (NCT05671510) was initiated to evaluate BNT316/ONC-392 (gotistobart) as monotherapy in patients with metastatic NSCLC whose disease progressed on anti-PD-1/PD- L1 antibody based therapy. The trial initiation followed the U.S. FDA Fast Track Designation granted in 2022 and is based on Phase 1/2 safety and efficacy data for the monotherapy in metastatic, immunotherapy-resistant NSCLC. The two-stage Phase 3 clinical trial will assess the efficacy and safety of BNT316/ONC-392 (gotistobart) as monotherapy compared to the standard-of-care chemotherapy (docetaxel) in patients with metastatic NSCLC that progressed under previous PD-(L)1-inhibitor treatment. The primary endpoint is OS. Secondary endpoints include ORR, PFS and safety. Approximately 600 patients are planned to be enrolled at clinical sites in the United States, China, Australia, South Korea, Türkiye, Canada, the UK and the EU countries Germany, Spain, Italy, Belgium and the Netherlands.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2 Clinical Trial in Platinum-resistant Ovarian Cancer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1" w:name="page102"/>
    <w:bookmarkEnd w:id="10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An open-label, randomized Phase 2 clinical trial (NCT05446298) evaluating BNT316/ONC-392 (gotistobart) therapy in combination with pembrolizumab in platinum-resistant ovarian cancer is ongoing. The clinical trial is evaluating two doses of BNT316/ONC-392 (gotistobart) in combination with a fixed dose of pembrolizumab in participants with ovarian cancer who are resistant to platinum-based chemotherapy and have disease progression after one line of therapy containing bevacizumab. The primary endpoints are ORR and safety. Secondary endpoints include DOR, DCR, PFS and OS.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 in Advanced or Metastatic Solid Tumors</w:t>
      </w:r>
    </w:p>
    <w:p>
      <w:pPr>
        <w:spacing w:after="0" w:line="94" w:lineRule="exact"/>
        <w:rPr>
          <w:sz w:val="20"/>
          <w:szCs w:val="20"/>
          <w:color w:val="auto"/>
        </w:rPr>
      </w:pPr>
    </w:p>
    <w:p>
      <w:pPr>
        <w:ind w:right="20" w:firstLine="390"/>
        <w:spacing w:after="0" w:line="259" w:lineRule="auto"/>
        <w:tabs>
          <w:tab w:leader="none" w:pos="569"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first-in-human Phase 1/2 open-label dose escalation clinical trial (NCT04140526) evaluating BNT316/ONC-392 (gotistobart) as monotherapy and in combination with pembrolizumab in patients with advanced or metastatic solid tumors is ongoing.</w:t>
      </w:r>
    </w:p>
    <w:p>
      <w:pPr>
        <w:spacing w:after="0" w:line="59"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2023 ASCO Annual Meeting and the 2023 SITC Annual Meeting, we and OncoC4 presented data from expansion cohorts in the ongoing Phase 1/2 clinical trial that demonstrated BNT316/ONC-392 (gotistobart) was generally safe and well tolerated and TEAEs were manageable. The data also demonstrated encouraging clinical activity in patients with immunotherapy-resistant NSCLC.</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 in Metastatic Castration Resistant Prostate Cancer</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An open-label, randomized Phase 1/2 clinical trial (NCT05682443) assessing the efficacy and safety of BNT316/ONC- 392 (gotistobart) in combination with the radioligand therapy, lutetium Lu 177 vipivotide tetraxetan (Novartis’s Pluvicto), in patients with mCRPC who have progressed on an androgen receptor, or AR pathway inhibitor was initiated in 2023 and is recruiting patients. In December 2023, the first patient was treated as part of the trial. The primary endpoint is PFS. The trial is expected to enroll approximately 144 patients at clinical trial sites in the United States.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 Targeted Cancer Antibodies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BNT321 for the Treatment of Pancreatic Cancer</w:t>
      </w:r>
    </w:p>
    <w:p>
      <w:pPr>
        <w:spacing w:after="0" w:line="96"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BNT321 is a high affinity, fully human IgG1 monoclonal antibody targeting sialyl Lewis A (sLea), an epitope on CA19-9 which is expressed in pancreatic and other gastrointestinal cancers. sLea plays a role in tumor adhesion and metastasis formation and is a marker of an aggressive cancer phenotype.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1/1b Clinical Trial</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A Phase 1/1b trial (NCT02672917) is evaluating BNT321 monotherapy and in combination with mFOLFIRINOX in patients with advanced PDAC and other CA19-9+ tumors.</w:t>
      </w:r>
    </w:p>
    <w:p>
      <w:pPr>
        <w:spacing w:after="0" w:line="59" w:lineRule="exact"/>
        <w:rPr>
          <w:sz w:val="20"/>
          <w:szCs w:val="20"/>
          <w:color w:val="auto"/>
        </w:rPr>
      </w:pPr>
    </w:p>
    <w:p>
      <w:pPr>
        <w:jc w:val="both"/>
        <w:ind w:left="580" w:hanging="286"/>
        <w:spacing w:after="0" w:line="241" w:lineRule="auto"/>
        <w:tabs>
          <w:tab w:leader="none" w:pos="5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from the trial were presented at the ASCO Gastrointestinal Cancer Symposium 2024. Preclinically, BNT321 binding was observed to be highly specific and restricted to cancer tissues with sLea expression. The most frequent dose-limiting toxicities, or DLTs, for both monotherapy and for mFOLFIRINOX combination therapy are hepatic transaminase elevations. DLTs generally occur in cycle 1 and do not preclude subsequent BNT321 administration at reduced doses. BNT321 in combination with mFOLFIRINOX was tolerable for multiple cycles. Clinical activity (27% PR, RECIST) was observed in patients receiving the combination as first or subsequent line therapy for advanced disease.</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Clinical Trial</w:t>
      </w:r>
    </w:p>
    <w:p>
      <w:pPr>
        <w:spacing w:after="0" w:line="9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A Phase 1/2 trial (NCT06069778) evaluating the safety, tolerability, and efficacy of BNT321 in combination with mFOLFIRINOX as an adjuvant therapy following curative resection in patients with PDAC has been initiated.</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 Antibody Drug Conjugates (ADCs)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2023, we broadened our access to a new technology - ADCs - because we believe this technology has the potential to replace highly toxic chemotherapy regimens and become a potential new combination backbone for cancer treatment. Our growing ADC pipeline now includes ADCs directed against four distinct targets and is of interest for a broad range of cancer types.</w:t>
      </w:r>
    </w:p>
    <w:p>
      <w:pPr>
        <w:spacing w:after="0" w:line="16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In April 2023, we announced a collaboration with DualityBio for exclusive licenses to two investigational ADC assets (BNT323/DB-1303 and BNT324/DB-1311) directed against targets expressed in a broad range of human cancers. 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2" w:name="page103"/>
    <w:bookmarkEnd w:id="10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2023, we signed another exclusive agreement with DualityBio to develop, manufacture and commercialize an additional ADC, BNT325/DB-1305.</w:t>
      </w:r>
    </w:p>
    <w:p>
      <w:pPr>
        <w:spacing w:after="0" w:line="18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October 2023, we signed a strategic research collaboration and worldwide license agreement with MediLink Therapeutics for the development of a next-generation ADC, BNT326/YL202.</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BNT323/DB-1303, an ADC in Development in Collaboration with DualityBio</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BNT323/DB-1303 is a topoisomerase-1 inhibitor-based ADC directed against Human Epidermal Growth Factor Receptor 2, or HER2, a target that is over-expressed in a variety of cancers and contributes to the aggressive growth and spread of cancer cells. The program received Fast Track Designation from the U.S. FDA for endometrial cancer in January 2023. In December 2023, the U.S. FDA granted Breakthrough Therapy designation for BNT323/DB-1303 for the potential treatment of advanced endometrial cancer in patients who progressed on or after treatment with immune checkpoint inhibitors. With the Breakthrough Therapy designation, we seek to expedite the further development of BNT323/DB-1303 in this indication.</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BNT323/DB-1303 Phase 3 Clinical Trial in Advanced or Metastatic Hormone Receptor-positive, or HR+, HER2-low Breast Cance</w:t>
      </w:r>
      <w:r>
        <w:rPr>
          <w:rFonts w:ascii="Times New Roman" w:cs="Times New Roman" w:eastAsia="Times New Roman" w:hAnsi="Times New Roman"/>
          <w:sz w:val="16"/>
          <w:szCs w:val="16"/>
          <w:i w:val="1"/>
          <w:iCs w:val="1"/>
          <w:color w:val="auto"/>
        </w:rPr>
        <w:t>r</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An ongoing randomized, multi-center, open- label Phase 3 clinical trial (NCT06018337) is recruiting to evaluate BNT323/DB1303 versus the investigator's choice of chemotherapy in advanced or metastatic HR+, HER2-low breast cancer subjects whose disease has progressed on at least two lines of prior endocrine therapy or within six months of first line endocrine therapy + cyclin-dependent 4/6 (CDK4/6) inhibitor and no prior chemotherapy. The first patient was dosed in January 2024. The trial aims to enroll approximately 532 patients. The primary endpoint is PFS. Secondary endpoints include OS, ORR, DCR, DOR and safety as well as patient-reported outcomes.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BNT323/DB-1303 Phase 1/2 Clinical Trial in Advanced or Metastatic HER2-expressing Solid Tumors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BNT323/DB-1303 is being evaluated in an ongoing multi -center, non-randomized, open-label, multiple dose, first-in-human Phase 1/2 clinical trial (NCT05150691) in patients with advanced/unresectable, recurrent, or metastatic HER2-expressing solid tumors, including HER2-expressing breast cancer and endometrial cancer. Most patients in this trial were recruited in the United States.</w:t>
      </w:r>
    </w:p>
    <w:p>
      <w:pPr>
        <w:spacing w:after="0" w:line="68" w:lineRule="exact"/>
        <w:rPr>
          <w:sz w:val="20"/>
          <w:szCs w:val="20"/>
          <w:color w:val="auto"/>
        </w:rPr>
      </w:pPr>
    </w:p>
    <w:p>
      <w:pPr>
        <w:ind w:left="580" w:right="20" w:hanging="286"/>
        <w:spacing w:after="0" w:line="259" w:lineRule="auto"/>
        <w:tabs>
          <w:tab w:leader="none" w:pos="5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potential registrational single-arm trial enrolling HER2-expressing (IHC3+, 2+, 1+ or ISH-positive) patients with endometrial carcinoma is ongoing and plans to recruit 140 patients.</w:t>
      </w:r>
    </w:p>
    <w:p>
      <w:pPr>
        <w:spacing w:after="0" w:line="59" w:lineRule="exact"/>
        <w:rPr>
          <w:rFonts w:ascii="Times New Roman" w:cs="Times New Roman" w:eastAsia="Times New Roman" w:hAnsi="Times New Roman"/>
          <w:sz w:val="16"/>
          <w:szCs w:val="16"/>
          <w:color w:val="auto"/>
        </w:rPr>
      </w:pPr>
    </w:p>
    <w:p>
      <w:pPr>
        <w:jc w:val="both"/>
        <w:ind w:left="580" w:right="40" w:hanging="286"/>
        <w:spacing w:after="0" w:line="299" w:lineRule="auto"/>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DualityBio presented data from the ongoing trial at the 2023 ASCO Annual Meeting from patients with multiple solid tumors, including breast cancer HER2-expressing tumors. BNT323/DB-1303 was well tolerated with no DLT, and no TEAEs associated with death were observed. Preliminary antitumor activity was observed in heavily pretreated HER2-expressing patients with a median of seven prior systemic treatment regimens, including other HER2 ADCs.</w:t>
      </w:r>
    </w:p>
    <w:p>
      <w:pPr>
        <w:spacing w:after="0" w:line="34" w:lineRule="exact"/>
        <w:rPr>
          <w:rFonts w:ascii="Times New Roman" w:cs="Times New Roman" w:eastAsia="Times New Roman" w:hAnsi="Times New Roman"/>
          <w:sz w:val="14"/>
          <w:szCs w:val="14"/>
          <w:color w:val="auto"/>
        </w:rPr>
      </w:pPr>
    </w:p>
    <w:p>
      <w:pPr>
        <w:jc w:val="both"/>
        <w:ind w:left="580" w:hanging="286"/>
        <w:spacing w:after="0" w:line="243" w:lineRule="auto"/>
        <w:tabs>
          <w:tab w:leader="none" w:pos="5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2023, data from the ongoing trial were presented at the European Society of Gynecological Oncology (ESGO) Congress focusing on patients with advanced/metastatic endometrial cancer. BNT323/DB-1303 was observed to have a manageable safety profile, and no new safety signals were observed. Antitumor activity was observed in patients (n=17) with advanced, recurrent or metastatic HER2-expression endometrial cancer following treatment with BNT323/1303, with an ORR of 58.8% and DCR of 94.1%.</w:t>
      </w:r>
    </w:p>
    <w:p>
      <w:pPr>
        <w:spacing w:after="0" w:line="163" w:lineRule="exact"/>
        <w:rPr>
          <w:rFonts w:ascii="Times New Roman" w:cs="Times New Roman" w:eastAsia="Times New Roman" w:hAnsi="Times New Roman"/>
          <w:sz w:val="16"/>
          <w:szCs w:val="16"/>
          <w:color w:val="auto"/>
        </w:rPr>
      </w:pPr>
    </w:p>
    <w:p>
      <w:pPr>
        <w:ind w:left="560" w:hanging="170"/>
        <w:spacing w:after="0"/>
        <w:tabs>
          <w:tab w:leader="none" w:pos="560" w:val="left"/>
        </w:tabs>
        <w:numPr>
          <w:ilvl w:val="1"/>
          <w:numId w:val="9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BNT324/DB-1311, an ADC in Development in Collaboration with DualityBio</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3" w:name="page104"/>
    <w:bookmarkEnd w:id="10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BNT324/DB-1311 is a topoisomerase-1 inhibitor-based ADC directed against B7H3.</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BNT324/DB-1311 Phase 1/2 Clinical Trial in Advanced Solid Tumors</w:t>
      </w:r>
    </w:p>
    <w:p>
      <w:pPr>
        <w:spacing w:after="0" w:line="94" w:lineRule="exact"/>
        <w:rPr>
          <w:sz w:val="20"/>
          <w:szCs w:val="20"/>
          <w:color w:val="auto"/>
        </w:rPr>
      </w:pPr>
    </w:p>
    <w:p>
      <w:pPr>
        <w:jc w:val="both"/>
        <w:ind w:right="60" w:firstLine="384"/>
        <w:spacing w:after="0" w:line="259" w:lineRule="auto"/>
        <w:rPr>
          <w:sz w:val="20"/>
          <w:szCs w:val="20"/>
          <w:color w:val="auto"/>
        </w:rPr>
      </w:pPr>
      <w:r>
        <w:rPr>
          <w:rFonts w:ascii="Times New Roman" w:cs="Times New Roman" w:eastAsia="Times New Roman" w:hAnsi="Times New Roman"/>
          <w:sz w:val="16"/>
          <w:szCs w:val="16"/>
          <w:color w:val="auto"/>
        </w:rPr>
        <w:t>A first-in-human, multi-center, open-label, dose escalation and dose-expansion Phase 1/2a clinical trial evaluating the safety and tolerability of BNT324/DB-1311 in patients with advanced solid tumors has been initiated and the first patient was dosed in September 2023.</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iii. BNT325/DB-1305, an ADC in Development in Collaboration with DualityBio</w:t>
      </w:r>
    </w:p>
    <w:p>
      <w:pPr>
        <w:spacing w:after="0" w:line="9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BNT325/DB -1305 is a topoisomerase-1 inhibitor-based ADC directed against TROP2. In January 2024, we and DualityBio received Fast Track Designation for BNT325/DB -1305 from the U.S. FDA for the treatment of patients with platinum-resistant ovarian epithelial cancer, fallopian tube, or primary peritoneal cancer in patients who have received one to three prior systemic treatment regimens.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BNT325/DB-1305 Phase 1/2 Clinical Trial in Advanced Solid Tumors</w:t>
      </w:r>
    </w:p>
    <w:p>
      <w:pPr>
        <w:spacing w:after="0" w:line="94" w:lineRule="exact"/>
        <w:rPr>
          <w:sz w:val="20"/>
          <w:szCs w:val="20"/>
          <w:color w:val="auto"/>
        </w:rPr>
      </w:pPr>
    </w:p>
    <w:p>
      <w:pPr>
        <w:ind w:right="60" w:firstLine="390"/>
        <w:spacing w:after="0" w:line="259" w:lineRule="auto"/>
        <w:tabs>
          <w:tab w:leader="none" w:pos="52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multi-center, non-randomized, open-label, multiple-dose, first-in-human Phase 1/2a clinical trial (NCT05438329) evaluating BNT325/DB-1305 in patients with advanced solid tumors is ongoing.</w:t>
      </w:r>
    </w:p>
    <w:p>
      <w:pPr>
        <w:spacing w:after="0" w:line="59" w:lineRule="exact"/>
        <w:rPr>
          <w:rFonts w:ascii="Times New Roman" w:cs="Times New Roman" w:eastAsia="Times New Roman" w:hAnsi="Times New Roman"/>
          <w:sz w:val="16"/>
          <w:szCs w:val="16"/>
          <w:color w:val="auto"/>
        </w:rPr>
      </w:pPr>
    </w:p>
    <w:p>
      <w:pPr>
        <w:jc w:val="both"/>
        <w:ind w:left="580" w:right="40" w:hanging="286"/>
        <w:spacing w:after="0" w:line="247" w:lineRule="auto"/>
        <w:tabs>
          <w:tab w:leader="none" w:pos="5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2023, first-in-human data from the ongoing trial were presented at the ESMO Congress, in which a manageable safety profile was observed at lower dose levels. Encouraging preliminary activity of BNT325/DB-1305 was observed with an ORR of 30.4% (7/23) and DCR of 87.0% (20/23), both unconfirmed at the time of the presentation. 13 NSCLC patients had an unconfirmed ORR of 46.2% (6/13), and an unconfirmed DCR of 92.3% (12/13).</w:t>
      </w:r>
    </w:p>
    <w:p>
      <w:pPr>
        <w:spacing w:after="0" w:line="6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two new cohorts were added to the study: a cohort to evaluate BNT325/DB-1305 monotherapy in cervical cancer and a cohort to assess the combination of BNT325/DB-1305 with pembrolizumab in NSCLC.</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iv. BNT326/YL202, an ADC in Development in Collaboration with MediLink Therapeutics</w:t>
      </w:r>
    </w:p>
    <w:p>
      <w:pPr>
        <w:spacing w:after="0" w:line="9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BNT326/YL202 is a topoisomerase-1 inhibitor-based ADC directed against HER3.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BNT326/YL202 Phase 1 Clinical Trial in NSCLC and Breast Cancer</w:t>
      </w:r>
    </w:p>
    <w:p>
      <w:pPr>
        <w:spacing w:after="0" w:line="94" w:lineRule="exact"/>
        <w:rPr>
          <w:sz w:val="20"/>
          <w:szCs w:val="20"/>
          <w:color w:val="auto"/>
        </w:rPr>
      </w:pPr>
    </w:p>
    <w:p>
      <w:pPr>
        <w:ind w:right="60" w:firstLine="390"/>
        <w:spacing w:after="0" w:line="259" w:lineRule="auto"/>
        <w:tabs>
          <w:tab w:leader="none" w:pos="54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multi-center, open-label, first-in-human Phase 1 clinical trial (NCT05653752) evaluating BNT326/YL202 as a later-line treatment in patients with locally advanced or metastatic epidermal growth factor receptor, or EGFR-mutated NSCLC or HR-positive and HER2-negative breast cancer is ongoing.</w:t>
      </w:r>
    </w:p>
    <w:p>
      <w:pPr>
        <w:spacing w:after="0" w:line="153" w:lineRule="exact"/>
        <w:rPr>
          <w:rFonts w:ascii="Times New Roman" w:cs="Times New Roman" w:eastAsia="Times New Roman" w:hAnsi="Times New Roman"/>
          <w:sz w:val="16"/>
          <w:szCs w:val="16"/>
          <w:color w:val="auto"/>
        </w:rPr>
      </w:pPr>
    </w:p>
    <w:p>
      <w:pPr>
        <w:ind w:left="560" w:hanging="158"/>
        <w:spacing w:after="0"/>
        <w:tabs>
          <w:tab w:leader="none" w:pos="560"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Oncology Small Molecule Immunomodulator Product Candidates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BNT411, a Small Molecule TLR7 Agonist for the Treatment of Solid Tumors, including SCLC</w:t>
      </w:r>
    </w:p>
    <w:p>
      <w:pPr>
        <w:spacing w:after="0" w:line="9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BNT411 is a TLR7 agonist that is designed to activate both the adaptive and innate immune system through the TLR7 pathway. This activity and the release of cytokines and chemokines are designed to result in the potent stimulation of antigen-specific CD8+ T cells, B cells and innate immune cells such as natural killer cells, or NK cells, and macrophages.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Ongoing Phase 1/2 Trial</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 Phase 1/2, first-in-human, open- label, dose escalation trial (NCT04101357) with expansion cohorts evaluating safety, pharmacokinetics, progression of disease and preliminary efficacy of BNT411 as monotherapy in patients with solid tumors and in combination with atezolizumab, carboplatin and etoposide in patients with chemotherapy-naïve ES-SCLC is ongoing.</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Infectious Disease Programs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04" w:name="page105"/>
    <w:bookmarkEnd w:id="10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hanging="286"/>
        <w:spacing w:after="0"/>
        <w:tabs>
          <w:tab w:leader="none" w:pos="58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Next-Generation COVID-19 Vaccine</w:t>
      </w:r>
    </w:p>
    <w:p>
      <w:pPr>
        <w:spacing w:after="0" w:line="188" w:lineRule="exact"/>
        <w:rPr>
          <w:rFonts w:ascii="Times New Roman" w:cs="Times New Roman" w:eastAsia="Times New Roman" w:hAnsi="Times New Roman"/>
          <w:sz w:val="16"/>
          <w:szCs w:val="16"/>
          <w:b w:val="1"/>
          <w:bCs w:val="1"/>
          <w:color w:val="auto"/>
        </w:rPr>
      </w:pPr>
    </w:p>
    <w:p>
      <w:pPr>
        <w:ind w:left="520" w:hanging="130"/>
        <w:spacing w:after="0"/>
        <w:tabs>
          <w:tab w:leader="none" w:pos="520"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BNT162b5/6/7</w:t>
      </w:r>
    </w:p>
    <w:p>
      <w:pPr>
        <w:spacing w:after="0" w:line="94"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In collaboration with Pfizer, we are developing vaccine candidates with a stabilized antigen design aimed to increase the magnitude and breadth of antibody responses to better protect against COVID-19.</w:t>
      </w:r>
    </w:p>
    <w:p>
      <w:pPr>
        <w:spacing w:after="0" w:line="59" w:lineRule="exact"/>
        <w:rPr>
          <w:sz w:val="20"/>
          <w:szCs w:val="20"/>
          <w:color w:val="auto"/>
        </w:rPr>
      </w:pPr>
    </w:p>
    <w:p>
      <w:pPr>
        <w:ind w:left="580" w:right="20" w:hanging="286"/>
        <w:spacing w:after="0" w:line="259" w:lineRule="auto"/>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randomized, active controlled, observer-blind Phase 2 clinical trial to evaluate the safety, tolerability and immunogenicity of stabilized spike antigen vaccine candidates is ongoing.</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ii. BNT162b2 + BNT162b4</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collaboration with Pfizer, we are aiming to develop a vaccine candidate that enhances and broadens SARS-CoV-2 T-cell responses. BNT162b4 is a next-generation COVID-19 vaccine component designed to elicit T-cell immunity across epitopes. BNT162b4 encodes variant-conserved, immunogenic segments of the SARS-CoV-2 nucleocapsid, membrane, and ORF1ab proteins, targeting diverse human leukocyte antigen, or HLA, alleles.</w:t>
      </w:r>
    </w:p>
    <w:p>
      <w:pPr>
        <w:spacing w:after="0" w:line="68" w:lineRule="exact"/>
        <w:rPr>
          <w:sz w:val="20"/>
          <w:szCs w:val="20"/>
          <w:color w:val="auto"/>
        </w:rPr>
      </w:pPr>
    </w:p>
    <w:p>
      <w:pPr>
        <w:ind w:left="580" w:hanging="286"/>
        <w:spacing w:after="0"/>
        <w:tabs>
          <w:tab w:leader="none" w:pos="58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Phase 1 clinical trial to evaluate the safety, tolerability and immunogenicity of BNT162b4, in combination with BNT162b2 is ongoing.</w:t>
      </w:r>
    </w:p>
    <w:p>
      <w:pPr>
        <w:spacing w:after="0" w:line="186" w:lineRule="exact"/>
        <w:rPr>
          <w:rFonts w:ascii="Times New Roman" w:cs="Times New Roman" w:eastAsia="Times New Roman" w:hAnsi="Times New Roman"/>
          <w:sz w:val="16"/>
          <w:szCs w:val="16"/>
          <w:color w:val="auto"/>
        </w:rPr>
      </w:pPr>
    </w:p>
    <w:p>
      <w:pPr>
        <w:ind w:left="260" w:hanging="158"/>
        <w:spacing w:after="0"/>
        <w:tabs>
          <w:tab w:leader="none" w:pos="26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COVID-19 – Influenza Combination mRNA Vaccine Program – BNT162b2 + BNT161</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October 2022, we and Pfizer initiated a Phase 1/2 open- label, dose-finding trial (NCT05596734) to evaluate the safety, tolerability and immunogenicity of a combination of the COVID-19 and influenza mRNA vaccines in 180 healthy adults 18 to 64 years of age. The combination vaccine consists of our Original/Omicron BA.4-5-adapted bivalent COVID-19 vaccine and Pfizer’s quadrivalent modified RNA (modRNA) influenza vaccine.</w:t>
      </w:r>
    </w:p>
    <w:p>
      <w:pPr>
        <w:spacing w:after="0" w:line="16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In December 2022, we and Pfizer announced that the companies received Fast Track Designation from the U.S. FDA for the mRNA-based combination vaccine candidate for influenza and COVID-19.</w:t>
      </w:r>
    </w:p>
    <w:p>
      <w:pPr>
        <w:spacing w:after="0" w:line="59" w:lineRule="exact"/>
        <w:rPr>
          <w:sz w:val="20"/>
          <w:szCs w:val="20"/>
          <w:color w:val="auto"/>
        </w:rPr>
      </w:pPr>
    </w:p>
    <w:p>
      <w:pPr>
        <w:jc w:val="both"/>
        <w:ind w:left="580" w:hanging="286"/>
        <w:spacing w:after="0" w:line="243" w:lineRule="auto"/>
        <w:tabs>
          <w:tab w:leader="none" w:pos="58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2023, we and Pfizer announced top-line results from a Phase 1/2 clinical trial (NCT06178991) evaluating the safety, tolerability and immunogenicity of mRNA-based combination vaccine candidates for influenza and COVID-19 among healthy adults 18 to 64 years of age. In the clinical trial, the vaccine candidates were compared to licensed influenza vaccines and the Pfizer-BioNTech COVID-19 Omicron BA.4-5 adapted bivalent vaccine given separately at the same visit.</w:t>
      </w:r>
    </w:p>
    <w:p>
      <w:pPr>
        <w:spacing w:after="0" w:line="71"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data from the trial demonstrated robust immune responses to influenza A, influenza B and SARS-CoV-2 strains, as well as a safety profile consistent with the safety profile of the companies’ COVID-19 vaccine.</w:t>
      </w:r>
    </w:p>
    <w:p>
      <w:pPr>
        <w:spacing w:after="0" w:line="59" w:lineRule="exact"/>
        <w:rPr>
          <w:rFonts w:ascii="Times New Roman" w:cs="Times New Roman" w:eastAsia="Times New Roman" w:hAnsi="Times New Roman"/>
          <w:sz w:val="16"/>
          <w:szCs w:val="16"/>
          <w:color w:val="auto"/>
        </w:rPr>
      </w:pPr>
    </w:p>
    <w:p>
      <w:pPr>
        <w:ind w:left="580" w:hanging="286"/>
        <w:spacing w:after="0" w:line="259" w:lineRule="auto"/>
        <w:tabs>
          <w:tab w:leader="none" w:pos="58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pivotal Phase 3 clinical trial (NCT06178991) was initiated in December 2023 and aims to enroll 7,500 healthy subjects 18 to 64 years old of age. Further development is subject to entering into a definitive agreement.</w:t>
      </w:r>
    </w:p>
    <w:p>
      <w:pPr>
        <w:spacing w:after="0" w:line="153" w:lineRule="exact"/>
        <w:rPr>
          <w:rFonts w:ascii="Times New Roman" w:cs="Times New Roman" w:eastAsia="Times New Roman" w:hAnsi="Times New Roman"/>
          <w:sz w:val="16"/>
          <w:szCs w:val="16"/>
          <w:color w:val="auto"/>
        </w:rPr>
      </w:pPr>
    </w:p>
    <w:p>
      <w:pPr>
        <w:ind w:left="260" w:hanging="158"/>
        <w:spacing w:after="0"/>
        <w:tabs>
          <w:tab w:leader="none" w:pos="26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Influenza Vaccine Program – BNT161</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2018, we and Pfizer entered into an agreement to collaborate on an mRNA program to develop an influenza vaccine for an initial period of three years, which ended in 2021. Pfizer has since the sole responsibility, authority and control of the development, manufacturing and commercialization of all candidates and products related to the program. Upon potential approval and commercialization, we are eligible to receive a royalty on Pfizer’s sales.</w:t>
      </w:r>
    </w:p>
    <w:p>
      <w:pPr>
        <w:spacing w:after="0" w:line="68" w:lineRule="exact"/>
        <w:rPr>
          <w:sz w:val="20"/>
          <w:szCs w:val="20"/>
          <w:color w:val="auto"/>
        </w:rPr>
      </w:pPr>
    </w:p>
    <w:p>
      <w:pPr>
        <w:ind w:left="580" w:right="40" w:hanging="274"/>
        <w:spacing w:after="0" w:line="259" w:lineRule="auto"/>
        <w:tabs>
          <w:tab w:leader="none" w:pos="592"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Pfizer-initiated, randomized Phase 3 clinical trial to evaluate the efficacy, safety, tolerability and immunogenicity of a quadrivalent modRNA influenza vaccine candidate is ongoing.</w:t>
      </w:r>
    </w:p>
    <w:p>
      <w:pPr>
        <w:spacing w:after="0" w:line="153" w:lineRule="exact"/>
        <w:rPr>
          <w:rFonts w:ascii="Times New Roman" w:cs="Times New Roman" w:eastAsia="Times New Roman" w:hAnsi="Times New Roman"/>
          <w:sz w:val="16"/>
          <w:szCs w:val="16"/>
          <w:color w:val="auto"/>
        </w:rPr>
      </w:pPr>
    </w:p>
    <w:p>
      <w:pPr>
        <w:ind w:left="260" w:hanging="158"/>
        <w:spacing w:after="0"/>
        <w:tabs>
          <w:tab w:leader="none" w:pos="26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Herpes Simplex Virus (HSV) Vaccine Program – BNT163</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have a research collaboration with the University of Pennsylvania under which we have the exclusive option to develop and commercialize mRNA vaccine candidates against up to 10 infectious disease indications. As part of this collaboration, we are developing a HSV vaccine candidate.</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 first-in-human, controlled Phase 1 clinical trial (NCT05432583) evaluating the safety, tolerability and immunogenicity of BNT163, an HSV vaccine candidate for the prevention of genital lesions caused by HSV-2, and potentially HSV-1, is ongoing. Dose escalation Part A has been completed, with the last subject visit in December 2023, and Part B (safety and dose evaluation) is opening for enrollment across sites in the United States.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5" w:name="page106"/>
    <w:bookmarkEnd w:id="10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5. Tuberculosis Vaccine Program - BNT164</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Two randomized, controlled, dose-finding Phase 1 clinical trials evaluating BNT164 are ongoing (NCT05537038, Germany and NCT05547464, Republic of South Africa). The clinical trials’ first subjects were dosed in April and August 2023, respectively. Both clinical trials will assess the safety, reactogenicity and immunogenicity of two mRNA vaccine candidates against tuberculosis. This program is run in partnership with the Bill &amp; Melinda Gates Foundation.</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6. Malaria Vaccine Program – BNT165</w:t>
      </w:r>
    </w:p>
    <w:p>
      <w:pPr>
        <w:spacing w:after="0" w:line="92" w:lineRule="exact"/>
        <w:rPr>
          <w:sz w:val="20"/>
          <w:szCs w:val="20"/>
          <w:color w:val="auto"/>
        </w:rPr>
      </w:pPr>
    </w:p>
    <w:p>
      <w:pPr>
        <w:jc w:val="both"/>
        <w:ind w:firstLine="336"/>
        <w:spacing w:after="0" w:line="244" w:lineRule="auto"/>
        <w:rPr>
          <w:sz w:val="20"/>
          <w:szCs w:val="20"/>
          <w:color w:val="auto"/>
        </w:rPr>
      </w:pPr>
      <w:r>
        <w:rPr>
          <w:rFonts w:ascii="Times New Roman" w:cs="Times New Roman" w:eastAsia="Times New Roman" w:hAnsi="Times New Roman"/>
          <w:sz w:val="16"/>
          <w:szCs w:val="16"/>
          <w:color w:val="auto"/>
        </w:rPr>
        <w:t xml:space="preserve">Our malaria program aims to develop a well-tolerated and highly effective mRNA vaccine with durable immunity to prevent blood-stage </w:t>
      </w:r>
      <w:r>
        <w:rPr>
          <w:rFonts w:ascii="Times New Roman" w:cs="Times New Roman" w:eastAsia="Times New Roman" w:hAnsi="Times New Roman"/>
          <w:sz w:val="16"/>
          <w:szCs w:val="16"/>
          <w:i w:val="1"/>
          <w:iCs w:val="1"/>
          <w:color w:val="auto"/>
        </w:rPr>
        <w:t>P. falciparum</w:t>
      </w:r>
      <w:r>
        <w:rPr>
          <w:rFonts w:ascii="Times New Roman" w:cs="Times New Roman" w:eastAsia="Times New Roman" w:hAnsi="Times New Roman"/>
          <w:sz w:val="16"/>
          <w:szCs w:val="16"/>
          <w:color w:val="auto"/>
        </w:rPr>
        <w:t xml:space="preserve"> malaria infection, thereby aiming to reducing morbidity, mortality and onward transmission, and to develop sustainable vaccine production and supply solutions on the African continent. We plan to assess several vaccine candidates, featuring components of known targets such as circumsporozoite protein (CSP), conserved, immunogenic segments of liver stage-expressed proteins as well as other antigens.</w:t>
      </w:r>
    </w:p>
    <w:p>
      <w:pPr>
        <w:spacing w:after="0" w:line="70" w:lineRule="exact"/>
        <w:rPr>
          <w:sz w:val="20"/>
          <w:szCs w:val="20"/>
          <w:color w:val="auto"/>
        </w:rPr>
      </w:pPr>
    </w:p>
    <w:p>
      <w:pPr>
        <w:ind w:left="580" w:right="40" w:hanging="286"/>
        <w:spacing w:after="0" w:line="259" w:lineRule="auto"/>
        <w:tabs>
          <w:tab w:leader="none" w:pos="58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first-in-human Phase 1 clinical trial (NCT05581641) to evaluate the safety, tolerability and exploratory immunogenicity of a vaccine candidate had its last subject last dosed in September 2023. Follow-up is ongoing until September 2024.</w:t>
      </w:r>
    </w:p>
    <w:p>
      <w:pPr>
        <w:spacing w:after="0" w:line="59" w:lineRule="exact"/>
        <w:rPr>
          <w:rFonts w:ascii="Times New Roman" w:cs="Times New Roman" w:eastAsia="Times New Roman" w:hAnsi="Times New Roman"/>
          <w:sz w:val="16"/>
          <w:szCs w:val="16"/>
          <w:color w:val="auto"/>
        </w:rPr>
      </w:pPr>
    </w:p>
    <w:p>
      <w:pPr>
        <w:ind w:left="580" w:right="60" w:hanging="286"/>
        <w:spacing w:after="0" w:line="259" w:lineRule="auto"/>
        <w:tabs>
          <w:tab w:leader="none" w:pos="58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randomized, dose escalation Phase 1/2 (NCT06069544) trial to evaluate the safety, tolerability, immunogenicity and efficacy of a second investigational RNA-based vaccine candidate in a controlled human malaria infection model has been initiated. The first subject was dosed in November 2023.</w:t>
      </w:r>
    </w:p>
    <w:p>
      <w:pPr>
        <w:spacing w:after="0" w:line="153" w:lineRule="exact"/>
        <w:rPr>
          <w:rFonts w:ascii="Times New Roman" w:cs="Times New Roman" w:eastAsia="Times New Roman" w:hAnsi="Times New Roman"/>
          <w:sz w:val="16"/>
          <w:szCs w:val="16"/>
          <w:color w:val="auto"/>
        </w:rPr>
      </w:pPr>
    </w:p>
    <w:p>
      <w:pPr>
        <w:ind w:left="260" w:hanging="158"/>
        <w:spacing w:after="0"/>
        <w:tabs>
          <w:tab w:leader="none" w:pos="2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Mpox Vaccine Program – BNT166</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Our fully owned BNT166 program aims to develop an effective, well-tolerated and accessible vaccine for the prevention of mpox. The multivalent BNT166 mRNA vaccine candidates encode surface antigens that are expressed in the two infectious forms of the mpox virus to efficiently fight virus replication and infectivity. The program is supported through a partnership with the Coalition for Epidemic Preparedness Innovations, or CEPI, to provide equitable access to the vaccine, if successfully developed and approved, in low- and middle-income countries.</w:t>
      </w:r>
    </w:p>
    <w:p>
      <w:pPr>
        <w:spacing w:after="0" w:line="71" w:lineRule="exact"/>
        <w:rPr>
          <w:sz w:val="20"/>
          <w:szCs w:val="20"/>
          <w:color w:val="auto"/>
        </w:rPr>
      </w:pPr>
    </w:p>
    <w:p>
      <w:pPr>
        <w:jc w:val="both"/>
        <w:ind w:left="580" w:right="20" w:hanging="286"/>
        <w:spacing w:after="0" w:line="247" w:lineRule="auto"/>
        <w:tabs>
          <w:tab w:leader="none" w:pos="58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Phase 1/2 clinical trial (NCT05988203) evaluating the safety, tolerability, reactogenicity and immunogenicity of an mRNA-based multivalent vaccine candidate has been initiated and the first subject was dosed in October 2023. The trial aims to enroll 64 healthy subjects with and without prior history of known or suspected smallpox vaccination.</w:t>
      </w:r>
    </w:p>
    <w:p>
      <w:pPr>
        <w:spacing w:after="0" w:line="66" w:lineRule="exact"/>
        <w:rPr>
          <w:rFonts w:ascii="Times New Roman" w:cs="Times New Roman" w:eastAsia="Times New Roman" w:hAnsi="Times New Roman"/>
          <w:sz w:val="16"/>
          <w:szCs w:val="16"/>
          <w:color w:val="auto"/>
        </w:rPr>
      </w:pPr>
    </w:p>
    <w:p>
      <w:pPr>
        <w:ind w:left="260" w:hanging="158"/>
        <w:spacing w:after="0"/>
        <w:tabs>
          <w:tab w:leader="none" w:pos="26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Shingles Vaccine Program – BNT167</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and Pfizer are developing the first mRNA -based vaccine candidate against shingles. While there are currently approved vaccines for shingles, the goal is to develop an mRNA vaccine candidate that potentially shows high efficacy, better tolerability and is more efficient to produce globally.</w:t>
      </w:r>
    </w:p>
    <w:p>
      <w:pPr>
        <w:spacing w:after="0" w:line="155"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A randomized, controlled, dose-selection Phase 1/2 clinical trial (NCT05703607) to evaluate the safety, tolerability, and immunogenicity of BNT167 in up to 900 healthy volunteers, 50 through 69 years of age, was initiated in February 2023.</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9. Anti-bacterial Programs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BioNTech R&amp;D (Austria) GmbH is a wholly owned subsidiary of BioNTech SE focused on the development of novel anti-bacterial drugs to treat persistent bacterial infections. These development programs are based on the proprietary LysinBuilder platform, which allows the targeted development of precision anti-bacterials. The development pipeline focuses on chronic bacterial infections where antibiotics fail to cure or destroy the natural microbiomes.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VI. The mRNA Technology</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6" w:name="page107"/>
    <w:bookmarkEnd w:id="10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Since the COVID-19 pandemic, mRNA-based immunization for the prevention of infectious diseases is considered an innovative alternative to conventional vaccine approaches. mRNA has shown the potential to elicit potent protective immune responses against various pathogens and may offer advantages over the use of live and inactivated virus vaccines, subunit vaccines, and other nucleic-acid -based vaccine formats. According to Beissert et al (2020), “RNA is non-infectious, non-integrating and, by virtue of rapid degradation by normal cellular processes, is only transiently active. RNA can be administered repeatedly both to prime and to boost immune responses and is not limited by anti-vector immunity. Moreover, the RNA backbone engages pattern recognition receptors in the host cell, thereby naturally adjuvanting the response to the encoded immunogen.” According to the same study, mRNA can also enable “rapid, cost-efficient, cell- and animal-material-free, scalable production without the use of egg- or cell-based culture. Thus, RNA may facilitate how vaccines are made and has the potential to enable a rapid response to emerging infections.”</w:t>
      </w:r>
    </w:p>
    <w:p>
      <w:pPr>
        <w:spacing w:after="0" w:line="1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Synthetic mRNA can be engineered to resemble mature and processed mRNA molecules that naturally occur in the cytoplasm of eukaryotic cells and can be used to transiently deliver proteins. Established mRNA manufacturing technologies can be quickly adapted to produce mRNAs of different sequences, permitting the rapid development of mRNAs with the potential to address a variety of different conditions, including cancer, infectious disease, and rare diseases. Our mRNA pipeline addresses each of these therapeutic areas.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 General Principles of mRNA Pharmacology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a drug, manufactured mRNA provides instructions to a target cell to produce particular encoded protein(s) with a desired prophylactic or therapeutic effect.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these instructions, the proteins will be either secreted or remain intracellular. The mRNA drug will eventually be degraded and eliminated from the body.</w:t>
      </w:r>
    </w:p>
    <w:p>
      <w:pPr>
        <w:spacing w:after="0" w:line="168"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Our mRNA drugs are synthesized in a cell-free system by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transcription from a DNA template. This template encodes all of a functional mRNA’s structural elements with the exception of the 5’ cap structure, which is co-transcriptionally incorporated. After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transcription is performed, the template is then digested by DNases and the mRNA is purified by conventionally-used methods for isolating nucleic acids. The mRNA molecule comprises:</w:t>
      </w:r>
    </w:p>
    <w:p>
      <w:pPr>
        <w:spacing w:after="0" w:line="68" w:lineRule="exact"/>
        <w:rPr>
          <w:sz w:val="20"/>
          <w:szCs w:val="20"/>
          <w:color w:val="auto"/>
        </w:rPr>
      </w:pPr>
    </w:p>
    <w:p>
      <w:pPr>
        <w:ind w:left="600" w:hanging="294"/>
        <w:spacing w:after="0"/>
        <w:tabs>
          <w:tab w:leader="none" w:pos="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open reading frame, or ORF, which encodes for the protein of interest;</w:t>
      </w:r>
    </w:p>
    <w:p>
      <w:pPr>
        <w:spacing w:after="0" w:line="92" w:lineRule="exact"/>
        <w:rPr>
          <w:rFonts w:ascii="Times New Roman" w:cs="Times New Roman" w:eastAsia="Times New Roman" w:hAnsi="Times New Roman"/>
          <w:sz w:val="16"/>
          <w:szCs w:val="16"/>
          <w:color w:val="auto"/>
        </w:rPr>
      </w:pPr>
    </w:p>
    <w:p>
      <w:pPr>
        <w:ind w:left="600" w:hanging="294"/>
        <w:spacing w:after="0"/>
        <w:tabs>
          <w:tab w:leader="none" w:pos="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untranslated regions, or UTRs, which flank the ORF; and</w:t>
      </w:r>
    </w:p>
    <w:p>
      <w:pPr>
        <w:spacing w:after="0" w:line="92" w:lineRule="exact"/>
        <w:rPr>
          <w:rFonts w:ascii="Times New Roman" w:cs="Times New Roman" w:eastAsia="Times New Roman" w:hAnsi="Times New Roman"/>
          <w:sz w:val="16"/>
          <w:szCs w:val="16"/>
          <w:color w:val="auto"/>
        </w:rPr>
      </w:pPr>
    </w:p>
    <w:p>
      <w:pPr>
        <w:ind w:left="580" w:hanging="274"/>
        <w:spacing w:after="0" w:line="259" w:lineRule="auto"/>
        <w:tabs>
          <w:tab w:leader="none" w:pos="59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 and the poly(A) tail, which are the two terminal structures of the linear mRNA, and are responsible for increased stability and translational efficiency of mRNA.</w:t>
      </w:r>
    </w:p>
    <w:p>
      <w:pPr>
        <w:spacing w:after="0" w:line="155" w:lineRule="exact"/>
        <w:rPr>
          <w:sz w:val="20"/>
          <w:szCs w:val="20"/>
          <w:color w:val="auto"/>
        </w:rPr>
      </w:pPr>
    </w:p>
    <w:p>
      <w:pPr>
        <w:jc w:val="both"/>
        <w:ind w:right="20" w:firstLine="384"/>
        <w:spacing w:after="0" w:line="277" w:lineRule="auto"/>
        <w:rPr>
          <w:sz w:val="20"/>
          <w:szCs w:val="20"/>
          <w:color w:val="auto"/>
        </w:rPr>
      </w:pPr>
      <w:r>
        <w:rPr>
          <w:rFonts w:ascii="Times New Roman" w:cs="Times New Roman" w:eastAsia="Times New Roman" w:hAnsi="Times New Roman"/>
          <w:sz w:val="14"/>
          <w:szCs w:val="14"/>
          <w:color w:val="auto"/>
        </w:rPr>
        <w:t>The mRNA drug needs to be appropriately formulated in order to protect mRNA molecules against enzymatic degradation by ribonucleases and to facilitate their delivery to the target cells. The formulation is selected based on the intended application and route of delivery. After uptake into the target cell, the mRNA molecules are loaded into ribosomes, where translation into protein takes place. Subsequently, the mRNA is degraded by cellular mechanisms. Proteins encoded by the mRNA can be secreted or maintained in or on the cell. Encoded proteins can perform functions in the body, for example, replacing activities that are deficient, or they can trigger immune responses, for example by acting as antigens (as in the case of vaccines), or by directing the immune system to a target of interest (as in the case of many therapeutic antibodies). Also, proteins encoded by the mRNA are processed by the cellular machinery and can be displayed by specialized complexes, namely MHC I or MHC II complexes, to trigger T cell responses to epitopes present within them. These complexes present the epitopes to immune cells to provoke the desired immune response. In the case of other mRNA applications, the mRNA encodes proteins that are secreted from the cells, such as antibodies, and function extracellularly.</w:t>
      </w:r>
    </w:p>
    <w:p>
      <w:pPr>
        <w:spacing w:after="0" w:line="14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structural elements of the mRNA have an impact on its performance. This includes potential immunogenicity, efficiency of translation and molecular stability. We leverage our extensive experience to design, synthesize, manufacture and formulate our therapeutic mRNA, and to adapt its composition to suit the desired application.</w:t>
      </w:r>
    </w:p>
    <w:p>
      <w:pPr>
        <w:spacing w:after="0" w:line="164" w:lineRule="exact"/>
        <w:rPr>
          <w:sz w:val="20"/>
          <w:szCs w:val="20"/>
          <w:color w:val="auto"/>
        </w:rPr>
      </w:pPr>
    </w:p>
    <w:p>
      <w:pPr>
        <w:ind w:left="580" w:right="40" w:hanging="274"/>
        <w:spacing w:after="0" w:line="259" w:lineRule="auto"/>
        <w:tabs>
          <w:tab w:leader="none" w:pos="592"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w:t>
      </w:r>
    </w:p>
    <w:p>
      <w:pPr>
        <w:spacing w:after="0" w:line="59" w:lineRule="exact"/>
        <w:rPr>
          <w:rFonts w:ascii="Times New Roman" w:cs="Times New Roman" w:eastAsia="Times New Roman" w:hAnsi="Times New Roman"/>
          <w:sz w:val="16"/>
          <w:szCs w:val="16"/>
          <w:color w:val="auto"/>
        </w:rPr>
      </w:pPr>
    </w:p>
    <w:p>
      <w:pPr>
        <w:ind w:left="580" w:right="60" w:hanging="274"/>
        <w:spacing w:after="0" w:line="331" w:lineRule="auto"/>
        <w:tabs>
          <w:tab w:leader="none" w:pos="59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7" w:name="page108"/>
    <w:bookmarkEnd w:id="10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right="40" w:hanging="274"/>
        <w:spacing w:after="0" w:line="259" w:lineRule="auto"/>
        <w:tabs>
          <w:tab w:leader="none" w:pos="59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performed extensive research on the structure of the poly(A) tail and the translational performance of mRNA and customized our template design accordingly.</w:t>
      </w:r>
    </w:p>
    <w:p>
      <w:pPr>
        <w:spacing w:after="0" w:line="155"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The translational performance of mRNA can be increased by reducing contaminating double-stranded RNA, or dsRNA,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to minimize the occurrence of dsRNA by-products. We believe fine-tuning the respective molecules provides a great benefit to the purpose-adapted performance of our mRNA.</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 mRNA Formats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1. Optimized Uridine mRNA (uRNA)</w:t>
      </w:r>
    </w:p>
    <w:p>
      <w:pPr>
        <w:spacing w:after="0" w:line="96"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of the encoded antigen (augmented presentation on MHC I and MHC II) and pharmacological activity (enhanced stability and translational efficiency). Immunogenicity of the mRNA is an added benefit when mRNA is used for immunotherapy applications, by acting as an immunotherapy adjuvant. We believe this makes our therapeutics for iNeST and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even more potent.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2. Nucleoside-modified mRNA (modRNA)</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Immunogenic reaction against mRNA drugs needs to be avoided in applications where therapeutic proteins are produced, such as in our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 xml:space="preserve">RiboCytokine </w:t>
      </w:r>
      <w:r>
        <w:rPr>
          <w:rFonts w:ascii="Times New Roman" w:cs="Times New Roman" w:eastAsia="Times New Roman" w:hAnsi="Times New Roman"/>
          <w:sz w:val="16"/>
          <w:szCs w:val="16"/>
          <w:color w:val="auto"/>
        </w:rPr>
        <w:t>platforms. We have profound expertise in incorporating naturally-occurring modified nucleosides into our therapeutic mRNAs. We have demonstrated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presence of a variety of modified nucleosides in the manufactured mRNA suppresses its intrinsic immune activation, while leading to superior protein production for long duration. Deimmunizing mRNA by incorporating modified nucleosides helps to avoid the production of anti- drug antibodies and to broaden the therapeutic application of these types of mRNA drugs. We believe this customization has resulted in therapeutic mRNA that is both potent and well tolerated.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3. Self-amplifying mRNA (saRNA)</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Our self-amplifying mRNA, or saRNA, drugs use the concept of viral mRNA replication, while not being infectious, disease-causing agents themselves. saRNA resembles conventional mRNA, encoding the protein of interest, but it also encodes an RNA-dependent RNA-polymerase, called replicase, that multiplies part of the mRNA within the target cell. Thus, lower amounts of saRNA are needed compared to a regular mRNA to obtain the same amount of active protein. As we have demonstrated, our saRNA ensures high levels of sustained antigen production with a small amount of initial mRNA input. Our scientific team has designed this mRNA technology to act as a potent tool for prophylactic vaccination, with the potential for application in infectious diseases.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4. Trans-amplifying mRNA (taRNA)</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have expanded on our self-amplifying mRNA capabilities and developed a novel mRNA amplification technology which separates amplification of the target mRNA and the replicase encoding mRNA. This advancement broadens the spectrum of applications by making the development of therapeutic and prophylactic mRNAs even more flexible, as the replicase can amplify mRNA encoding of not only one protein, but several different ones. In the case of vaccines, this allows us to produce the replicase in advance for use with different vaccines. Our trans- amplifying mRNA is a proprietary mRNA format that we believe is particularly well- suited for prophylactic vaccines to prevent infectious diseases. We believe that taRNA-based split-vector systems may be advantageous over saRNA with regard to safety, versatility, and manufacturing.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8" w:name="page109"/>
    <w:bookmarkEnd w:id="10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531495</wp:posOffset>
            </wp:positionV>
            <wp:extent cx="5045710" cy="1951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4571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mRNA offers a broad technology toolbox: </w:t>
      </w:r>
      <w:r>
        <w:rPr>
          <w:rFonts w:ascii="Times New Roman" w:cs="Times New Roman" w:eastAsia="Times New Roman" w:hAnsi="Times New Roman"/>
          <w:sz w:val="13"/>
          <w:szCs w:val="13"/>
          <w:color w:val="auto"/>
        </w:rPr>
        <w:t>We have developed and optimized mRNA formats and delivery formulations for their potency and performance, each optimized for different therapeutic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applications.</w:t>
      </w: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 mRNA Delivery Formulation Technologies</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We have deep and broad expertise in the targeted delivery of mRNA therapeutics. We are convinced that development of suitable delivery formulations in conjunction with our own therapeutic mRNAs is a key competitive advantage.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main mRNA delivery formulations, each designed for different functions and optimized for therapeutic product needs, are described below:</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1. Lipoplex nanoparticles or RNA-LPX formulation</w:t>
      </w:r>
    </w:p>
    <w:p>
      <w:pPr>
        <w:spacing w:after="0" w:line="92"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Our lipoplex formulation, or LPX, embeds the mRNA between a lipid bilayer, and is used for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and iNeST platforms. We use a proprietary size- and charge-based non-viral mRNA lipoplex that we developed to deliver mRNA to dendritic cells in lymphoid compartments (such as the spleen) for optimal antigen presentation and immune response activation. A synchronized adjuvant effect is mediated by TLR7-triggering and type-I interferon-driven innate and adaptive immune stimulation. Our RNA- LPX formulation allows for intravenous administration of our investigational mRNA cancer immunotherapies. RNA-LPX protects mRNA from degradation outside of the cell and mediates its efficient uptake and expression of encoded antigens in various dendritic cell, or DC, populations. Our RNA-LPX technology is designed to deliver multiple antigens in parallel, enabling the induction of poly- specific T-cell responses. We have demonstrated in the clinic that systemic DC targeting by mRNA cancer immunotherapies can result in potent activity against shared tumor-associated antigens at very low doses. Consequently, less material would be required for treating high patient numbers, making manufacturing potentially more cost-effective.</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2. Lipid nanoparticle, or LNP, formulation</w:t>
      </w:r>
    </w:p>
    <w:p>
      <w:pPr>
        <w:spacing w:after="0" w:line="9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6"/>
          <w:szCs w:val="16"/>
          <w:color w:val="auto"/>
        </w:rPr>
        <w:t xml:space="preserve">For other applications, we encapsulate our mRNA in lipid nanoparticles, or LNPs. These formulations are suitable for our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and prophylactic vaccines against infectious disease.</w:t>
      </w:r>
    </w:p>
    <w:p>
      <w:pPr>
        <w:spacing w:after="0" w:line="15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Our COVID- 19 vaccines are based on an RNA-LNP platform of nucleoside modified RNA, which has blunted innate immune sensor activating capacity and thus augmented antigen expression. Our COVID-19 vaccines are formulated in LNPs. Encapsulation into LNPs enables transfection of the RNA into host cells after intramuscular injection. These LNPs are composed of four different lipids in a defined ratio. During the mixing of the RNA and the dissolved lipids, the lipids form nanoparticles encapsulating the RNA. After injection, the LNPs are taken up by the cells, and the RNA is released into the cytosol. In the cytosol, the RNA is translated to the encoded viral protein.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3. Polymer nanoparticles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9" w:name="page110"/>
    <w:bookmarkEnd w:id="10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portfolio also comprises polyplexes, in which the mRNA is bound to a polymer and then forms nanoparticles, which are being utilized in certain of our discovery programs.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 mRNA Platforms</w:t>
      </w:r>
    </w:p>
    <w:p>
      <w:pPr>
        <w:spacing w:after="0" w:line="92" w:lineRule="exact"/>
        <w:rPr>
          <w:sz w:val="20"/>
          <w:szCs w:val="20"/>
          <w:color w:val="auto"/>
        </w:rPr>
      </w:pPr>
    </w:p>
    <w:p>
      <w:pPr>
        <w:jc w:val="both"/>
        <w:ind w:firstLine="384"/>
        <w:spacing w:after="0" w:line="334" w:lineRule="auto"/>
        <w:rPr>
          <w:sz w:val="20"/>
          <w:szCs w:val="20"/>
          <w:color w:val="auto"/>
        </w:rPr>
      </w:pPr>
      <w:r>
        <w:rPr>
          <w:rFonts w:ascii="Times New Roman" w:cs="Times New Roman" w:eastAsia="Times New Roman" w:hAnsi="Times New Roman"/>
          <w:sz w:val="14"/>
          <w:szCs w:val="14"/>
          <w:color w:val="auto"/>
        </w:rPr>
        <w:t xml:space="preserve">We are developing multiple mRNA-based therapeutics in the oncology space, including mRNA cancer vaccines (e.g.,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xml:space="preserve"> and iNeST), RiboMabs, and RiboCytokines, using different RNA formats and delivery formulations. We have also implemented mRNA platforms for the development of infectious disease vaccines.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66675</wp:posOffset>
            </wp:positionV>
            <wp:extent cx="5045710" cy="1387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45710" cy="138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firstLine="384"/>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Our mRNA Platforms. </w:t>
      </w:r>
      <w:r>
        <w:rPr>
          <w:rFonts w:ascii="Times New Roman" w:cs="Times New Roman" w:eastAsia="Times New Roman" w:hAnsi="Times New Roman"/>
          <w:sz w:val="13"/>
          <w:szCs w:val="13"/>
          <w:color w:val="auto"/>
        </w:rPr>
        <w:t>We have multiple mRNA-based platforms utilizing different mRNA formats and delivery formulations that are directed at a range of biological targets in oncology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infectious and rare diseases.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VII. Sales, Marketing and Distribution</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commercial organization focuses on supporting sales of our COVID-19 vaccine in Germany and Türkiye. Our commercial organization is responsible for promoting our products to health care providers and providing information to stakeholders, including governmental organizations, in Germany and Türkiye.</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As a result of our partnership with Pfizer, under which our commercialization responsibilities are limited to Germany and Türkiye, we are able to maintain a lean fixed cost base for our COVID-19 vaccine business.</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commercial organization is also responsible for preparing and obtaining reimbursement from third-party payors, including governmental organizations, for our COVID-19 vaccine.</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aim to build a specialized oncology sales force in major markets, including North America and Europe, while leveraging our commercial partners for co-commercialization. We are working towards being commercial-ready in oncology by the end of 2025, in anticipation of potential commercial oncology launches as soon as 2026, if approved.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VIII. Manufacturing</w:t>
      </w:r>
    </w:p>
    <w:p>
      <w:pPr>
        <w:spacing w:after="0" w:line="94"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We are building a fully integrated biotechnology company, with operations spanning from research through clinical development, manufacturing, and sales and marketing. To successfully bring individualized immunotherapies and vaccines to people around the world, we believe that it is crucial to have in-house manufacturing capabilities that can be efficiently scaled for global clinical and commercial distribution. We have several manufacturing sites capable of developing automated production processes for on-demand production of our investigational therapies and vaccines. These can be classified into distinct GMP manufacturing capabilities.</w:t>
      </w:r>
    </w:p>
    <w:p>
      <w:pPr>
        <w:spacing w:after="0" w:line="13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operate four GMP-certified manufacturing facilities in Germany, where we manufacture mRNA therapeutics and engineered cell therapies both for our own pipeline and for external customers, including a state -of-the art, multi-platform, GMP-certified manufacturing facility located in a life science industrial park in Marburg, Germany, which we acquired in October 2020 from Novartis to increase manufacturing capacity of our COVID-19 vaccine for commercial supply. We also operate a fifth facility in Germany where we manufacture custom peptides both to support our extensive immunomonitoring activities within our development programs and for third parties. Our subsidiary BioNTech Innovative Manufacturing Services GmbH, or BioNTech IMFS, has been manufacturing GMP-certified cellular products since 1999.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0" w:name="page111"/>
    <w:bookmarkEnd w:id="11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Our approach has been to proactively build capacity in anticipation of demand from both internal research and development from our collaborators. We have done so by continuing to make significant investments in our manufacturing infrastructure, including our capacity to manufacture mRNA, viral vectors, cellular products and peptides. We have also collaborated with Siemens AG to develop a process for automated, on-demand production of mRNA therapies. We believe that the development and optimization of our manufacturing processes in parallel to drug development is crucial to our success.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 Manufacturing Operations</w:t>
      </w:r>
    </w:p>
    <w:p>
      <w:pPr>
        <w:spacing w:after="0" w:line="94"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COVID-19 Vaccine. </w:t>
      </w:r>
      <w:r>
        <w:rPr>
          <w:rFonts w:ascii="Times New Roman" w:cs="Times New Roman" w:eastAsia="Times New Roman" w:hAnsi="Times New Roman"/>
          <w:sz w:val="16"/>
          <w:szCs w:val="16"/>
          <w:color w:val="auto"/>
        </w:rPr>
        <w:t>Our manufacturing site in Marburg was approved by the EMA for manufacturing of our COVID-19 drug product in March 2021.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 makes it one of the largest mRNA manufacturing sites worldwide. In addition, we have two GMP facilities that currently produce our COVID-19 vaccine candidates for clinical trials. We have a broad network of sub-contractors established to provide drug substance, drug conjugate, drug product, and fill and finish services to enable production.</w:t>
      </w:r>
    </w:p>
    <w:p>
      <w:pPr>
        <w:spacing w:after="0" w:line="164"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i w:val="1"/>
          <w:iCs w:val="1"/>
          <w:color w:val="auto"/>
        </w:rPr>
        <w:t>mRNA</w:t>
      </w:r>
      <w:r>
        <w:rPr>
          <w:rFonts w:ascii="Times New Roman" w:cs="Times New Roman" w:eastAsia="Times New Roman" w:hAnsi="Times New Roman"/>
          <w:sz w:val="14"/>
          <w:szCs w:val="14"/>
          <w:color w:val="auto"/>
        </w:rPr>
        <w:t>. We believe scaling up manufacturing for mRNA can best be executed as part of a proprietary manufacturing approach, rather than as part of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our BioNTech East Wing facility, and our Marburg facility. The East Wing facility is dedicated to iNeST (finished product) and bulk mRNA manufacturing. Our mRNA manufacturing process involves standardized production of all mRNA constructs and minimal restrictions in construct length. We have the capacity to undertake sterile filtration and final filling in up to 1,200 vials of various sizes in the East Wing and about 7,000 vials at IMFS. Batch sizes range from a few milligrams for individualized applications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iNeST) to 10g for standard mRNA applications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intratumoral immunotherapies and infectious diseases), and up to 720g batches for COVID-19. Our manufacturing facility in Marburg is one of the largest mRNA vaccine manufacturing sites worldwide with an annual capacity of up to three billion doses of mRNA drug substance and we believe we are well positioned to supply the quantities required by global market demand.</w:t>
      </w:r>
    </w:p>
    <w:p>
      <w:pPr>
        <w:spacing w:after="0" w:line="328"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To date, we have produced more than 2,000 batches of mRNA drug substance to support our clinical studies. We currently have infrastructure capable of producing about 100 batches of mRNA drug substance and formulated drug product per month with a turnaround time of about 30 to 40 days from sequence identification to released product. We believe we have the capacity to meet the supply needs of our current product candidates in clinical trials up to registration.</w:t>
      </w:r>
    </w:p>
    <w:p>
      <w:pPr>
        <w:spacing w:after="0" w:line="164"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In recent years, we have successfully decreased the time required to deliver iNeST to patients. In 2014, it took us over three months to manually manufacture and deliver individualized immunotherapies to patients. Since December 2017, with the implementation of semiautomatic GMP manufacturing in collaboration with Siemens and other partners, we have been consistently manufacturing and delivering individualized immunotherapies in under six weeks. This advancement represents significant progress toward our target commercial manufacturing turnaround time of less than 28 days, and we were able to demonstrate less than 30 days in 2021. We plan to continue to develop additional process improvements, which we expect will further reduce our turnaround times as we progress through clinical development.</w:t>
      </w:r>
    </w:p>
    <w:p>
      <w:pPr>
        <w:spacing w:after="0" w:line="138" w:lineRule="exact"/>
        <w:rPr>
          <w:sz w:val="20"/>
          <w:szCs w:val="20"/>
          <w:color w:val="auto"/>
        </w:rPr>
      </w:pPr>
    </w:p>
    <w:p>
      <w:pPr>
        <w:jc w:val="both"/>
        <w:ind w:right="40" w:firstLine="384"/>
        <w:spacing w:after="0"/>
        <w:rPr>
          <w:sz w:val="20"/>
          <w:szCs w:val="20"/>
          <w:color w:val="auto"/>
        </w:rPr>
      </w:pPr>
      <w:r>
        <w:rPr>
          <w:rFonts w:ascii="Times New Roman" w:cs="Times New Roman" w:eastAsia="Times New Roman" w:hAnsi="Times New Roman"/>
          <w:sz w:val="16"/>
          <w:szCs w:val="16"/>
          <w:i w:val="1"/>
          <w:iCs w:val="1"/>
          <w:color w:val="auto"/>
        </w:rPr>
        <w:t>Cell Therapy Products</w:t>
      </w:r>
      <w:r>
        <w:rPr>
          <w:rFonts w:ascii="Times New Roman" w:cs="Times New Roman" w:eastAsia="Times New Roman" w:hAnsi="Times New Roman"/>
          <w:sz w:val="16"/>
          <w:szCs w:val="16"/>
          <w:color w:val="auto"/>
        </w:rPr>
        <w:t>. We have end-to -end capabilities and teams in Germany and the United States with over 20 years of experience in cell therapy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manufacturing, quality control and release. Our cell therapy programs target novel and known tumor-specific antigens, including patient-specific mutant neoantigens. We also leverage our mRNA vaccine technology to further boost T cell activation, expansion, and persistence. Our state-of-the -art manufacturing processes of cellular products involve the isolation of primary human blood cells and subpopulations, such as, e.g., CD3+ T-cells. Cell products are cultured, expanded and genetically modified (e.g., CAR-T cells) in aseptic production processes in specialized cleanroom facilities. We also have the capability for in-house vector and mRNA production for the genetic modification of such innovative cell therapy products.</w:t>
      </w:r>
    </w:p>
    <w:p>
      <w:pPr>
        <w:spacing w:after="0" w:line="168" w:lineRule="exact"/>
        <w:rPr>
          <w:sz w:val="20"/>
          <w:szCs w:val="20"/>
          <w:color w:val="auto"/>
        </w:rPr>
      </w:pPr>
    </w:p>
    <w:p>
      <w:pPr>
        <w:jc w:val="both"/>
        <w:ind w:right="20" w:firstLine="384"/>
        <w:spacing w:after="0"/>
        <w:rPr>
          <w:sz w:val="20"/>
          <w:szCs w:val="20"/>
          <w:color w:val="auto"/>
        </w:rPr>
      </w:pPr>
      <w:r>
        <w:rPr>
          <w:rFonts w:ascii="Times New Roman" w:cs="Times New Roman" w:eastAsia="Times New Roman" w:hAnsi="Times New Roman"/>
          <w:sz w:val="16"/>
          <w:szCs w:val="16"/>
          <w:i w:val="1"/>
          <w:iCs w:val="1"/>
          <w:color w:val="auto"/>
        </w:rPr>
        <w:t xml:space="preserve">Peptides. </w:t>
      </w:r>
      <w:r>
        <w:rPr>
          <w:rFonts w:ascii="Times New Roman" w:cs="Times New Roman" w:eastAsia="Times New Roman" w:hAnsi="Times New Roman"/>
          <w:sz w:val="16"/>
          <w:szCs w:val="16"/>
          <w:color w:val="auto"/>
        </w:rPr>
        <w:t>Our custom peptide synthesis business has developed unique technologies to produce several million peptides over the past ten years to support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are currently building a new manufacturing plant of 7,500 square meters in Berlin to double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11" w:name="page112"/>
    <w:bookmarkEnd w:id="11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manufacturing capacity, thus producing more than 100,000 purified peptides per year and more than one million unpurified peptides per year.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 Manufacturing Facilities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Manufacturing sites in Germany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Marburg</w:t>
      </w:r>
    </w:p>
    <w:p>
      <w:pPr>
        <w:spacing w:after="0" w:line="9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Marburg is one of our fully owned, state-of- the-art manufacturing facilities for just-in-time delivery and scalable production. Our Marburg manufacturing facility was acquired from Novartis in 2020 for less than a hundred million euros and comprises eight large and small molecule production suites across more than 100,000 square feet. Within 6 months from acquisition, the facility was retrofitted to produce mRNA vaccines. It is now one of the largest mRNA vaccine manufacturing sites globally. As of 2022, the facility has the capacity to produce up to three billion doses of mRNA drug substance vaccine annually.</w:t>
      </w:r>
    </w:p>
    <w:p>
      <w:pPr>
        <w:spacing w:after="0" w:line="16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Marburg is our central hub for innovation and development of novel manufacturing solutions. It is a center of excellence, not only in terms of facilities and devices, but as a know-how hub with appropriate and forward-looking staff training. We have about 700 employees on site. To ensure production, we work in flexible/different shift models, e.g. 24/5.</w:t>
      </w:r>
    </w:p>
    <w:p>
      <w:pPr>
        <w:spacing w:after="0" w:line="16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February 2023, we completed our first proprietary plasmid DNA manufacturing facility in Marburg. This aims to increase our flexibility and autonomy in manufacturing starting materials for our oncology and COVID-19 vaccine pipelines, as well as our independence for pandemic preparedness due to local production. We also expect that this manufacturing facility will facilitate faster production cycles and shorter delivery times for plasmid DNA for a number of clinical product candidates and commercial products.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Idar-Oberstein</w:t>
      </w:r>
    </w:p>
    <w:p>
      <w:pPr>
        <w:spacing w:after="0" w:line="92"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BioNTech Innovative Manufacturing Services (IMFS): Our manufacturing operations for retroviral vectors, cell therapy products and mRNA are housed in our wholly owned subsidiary. Founded in 1997, BioNTech IMFS specializes in services for innovative therapeutic approaches. In 2009, BioNTech IMFS became our wholly 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Almost 500 staff members are employed at this facility, with collective expertise in molecular biology, cell biology and virology and a close working relationship with our R&amp;D teams in Mainz. We consider BioNTech IMFS our powerhouse for early stage mRNA material.</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Mainz</w:t>
      </w:r>
    </w:p>
    <w:p>
      <w:pPr>
        <w:spacing w:after="0" w:line="92"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auto"/>
        </w:rPr>
        <w:t>BioNTech iNeST Clinical Manufacturing (East Wing): We dedicate our GMP-certified manufacturing facility at our headquarters in Mainz, Germany to the production of iNeST immunotherapies and bulk mRNA manufacturing. In 2015, our wholly 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manufactured our first drug product there the following month.</w:t>
      </w:r>
    </w:p>
    <w:p>
      <w:pPr>
        <w:spacing w:after="0" w:line="13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This facility contains approximately 17,000 square feet of laboratory and office space, including 4,300 square feet of GMP facilities. Almost 200 staff members are employed at this facility and operate it seven days per week. In its first year of operation, the facility manufactured and released more than 250 batches of mRNA and has manufactured and released more than 1,200 batches of mRNA since inception.</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To perform our upstream process to feed into the iNeST downstream GMP manufacturing process, our headquarters also hold our core facility, which operates under GCP for labs and is currently under review to become CLIA-certified via CAP accreditation. Incoming patients’ materials (blood and tumor samples) are received and analyzed, and characteristic mutations are identified before the mRNAs are constructed for each patient individually.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2" w:name="page113"/>
    <w:bookmarkEnd w:id="11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BioNTech Clinical Manufacturing: Our GMP-certified manufacturing facility in Kupferbergterrasse, Mainz is authorized to conduct secondary packing, labeling, storage and batch release of primary packed investigational medicinal products. This facility contains approximately 11,500 square feet of laboratory and office space, including 1,250 square feet of GMP facilities.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Berlin</w:t>
      </w:r>
    </w:p>
    <w:p>
      <w:pPr>
        <w:spacing w:after="0" w:line="92"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JPT: JPT, our peptide manufacturing facility, was established in 2004 and became a wholly-owned subsidiary of BioNTech in 2008. JPT is located in Berlin and occupies over 16,000 square feet of clean rooms, laboratory and office space.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Global manufacturing sites</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Outside of Europe, we have acquired a site in the United States for the clinical-scale manufacture of cell therapies and a site in Singapore for the manufacturing of clinical- and commercial-scale mRNA therapies.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Gaithersburg Clinical Manufacturing Facility.</w:t>
      </w:r>
    </w:p>
    <w:p>
      <w:pPr>
        <w:spacing w:after="0" w:line="92" w:lineRule="exact"/>
        <w:rPr>
          <w:sz w:val="20"/>
          <w:szCs w:val="20"/>
          <w:color w:val="auto"/>
        </w:rPr>
      </w:pPr>
    </w:p>
    <w:p>
      <w:pPr>
        <w:jc w:val="both"/>
        <w:ind w:firstLine="384"/>
        <w:spacing w:after="0" w:line="331" w:lineRule="auto"/>
        <w:rPr>
          <w:sz w:val="20"/>
          <w:szCs w:val="20"/>
          <w:color w:val="auto"/>
        </w:rPr>
      </w:pPr>
      <w:r>
        <w:rPr>
          <w:rFonts w:ascii="Times New Roman" w:cs="Times New Roman" w:eastAsia="Times New Roman" w:hAnsi="Times New Roman"/>
          <w:sz w:val="14"/>
          <w:szCs w:val="14"/>
          <w:color w:val="auto"/>
        </w:rPr>
        <w:t>We acquired our site in Gaithersburg, Maryland from Kite Pharma, Inc. in August 2021. The focus of this site is to supply cell therapy products for clinical trials in the United States and to support a potential commercial product launch upon approval. The facility also hosts our U.S.-based R&amp;D team for cell therapy development.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Singapore Manufacturing Facility</w:t>
      </w:r>
    </w:p>
    <w:p>
      <w:pPr>
        <w:spacing w:after="0" w:line="9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November 2022, our Singapore affiliate, BioNTech Pharmaceuticals Asia Pacific Pte. Ltd., entered into an agreement with Novartis Singapore Pharmaceutical Manufacturing Pte. Ltd. to acquire one of its GMP-certified manufacturing facilities. The acquisition is part of our expansion strategy to strengthen our global footprint in Asia. Supported by the Singapore Economic Development Board (EDB), the facility will serve as our Regional Headquarters and become our first mRNA manufacturing facility in Singapore. The facility will create regional manufacturing capacities in support of our growing pipeline of mRNA-based vaccines and therapeutics across the Asia Pacific region at both commercial and clinical scales, with the potential to expand the production to other drug classes, such as cell therapies. The site will be a fully integrated mRNA manufacturing facility bringing mRNA production capabilities across drug substance and drug product, with an expected annual production capacity of up to several hundred million doses of mRNA-based vaccines after a full build-out.</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 xml:space="preserve">The </w:t>
      </w:r>
      <w:r>
        <w:rPr>
          <w:rFonts w:ascii="Times New Roman" w:cs="Times New Roman" w:eastAsia="Times New Roman" w:hAnsi="Times New Roman"/>
          <w:sz w:val="16"/>
          <w:szCs w:val="16"/>
          <w:i w:val="1"/>
          <w:iCs w:val="1"/>
          <w:u w:val="single" w:color="auto"/>
          <w:color w:val="auto"/>
        </w:rPr>
        <w:t>BioNTainer</w:t>
      </w:r>
      <w:r>
        <w:rPr>
          <w:rFonts w:ascii="Times New Roman" w:cs="Times New Roman" w:eastAsia="Times New Roman" w:hAnsi="Times New Roman"/>
          <w:sz w:val="16"/>
          <w:szCs w:val="16"/>
          <w:u w:val="single" w:color="auto"/>
          <w:color w:val="auto"/>
        </w:rPr>
        <w:t>: a platform for localized and sustainable mRNA production</w:t>
      </w:r>
    </w:p>
    <w:p>
      <w:pPr>
        <w:spacing w:after="0" w:line="92"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is an example of our innovative approach to establishing scalable vaccine production by developing and delivering turnkey mRNA manufacturing facilities based on a container solution. It was developed to ensure sustainable, equitable access to our programs, particularly in low-income countries and regions with limited infrastructure. Introduced in February 2022, the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allows scalable vaccine production by developing and delivering turnkey mRNA manufacturing facilities based on a container solution that works as a “Plug &amp; Play” approach with modular design, standardized equipment, and software components. Each </w:t>
      </w:r>
      <w:r>
        <w:rPr>
          <w:rFonts w:ascii="Times New Roman" w:cs="Times New Roman" w:eastAsia="Times New Roman" w:hAnsi="Times New Roman"/>
          <w:sz w:val="16"/>
          <w:szCs w:val="16"/>
          <w:i w:val="1"/>
          <w:iCs w:val="1"/>
          <w:color w:val="auto"/>
        </w:rPr>
        <w:t xml:space="preserve">BioNTainer </w:t>
      </w:r>
      <w:r>
        <w:rPr>
          <w:rFonts w:ascii="Times New Roman" w:cs="Times New Roman" w:eastAsia="Times New Roman" w:hAnsi="Times New Roman"/>
          <w:sz w:val="16"/>
          <w:szCs w:val="16"/>
          <w:color w:val="auto"/>
        </w:rPr>
        <w:t>is a clean room, which we equip with state-of-the-art manufacturing solutions, consisting of one drug substance and one formulation module. Each module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built of six to eight ISO -sized containers. A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can be equipped to manufacture a range of mRNA-based vaccines targeted to regional needs: for example, our COVID-19 vaccine and our investigational malaria and tuberculosis vaccines, if they are successfully developed, approved, and authorized by regulatory authorities and in line with regional demand. Each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is intended to become a node in a decentralized and robust end-to-end manufacturing network, aiming to offer greater independence and faster regional vaccine supply. We will initially staff and operate the facilities to enable the safe and rapid initiation of the production of mRNA-based vaccine doses under stringent good manufacturing processes, in order to prepare for the transfer of know-how to local partners to facilitate operation. We believe this solution is an important step towards improving global vaccine supply.</w:t>
      </w:r>
    </w:p>
    <w:p>
      <w:pPr>
        <w:spacing w:after="0" w:line="174"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In addition to our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facility in Kigali, Rwanda, we announced in December 2023 that we intend to set up and operate a clinical-scale mRNA manufacturing facility with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units in Melbourne in the State of Victoria, Australia. The site is intended to support R&amp;D and clinical-scale manufacturing of investigational mRNA-based medicines from the local ecosystem as well as from other third parties globally.</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Kigali Manufacturing Facility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3" w:name="page114"/>
    <w:bookmarkEnd w:id="11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 xml:space="preserve">In December 2022, six ISO-sized shipping containers for the first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finished construction in Europe and underwent quality checks by our experts. The first shipment of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units to Kigali, Rwanda arrived in March 2023. The Kigali facility is planned to initially house two sets of</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units for bulk production of mRNA vaccines and is intended to be part of a robust end-to-end manufacturing network in Africa for mRNA-based medicines. In December 2023, we reached the next milestone in the establishment of mRNA vaccine manufacturing capacities in Africa with the inauguration of our site in Kigali, Rwanda. The inauguration took place on the occasion of the set-up of the first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The Rwandan facility is intended to be a commercial manufacturing and production facility. Once fully operational, the facility’s capacity would depend on the product and its dosage. For example, if used to produce the Pfizer-BioNTech COVID-19 vaccine, the first set of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 xml:space="preserve"> units could produce an estimated initial annual capacity of up to 50 million doses. The facility is expected to employ approximately 100 people once operational, with roles across a range of disciplines. BioNTech plans to complete all buildings at the Kigali site and start local training of specialized personnel in the facility in 2024, with test mRNA production for process validation to be initiated in 2025.</w:t>
      </w:r>
    </w:p>
    <w:p>
      <w:pPr>
        <w:spacing w:after="0" w:line="169"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In line with the continent’s and partner countries’ needs, BioNTech is committed to establishing additional manufacturing facilities in Africa upon the successful validation of the facility in Kigali.</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C. Other Certifications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D. Quality Assurance</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IX. Third-Party Collaborations</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collaborations include, without limitation:</w:t>
      </w:r>
    </w:p>
    <w:p>
      <w:pPr>
        <w:spacing w:after="0" w:line="92" w:lineRule="exact"/>
        <w:rPr>
          <w:sz w:val="20"/>
          <w:szCs w:val="20"/>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Autolus for certain binders and the right to utilize its manufacturing capacity;</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Biotheus for certain antibodies;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DualityBio for the research and development of certain antibody drug conjugates;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Fosun Pharma for our COVID-19 vaccine program;</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Genentech for our iNeST platform in our mRNA drug class;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Genmab for our next-generation checkpoint immunomodulator platform in our protein-based therapeutics drug class;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InstaDeep, now our wholly-owned subsidiary, for AI and ML;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OncoC4 for the research and development of certain monoclonal anti-CTLA4 antibodies; and</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Pfizer for our COVID-19, influenza and joint COVID-19/influenza vaccine programs, which leverage technology from our infectious disease mRNA-based platform.</w:t>
      </w:r>
    </w:p>
    <w:p>
      <w:pPr>
        <w:spacing w:after="0" w:line="155"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We either wholly own or retain significant rights to all of our clinical stage programs, either in the form of a global share of profit and co-commercialization rights with our collaborators in certain markets or significant royalties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4" w:name="page115"/>
    <w:bookmarkEnd w:id="11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milestones. We plan to continue to identify potential collaborators who can contribute meaningful resources and insights to our programs and allow us to more rapidly expand our impact to broader patient populations.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A. Autolus Collaboration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i w:val="1"/>
          <w:iCs w:val="1"/>
          <w:color w:val="auto"/>
        </w:rPr>
        <w:t>License and Option Agreement</w:t>
      </w:r>
    </w:p>
    <w:p>
      <w:pPr>
        <w:spacing w:after="0" w:line="94" w:lineRule="exact"/>
        <w:rPr>
          <w:sz w:val="20"/>
          <w:szCs w:val="20"/>
          <w:color w:val="auto"/>
        </w:rPr>
      </w:pPr>
    </w:p>
    <w:p>
      <w:pPr>
        <w:jc w:val="both"/>
        <w:ind w:firstLine="408"/>
        <w:spacing w:after="0" w:line="241" w:lineRule="auto"/>
        <w:rPr>
          <w:sz w:val="20"/>
          <w:szCs w:val="20"/>
          <w:color w:val="auto"/>
        </w:rPr>
      </w:pPr>
      <w:r>
        <w:rPr>
          <w:rFonts w:ascii="Times New Roman" w:cs="Times New Roman" w:eastAsia="Times New Roman" w:hAnsi="Times New Roman"/>
          <w:sz w:val="16"/>
          <w:szCs w:val="16"/>
          <w:color w:val="auto"/>
        </w:rPr>
        <w:t>On February 6, 2024 (with effect as of February 13, 2024), we entered into a License and Option Agreement, or the Autolus License Agreement, with Autolus Therapeutics plc’s wholly-owned subsidiaries Autolus Limited and Autolus Holdings (UK) Limited, which collectively we refer to as Autolus, pursuant to which Autolus granted to us an exclusive, worldwide, sublicensable license, which we refer to as the Autolus License, to certain binders and to exploit products that express in vivo such binders, which we refer to as the Binder Licensed Products. Autolus also granted to us several time-limited options, or the Autolus Options, to acquire additional rights to specified clinical-stage product candidates, binders and technologies of Autolus, described in more detail below.</w:t>
      </w:r>
    </w:p>
    <w:p>
      <w:pPr>
        <w:spacing w:after="0" w:line="73"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16"/>
          <w:szCs w:val="16"/>
          <w:color w:val="auto"/>
        </w:rPr>
        <w:t>In the event that all Autolus Options are fully exercised, Autolus would be eligible to receive maximum aggregate payments of up to $582 million pursuant to the Autolus License Agreement. This maximum amount includes upfront payments, the potential milestone payments for the Binder Licensed Products described below, all option exercise fees and potential milestone payments for licenses to optioned products and technologies, and additional payments that we may pay to Autolus for an increased revenue interest with respect to Autolus’s product candidate, obe-cel, as described below.</w:t>
      </w:r>
    </w:p>
    <w:p>
      <w:pPr>
        <w:spacing w:after="0" w:line="71" w:lineRule="exact"/>
        <w:rPr>
          <w:sz w:val="20"/>
          <w:szCs w:val="20"/>
          <w:color w:val="auto"/>
        </w:rPr>
      </w:pPr>
    </w:p>
    <w:p>
      <w:pPr>
        <w:jc w:val="both"/>
        <w:ind w:firstLine="408"/>
        <w:spacing w:after="0" w:line="280" w:lineRule="auto"/>
        <w:rPr>
          <w:sz w:val="20"/>
          <w:szCs w:val="20"/>
          <w:color w:val="auto"/>
        </w:rPr>
      </w:pPr>
      <w:r>
        <w:rPr>
          <w:rFonts w:ascii="Times New Roman" w:cs="Times New Roman" w:eastAsia="Times New Roman" w:hAnsi="Times New Roman"/>
          <w:sz w:val="14"/>
          <w:szCs w:val="14"/>
          <w:color w:val="auto"/>
        </w:rPr>
        <w:t>In consideration for the Autolus License and the Autolus Options, we made an initial payment to Autolus of $10 million. Autolus is eligible to receive milestone payments of up to $32 million in the aggregate upon the achievement of specified clinical development and regulatory milestones for each Binder Licensed Product that achieves such milestones. Autolus is also eligible to receive a low single -digit royalty on net sales of Binder Licensed Products, subject to customary reductions, which reductions are subject to specified limits. The royalty will be increased if we, our affiliates or our sublicensees commercialize a Binder Licensed Product in an indication and country in which Autolus or its affiliates or licensees also commercializes a product containing the same binders. Under the License Agreement, we are solely responsible for, and have sole decision-making authority with respect to, at our own expense, the exploitation of Binder Licensed Products.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Under the terms of the License Agreement, Autolus has agreed to grant us the following time-limited Autolus Options:</w:t>
      </w:r>
    </w:p>
    <w:p>
      <w:pPr>
        <w:spacing w:after="0" w:line="92" w:lineRule="exact"/>
        <w:rPr>
          <w:sz w:val="20"/>
          <w:szCs w:val="20"/>
          <w:color w:val="auto"/>
        </w:rPr>
      </w:pPr>
    </w:p>
    <w:p>
      <w:pPr>
        <w:jc w:val="both"/>
        <w:ind w:left="680" w:hanging="218"/>
        <w:spacing w:after="0" w:line="247" w:lineRule="auto"/>
        <w:tabs>
          <w:tab w:leader="none" w:pos="69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to obtain exclusive rights to co-fund development costs of Autolus’s development-stage programs AUTO1/22 and AUTO6NG, in return for agreed upon economic terms, including an option exercise fee, milestone payments and a profit-sharing arrangement for each such product candidate, with additional options to co-promote or co-commercialize such product candidate;</w:t>
      </w:r>
    </w:p>
    <w:p>
      <w:pPr>
        <w:spacing w:after="0" w:line="68" w:lineRule="exact"/>
        <w:rPr>
          <w:rFonts w:ascii="Times New Roman" w:cs="Times New Roman" w:eastAsia="Times New Roman" w:hAnsi="Times New Roman"/>
          <w:sz w:val="16"/>
          <w:szCs w:val="16"/>
          <w:color w:val="auto"/>
        </w:rPr>
      </w:pPr>
    </w:p>
    <w:p>
      <w:pPr>
        <w:ind w:left="680" w:hanging="218"/>
        <w:spacing w:after="0" w:line="259" w:lineRule="auto"/>
        <w:tabs>
          <w:tab w:leader="none" w:pos="69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to obtain an exclusive worldwide license to exploit products that express certain additional binders in vivo or, with respect to certain binders, in an antibody drug conjugate, or the Binder Option;</w:t>
      </w:r>
    </w:p>
    <w:p>
      <w:pPr>
        <w:spacing w:after="0" w:line="59" w:lineRule="exact"/>
        <w:rPr>
          <w:rFonts w:ascii="Times New Roman" w:cs="Times New Roman" w:eastAsia="Times New Roman" w:hAnsi="Times New Roman"/>
          <w:sz w:val="16"/>
          <w:szCs w:val="16"/>
          <w:color w:val="auto"/>
        </w:rPr>
      </w:pPr>
    </w:p>
    <w:p>
      <w:pPr>
        <w:jc w:val="both"/>
        <w:ind w:left="680" w:right="20" w:hanging="218"/>
        <w:spacing w:after="0" w:line="247" w:lineRule="auto"/>
        <w:tabs>
          <w:tab w:leader="none" w:pos="69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to obtain a co-exclusive worldwide license to exploit products that express in vivo Autolus’s modules for activity enhancement, with a non-exclusive right, in certain agreed instances, to exploit products that include Autolus’s modules for activity enhancement but do not express in vivo such modules, or the Activity Enhancement Option; and</w:t>
      </w:r>
    </w:p>
    <w:p>
      <w:pPr>
        <w:spacing w:after="0" w:line="68" w:lineRule="exact"/>
        <w:rPr>
          <w:rFonts w:ascii="Times New Roman" w:cs="Times New Roman" w:eastAsia="Times New Roman" w:hAnsi="Times New Roman"/>
          <w:sz w:val="16"/>
          <w:szCs w:val="16"/>
          <w:color w:val="auto"/>
        </w:rPr>
      </w:pPr>
    </w:p>
    <w:p>
      <w:pPr>
        <w:ind w:left="680" w:right="20" w:hanging="218"/>
        <w:spacing w:after="0" w:line="259" w:lineRule="auto"/>
        <w:tabs>
          <w:tab w:leader="none" w:pos="69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to obtain a non-exclusive worldwide license to exploit products that contain Autolus’s safety switches or the Safety Switch Option, and, together with the Binder Option and the Activity Enhancement Option, the Technology Options.</w:t>
      </w:r>
    </w:p>
    <w:p>
      <w:pPr>
        <w:spacing w:after="0" w:line="59"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16"/>
          <w:szCs w:val="16"/>
          <w:color w:val="auto"/>
        </w:rPr>
        <w:t>The option exercise fee for each Technology Option is a low seven-digit amount. Each of the Activity Enhancement Option and the Safety Switch Option must be exercised with respect to a given biological target or combination of targets. There is a cap on the total option exercise fee if multiple Technology Options are exercised with respect to a given target.</w:t>
      </w:r>
    </w:p>
    <w:p>
      <w:pPr>
        <w:spacing w:after="0" w:line="68" w:lineRule="exact"/>
        <w:rPr>
          <w:sz w:val="20"/>
          <w:szCs w:val="20"/>
          <w:color w:val="auto"/>
        </w:rPr>
      </w:pPr>
    </w:p>
    <w:p>
      <w:pPr>
        <w:jc w:val="both"/>
        <w:ind w:firstLine="408"/>
        <w:spacing w:after="0" w:line="259" w:lineRule="auto"/>
        <w:rPr>
          <w:sz w:val="20"/>
          <w:szCs w:val="20"/>
          <w:color w:val="auto"/>
        </w:rPr>
      </w:pPr>
      <w:r>
        <w:rPr>
          <w:rFonts w:ascii="Times New Roman" w:cs="Times New Roman" w:eastAsia="Times New Roman" w:hAnsi="Times New Roman"/>
          <w:sz w:val="16"/>
          <w:szCs w:val="16"/>
          <w:color w:val="auto"/>
        </w:rPr>
        <w:t>There is also a cap on milestone payments across all agreements entered into as the result of our exercising one or more of the Technology Options and a cap on royalties payable on any given product for which multiple Technology Options are exercised.</w:t>
      </w:r>
    </w:p>
    <w:p>
      <w:pPr>
        <w:spacing w:after="0" w:line="59"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16"/>
          <w:szCs w:val="16"/>
          <w:color w:val="auto"/>
        </w:rPr>
        <w:t>Under the Autolus License Agreement, we have also agreed to financially support the expansion of the clinical development program for, and planned commercialization of, Autolus’s lead product candidate obecabtagene autoleucel, known as obe-cel. In exchange for Autolus’s grant of rights to future revenues from the sales of obe-cel products, we made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15" w:name="page116"/>
    <w:bookmarkEnd w:id="11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an upfront payment to Autolus of $40 million. Autolus will pay us a low single-digit percentage of annual net sales of obe-cel products, which may be increased up to a mid-single digit percentage in exchange for milestone payments of up to $100 million in the aggregate on achievement of certain regulatory events for specific new indications.</w:t>
      </w:r>
    </w:p>
    <w:p>
      <w:pPr>
        <w:spacing w:after="0" w:line="68" w:lineRule="exact"/>
        <w:rPr>
          <w:sz w:val="20"/>
          <w:szCs w:val="20"/>
          <w:color w:val="auto"/>
        </w:rPr>
      </w:pPr>
    </w:p>
    <w:p>
      <w:pPr>
        <w:jc w:val="both"/>
        <w:ind w:right="60" w:firstLine="408"/>
        <w:spacing w:after="0" w:line="243" w:lineRule="auto"/>
        <w:rPr>
          <w:sz w:val="20"/>
          <w:szCs w:val="20"/>
          <w:color w:val="auto"/>
        </w:rPr>
      </w:pPr>
      <w:r>
        <w:rPr>
          <w:rFonts w:ascii="Times New Roman" w:cs="Times New Roman" w:eastAsia="Times New Roman" w:hAnsi="Times New Roman"/>
          <w:sz w:val="16"/>
          <w:szCs w:val="16"/>
          <w:color w:val="auto"/>
        </w:rPr>
        <w:t>Under the terms of the Autolus License Agreement, Autolus has agreed to grant to us the option to negotiate a joint manufacturing and commercial services agreement pursuant to which the parties may access and leverage each other’s manufacturing and commercial capabilities, in addition to Autolus’s commercial site network and infrastructure, with respect to certain of each parties’ CAR-T products, including our product candidate, BNT211, or the Autolus Manufacturing and Commercial Agreement.</w:t>
      </w:r>
    </w:p>
    <w:p>
      <w:pPr>
        <w:spacing w:after="0" w:line="71"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16"/>
          <w:szCs w:val="16"/>
          <w:color w:val="auto"/>
        </w:rPr>
        <w:t>Unless earlier terminated, the Autolus License Agreement will continue for so long as royalties are payable in respect of Binder Licensed Products and the revenue interest is payable in respect of obe-cel products. Subject to a cure period, either party may terminate the Autolus License Agreement in the event of the other party’s uncured material breach or the insolvency of the other party. We may terminate the Autolus License Agreement, in whole or in part, for any or no reason upon a specified period of prior written notice to Autolus.</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i w:val="1"/>
          <w:iCs w:val="1"/>
          <w:color w:val="auto"/>
        </w:rPr>
        <w:t>Securities Purchase Agreement, Registration Rights Agreement and Letter Agreement</w:t>
      </w:r>
    </w:p>
    <w:p>
      <w:pPr>
        <w:spacing w:after="0" w:line="94" w:lineRule="exact"/>
        <w:rPr>
          <w:sz w:val="20"/>
          <w:szCs w:val="20"/>
          <w:color w:val="auto"/>
        </w:rPr>
      </w:pPr>
    </w:p>
    <w:p>
      <w:pPr>
        <w:jc w:val="both"/>
        <w:ind w:right="80" w:firstLine="408"/>
        <w:spacing w:after="0" w:line="247" w:lineRule="auto"/>
        <w:rPr>
          <w:sz w:val="20"/>
          <w:szCs w:val="20"/>
          <w:color w:val="auto"/>
        </w:rPr>
      </w:pPr>
      <w:r>
        <w:rPr>
          <w:rFonts w:ascii="Times New Roman" w:cs="Times New Roman" w:eastAsia="Times New Roman" w:hAnsi="Times New Roman"/>
          <w:sz w:val="16"/>
          <w:szCs w:val="16"/>
          <w:color w:val="auto"/>
        </w:rPr>
        <w:t>Concurrently with the execution of the Autolus License Agreement, we entered into a Securities Purchase Agreement, or the Autolus Purchase Agreement, pursuant to which we purchased from Autolus American Depositary Shares, or the Autolus ADSs, each representing one ordinary share of Autolus, or the Autolus Ordinary Shares, in a private placement transaction, or the Autolus Private Placement.</w:t>
      </w:r>
    </w:p>
    <w:p>
      <w:pPr>
        <w:spacing w:after="0" w:line="68" w:lineRule="exact"/>
        <w:rPr>
          <w:sz w:val="20"/>
          <w:szCs w:val="20"/>
          <w:color w:val="auto"/>
        </w:rPr>
      </w:pPr>
    </w:p>
    <w:p>
      <w:pPr>
        <w:jc w:val="both"/>
        <w:ind w:right="60" w:firstLine="408"/>
        <w:spacing w:after="0" w:line="241" w:lineRule="auto"/>
        <w:rPr>
          <w:sz w:val="20"/>
          <w:szCs w:val="20"/>
          <w:color w:val="auto"/>
        </w:rPr>
      </w:pPr>
      <w:r>
        <w:rPr>
          <w:rFonts w:ascii="Times New Roman" w:cs="Times New Roman" w:eastAsia="Times New Roman" w:hAnsi="Times New Roman"/>
          <w:sz w:val="16"/>
          <w:szCs w:val="16"/>
          <w:color w:val="auto"/>
        </w:rPr>
        <w:t>At the initial closing on February 13, 2024, or the Initial Closing, Autolus issued 33,333,333 Autolus ADSs, or the Initial ADSs, to us for a total aggregate purchase price of $200 million. In the event that we and Autolus enter into a an Autolus Manufacturing and Commercial Agreement within 18 months of the Initial Closing, we have agreed to purchase additional Autolus ADSs, or the Subsequent ADSs and, together with the Initial ADSs, the Private Placement ADSs, not to exceed 15,000,000 Autolus ADSs, for an aggregate purchase price of up to $20 million. The total number of Subsequent ADSs that may be issued is subject to additional limitations and restrictions. The Autolus Purchase Agreement contains customary representations, warranties, and covenants.</w:t>
      </w:r>
    </w:p>
    <w:p>
      <w:pPr>
        <w:spacing w:after="0" w:line="73" w:lineRule="exact"/>
        <w:rPr>
          <w:sz w:val="20"/>
          <w:szCs w:val="20"/>
          <w:color w:val="auto"/>
        </w:rPr>
      </w:pPr>
    </w:p>
    <w:p>
      <w:pPr>
        <w:ind w:right="20" w:firstLine="408"/>
        <w:spacing w:after="0" w:line="237" w:lineRule="auto"/>
        <w:rPr>
          <w:sz w:val="20"/>
          <w:szCs w:val="20"/>
          <w:color w:val="auto"/>
        </w:rPr>
      </w:pPr>
      <w:r>
        <w:rPr>
          <w:rFonts w:ascii="Times New Roman" w:cs="Times New Roman" w:eastAsia="Times New Roman" w:hAnsi="Times New Roman"/>
          <w:sz w:val="16"/>
          <w:szCs w:val="16"/>
          <w:color w:val="auto"/>
        </w:rPr>
        <w:t>Concurrently with entry into the Purchase Agreement, we entered into a letter agreement, or the Autolus Letter Agreement, providing us with certain additional rights and subjecting our investment in Autolus to certain restrictions. Pursuant to the Autolus Letter Agreement, we received the right to nominate a director to Autolus’s board of directors. If we acquire beneficial ownership of at least 30% of the issued and outstanding Autolus Ordinary Shares within five years of the date of the Autolus Letter Agreement, we will have the right to designate an additional director, who shall be independent. Our director nomination rights under the Autolus Letter Agreement shall automatically terminate upon our ownership of Autolus Ordinary Shares dropping below certain specified percentages. Additionally, pursuant to the Autolus Letter Agreement, we have the right to purchase equity securities sold by Autolus in bona fide financing transactions in amounts that are based on our maintaining specified ownership thresholds following such financing transactions. Pursuant to the Autolus Letter Agreement, subject to specified exceptions, we may not sell the Private Placement ADSs without Autolus’s approval for a period of six months following the applicable closing date for such Autolus ADSs. The Autolus Letter Agreement terminates upon the earlier of (a) the later of (i) three years from its signing date and (ii) such time as no securities of Autolus are held by us or our affiliates and (b) the consummation of a change of control transaction involving Autolus.</w:t>
      </w:r>
    </w:p>
    <w:p>
      <w:pPr>
        <w:spacing w:after="0" w:line="80" w:lineRule="exact"/>
        <w:rPr>
          <w:sz w:val="20"/>
          <w:szCs w:val="20"/>
          <w:color w:val="auto"/>
        </w:rPr>
      </w:pPr>
    </w:p>
    <w:p>
      <w:pPr>
        <w:ind w:right="60" w:firstLine="408"/>
        <w:spacing w:after="0" w:line="259" w:lineRule="auto"/>
        <w:rPr>
          <w:sz w:val="20"/>
          <w:szCs w:val="20"/>
          <w:color w:val="auto"/>
        </w:rPr>
      </w:pPr>
      <w:r>
        <w:rPr>
          <w:rFonts w:ascii="Times New Roman" w:cs="Times New Roman" w:eastAsia="Times New Roman" w:hAnsi="Times New Roman"/>
          <w:sz w:val="16"/>
          <w:szCs w:val="16"/>
          <w:color w:val="auto"/>
        </w:rPr>
        <w:t>We and Autolus also entered into a registration rights agreement, pursuant to which Autolus has agreed to file a registration statement with the Securities and Exchange Commission to register the resale of the Private Placement ADSs.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B. Biotheus Collaboration</w:t>
      </w:r>
    </w:p>
    <w:p>
      <w:pPr>
        <w:spacing w:after="0" w:line="96" w:lineRule="exact"/>
        <w:rPr>
          <w:sz w:val="20"/>
          <w:szCs w:val="20"/>
          <w:color w:val="auto"/>
        </w:rPr>
      </w:pPr>
    </w:p>
    <w:p>
      <w:pPr>
        <w:jc w:val="both"/>
        <w:ind w:right="40" w:firstLine="408"/>
        <w:spacing w:after="0" w:line="241" w:lineRule="auto"/>
        <w:rPr>
          <w:sz w:val="20"/>
          <w:szCs w:val="20"/>
          <w:color w:val="auto"/>
        </w:rPr>
      </w:pPr>
      <w:r>
        <w:rPr>
          <w:rFonts w:ascii="Times New Roman" w:cs="Times New Roman" w:eastAsia="Times New Roman" w:hAnsi="Times New Roman"/>
          <w:sz w:val="16"/>
          <w:szCs w:val="16"/>
          <w:color w:val="auto"/>
        </w:rPr>
        <w:t>On October 26, 2023 (with effect as of December 2, 2023), we entered into a Collaboration, Option and License Agreement, or the Biotheus Collaboration Agreement, with Biotheus for the global development, manufacturing and commercialization of PM8002, a clinical stage bispecific antibody, and certain derivatives, directed to PDL-1 and VEGF, or the PM8002 Licensed Products. Biotheus retained the right to develop and commercialize PM8002 Licensed Products in mainland China, Hong Kong, Macau and the region of Taiwan, or the Biotheus Retained Territory, and we were granted the right to develop and commercialize such products outside the Biotheus Retained Territory, which we refer to as the territory.</w:t>
      </w:r>
    </w:p>
    <w:p>
      <w:pPr>
        <w:spacing w:after="0" w:line="73" w:lineRule="exact"/>
        <w:rPr>
          <w:sz w:val="20"/>
          <w:szCs w:val="20"/>
          <w:color w:val="auto"/>
        </w:rPr>
      </w:pPr>
    </w:p>
    <w:p>
      <w:pPr>
        <w:jc w:val="both"/>
        <w:ind w:right="40" w:firstLine="408"/>
        <w:spacing w:after="0" w:line="259" w:lineRule="auto"/>
        <w:rPr>
          <w:sz w:val="20"/>
          <w:szCs w:val="20"/>
          <w:color w:val="auto"/>
        </w:rPr>
      </w:pPr>
      <w:r>
        <w:rPr>
          <w:rFonts w:ascii="Times New Roman" w:cs="Times New Roman" w:eastAsia="Times New Roman" w:hAnsi="Times New Roman"/>
          <w:sz w:val="16"/>
          <w:szCs w:val="16"/>
          <w:color w:val="auto"/>
        </w:rPr>
        <w:t>Biotheus granted us an exclusive, royalty-bearing, sublicensable license to research, develop, manufacture and commercialize PM8002 Licensed Products, in the territory. Biotheus also granted us exclusive options to obtain exclusive,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16" w:name="page117"/>
    <w:bookmarkEnd w:id="11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royalty-bearing, sublicensable licenses to exploit (i) PM8003, a trispecific antibody, and certain derivatives, directed to PDL1, VEGF and TGFβ, or the PM8003 Licensed Products, in the territory and (ii) any preclinical stage multispecific antibodies proprietary to Biotheus and directed to PDL1, VEGF and at least one other target, or the Preclinical Multispecific Licensed Products in the territory.</w:t>
      </w:r>
    </w:p>
    <w:p>
      <w:pPr>
        <w:spacing w:after="0" w:line="68" w:lineRule="exact"/>
        <w:rPr>
          <w:sz w:val="20"/>
          <w:szCs w:val="20"/>
          <w:color w:val="auto"/>
        </w:rPr>
      </w:pPr>
    </w:p>
    <w:p>
      <w:pPr>
        <w:jc w:val="both"/>
        <w:ind w:right="20" w:firstLine="408"/>
        <w:spacing w:after="0" w:line="259" w:lineRule="auto"/>
        <w:rPr>
          <w:sz w:val="20"/>
          <w:szCs w:val="20"/>
          <w:color w:val="auto"/>
        </w:rPr>
      </w:pPr>
      <w:r>
        <w:rPr>
          <w:rFonts w:ascii="Times New Roman" w:cs="Times New Roman" w:eastAsia="Times New Roman" w:hAnsi="Times New Roman"/>
          <w:sz w:val="16"/>
          <w:szCs w:val="16"/>
          <w:color w:val="auto"/>
        </w:rPr>
        <w:t>We granted to Biotheus an exclusive option to obtain an exclusive, royalty-bearing, sublicensable license to exploit multispecific antibodies that are variants of PM8002 Licensed Products directed to PDL1, VEGF and at least one other target, or the BioNTech Multispecific Antibodies in the Biotheus Retained Territory.</w:t>
      </w:r>
    </w:p>
    <w:p>
      <w:pPr>
        <w:spacing w:after="0" w:line="59" w:lineRule="exact"/>
        <w:rPr>
          <w:sz w:val="20"/>
          <w:szCs w:val="20"/>
          <w:color w:val="auto"/>
        </w:rPr>
      </w:pPr>
    </w:p>
    <w:p>
      <w:pPr>
        <w:jc w:val="both"/>
        <w:ind w:right="20" w:firstLine="408"/>
        <w:spacing w:after="0" w:line="259" w:lineRule="auto"/>
        <w:rPr>
          <w:sz w:val="20"/>
          <w:szCs w:val="20"/>
          <w:color w:val="auto"/>
        </w:rPr>
      </w:pPr>
      <w:r>
        <w:rPr>
          <w:rFonts w:ascii="Times New Roman" w:cs="Times New Roman" w:eastAsia="Times New Roman" w:hAnsi="Times New Roman"/>
          <w:sz w:val="16"/>
          <w:szCs w:val="16"/>
          <w:color w:val="auto"/>
        </w:rPr>
        <w:t>In consideration for the rights granted to us, Biotheus received an upfront payment of $55 million in cash, and is eligible to receive payments for development, regulatory and sales milestones potentially totaling over $1 billion, as well as tiered low double-digit royalties on potential future product sales.</w:t>
      </w:r>
    </w:p>
    <w:p>
      <w:pPr>
        <w:spacing w:after="0" w:line="59" w:lineRule="exact"/>
        <w:rPr>
          <w:sz w:val="20"/>
          <w:szCs w:val="20"/>
          <w:color w:val="auto"/>
        </w:rPr>
      </w:pPr>
    </w:p>
    <w:p>
      <w:pPr>
        <w:jc w:val="both"/>
        <w:ind w:right="20" w:firstLine="408"/>
        <w:spacing w:after="0" w:line="243" w:lineRule="auto"/>
        <w:rPr>
          <w:sz w:val="20"/>
          <w:szCs w:val="20"/>
          <w:color w:val="auto"/>
        </w:rPr>
      </w:pPr>
      <w:r>
        <w:rPr>
          <w:rFonts w:ascii="Times New Roman" w:cs="Times New Roman" w:eastAsia="Times New Roman" w:hAnsi="Times New Roman"/>
          <w:sz w:val="16"/>
          <w:szCs w:val="16"/>
          <w:color w:val="auto"/>
        </w:rPr>
        <w:t>The Biotheus Collaboration Agreement continues on a licensed product-by-licensed product basis until the last to expire payment obligation with respect to such licensed product on a country-by-country basis in the territory. Upon the expiration of the royalty term for a licensed product in a given country in the territory, the exclusive license granted to us will become a perpetual, irrevocable, exclusive, fully paid-up, and royalty-free license with respect to such licensed product in such country.</w:t>
      </w:r>
    </w:p>
    <w:p>
      <w:pPr>
        <w:spacing w:after="0" w:line="71" w:lineRule="exact"/>
        <w:rPr>
          <w:sz w:val="20"/>
          <w:szCs w:val="20"/>
          <w:color w:val="auto"/>
        </w:rPr>
      </w:pPr>
    </w:p>
    <w:p>
      <w:pPr>
        <w:ind w:right="40" w:firstLine="408"/>
        <w:spacing w:after="0" w:line="259" w:lineRule="auto"/>
        <w:rPr>
          <w:sz w:val="20"/>
          <w:szCs w:val="20"/>
          <w:color w:val="auto"/>
        </w:rPr>
      </w:pPr>
      <w:r>
        <w:rPr>
          <w:rFonts w:ascii="Times New Roman" w:cs="Times New Roman" w:eastAsia="Times New Roman" w:hAnsi="Times New Roman"/>
          <w:sz w:val="16"/>
          <w:szCs w:val="16"/>
          <w:color w:val="auto"/>
        </w:rPr>
        <w:t>In addition to termination rights granted to each party in the case of the other party’s uncured material breach or insolvency, we may terminate the Biotheus Collaboration Agreement in its entirety or on a licensed product-by-licensed product basis for convenience with prior written notice.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C. DualityBio Global Strategic Partnership</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2023, we entered into three License and Collaboration Agreements with DualityBio, which we refer to as the DualityBio Agreements. Each of the DualityBio Agreements relates to specific ADC assets. The first agreement, the HER2 Agreement, relates to the ADC asset targeting HER2 and was entered into on March 16, 2023. The second agreement, the B7H3 Agreement, relates to the ADC asset targeting B7H3 and was entered into on March 31, 2023. The third agreement, the TROP2 Agreement, relates to the ADC asset targeting TROP2 and was entered into on August 4, 2023.</w:t>
      </w:r>
    </w:p>
    <w:p>
      <w:pPr>
        <w:spacing w:after="0" w:line="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Each of the three DualityBio Agreements relates to a license granted to us with respect to certain patents and know-how owned or otherwise controlled by DualityBio and our collaboration with DualityBio in the research and development of ADC therapeutics.</w:t>
      </w:r>
    </w:p>
    <w:p>
      <w:pPr>
        <w:spacing w:after="0" w:line="59"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each of the DualityBio Agreements, DualityBio granted us the exclusive, royalty -bearing and sublicensable right to exploit certain patents and know-how, which we refer to as the DualityBio IP, for the research, development, manufacture and commercialization of the respective ADC compound and pharmaceutical products comprising such compound, which we refer to as the DualityBio Products, in any field in the territory, which is all countries of the world except for mainland China, Hong Kong and Macau, which we refer to as the DualityBio Retained Territory. We were also granted the sole right to exploit the DualityBio IP to develop and manufacture the DualityBio Products in the DualityBio Retained Territory solely for the purpose of developing, manufacturing and commercializing the DualityBio Products in the territory.</w:t>
      </w:r>
    </w:p>
    <w:p>
      <w:pPr>
        <w:spacing w:after="0" w:line="7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Each party has final decision-making authority and is generally responsible for clinical trial supply costs and regulatory activities and costs with respect to their respective territory.</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responsible for the commercialization of any DualityBio Products in the territory.</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B7H3 Agreement also grants DualityBio the option to share the development and commercialization costs and the profits and losses from the exploitation of the first original DualityBio Product in the United States. Under the B7H3 Agreement, we have further granted to DualityBio the option to assume a percentage of the total sales force of the first original DualityBio Product in the United States.</w:t>
      </w:r>
    </w:p>
    <w:p>
      <w:pPr>
        <w:spacing w:after="0" w:line="68"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In partial consideration of DualityBio’s granting of the licenses and rights to us under the DualityBio Agreements, we have made upfront payments to DualityBio in an aggregate amount of $220 million. In addition, we agreed to make potential payments upon the achievement of specified development, regulatory and commercial milestones. Such milestone payments could amount up to $2.6 billion in the aggregate (the TROP2 Agreement also provides for additional sales milestone payments in the event DualityBio works on, and we exercise, the option regarding the next-generation product). We further agreed to between single-digit to double- digit tiered royalties on net sales of all DualityBio Products, which also differ between the DualityBio Agreements. Royalties are subject to stacking provisions and will be reduced in case of respective biosimilar products entering the market. Furthermore, we agreed to reimburse DualityBio for certain development costs.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7" w:name="page118"/>
    <w:bookmarkEnd w:id="11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The DualityBio Agreements end on a country-by-country and DualityBio Product- by-DualityBio Product basis upon expiration of the respective last DualityBio royalty term for a DualityBio Product in that country. Thereafter, the licenses granted to us with respect to such product in such country will convert into a perpetual, exclusive, fully paid-up and royalty-free license. In addition to termination rights granted to each party in the case of the other party’s uncured material breach or insolvency, we may terminate each DualityBio Agreement, in whole or in part, for convenience upon prior written notice.</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D. Fosun COVID-19 Vaccine Collaboration</w:t>
      </w:r>
    </w:p>
    <w:p>
      <w:pPr>
        <w:spacing w:after="0" w:line="96"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On March 13, 2020, we entered into a Development and License Agreement with Shanghai Fosun Pharmaceutical Industrial Development, Co., Ltd, or Fosun Pharma, for the development and commercialization in mainland China, Hong Kong special administrative region, or SAR, Macau SAR and in the region of Taiwan, or collectively the Fosun Collaboration Territory, of immunogenic compositions generated by BioNTech and comprising uridine RNA, modified RNA and/or replicon technology for prophylaxis against SARS-CoV-2 in humans. We refer to this agreement as the Fosun Agreement.</w:t>
      </w:r>
    </w:p>
    <w:p>
      <w:pPr>
        <w:spacing w:after="0" w:line="16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details of the development activities to be undertaken by Fosun Pharma are to be set forth in a development plan that is being overseen by a Joint Steering Committee. Fosun Pharma’s development activities are to be undertaken at its own cost and expense. Fosun Pharma has the sole responsibility to prepare, obtain and maintain regulatory approvals for the vaccine candidates in the Fosun Territory. We agreed to give Fosun Pharma reasonable assistance with the regulatory aspects of these activities.</w:t>
      </w:r>
    </w:p>
    <w:p>
      <w:pPr>
        <w:spacing w:after="0" w:line="167"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Fosun Pharma has the sole responsibility, authority and control of the commercialization of a vaccine candidate in the Fosun Collaboration Territory, but must use commercially reasonable efforts to do so in accordance with an agreed commercialization plan, including by launching a vaccine product in the Fosun Collaboration Territory within three months after receiving marketing approval for it, provided sufficient quantities of the vaccine have been delivered.</w:t>
      </w:r>
    </w:p>
    <w:p>
      <w:pPr>
        <w:spacing w:after="0" w:line="164"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We retain the sole right to manufacture (or have manufactured) and supply any vaccine candidates and products for development purposes and commercial sale in the Fosun Territory. We agreed to manufacture and supply all quantities of vaccine from a GMP-certified RNA manufacturing facility. As compensation for supply of the vaccine Fosun Pharma will reimburse us our manufacturing costs plus an administrative fee that is between 10 and 19 percent.</w:t>
      </w:r>
    </w:p>
    <w:p>
      <w:pPr>
        <w:spacing w:after="0" w:line="164"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auto"/>
        </w:rPr>
        <w:t>Under the Fosun Agreement, we granted Fosun Pharma an exclusive license under certain of our owned or in-licensed intellectual property, including our patents relating to replicons, uridine RNA and modified RNA and other mRNA technology or a vaccine to use, develop, commercialize and otherwise exploit the vaccine candidates in the Fosun Territory. In the event of any failure of the development of a vaccine, we agreed to grant Fosun Pharma a right of first negotiation on a separate competent vaccine for the prophylaxis of COVID-19 in the Fosun Collaboration Territory.</w:t>
      </w:r>
    </w:p>
    <w:p>
      <w:pPr>
        <w:spacing w:after="0" w:line="16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In consideration of the rights granted to Fosun Pharma under the Fosun Agreement, Fosun Pharma subscribed for $50 million of our ordinary shares under a separate investment agreement. In addition, under the Fosun Agreement, Fosun Pharma made an upfront payment of $1 million and agreed to potential payments of up to $14 million upon the achievement of specified development and regulatory milestones and up to $70 million upon the achievement of specified sales milestones. Fosun Pharma further agreed to pay us a royalty rate that is between 30 and 50 percent of its profits on net sales of a vaccine product, if approved, for a period of 15 years from launch of that vaccine in the Fosun Territory.</w:t>
      </w:r>
    </w:p>
    <w:p>
      <w:pPr>
        <w:spacing w:after="0" w:line="16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Fosun Agreement ends upon expiration of the royalty term. Fosun Pharma may elect to continue to pay royalties and extend the agreement and its rights thereunder. In addition to termination rights granted to each party in the case of the other party’s uncured material breach or insolvency, Fosun Pharma may terminate the agreement, in whole, for convenience and with or without reason at any time upon 180 days’ prior written notice. If the agreement is terminated by Fosun Pharma for cause, the licenses to Fosun Pharma survive, we will manufacture and deliver the vaccine candidate or product for one year and we will grant a non-exclusive license to a reasonably acceptable contract manufacturing organization for manufacturing of the vaccine candidate or product thereafter for development and commercialization by Fosun Pharma in the Fosun Collaboration Territory.</w:t>
      </w:r>
    </w:p>
    <w:p>
      <w:pPr>
        <w:spacing w:after="0" w:line="173" w:lineRule="exact"/>
        <w:rPr>
          <w:sz w:val="20"/>
          <w:szCs w:val="20"/>
          <w:color w:val="auto"/>
        </w:rPr>
      </w:pPr>
    </w:p>
    <w:p>
      <w:pPr>
        <w:jc w:val="both"/>
        <w:ind w:right="20" w:firstLine="384"/>
        <w:spacing w:after="0" w:line="331" w:lineRule="auto"/>
        <w:rPr>
          <w:sz w:val="20"/>
          <w:szCs w:val="20"/>
          <w:color w:val="auto"/>
        </w:rPr>
      </w:pPr>
      <w:r>
        <w:rPr>
          <w:rFonts w:ascii="Times New Roman" w:cs="Times New Roman" w:eastAsia="Times New Roman" w:hAnsi="Times New Roman"/>
          <w:sz w:val="14"/>
          <w:szCs w:val="14"/>
          <w:color w:val="auto"/>
        </w:rPr>
        <w:t>During the term of the Fosun Agreement, we have committed not to license to any other third party in the Fosun Collaboration Territory the intellectual property licensed to Fosun for the same purpose and not to develop or commercialize the same vaccine candidate or any coronavirus vaccine in the Fosun Collaboration Territory.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18" w:name="page119"/>
    <w:bookmarkEnd w:id="11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E. Genentech iNeST Collaboration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Collaboration Agreement</w:t>
      </w:r>
    </w:p>
    <w:p>
      <w:pPr>
        <w:spacing w:after="0" w:line="9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On September 20, 2016, we and BioNTech RNA entered into a Collaboration Agreement with Genentech and F. Hoffman-La Roche Ltd, which, as amended on June 1, 2018 and December 6, 2019,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 Under the Genentech Collaboration Agreement, we and Genentech agreed to perform joint research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Genentech Collaboration Agreement at our sole expense, and any future material changes in the operation of such clinical studies require Genentech’s approval. Genentech may access and use any data generated in these ongoing clinical studies.</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 funding of such development and Genentech may continue do so at its own costs, except that we are obligated to repay Genentech’s development costs in the event that such product subsequently receives regulatory approval.</w:t>
      </w:r>
    </w:p>
    <w:p>
      <w:pPr>
        <w:spacing w:after="0" w:line="7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7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 -transferable, sublicensable licenses under certain Genentech intellectual property, our intellectual property exclusively licensed to Genentech, and their interest in any jointly-owned intellectual property developed under this agreement for the performance of our ongoing clinical studies and the exercise of our rights and obligations under the Genentech Collaboration Agreement.</w:t>
      </w:r>
    </w:p>
    <w:p>
      <w:pPr>
        <w:spacing w:after="0" w:line="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6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9" w:name="page120"/>
    <w:bookmarkEnd w:id="11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Manufacturing Development and Supply Agreement</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Concurrent with the Genentech Collaboration Agreement, we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addition, we are responsible for developing the commercial manufacturing process, which requires more stringent turnaround times than the clinical manufacturing process. Genentech will generally be responsible for conducting commercial manufacturing. We are obligated to use commercially reasonable efforts to achieve certain predetermined clinical manufacturing capacity commitments.</w:t>
      </w:r>
    </w:p>
    <w:p>
      <w:pPr>
        <w:spacing w:after="0" w:line="68"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4"/>
          <w:szCs w:val="14"/>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F. Genmab Next-generation Immunomodulator Collaboration</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On May 19, 2015, we entered into a License and Collaboration Agreement with Genmab (together with all amendments and side letters thereto, collectively referred to as the Genmab Agreement) to jointly research, develop and commercialize polypeptide-based bispecific antibodies against certain target combinations for the treatment of cancer worldwide, or the Genmab Agreement Field, using certain Genmab technology. In connection with our entry into the Genmab Agreement, Genmab paid us an upfront fee of $10 million.</w:t>
      </w:r>
    </w:p>
    <w:p>
      <w:pPr>
        <w:spacing w:after="0" w:line="7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expired on September 18, 2022.</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 -up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77"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0" w:name="page121"/>
    <w:bookmarkEnd w:id="12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59"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 research plan. During the preclinical and clinical development phase for any Genmab Collaboration Product, engagement in research and development activities in the Genmab Agreement Field unilaterally by a party relating to a Genmab Collaboration Product or its Genmab Back -up Candidate or any bispecific antibody which targets the same target combination for which such Genmab Collaboration Product or Genmab Back-up Candidate has been developed would require the other party’s prior written consent.</w:t>
      </w:r>
    </w:p>
    <w:p>
      <w:pPr>
        <w:spacing w:after="0" w:line="77" w:lineRule="exact"/>
        <w:rPr>
          <w:sz w:val="20"/>
          <w:szCs w:val="20"/>
          <w:color w:val="auto"/>
        </w:rPr>
      </w:pPr>
    </w:p>
    <w:p>
      <w:pPr>
        <w:jc w:val="both"/>
        <w:ind w:firstLine="384"/>
        <w:spacing w:after="0" w:line="274" w:lineRule="auto"/>
        <w:rPr>
          <w:sz w:val="20"/>
          <w:szCs w:val="20"/>
          <w:color w:val="auto"/>
        </w:rPr>
      </w:pPr>
      <w:r>
        <w:rPr>
          <w:rFonts w:ascii="Times New Roman" w:cs="Times New Roman" w:eastAsia="Times New Roman" w:hAnsi="Times New Roman"/>
          <w:sz w:val="14"/>
          <w:szCs w:val="14"/>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 out party permits continued development and 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23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Genmab Agreement will remain in effect until the later of (i) the expiration of the last-to-expire royalty term for any Unilateral Product or (ii) 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68" w:lineRule="exact"/>
        <w:rPr>
          <w:sz w:val="20"/>
          <w:szCs w:val="20"/>
          <w:color w:val="auto"/>
        </w:rPr>
      </w:pPr>
    </w:p>
    <w:p>
      <w:pPr>
        <w:jc w:val="both"/>
        <w:ind w:firstLine="336"/>
        <w:spacing w:after="0" w:line="247" w:lineRule="auto"/>
        <w:rPr>
          <w:sz w:val="20"/>
          <w:szCs w:val="20"/>
          <w:color w:val="auto"/>
        </w:rPr>
      </w:pPr>
      <w:r>
        <w:rPr>
          <w:rFonts w:ascii="Times New Roman" w:cs="Times New Roman" w:eastAsia="Times New Roman" w:hAnsi="Times New Roman"/>
          <w:sz w:val="16"/>
          <w:szCs w:val="16"/>
          <w:color w:val="auto"/>
        </w:rPr>
        <w:t>On August 5, 2022, we and Genmab expanded our global strategic collaboration to develop and commercialize novel immunotherapies for the treatment of cancer patients. Under this expansion, we and Genmab will jointly work to research, develop and commercialize novel monospecific antibody candidates for various cancer indications.</w:t>
      </w:r>
    </w:p>
    <w:p>
      <w:pPr>
        <w:spacing w:after="0" w:line="68" w:lineRule="exact"/>
        <w:rPr>
          <w:sz w:val="20"/>
          <w:szCs w:val="20"/>
          <w:color w:val="auto"/>
        </w:rPr>
      </w:pPr>
    </w:p>
    <w:p>
      <w:pPr>
        <w:jc w:val="both"/>
        <w:ind w:firstLine="336"/>
        <w:spacing w:after="0" w:line="241" w:lineRule="auto"/>
        <w:rPr>
          <w:sz w:val="20"/>
          <w:szCs w:val="20"/>
          <w:color w:val="auto"/>
        </w:rPr>
      </w:pPr>
      <w:r>
        <w:rPr>
          <w:rFonts w:ascii="Times New Roman" w:cs="Times New Roman" w:eastAsia="Times New Roman" w:hAnsi="Times New Roman"/>
          <w:sz w:val="16"/>
          <w:szCs w:val="16"/>
          <w:color w:val="auto"/>
        </w:rPr>
        <w:t>Under the expanded collaboration, the companies will jointly develop and commercialize, subject to regulatory approval, monospecific antibodies leveraging Genmab’s proprietary HexaBody technology platform. The first monospecific antibody candidate, GEN1053/BNT313, entered clinical trials in late 2022. GEN1053/BNT313 is a CD27 antibody based on the HexaBody technology, specifically engineered to form an antibody hexamer (a formation of six antibodies) upon binding its target on the cell membrane of the T cells. Under the terms of the agreement, the companies will equally share the development costs and potential future profit deriving from GEN1053/BNT313.</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G. InstaDeep Acquisition</w:t>
      </w:r>
    </w:p>
    <w:p>
      <w:pPr>
        <w:spacing w:after="0" w:line="96"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16"/>
          <w:szCs w:val="16"/>
          <w:color w:val="auto"/>
        </w:rPr>
        <w:t>On January 10, 2023, we entered into a share purchase agreement, or SPA, with the shareholders of InstaDeep Ltd., or InstaDeep, a leading global technology company in the field of artificial intelligence, or AI, and machine learning, or ML, under which we agreed to acquire 100% of the remaining shares in InstaDeep, excluding the shares already owned by us. The SPA was amended on July 31, 2023 to deal with certain matters arising after its execution.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1" w:name="page122"/>
    <w:bookmarkEnd w:id="12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Following the satisfaction of several customary closing conditions and regulatory approvals as defined in the SPA, the acquisition closed on July 31, 2023.</w:t>
      </w:r>
    </w:p>
    <w:p>
      <w:pPr>
        <w:spacing w:after="0" w:line="92"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16"/>
          <w:szCs w:val="16"/>
          <w:color w:val="auto"/>
        </w:rPr>
        <w:t>The total consideration to acquire the remaining InstaDeep shares, excluding the shares already owned by BioNTech, amounts to approximately €500 million in cash, BioNTech shares, and performance-based future milestone payments.</w:t>
      </w:r>
    </w:p>
    <w:p>
      <w:pPr>
        <w:spacing w:after="0" w:line="59" w:lineRule="exact"/>
        <w:rPr>
          <w:sz w:val="20"/>
          <w:szCs w:val="20"/>
          <w:color w:val="auto"/>
        </w:rPr>
      </w:pPr>
    </w:p>
    <w:p>
      <w:pPr>
        <w:jc w:val="both"/>
        <w:ind w:right="20" w:firstLine="360"/>
        <w:spacing w:after="0" w:line="247" w:lineRule="auto"/>
        <w:rPr>
          <w:sz w:val="20"/>
          <w:szCs w:val="20"/>
          <w:color w:val="auto"/>
        </w:rPr>
      </w:pPr>
      <w:r>
        <w:rPr>
          <w:rFonts w:ascii="Times New Roman" w:cs="Times New Roman" w:eastAsia="Times New Roman" w:hAnsi="Times New Roman"/>
          <w:sz w:val="16"/>
          <w:szCs w:val="16"/>
          <w:color w:val="auto"/>
        </w:rPr>
        <w:t>InstaDeep now operates as a UK-based global subsidiary and will continue to provide its services to clients around the world in diverse industries, including in the Technology, Transport &amp; Logistics, Industrial and Financial Services sectors. Additionally, the acquisition is enabling the creation of a fully integrated, enterprise-wide capability that leverages AI and ML technologies across our therapeutic platforms and operations.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H. OncoC4 Collaboration</w:t>
      </w:r>
    </w:p>
    <w:p>
      <w:pPr>
        <w:spacing w:after="0" w:line="96"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16"/>
          <w:szCs w:val="16"/>
          <w:color w:val="auto"/>
        </w:rPr>
        <w:t>On March 17, 2023, we and OncoC4 entered into a License and Collaboration Agreement, or the OncoC4 Agreement, for the license, development and commercialization of ONC-392 and all other monoclonal anti-CTLA4 antibodies owned or controlled by OncoC4 (referred to as OncoC4 Licensed Compounds) as of the execution date, including development of combinations of such antibody with other products, for use in humans or animals, or the OncoC4 Field.</w:t>
      </w:r>
    </w:p>
    <w:p>
      <w:pPr>
        <w:spacing w:after="0" w:line="68" w:lineRule="exact"/>
        <w:rPr>
          <w:sz w:val="20"/>
          <w:szCs w:val="20"/>
          <w:color w:val="auto"/>
        </w:rPr>
      </w:pPr>
    </w:p>
    <w:p>
      <w:pPr>
        <w:jc w:val="both"/>
        <w:ind w:right="20" w:firstLine="408"/>
        <w:spacing w:after="0" w:line="289" w:lineRule="auto"/>
        <w:rPr>
          <w:sz w:val="20"/>
          <w:szCs w:val="20"/>
          <w:color w:val="auto"/>
        </w:rPr>
      </w:pPr>
      <w:r>
        <w:rPr>
          <w:rFonts w:ascii="Times New Roman" w:cs="Times New Roman" w:eastAsia="Times New Roman" w:hAnsi="Times New Roman"/>
          <w:sz w:val="14"/>
          <w:szCs w:val="14"/>
          <w:color w:val="auto"/>
        </w:rPr>
        <w:t>OncoC4 granted us an exclusive license under ONC-392 and OncoC4’s interest in joint intellectual property to exploit OncoC4 Licensed Compounds and any pharmaceutical or biologic product containing OncoC4 Licensed Compound (referred to as OncoC4 Licensed Products) in the OncoC4 Field in the entire world, which we refer to as the OncoC4 Territory. Furthermore, OncoC4 granted us an exclusive option to license AI-061, which is a biopharmaceutical composition containing as its sole active ingredients both ONC-392 and an anti-PD-1 antibody. OncoC4 retains all rights to the anti-PD-1 antibody outside of the combination with ONC-392.</w:t>
      </w:r>
    </w:p>
    <w:p>
      <w:pPr>
        <w:spacing w:after="0" w:line="41"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16"/>
          <w:szCs w:val="16"/>
          <w:color w:val="auto"/>
        </w:rPr>
        <w:t>We agreed to collaborate on research, development, and commercialization of ONC -392 in the OncoC4 Territory and to use commercially reasonable efforts to conduct development activities of OncoC4 Licensed Compounds and OncoC4 Licensed Products either as a monotherapy or in combination with an anti-PD-(L)1 antibody and/or standard of care product (which we refer to collectively as the Mono/PD-1/SOC Combinations) in accordance with a joint clinical development plan which is governed by a joint steering committee. All costs associated with the joint development responsibilities are shared equally between us and OncoC4.</w:t>
      </w:r>
    </w:p>
    <w:p>
      <w:pPr>
        <w:spacing w:after="0" w:line="71" w:lineRule="exact"/>
        <w:rPr>
          <w:sz w:val="20"/>
          <w:szCs w:val="20"/>
          <w:color w:val="auto"/>
        </w:rPr>
      </w:pPr>
    </w:p>
    <w:p>
      <w:pPr>
        <w:jc w:val="both"/>
        <w:ind w:firstLine="408"/>
        <w:spacing w:after="0" w:line="241" w:lineRule="auto"/>
        <w:rPr>
          <w:sz w:val="20"/>
          <w:szCs w:val="20"/>
          <w:color w:val="auto"/>
        </w:rPr>
      </w:pPr>
      <w:r>
        <w:rPr>
          <w:rFonts w:ascii="Times New Roman" w:cs="Times New Roman" w:eastAsia="Times New Roman" w:hAnsi="Times New Roman"/>
          <w:sz w:val="16"/>
          <w:szCs w:val="16"/>
          <w:color w:val="auto"/>
        </w:rPr>
        <w:t>We are solely responsible for all development activities for the OncoC4 Licensed Compounds and OncoC4 Licensed Products in any other form or combination other than the Mono/PD-1/SOC Combinations (we refer to such other combinations as OncoC4 Other Combinations) at our own expense and in accordance with a research and development plan prepared by us and shared with OncoC4 through the joint steering committee. We agreed to use commercially reasonable efforts to develop an OncoC4 Licensed Product in at least one indication for an OncoC4 Other Combination. We agreed to first offer OncoC4 the opportunity to co-fund any development of a PD-1 Combination prior to pursing such development independently or with a third party.</w:t>
      </w:r>
    </w:p>
    <w:p>
      <w:pPr>
        <w:spacing w:after="0" w:line="73" w:lineRule="exact"/>
        <w:rPr>
          <w:sz w:val="20"/>
          <w:szCs w:val="20"/>
          <w:color w:val="auto"/>
        </w:rPr>
      </w:pPr>
    </w:p>
    <w:p>
      <w:pPr>
        <w:jc w:val="both"/>
        <w:ind w:right="20" w:firstLine="408"/>
        <w:spacing w:after="0" w:line="259" w:lineRule="auto"/>
        <w:rPr>
          <w:sz w:val="20"/>
          <w:szCs w:val="20"/>
          <w:color w:val="auto"/>
        </w:rPr>
      </w:pPr>
      <w:r>
        <w:rPr>
          <w:rFonts w:ascii="Times New Roman" w:cs="Times New Roman" w:eastAsia="Times New Roman" w:hAnsi="Times New Roman"/>
          <w:sz w:val="16"/>
          <w:szCs w:val="16"/>
          <w:color w:val="auto"/>
        </w:rPr>
        <w:t>We agreed to be solely responsible, at our expense, for commercialization of OncoC4 Licensed Products worldwide and to use commercially reasonable efforts to commercialize OncoC4 Licensed Products for each approved indication in certain major markets.</w:t>
      </w:r>
    </w:p>
    <w:p>
      <w:pPr>
        <w:spacing w:after="0" w:line="59"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16"/>
          <w:szCs w:val="16"/>
          <w:color w:val="auto"/>
        </w:rPr>
        <w:t>In consideration for the rights granted to us by OncoC4, we made an upfront payment of $200 million, with a portion of the upfront payment to be used to fund OncoC4’s share of the joint research and development costs related to ONC-392, and agreed to make potential payments upon the achievement of specified development and regulatory milestones and upon the achievement of specified sales milestones. We have further agreed to pay OncoC4 double digit, tiered royalties on annual net sales of OncoC4 Licensed Products during a certain royalty term starting from launch of product.</w:t>
      </w:r>
    </w:p>
    <w:p>
      <w:pPr>
        <w:spacing w:after="0" w:line="71" w:lineRule="exact"/>
        <w:rPr>
          <w:sz w:val="20"/>
          <w:szCs w:val="20"/>
          <w:color w:val="auto"/>
        </w:rPr>
      </w:pPr>
    </w:p>
    <w:p>
      <w:pPr>
        <w:jc w:val="both"/>
        <w:ind w:right="20" w:firstLine="408"/>
        <w:spacing w:after="0" w:line="241" w:lineRule="auto"/>
        <w:rPr>
          <w:sz w:val="20"/>
          <w:szCs w:val="20"/>
          <w:color w:val="auto"/>
        </w:rPr>
      </w:pPr>
      <w:r>
        <w:rPr>
          <w:rFonts w:ascii="Times New Roman" w:cs="Times New Roman" w:eastAsia="Times New Roman" w:hAnsi="Times New Roman"/>
          <w:sz w:val="16"/>
          <w:szCs w:val="16"/>
          <w:color w:val="auto"/>
        </w:rPr>
        <w:t>The OncoC4 Agreement shall continue until the last-to-expire royalty term in all countries in the OncoC4 Territory for all OncoC4 Licensed Products. Upon the expiration of the royalty term for an OncoC4 Licensed Product in a given country in the OncoC4 Territory, the exclusive license granted to us will become a perpetual, irrevocable, non-exclusive, fully paid-up, and royalty-free license with respect to such OncoC4 Licensed Product in such country. In addition to termination rights granted to each party in the case of the other party’s uncured material breach or insolvency, we have the right to terminate the OncoC4 Agreement in its entirety for convenience with prior written notice to OncoC4.</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I. Pfizer COVID-19 Vaccine Collaboration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2" w:name="page123"/>
    <w:bookmarkEnd w:id="12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firstLine="384"/>
        <w:spacing w:after="0" w:line="289" w:lineRule="auto"/>
        <w:rPr>
          <w:sz w:val="20"/>
          <w:szCs w:val="20"/>
          <w:color w:val="auto"/>
        </w:rPr>
      </w:pPr>
      <w:r>
        <w:rPr>
          <w:rFonts w:ascii="Times New Roman" w:cs="Times New Roman" w:eastAsia="Times New Roman" w:hAnsi="Times New Roman"/>
          <w:sz w:val="14"/>
          <w:szCs w:val="14"/>
          <w:color w:val="auto"/>
        </w:rPr>
        <w:t>On April 9, 2020, effective as of March 17, 2020, we entered into a Collaboration Agreement with Pfizer for the research and development of immunogenic compositions comprising RNA encoding a SARS-CoV-2 polypeptide or fragment thereof for prophylaxis against SARS-CoV-2 in humans, which we refer to as the Pfizer Corona Field. On January 29, 2021, effective as of March 17, 2020, we entered into an amended and restated Collaboration Agreement with Pfizer for the research, development and commercialization of immunogenic compositions comprising RNA in the Pfizer Corona Field, which we refer to as the Pfizer Agreement.</w:t>
      </w:r>
    </w:p>
    <w:p>
      <w:pPr>
        <w:spacing w:after="0" w:line="41"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and Pfizer agreed to collaborate on research, development and commercialization in the Pfizer Corona Field worldwide (excluding the Fosun Collaboration Territory), which we refer to as the Pfizer Collaboration Territory. The details of such activities are set forth in a research and development plan that is governed by a joint steering committee. Each party bears its own personnel and capital expenditures costs, but the parties will share the costs of all other agreed development activities (including the costs of manufacturing material for use in clinical trials) evenly. Each party will, in good faith, seek funding from government funds, non-governmental organizations and other third-party organizations to support their research and development activities. Under the Pfizer Agreement, Pfizer is leading clinical development of and is seeking regulatory approval for any candidates or products in the United States and we are leading clinical development of and are seeking regulatory approval for any candidates or products in the European Union, and we will agree on a strategy for all other countries in the Pfizer Collaboration Territory on an ongoing basis through the joint steering committees.</w:t>
      </w:r>
    </w:p>
    <w:p>
      <w:pPr>
        <w:spacing w:after="0" w:line="77"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BioNTech can solely commercialize the vaccine in Germany and Türkiye (collectively referred to as the BioNTech Commercialization Territory, which is a subset of the Pfizer-Collaboration Territory) . We have the option to opt-out of commercializing the vaccine in Germany and/or Türkiye, whereupon such countries will become part of the Pfizer Commercialization Territory of the Pfizer Collaboration Territory.</w:t>
      </w:r>
    </w:p>
    <w:p>
      <w:pPr>
        <w:spacing w:after="0" w:line="68"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Pfizer has the right to commercialize any approved COVID-19 vaccine in the rest of the Pfizer Collaboration Territory. On a country-by-country basis in relation to the United Arab Emirates, Southeast Asia, and certain developing countries, if we obtain funding from a third-party organization that obligates us to commercialize an approved vaccine in such country, we are obligated to request from Pfizer in writing a decision as to whether Pfizer wishes to commercialize or distribute such vaccine in such country in accordance with the requirements agreed with the third-party funder. If Pfizer elects not to commercialize the vaccine in such country, then such country shall become a part of the BioNTech Commercialization Territory.</w:t>
      </w:r>
    </w:p>
    <w:p>
      <w:pPr>
        <w:spacing w:after="0" w:line="73"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If our Collaboration Agreement with Fosun expires or is otherwise terminated for any reason, as between us and any international pharmaceutical group headquartered outside of China, we have granted Pfizer a right of first negotiation to expand the Pfizer Commercialization Territory to include the Fosun Territory. See “Fosun-COVID-19 Collaboration” below for more information on the Fosun Agreement.</w:t>
      </w:r>
    </w:p>
    <w:p>
      <w:pPr>
        <w:spacing w:after="0" w:line="6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We and Pfizer share responsibilities for manufacturing and supplying our approved COVID-19 vaccines. If there is insufficient supply to satisfy the entire demand for vaccines in the Pfizer Collaboration Territory, we and Pfizer have agreed to determine by mutual consent the allocation of supplies on a fair and equitable basis, subject also to any applicable law, export controls, and taking into account any government supply obligations, or supply obligations included in any agreement reached with a third-party funding organization.</w:t>
      </w:r>
    </w:p>
    <w:p>
      <w:pPr>
        <w:spacing w:after="0" w:line="71"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Under the Pfizer Agreement, we have granted Pfizer an exclusive, sublicensable license in the Pfizer Collaboration Territory under certain of our intellectual property, including our patents and know-how, relating to uridine RNA, modified RNA and replicons in the Pfizer Corona Field as well as certain intellectual property in-licensed by us from third parties, to use, research, develop, manufacture, commercialize and otherwise exploit candidates and products selected under the Pfizer Agreement. We undertake to maintain in full effect all intellectual property licenses held by us at the time we entered into the Pfizer Agreement and not to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 Under the Pfizer Agreement, we are obligated to indemnify Pfizer with respect to certain patent infringement claims that Pfizer elects to control.</w:t>
      </w:r>
    </w:p>
    <w:p>
      <w:pPr>
        <w:spacing w:after="0" w:line="74"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During the term of the Pfizer Agreement and a certain period thereafter, we and Pfizer have committed not to research, develop, manufacture, commercialize or otherwise exploit immunogenic compositions comprising RNA in the Pfizer Corona Field, or exploit vaccine candidates or products developed under the agreement for any use, other than pursuant to the Pfizer Agreement, provided, however, that Pfizer shall have the right to work as a contract manufacturer for a third party and Pfizer shall not be precluded from acquiring a third party, or being acquired by a third party, that at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23" w:name="page124"/>
    <w:bookmarkEnd w:id="12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 of acquisition is active in the development or commercialization of an immunogenic composition comprising mRNA in the Pfizer Corona Field.</w:t>
      </w:r>
    </w:p>
    <w:p>
      <w:pPr>
        <w:spacing w:after="0" w:line="92"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auto"/>
        </w:rPr>
        <w:t>On April 9, 2020, Pfizer also subscribed for $113 million of our ordinary shares under a separate investment agreement. In addition, under the Pfizer Agreement, Pfizer made an upfront payment of $ 72 million and agreed to make potential payments of up to $563 million upon the achievement of specified regulatory and commercial milestones. We and Pfizer agreed to share development costs equally. We and Pfizer will share the gross profits from commercializing a vaccine evenly, as well as the costs for shipping. The Pfizer Agreement continues for so long as either at least a vaccine is being developed for use in the Pfizer Collaboration Territory or a vaccine is being commercialized anywhere in the Pfizer Collaboration Territory. In addition to termination rights granted to each party in the case of the other party’s uncured material breach, Pfizer may terminate the agreement (i) upon our insolvency or (ii) on a country- by-country basis or in its entirety for convenience upon one (1) year’s prior written notice provided that any such termination shall not become effective less than two (2) years from the first commercial sale of an approved vaccine.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J. Pfizer-Influenza Collaboration</w:t>
      </w:r>
    </w:p>
    <w:p>
      <w:pPr>
        <w:spacing w:after="0" w:line="9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On July 20, 2018, we and BioNTech RNA entered into a Research Collaboration and License Agreement with Pfizer, or the Pfizer Influenza Agreement, for the research, development and Pfizer’s commercialization of immunogenic compositions comprising modified RNA and/or replicon technology for prophylaxis against influenza in humans, which we refer to as the Pfizer Influenza Agreement Field.</w:t>
      </w:r>
    </w:p>
    <w:p>
      <w:pPr>
        <w:spacing w:after="0" w:line="6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and Pfizer agreed to collaborate on the research in the Pfizer Influenza Agreement Field for an initial period of three years, ending in August 2021.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71"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Under the Pfizer Influenza Agreement, we grant to Pfizer an exclusive, worldwide, sublicensable license under certain of our intellectual property, including our patents and know-how, relating to replicons and modified RNA in the Pfizer Influenza Agreement Field as well as certain intellectual property in-licensed by us from third parties, to use, research, develop, manufacture, commercialize and otherwise exploit candidates and products selected under the Pfizer Influenza Agreement. We also grant to Pfizer a non-exclusive, royalty-free, sublicensable license under all intellectual property controlled by us or our affiliates to use, develop, manufacture, commercialize and otherwise exploit candidates and products selected under the Pfizer Influenza Agreement in the Pfizer Influenza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Influenza Agreement. We are obligated to notify Pfizer of any breach of our current licenses and may be obligated to take steps to maintain Pfizer’s access to any intellectual property licensed under such licenses.</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also granted Pfizer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negotiation may be exercised until the end of the research term.</w:t>
      </w:r>
    </w:p>
    <w:p>
      <w:pPr>
        <w:spacing w:after="0" w:line="6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consideration of the rights granted to Pfizer under the agreement, Pfizer subscribed to shares in BioNTech AG under a separate investment agreement. In addition, under the Pfizer Influenza Agreement, Pfizer made an upfront payment of $50 million and agreed to potential payments of up to $325 million upon the achievement of specified development, regulatory and commercial milestones. Pfizer further agreed to a mid-single digit to very low double-digit tiered royalty on net sales if a product is commercialized. Royalties are subject to stacking provisions. The obligation of Pfizer to pay royalties ends, on a country -by -country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4" w:name="page125"/>
    <w:bookmarkEnd w:id="12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product category in such country. There are only two product categories: one for modified RNA and a second for replicon products.</w:t>
      </w:r>
    </w:p>
    <w:p>
      <w:pPr>
        <w:spacing w:after="0" w:line="92"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During the term of the Pfizer Influenza Agreement, we have committed not to research, develop, manufacture, commercialize or otherwise exploit immunogenic compositions compromising RNA in the Pfizer Influenza Agreement Field other than pursuant to the Pfizer Influenza Agreement.</w:t>
      </w:r>
    </w:p>
    <w:p>
      <w:pPr>
        <w:spacing w:after="0" w:line="5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Pfizer Influenza Agreement ends on a country-by-country basis upon expiration of the last royalty term for any product in that country. Thereafter, the licenses granted to Pfizer with respect to such product in such country will convert into a perpetual, exclusive, fully paid-up and royalty- 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X. Government Regulation</w:t>
      </w:r>
    </w:p>
    <w:p>
      <w:pPr>
        <w:spacing w:after="0" w:line="82"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other jurisdictions, along with subsequent compliance with applicable statutes and regulations and other requirements of regulatory authorities, require the expenditure of substantial time and financial resources.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 Regulation and Procedures Governing Approval of Drug and Biological Products in the United States</w:t>
      </w:r>
    </w:p>
    <w:p>
      <w:pPr>
        <w:spacing w:after="0" w:line="96"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or marketing authorization (BLA/NDA) holder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A sponsor seeking approval to market and distribute a new drug or biological product in the United States generally must satisfactorily complete each of the following steps:</w:t>
      </w:r>
    </w:p>
    <w:p>
      <w:pPr>
        <w:spacing w:after="0" w:line="59" w:lineRule="exact"/>
        <w:rPr>
          <w:sz w:val="20"/>
          <w:szCs w:val="20"/>
          <w:color w:val="auto"/>
        </w:rPr>
      </w:pPr>
    </w:p>
    <w:p>
      <w:pPr>
        <w:ind w:left="720" w:right="60" w:hanging="234"/>
        <w:spacing w:after="0" w:line="244" w:lineRule="auto"/>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laboratory tests, animal studies and formulation studies all performed in accordance with applicable regulations, including the FDA’s good laboratory practices, or GLP, regulations;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application for human clinical testing, which must become effective before human clinical trials may begin;</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the IRB representing each clinical site before each clinical trial may be initiated;</w:t>
      </w:r>
    </w:p>
    <w:p>
      <w:pPr>
        <w:spacing w:after="0" w:line="80"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human clinical trials to establish the safety, potency and purity of the product candidate for each proposed indication, in accordance applicable regulations, including GCP;</w:t>
      </w:r>
    </w:p>
    <w:p>
      <w:pPr>
        <w:spacing w:after="0" w:line="58"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the product by an FDA advisory committee, if applicable;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25" w:name="page126"/>
    <w:bookmarkEnd w:id="12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720" w:right="20" w:hanging="234"/>
        <w:spacing w:after="0" w:line="234" w:lineRule="auto"/>
        <w:tabs>
          <w:tab w:leader="none" w:pos="7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62"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any FDA audits of the clinical study sites to assure compliance with applicable regulations and GCP, and the integrity of clinical data in support of the NDA or BLA;</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and securing FDA approval of the NDA or BLA; and</w:t>
      </w:r>
    </w:p>
    <w:p>
      <w:pPr>
        <w:spacing w:after="0" w:line="80" w:lineRule="exact"/>
        <w:rPr>
          <w:rFonts w:ascii="Times New Roman" w:cs="Times New Roman" w:eastAsia="Times New Roman" w:hAnsi="Times New Roman"/>
          <w:sz w:val="16"/>
          <w:szCs w:val="16"/>
          <w:color w:val="auto"/>
        </w:rPr>
      </w:pPr>
    </w:p>
    <w:p>
      <w:pPr>
        <w:ind w:left="720" w:hanging="234"/>
        <w:spacing w:after="0" w:line="244" w:lineRule="auto"/>
        <w:tabs>
          <w:tab w:leader="none" w:pos="7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regulations post approval, including any post-approval requirements, such as the potential requirement to implement a REMS and to conduct any post-approval studies required by the FDA.</w:t>
      </w:r>
    </w:p>
    <w:p>
      <w:pPr>
        <w:spacing w:after="0" w:line="5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preclinical and clinical testing and approval process requires substantial time, effort and financial resources, and we cannot be certain that any approvals for our product candidates and any future product candidates will be granted on a timely basis, or at all.</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Preclinical Studies and Investigational New Drug Application</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patients will be exposed to unreasonable health risks, and places the trial on a clinical hold. In that case, the IND sponsor and the FDA must resolve any outstanding FDA concerns before the clinical trial can begin.</w:t>
      </w:r>
    </w:p>
    <w:p>
      <w:pPr>
        <w:spacing w:after="0" w:line="7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FDA may impose clinical holds on a biological product candidate at any time before or during clinical trials due to safety concerns or non-compliance.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Human Clinical Trials in Support of an NDA or a BLA</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patients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73"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patients.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6" w:name="page127"/>
    <w:bookmarkEnd w:id="12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receive periodic reports regarding the investigation from the investigators.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Clinical trials typically are conducted in three sequential phases, but the phases may overlap or be combined. Additional studies may be required after approval.</w:t>
      </w:r>
    </w:p>
    <w:p>
      <w:pPr>
        <w:spacing w:after="0" w:line="115" w:lineRule="exact"/>
        <w:rPr>
          <w:sz w:val="20"/>
          <w:szCs w:val="20"/>
          <w:color w:val="auto"/>
        </w:rPr>
      </w:pPr>
    </w:p>
    <w:p>
      <w:pPr>
        <w:jc w:val="both"/>
        <w:ind w:left="720" w:right="20" w:hanging="234"/>
        <w:spacing w:after="0" w:line="281" w:lineRule="auto"/>
        <w:tabs>
          <w:tab w:leader="none" w:pos="7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34" w:lineRule="exact"/>
        <w:rPr>
          <w:rFonts w:ascii="Times New Roman" w:cs="Times New Roman" w:eastAsia="Times New Roman" w:hAnsi="Times New Roman"/>
          <w:sz w:val="14"/>
          <w:szCs w:val="14"/>
          <w:color w:val="auto"/>
        </w:rPr>
      </w:pPr>
    </w:p>
    <w:p>
      <w:pPr>
        <w:jc w:val="both"/>
        <w:ind w:left="720" w:right="20" w:hanging="234"/>
        <w:spacing w:after="0" w:line="226" w:lineRule="auto"/>
        <w:tabs>
          <w:tab w:leader="none" w:pos="7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and particularly for rare diseases,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64"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the basis for product labeling.</w:t>
      </w:r>
    </w:p>
    <w:p>
      <w:pPr>
        <w:spacing w:after="0" w:line="63"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some cases, the FDA may approve an NDA or a BLA for a product candidate but require the sponsor to conduct additional clinical trials to further assess the product candidate’s safety and/or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or to comply with post approval commitments could result in withdrawal of approval for products.</w:t>
      </w:r>
    </w:p>
    <w:p>
      <w:pPr>
        <w:spacing w:after="0" w:line="74"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testing that suggest a significant risk for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235"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7" w:name="page128"/>
    <w:bookmarkEnd w:id="12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Compliance with GMP Requirements</w:t>
      </w:r>
    </w:p>
    <w:p>
      <w:pPr>
        <w:spacing w:after="0" w:line="9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77"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68"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The manufacturing facilities may be subject to periodic announced and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Review and Approval of an NDA or a BLA</w:t>
      </w:r>
    </w:p>
    <w:p>
      <w:pPr>
        <w:spacing w:after="0" w:line="94"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44" w:lineRule="exact"/>
        <w:rPr>
          <w:sz w:val="20"/>
          <w:szCs w:val="20"/>
          <w:color w:val="auto"/>
        </w:rPr>
      </w:pPr>
    </w:p>
    <w:p>
      <w:pPr>
        <w:jc w:val="both"/>
        <w:ind w:right="40" w:firstLine="384"/>
        <w:spacing w:after="0" w:line="238" w:lineRule="auto"/>
        <w:rPr>
          <w:sz w:val="20"/>
          <w:szCs w:val="20"/>
          <w:color w:val="auto"/>
        </w:rPr>
      </w:pPr>
      <w:r>
        <w:rPr>
          <w:rFonts w:ascii="Times New Roman" w:cs="Times New Roman" w:eastAsia="Times New Roman" w:hAnsi="Times New Roman"/>
          <w:sz w:val="16"/>
          <w:szCs w:val="16"/>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77"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The FDA reviews NDA and BLA applications to determine, among other things, whether the proposed product is safe and potent, and/or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28" w:name="page129"/>
    <w:bookmarkEnd w:id="12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68"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73" w:lineRule="exact"/>
        <w:rPr>
          <w:sz w:val="20"/>
          <w:szCs w:val="20"/>
          <w:color w:val="auto"/>
        </w:rPr>
      </w:pPr>
    </w:p>
    <w:p>
      <w:pPr>
        <w:jc w:val="both"/>
        <w:ind w:right="60" w:firstLine="384"/>
        <w:spacing w:after="0" w:line="289" w:lineRule="auto"/>
        <w:rPr>
          <w:sz w:val="20"/>
          <w:szCs w:val="20"/>
          <w:color w:val="auto"/>
        </w:rPr>
      </w:pPr>
      <w:r>
        <w:rPr>
          <w:rFonts w:ascii="Times New Roman" w:cs="Times New Roman" w:eastAsia="Times New Roman" w:hAnsi="Times New Roman"/>
          <w:sz w:val="14"/>
          <w:szCs w:val="14"/>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41"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 -approval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Fast Track, Breakthrough Therapy and Priority Review Designations</w:t>
      </w:r>
    </w:p>
    <w:p>
      <w:pPr>
        <w:spacing w:after="0" w:line="9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59"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The FDA may designate a product for fast track review if it is intended, whether alone or in combination with one or more other products, for the treatment of a serious or life -threatening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74"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29" w:name="page130"/>
    <w:bookmarkEnd w:id="12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w:t>
      </w:r>
    </w:p>
    <w:p>
      <w:pPr>
        <w:spacing w:after="0" w:line="68"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49"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Fast track designation, priority review and breakthrough therapy designation may expedite the development or approval process, but do not change the standards for approval.</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Accelerated Approval Pathway</w:t>
      </w:r>
    </w:p>
    <w:p>
      <w:pPr>
        <w:spacing w:after="0" w:line="9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The FDA may grant accelerated approval to a product for a serious or life -threatening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77"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7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 -approval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Accelerated approval pathways are available for regenerative medicine therapies that meet certain conditions. Regenerative medicine therapies include cell therapies (both allogeneic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0" w:name="page131"/>
    <w:bookmarkEnd w:id="13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68"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6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RMAT designation confers all the benefits of the fast track and breakthrough therapy designation programs, including early interactions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and the severity, rarity or prevalence of the condition, among other factors. The FDA may decline to grant RMAT designation if it finds the clinical evidence insufficient.</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RMAT designation may expedite the development or approval process, but it does not change the standards for approval.</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Emergency Use Authorizations</w:t>
      </w:r>
    </w:p>
    <w:p>
      <w:pPr>
        <w:spacing w:after="0" w:line="94" w:lineRule="exact"/>
        <w:rPr>
          <w:sz w:val="20"/>
          <w:szCs w:val="20"/>
          <w:color w:val="auto"/>
        </w:rPr>
      </w:pPr>
    </w:p>
    <w:p>
      <w:pPr>
        <w:jc w:val="both"/>
        <w:ind w:right="20" w:firstLine="384"/>
        <w:spacing w:after="0" w:line="278" w:lineRule="auto"/>
        <w:rPr>
          <w:sz w:val="20"/>
          <w:szCs w:val="20"/>
          <w:color w:val="auto"/>
        </w:rPr>
      </w:pPr>
      <w:r>
        <w:rPr>
          <w:rFonts w:ascii="Times New Roman" w:cs="Times New Roman" w:eastAsia="Times New Roman" w:hAnsi="Times New Roman"/>
          <w:sz w:val="14"/>
          <w:szCs w:val="14"/>
          <w:color w:val="auto"/>
        </w:rPr>
        <w:t>The Secretary of Health and Human Services has the authority to authorize unapproved medical products, including vaccines, to be marketed in the context of an actual or potential emergency that has been designated by government officials. The COVID-19 pandemic has been designated such a national emergency. After an emergency has been announced, the Secretary of Health and Human Services may authorize the issuance of, and the FDA Commissioner may issue, Emergency Use Authorizations, or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and is product-specific. An EUA terminates when the emergency determination underlying the EUA terminates or full approval is obtained. An EUA is not a long-term alternative to obtaining FDA approval, licensure, or clearance for a product. FDA may revoke an EUA where it is determined that the underlying health emergency no longer exists or warrants such authorization, so it is not possible to predict how long an EUA may remain in place.</w:t>
      </w: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Post-Approval Regulation</w:t>
      </w:r>
    </w:p>
    <w:p>
      <w:pPr>
        <w:spacing w:after="0" w:line="9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80"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 -market study requirements or clinical trial requirements to assess new safety risks; or imposition of distribution restrictions or other restrictions under a REMS program. Other potential consequences include, among other things:</w:t>
      </w:r>
    </w:p>
    <w:p>
      <w:pPr>
        <w:spacing w:after="0" w:line="73" w:lineRule="exact"/>
        <w:rPr>
          <w:sz w:val="20"/>
          <w:szCs w:val="20"/>
          <w:color w:val="auto"/>
        </w:rPr>
      </w:pPr>
    </w:p>
    <w:p>
      <w:pPr>
        <w:ind w:left="720" w:hanging="234"/>
        <w:spacing w:after="0"/>
        <w:tabs>
          <w:tab w:leader="none" w:pos="7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8" w:lineRule="exact"/>
        <w:rPr>
          <w:rFonts w:ascii="Times New Roman" w:cs="Times New Roman" w:eastAsia="Times New Roman" w:hAnsi="Times New Roman"/>
          <w:sz w:val="16"/>
          <w:szCs w:val="16"/>
          <w:color w:val="auto"/>
        </w:rPr>
      </w:pPr>
    </w:p>
    <w:p>
      <w:pPr>
        <w:ind w:left="5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1" w:name="page132"/>
    <w:bookmarkEnd w:id="13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untitled letters or warning letters or holds on post-approval clinical trials;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pending applications or supplements to approved applications, or suspension or revocation of product license approvals;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 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fines, debarment, disgorgement of profits or the imposition of civil or criminal penalties.</w:t>
      </w:r>
    </w:p>
    <w:p>
      <w:pPr>
        <w:spacing w:after="0" w:line="80"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Orphan Drug Designation</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71"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Orphan product designation does not convey any advantage in or shorten the duration of the regulatory review and approval process.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Pediatric Studies and Exclusivity</w:t>
      </w:r>
    </w:p>
    <w:p>
      <w:pPr>
        <w:spacing w:after="0" w:line="94"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2" w:name="page133"/>
    <w:bookmarkEnd w:id="13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Pediatric exclusivity is another type of non- 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Biosimilars and Reference Product Exclusivity</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71"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49"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 Regulation and Procedures Governing Approval of Medicinal Products in the European Union</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3" w:name="page134"/>
    <w:bookmarkEnd w:id="13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Clinical Trial Approval</w:t>
      </w:r>
    </w:p>
    <w:p>
      <w:pPr>
        <w:spacing w:after="0" w:line="94" w:lineRule="exact"/>
        <w:rPr>
          <w:sz w:val="20"/>
          <w:szCs w:val="20"/>
          <w:color w:val="auto"/>
        </w:rPr>
      </w:pPr>
    </w:p>
    <w:p>
      <w:pPr>
        <w:jc w:val="both"/>
        <w:ind w:right="60" w:firstLine="384"/>
        <w:spacing w:after="0" w:line="241" w:lineRule="auto"/>
        <w:rPr>
          <w:sz w:val="20"/>
          <w:szCs w:val="20"/>
          <w:color w:val="auto"/>
        </w:rPr>
      </w:pPr>
      <w:r>
        <w:rPr>
          <w:rFonts w:ascii="Times New Roman" w:cs="Times New Roman" w:eastAsia="Times New Roman" w:hAnsi="Times New Roman"/>
          <w:sz w:val="16"/>
          <w:szCs w:val="16"/>
          <w:color w:val="auto"/>
        </w:rPr>
        <w:t>Until recently, pursuant to the Clinical Trials Directive 2001/20/EC and the Directive 2005/28/EC on GCP, a system for the approval of clinical trials in the European Union has been implemented through national legislation of the member states. 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w:t>
      </w:r>
    </w:p>
    <w:p>
      <w:pPr>
        <w:spacing w:after="0" w:line="73"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April 2014, the European Union adopted a new Clinical Trials Regulation (EU) No 536/2014, which took effect on January 31, 2022 and replaced the Clinical Trials Directive 2001/20/EC. Commission Implementing Regulation (EU) 2017/556 replaced the GCP Directive 2005/28/EC. The Regulation has overhauled the former system of approvals for clinical trials in the European Union. Specifically, the Regulation, which is directly applicable in all member states, aims to simplify and streamline the approval of clinical trials in the European Union. For instance, Regulation (EU) No 536/2014 enables sponsors to submit one online application via a single online platform known as the Clinical Trials Information System (CTIS) for approval to run a clinical trial in several European countries, making it more efficient to carry out such multinational trials. It provides for strictly defined deadlines for the assessment of clinical trial applications. This means that one national authority takes the lead in reviewing the application and the other national authorities have only a limited involvement, although the clinical trial approval is still granted by each national competent authority. Any substantial changes to the trial protocol or other information submitted with the clinical trial applications must be notified to or approved by the relevant competent authorities and ethics committees.</w:t>
      </w:r>
    </w:p>
    <w:p>
      <w:pPr>
        <w:spacing w:after="0" w:line="74" w:lineRule="exact"/>
        <w:rPr>
          <w:sz w:val="20"/>
          <w:szCs w:val="20"/>
          <w:color w:val="auto"/>
        </w:rPr>
      </w:pPr>
    </w:p>
    <w:p>
      <w:pPr>
        <w:jc w:val="both"/>
        <w:ind w:right="40" w:firstLine="336"/>
        <w:spacing w:after="0" w:line="241" w:lineRule="auto"/>
        <w:rPr>
          <w:sz w:val="20"/>
          <w:szCs w:val="20"/>
          <w:color w:val="auto"/>
        </w:rPr>
      </w:pPr>
      <w:r>
        <w:rPr>
          <w:rFonts w:ascii="Times New Roman" w:cs="Times New Roman" w:eastAsia="Times New Roman" w:hAnsi="Times New Roman"/>
          <w:sz w:val="16"/>
          <w:szCs w:val="16"/>
          <w:color w:val="auto"/>
        </w:rPr>
        <w:t>Pursuant to transitional provisions under Regulation (EU) No 536/2014, trials for which a request for approval was submitted prior to January 31, 2022 may continue under the national implementations of the Directives until January 31, 2025. In addition, until January 30, 2023, clinical trial sponsors could use CTIS to apply to run a clinical trial under the Regulation or could choose to apply to run a trial under the Clinical Trials Directive. However, since January 31, 2023, clinical trial sponsors have needed to use CTIS to apply to start a new clinical trial in the EU/EEA and such trials must be run under the Regulation. By January 31, 2025, any ongoing trials approved under the Clinical Trial Directive will fall under the Regulation and information about them must be transferred to CTIS.</w:t>
      </w:r>
    </w:p>
    <w:p>
      <w:pPr>
        <w:spacing w:after="0" w:line="73" w:lineRule="exact"/>
        <w:rPr>
          <w:sz w:val="20"/>
          <w:szCs w:val="20"/>
          <w:color w:val="auto"/>
        </w:rPr>
      </w:pPr>
    </w:p>
    <w:p>
      <w:pPr>
        <w:jc w:val="both"/>
        <w:ind w:right="60" w:firstLine="384"/>
        <w:spacing w:after="0" w:line="299" w:lineRule="auto"/>
        <w:rPr>
          <w:sz w:val="20"/>
          <w:szCs w:val="20"/>
          <w:color w:val="auto"/>
        </w:rPr>
      </w:pPr>
      <w:r>
        <w:rPr>
          <w:rFonts w:ascii="Times New Roman" w:cs="Times New Roman" w:eastAsia="Times New Roman" w:hAnsi="Times New Roman"/>
          <w:sz w:val="14"/>
          <w:szCs w:val="14"/>
          <w:color w:val="auto"/>
        </w:rPr>
        <w:t>Under either regime, clinical trials must be conducted in accordance with European Union and national regulations and the International Conference on Harmonization, or ICH, guidelines on GCP. Additional GCP guidelines from the European Commission, with a focus on traceability, apply to clinical trials of ATMPs. If the sponsor of the clinical trial is not established within the European Union, it must appoint an entity within the European Union to act as its legal representative.</w:t>
      </w:r>
    </w:p>
    <w:p>
      <w:pPr>
        <w:spacing w:after="0" w:line="34"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The clinical trial application must be accompanied by a copy of the trial protocol and an investigational medicinal product dossier with supporting information prescribed by applicable legislation as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68"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68" w:lineRule="exact"/>
        <w:rPr>
          <w:sz w:val="20"/>
          <w:szCs w:val="20"/>
          <w:color w:val="auto"/>
        </w:rPr>
      </w:pPr>
    </w:p>
    <w:p>
      <w:pPr>
        <w:jc w:val="both"/>
        <w:ind w:right="60" w:firstLine="384"/>
        <w:spacing w:after="0" w:line="239" w:lineRule="auto"/>
        <w:rPr>
          <w:sz w:val="20"/>
          <w:szCs w:val="20"/>
          <w:color w:val="auto"/>
        </w:rPr>
      </w:pPr>
      <w:r>
        <w:rPr>
          <w:rFonts w:ascii="Times New Roman" w:cs="Times New Roman" w:eastAsia="Times New Roman" w:hAnsi="Times New Roman"/>
          <w:sz w:val="16"/>
          <w:szCs w:val="16"/>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Marketing Authorization</w:t>
      </w:r>
    </w:p>
    <w:p>
      <w:pPr>
        <w:spacing w:after="0" w:line="94" w:lineRule="exact"/>
        <w:rPr>
          <w:sz w:val="20"/>
          <w:szCs w:val="20"/>
          <w:color w:val="auto"/>
        </w:rPr>
      </w:pPr>
    </w:p>
    <w:p>
      <w:pPr>
        <w:jc w:val="both"/>
        <w:ind w:right="60" w:firstLine="384"/>
        <w:spacing w:after="0" w:line="259" w:lineRule="auto"/>
        <w:rPr>
          <w:sz w:val="20"/>
          <w:szCs w:val="20"/>
          <w:color w:val="auto"/>
        </w:rPr>
      </w:pPr>
      <w:r>
        <w:rPr>
          <w:rFonts w:ascii="Times New Roman" w:cs="Times New Roman" w:eastAsia="Times New Roman" w:hAnsi="Times New Roman"/>
          <w:sz w:val="16"/>
          <w:szCs w:val="16"/>
          <w:color w:val="auto"/>
        </w:rPr>
        <w:t>To obtain a marketing authorization for a product under the European Union regulatory system, a sponsor must submit a marketing authorization application, or MAA, either under the centralized procedure administered by the EMA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134" w:name="page135"/>
    <w:bookmarkEnd w:id="13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one of the procedures administered by competent authorities in European Union member states (decentralized procedure, mutual recognition procedure, or if the product is to be approved in only one member state, the national procedure).</w:t>
      </w:r>
    </w:p>
    <w:p>
      <w:pPr>
        <w:spacing w:after="0" w:line="59" w:lineRule="exact"/>
        <w:rPr>
          <w:sz w:val="20"/>
          <w:szCs w:val="20"/>
          <w:color w:val="auto"/>
        </w:rPr>
      </w:pPr>
    </w:p>
    <w:p>
      <w:pPr>
        <w:jc w:val="both"/>
        <w:ind w:right="20" w:firstLine="384"/>
        <w:spacing w:after="0" w:line="277" w:lineRule="auto"/>
        <w:rPr>
          <w:sz w:val="20"/>
          <w:szCs w:val="20"/>
          <w:color w:val="auto"/>
        </w:rPr>
      </w:pPr>
      <w:r>
        <w:rPr>
          <w:rFonts w:ascii="Times New Roman" w:cs="Times New Roman" w:eastAsia="Times New Roman" w:hAnsi="Times New Roman"/>
          <w:sz w:val="14"/>
          <w:szCs w:val="14"/>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certain of the manufacturing or quality information is currently generally protected as commercially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The operation of this policy has been suspended in recent years due to priorities. However, it continues to apply the policy to COVID-19 vaccines and therapeutics. A similar transparency requirement is contained in the Clinical Trials Regulation (EU) No 536/2014.</w:t>
      </w:r>
    </w:p>
    <w:p>
      <w:pPr>
        <w:spacing w:after="0" w:line="14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centralized procedure provides for the grant of a single marketing authorization by the European Commission that is valid for all European Union and European Economic Area member states. Pursuant to Regulation (EC) No. 726/2004, the centralized procedure is compulsory for specific products, including for medicines (including vaccines)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w:t>
      </w:r>
    </w:p>
    <w:p>
      <w:pPr>
        <w:spacing w:after="0" w:line="77"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heavy disabling or life-threatening diseases) to be treated, (ii) the absence or insufficiency of an appropriate alternative therapeutic approach, and (iii) anticipation of high therapeutic benefit.</w:t>
      </w:r>
    </w:p>
    <w:p>
      <w:pPr>
        <w:spacing w:after="0" w:line="77"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80"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5" w:name="page136"/>
    <w:bookmarkEnd w:id="13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generally accepted principles of medical ethics to collect such information. Consequently, marketing authorization under exceptional circumstances may be granted subject to certain specific obligations, which may include the following:</w:t>
      </w:r>
    </w:p>
    <w:p>
      <w:pPr>
        <w:spacing w:after="0" w:line="59" w:lineRule="exact"/>
        <w:rPr>
          <w:sz w:val="20"/>
          <w:szCs w:val="20"/>
          <w:color w:val="auto"/>
        </w:rPr>
      </w:pPr>
    </w:p>
    <w:p>
      <w:pPr>
        <w:ind w:left="720" w:right="40" w:hanging="234"/>
        <w:spacing w:after="0" w:line="244" w:lineRule="auto"/>
        <w:tabs>
          <w:tab w:leader="none" w:pos="7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applicant must complete an identified program of studies within a time period specified by the competent authority, the results of which form the basis of a reassessment of the benefit/risk profile;</w:t>
      </w:r>
    </w:p>
    <w:p>
      <w:pPr>
        <w:spacing w:after="0" w:line="58"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8" w:lineRule="exact"/>
        <w:rPr>
          <w:rFonts w:ascii="Times New Roman" w:cs="Times New Roman" w:eastAsia="Times New Roman" w:hAnsi="Times New Roman"/>
          <w:sz w:val="16"/>
          <w:szCs w:val="16"/>
          <w:color w:val="auto"/>
        </w:rPr>
      </w:pPr>
    </w:p>
    <w:p>
      <w:pPr>
        <w:ind w:left="720" w:right="40" w:hanging="234"/>
        <w:spacing w:after="0" w:line="244" w:lineRule="auto"/>
        <w:tabs>
          <w:tab w:leader="none" w:pos="7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8"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73"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and vaccines) if the CHMP finds that all the following requirements are met:</w:t>
      </w:r>
    </w:p>
    <w:p>
      <w:pPr>
        <w:spacing w:after="0" w:line="68" w:lineRule="exact"/>
        <w:rPr>
          <w:sz w:val="20"/>
          <w:szCs w:val="20"/>
          <w:color w:val="auto"/>
        </w:rPr>
      </w:pPr>
    </w:p>
    <w:p>
      <w:pPr>
        <w:ind w:left="720" w:hanging="234"/>
        <w:spacing w:after="0"/>
        <w:tabs>
          <w:tab w:leader="none" w:pos="7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benefit-risk balance of the product is positive;</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likely that the applicant will be able to provide comprehensive data;</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unmet medical needs will be fulfilled;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 to public health of the medicinal product’s immediate availability on the market outweighs the risks due to need for further data.</w:t>
      </w:r>
    </w:p>
    <w:p>
      <w:pPr>
        <w:spacing w:after="0" w:line="80"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A conditional marketing authorization will contain specific obligations to be fulfilled by the marketing authorization holder, including obligations with respect to the completion of ongoing or new studies, manufacturing information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47" w:lineRule="exact"/>
        <w:rPr>
          <w:sz w:val="20"/>
          <w:szCs w:val="20"/>
          <w:color w:val="auto"/>
        </w:rPr>
      </w:pPr>
    </w:p>
    <w:p>
      <w:pPr>
        <w:jc w:val="both"/>
        <w:ind w:right="40" w:firstLine="384"/>
        <w:spacing w:after="0" w:line="262" w:lineRule="auto"/>
        <w:rPr>
          <w:sz w:val="20"/>
          <w:szCs w:val="20"/>
          <w:color w:val="auto"/>
        </w:rPr>
      </w:pPr>
      <w:r>
        <w:rPr>
          <w:rFonts w:ascii="Times New Roman" w:cs="Times New Roman" w:eastAsia="Times New Roman" w:hAnsi="Times New Roman"/>
          <w:sz w:val="16"/>
          <w:szCs w:val="16"/>
          <w:color w:val="auto"/>
        </w:rPr>
        <w:t xml:space="preserve">For COVID-19 vaccines to date, the EMA has followed a so-called ‘rolling review’ process, an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procedure by which data is assessed as it becomes available with the aim of granting a conditional marketing authorization.</w:t>
      </w:r>
    </w:p>
    <w:p>
      <w:pPr>
        <w:spacing w:after="0" w:line="5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Periods of Authorization and Renewals</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 marketing authorization is valid for five years, in principle, and it may be renewed after five years on the basis of a reevaluation of the risk benefit balance by the EMA or by the competent authority of the authorizing member states.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6" w:name="page137"/>
    <w:bookmarkEnd w:id="13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procedure) or on the market of the authorizing member state within three years after authorization ceases to be valid (referred to as the “sunset” clause).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Emergency Use Authorizations</w:t>
      </w:r>
    </w:p>
    <w:p>
      <w:pPr>
        <w:spacing w:after="0" w:line="94"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auto"/>
        </w:rPr>
        <w:t>The European Union medicines rules, as implemented into the national laws of the EU member states, permit national authorities to authorize temporarily the distribution of an unapproved medicinal product in certain emergency situations, including suspected or confirmed spread of pathogenic agents. Such an Emergency Use Authorization (EUA) (sometimes referred to as a “temporary exemption,” i.e., a temporary exemption from the requirement to obtain a marketing authorization) would apply for the duration of the emergency only and would be limited to the member state in which it has been issued. When considering whether to grant an EUA, the relevant member state decides, which data it requires for the grant of the EUA. For COVID-19 vaccines to date, the EU member states have not relied on EUAs. Rather products have followed the centralized procedure combined with a rolling review of data with a view to granting conditional marketing authorizations. Member states have relied on EUAs to permit the distribution and use of certain unapproved medicines in unapproved indications to assist in the treatment of COVID-19 patients.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Regulatory Requirements after Marketing Authorization</w:t>
      </w:r>
    </w:p>
    <w:p>
      <w:pPr>
        <w:spacing w:after="0" w:line="9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or efficacy studies. RMPs and PSURs are routinely available to third parties requesting access, subject to limited redactions.</w:t>
      </w:r>
    </w:p>
    <w:p>
      <w:pPr>
        <w:spacing w:after="0" w:line="7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(including vaccines) is also prohibited in the European Union. Although general requirements for advertising and promotion of medicinal products are established under Directive 2001/83/EC, as amended, the details and the enforcement of these rules are governed by regulations in each member state and can differ from one country to another.</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enforcement actions and consequences for non-compliance with the EU legislation are similar to those listed above for the United States. For centrally approved products in the EU, there is the possibility of fines for regulatory non-compliance with certain of the legal requirements, including in relation to obligations regarding placing the product on the market, safety monitoring and pediatric compliance.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7" w:name="page138"/>
    <w:bookmarkEnd w:id="13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Human Cells and Tissues</w:t>
      </w:r>
    </w:p>
    <w:p>
      <w:pPr>
        <w:spacing w:after="0" w:line="94"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Named Patient Supplies and Compassionate Use Programs</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71" w:lineRule="exact"/>
        <w:rPr>
          <w:sz w:val="20"/>
          <w:szCs w:val="20"/>
          <w:color w:val="auto"/>
        </w:rPr>
      </w:pPr>
    </w:p>
    <w:p>
      <w:pPr>
        <w:jc w:val="both"/>
        <w:ind w:right="40" w:firstLine="336"/>
        <w:spacing w:after="0" w:line="259" w:lineRule="auto"/>
        <w:rPr>
          <w:sz w:val="20"/>
          <w:szCs w:val="20"/>
          <w:color w:val="auto"/>
        </w:rPr>
      </w:pPr>
      <w:r>
        <w:rPr>
          <w:rFonts w:ascii="Times New Roman" w:cs="Times New Roman" w:eastAsia="Times New Roman" w:hAnsi="Times New Roman"/>
          <w:sz w:val="16"/>
          <w:szCs w:val="16"/>
          <w:color w:val="auto"/>
        </w:rPr>
        <w:t>Some member state laws also provide for compassionate use on a “cohort” basis, subject to review and approval of the cohort program based on the local laws in the member state.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Orphan Drug Designation and Exclusivity</w:t>
      </w:r>
    </w:p>
    <w:p>
      <w:pPr>
        <w:spacing w:after="0" w:line="9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74"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orphan market exclusivity. During this orphan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European Data Collection and Data Protection Laws</w:t>
      </w:r>
    </w:p>
    <w:p>
      <w:pPr>
        <w:spacing w:after="0" w:line="94"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8" w:name="page139"/>
    <w:bookmarkEnd w:id="13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 Coverage, Pricing and Reimbursement</w:t>
      </w:r>
    </w:p>
    <w:p>
      <w:pPr>
        <w:spacing w:after="0" w:line="96"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 party payors are increasingly challenging the price and examining the medical necessity and cost-effectiveness of medical products and services and imposing controls to manage costs.</w:t>
      </w:r>
    </w:p>
    <w:p>
      <w:pPr>
        <w:spacing w:after="0" w:line="80" w:lineRule="exact"/>
        <w:rPr>
          <w:sz w:val="20"/>
          <w:szCs w:val="20"/>
          <w:color w:val="auto"/>
        </w:rPr>
      </w:pPr>
    </w:p>
    <w:p>
      <w:pPr>
        <w:jc w:val="both"/>
        <w:ind w:right="40" w:firstLine="384"/>
        <w:spacing w:after="0" w:line="237" w:lineRule="auto"/>
        <w:rPr>
          <w:sz w:val="20"/>
          <w:szCs w:val="20"/>
          <w:color w:val="auto"/>
        </w:rPr>
      </w:pPr>
      <w:r>
        <w:rPr>
          <w:rFonts w:ascii="Times New Roman" w:cs="Times New Roman" w:eastAsia="Times New Roman" w:hAnsi="Times New Roman"/>
          <w:sz w:val="16"/>
          <w:szCs w:val="16"/>
          <w:color w:val="auto"/>
        </w:rPr>
        <w:t>In order to secure coverage and reimbursement for any product that might be approved for sale, a company may need to conduct expensive pharmacoeconomic studies in order to demonstrate the medical necessity and cost -effectiveness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7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containment of healthcare costs also has become a priority of U.S. federal and state and other non-U.S.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7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or non-interventional study that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9" w:name="page140"/>
    <w:bookmarkEnd w:id="13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compares the cost effectiveness of any product candidates we may develop to other available therapies. The conduct of such a clinical trial or study could be expensive and result in delays in our commercialization efforts.</w:t>
      </w:r>
    </w:p>
    <w:p>
      <w:pPr>
        <w:spacing w:after="0" w:line="59" w:lineRule="exact"/>
        <w:rPr>
          <w:sz w:val="20"/>
          <w:szCs w:val="20"/>
          <w:color w:val="auto"/>
        </w:rPr>
      </w:pPr>
    </w:p>
    <w:p>
      <w:pPr>
        <w:jc w:val="both"/>
        <w:ind w:firstLine="384"/>
        <w:spacing w:after="0" w:line="236" w:lineRule="auto"/>
        <w:rPr>
          <w:sz w:val="20"/>
          <w:szCs w:val="20"/>
          <w:color w:val="auto"/>
        </w:rPr>
      </w:pPr>
      <w:r>
        <w:rPr>
          <w:rFonts w:ascii="Times New Roman" w:cs="Times New Roman" w:eastAsia="Times New Roman" w:hAnsi="Times New Roman"/>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The European Union recently adopted Regulation (EU) 2021/2282 on health technology assessment, which provides a framework for member states to cooperate on health technology assessments at the EU level. The Regulation is directly applicable in all EU member states and will apply from January 12, 2025, although pricing will still be determined nationally. Moreover, at the national level,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8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For COVID-19 vaccine candidates in the European Union, no pricing and reimbursement or health technology assessments discussions have taken place with the respective health insurances and competent bodies at a national member state level. Currently, COVID-19 vaccine candidates are supplied in the European Union based on vaccine supply agreements with the European Commission that is acting on behalf and in the name of the member states of the European Union.</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 United Kingdom</w:t>
      </w:r>
    </w:p>
    <w:p>
      <w:pPr>
        <w:spacing w:after="0" w:line="192" w:lineRule="exact"/>
        <w:rPr>
          <w:sz w:val="20"/>
          <w:szCs w:val="20"/>
          <w:color w:val="auto"/>
        </w:rPr>
      </w:pPr>
    </w:p>
    <w:p>
      <w:pPr>
        <w:jc w:val="both"/>
        <w:ind w:firstLine="384"/>
        <w:spacing w:after="0" w:line="274" w:lineRule="auto"/>
        <w:rPr>
          <w:sz w:val="20"/>
          <w:szCs w:val="20"/>
          <w:color w:val="auto"/>
        </w:rPr>
      </w:pPr>
      <w:r>
        <w:rPr>
          <w:rFonts w:ascii="Times New Roman" w:cs="Times New Roman" w:eastAsia="Times New Roman" w:hAnsi="Times New Roman"/>
          <w:sz w:val="14"/>
          <w:szCs w:val="14"/>
          <w:color w:val="auto"/>
        </w:rPr>
        <w:t>On June 23, 2016, in a national referendum, a majority of the electorate voted in favor of the United Kingdom leaving the European Union (commonly referred to as “Brexit”). On March 29, 2017, the United Kingdom Government formally notified the European Union of its intention to withdraw from the Union pursuant to Article 50 of the Treaty on the European Union. The United Kingdom formally left the European Union on January 31, 2020. Pursuant to the terms of the Withdrawal Agreement between the European Union and the United Kingdom, a transitional period ran between February 1, 2020 and December 31, 2020, during which all applicable EU law, including the regulation of medicinal products, applied to and in the United Kingdom. This transitional period has now expired. On December 24, 2020, the United Kingdom and the European Union announced that they have reached agreement on the terms of their future relationship as set out in the Trade and Cooperation Agreement (“TCA”). The European Union and the United Kingdom had agreed to provisionally apply the terms of the TCA, while the formal execution was still ongoing. The TCA formally entered into force on May 1, 2021. While the TCA governs tariff and quota free trade between the United Kingdom and the European Union markets, it does not provide for regulatory alignment. The regulatory framework for medicinal products in the United Kingdom is predominantly derived from European Union law. The UK currently offers different routes to obtain a marketing authorisation: (a) a national application route with a 150 -day assessment timeline, excluding clock stops or (b) a reliance route by which a company relies on a positive CHMP opinion with a 67-day assessment timeline. The original reliance route was available to companies until December 31, 2023, and has been replaced by the International Recognition Procedure since January 1, 2024.</w:t>
      </w:r>
    </w:p>
    <w:p>
      <w:pPr>
        <w:spacing w:after="0" w:line="235"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Domestic United Kingdom law provided that all existing European Union law in force on December 31, 2020 was retained in UK national law, subject to certain revisions that became necessary as a result of Brexit.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0" w:name="page141"/>
    <w:bookmarkEnd w:id="14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However, the Retained EU Law (Revocation and Reform) Act 2023 came into force on January 1, 2024. This revoked some retained EU laws (although not any relating to medicines regulation). All other retained EU laws have been renamed as “assimilated laws” and are no longer subject to the EU principles of interpretation. Thus, while at least initially the United Kingdom and the European Union laws relating to medicines are largely aligned, there is the potential for further divergence in the future.</w:t>
      </w:r>
    </w:p>
    <w:p>
      <w:pPr>
        <w:spacing w:after="0" w:line="71"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Under the terms of the Northern Ireland Protocol to the Withdrawal Agreement, European Union law continues to apply to and in Northern Ireland. The terms of the Protocol are subject to renegotiation between the United Kingdom and the European Union. In March 2023, the Northern Ireland Protocol was adjusted by the Windsor Framework, which is another post-Brexit agreement between the EU and the UK. The Windsor Framework will be implemented gradually through into 2025 and aims to make it easier to move certain goods, including medicines, from Great Britain to Northern Ireland.</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E. Greater China</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Mainland China</w:t>
      </w:r>
    </w:p>
    <w:p>
      <w:pPr>
        <w:spacing w:after="0" w:line="94"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Similar to the United States and the European Union, Mainland China has rules governing the approval for development and commercialization of drugs, including specialized rules for vaccines. China’s drug law and regulations require that the National Medical Products Administration’s, or NMPA’s, Center for Drug Evaluation, or CDE, approve a clinical trial application prior to initiating a study to support the safety and effectiveness of a drug, including a therapeutic or preventive biologic (i.e., a vaccine). This clinical trial application and the testing procedure that may precede it can be expedited if there is a pressing declared health emergency, as was the case with COVID-19.</w:t>
      </w:r>
    </w:p>
    <w:p>
      <w:pPr>
        <w:spacing w:after="0" w:line="73"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Once approved, vaccine clinical trials must be conducted at sites that are qualified disease prevention and control, or CDC, institutions and grade III hospitals, and the implementation of the trial must be in accordance with China’s general drug and specialized vaccine good clinical practice regulations and related guidelines. Other drug trials must be conducted at designated hospital sites in accordance with China’s general drug good clinical practice rules. Furthermore, prior to the commencement of the clinical trial in China each site’s ethics committee must approve the trial, and the Ministry of Science and Technology must approve the use of human samples containing genetic material and related genetic data. The human genetic resources, or HGR, approval requires a joint approval or record-filing application by the Chinese and foreign parties, setting forth the parties that will handle data and samples, the type and amount of samples that will be utilized during the study, the tests/analysis run, and the plans for storage or destruction, and the intellectual property sharing arrangement among the parties, among other items. If the research is exploratory (i.e., not tied to a program designed to obtain registration in China), patentable IP arising from the use of the HGR samples and data must be jointly owned by the Chinese and foreign parties. Once approved, the HGR approval/filing may require updates and amendments and additional procedures to transfer data to foreign parties that are not on the approval. A final report is due at the end of the study.</w:t>
      </w:r>
    </w:p>
    <w:p>
      <w:pPr>
        <w:spacing w:after="0" w:line="80"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Once a clinical trial in China is complete and/or foreign data is assembled, a company may submit an application for a marketing authorization, or MA, of the drug. This procedure will include submission of clinical data, manufacturing information and test results, among other items, and may include an onsite pre-market verification by the NMPA. This application may be considered more quickly if the applicant qualifies for admission to various expedited programs, including breakthrough designation for drugs that are new to the world in some respect, treat life threatening or quality of life altering diseases and either have no comparator on the market or represent a significant clinical advantage over existing approved therapies. Conditional approval procedures permit approval of a drug based on earlier stage data, but subject continued marketing to the fulfillment of post-market conditions with a designation period of time, such as the completion of additional studies. Therapeutic biologics and small molecule drugs follow similar steps to approval for development and marketing. These steps are similar for drugs that are imported and those that are produced domestically in China. However, domestically produced drugs must be produced at a facility that also obtains a drug manufacturing license based, in part, on a pre-marketing good manufacturing practice inspection.</w:t>
      </w:r>
    </w:p>
    <w:p>
      <w:pPr>
        <w:spacing w:after="0" w:line="7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At both the clinical trial and MA stages, applicants for imported drugs must list a regulatory agent on the application. The agent must be an entity in China, and it assists the sponsor and marketing authorization holder, or MAH, with fulfilling its drug regulatory obligations in China. The agent of the MAH is jointly liable with the MAH for these drug regulatory obligations.</w:t>
      </w:r>
    </w:p>
    <w:p>
      <w:pPr>
        <w:spacing w:after="0" w:line="6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Once approved, vaccines may be procured by the CDC through platforms organized by the provincial governments. Vaccines in China must be sold and directly distributed by domestic manufacturers or general distributors appointed to represent overseas makers to municipal level CDCs, which handle allocation and distribution to points of vaccination in China. Distribution of other drugs occurs through procurement processes for sales at public hospitals and sales to private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1" w:name="page142"/>
    <w:bookmarkEnd w:id="14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hospitals or pharmacies. Distributors of all drugs must possess a MA for the drug they are distributing or a drug distribution license.</w:t>
      </w:r>
    </w:p>
    <w:p>
      <w:pPr>
        <w:spacing w:after="0" w:line="9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color w:val="auto"/>
        </w:rPr>
        <w:t>As is the case with all drugs, once on the market, MAHs will also have post-market obligations, including fulfillment of post- marketing commitments. In the case of vaccines, MAHs must pay compensation for injuries caused adverse events following inoculation, or AEFIs, if the vaccine is not one required as part of the National Inoculation Program. The government bears the cost of NIP vaccines and related AEFIs. All drug MAHs are subject to other post-market obligations for drug marketing authorization holders, including recalls, annual reporting, and inspections. Drug MAs must be renewed every five years, and supplemental applications, notifications, or reports may need to be submitted for major, moderate and minor changes, respectively, to the original registration (e.g., significant manufacturing changes).</w:t>
      </w:r>
    </w:p>
    <w:p>
      <w:pPr>
        <w:spacing w:after="0" w:line="4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Advertisements of prescription drugs, including vaccines, must be pre- approved and may only be placed in approved medical journals. Other forms of “academic promotion” may be performed by medical representatives who are authorized in writing by MAHs (or their agents) and their information filed on government designated websites. Medical representatives are permitted to provide information about the drug to health care professionals (in accordance with certain procedural rules) and collect feedback as to drug safety.</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Hong Kong and Macao</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Mainland China’s drug regulatory system does not apply in Hong Kong or Macao. These administrative regions are governed by separate laws on the development, approval, manufacturing, distribution and advertising and promotion of drugs, including vaccines. Similar rules restricting advertising and promotional content and, in the case of Macao, government approved advertisements, also apply.</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 Türkiye</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Other countries such as Türkiye and those in the Middle East have regulatory review processes and data requirements for medicinal products, including vaccines, similar to those described for the European Union. The regulatory licensing process in these countries may include local marketing authorization requirements, manufacturing/testing facility inspections, testing of drug product upon importation and other domestic requirements. Some countries, such as Türkiye, have introduced specific emergency authorization regimes for COVID-19 vaccines.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G. Rest of the World Regulation</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requirements governing the conduct of clinical trials, product (including vaccine) licensing, pricing, and reimbursement vary from country to country in markets outside the European Union and the United States. In many markets, clinical trials must be conducted in accordance with Good Clinical Practice and applicable regulatory requirements. Ethical standards typically follow the Declaration of Helsinki principles. In response to the COVID-19 pandemic, some markets have granted or are considering the grant of emergency use authorizations for vaccine candidates instead of the otherwise available regulatory approval pathways. Supply of the COVID-19 vaccine to a number of countries outside of the United States and the European Union is similarly governed by vaccine supply agreements with local governments.</w:t>
      </w:r>
    </w:p>
    <w:p>
      <w:pPr>
        <w:spacing w:after="0" w:line="77"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In Africa, there is limited harmonization of the regulation of drug and biological products across the continent, and the functionality and regulatory capacity of national medicines regulatory authorities varies between jurisdictions. For example, many regulators lack the technical expertise to independently assess marketing authorization applications and instead have adopted “reliance” procedures, whereby authorization by a foreign stringent regulatory authority or registration as a WHO pre- qualified product may be a condition for approval. The African Union (“AU”) has issued several harmonization initiatives for medicines, including establishing the AU Model Law on Medical Products Regulation in 2016 and the African Medicines Agency (“AMA”) in 2019. The AMA’s responsibilities will include evaluating medicines for the treatment of priority diseases, among other harmonization-related responsibilities, but has yet to issue any regulatory guidelines or procedures to date.</w:t>
      </w:r>
    </w:p>
    <w:p>
      <w:pPr>
        <w:spacing w:after="0" w:line="49"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Failure to adhere to regulatory requirements may lead to, among others, fines, suspension or withdrawal of regulatory authorizations or approvals, product recalls, seizure of products, restrictions or suspensions of operations, or criminal prosecution.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2" w:name="page143"/>
    <w:bookmarkEnd w:id="14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H. Healthcare Law and Regulation</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Healthcare providers and third-party payors play a primary role in the recommendation and prescription of pharmaceutical products that are granted marketing approval. Our current and future arrangements with providers, researchers, consultants, third- 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 the United States and elsewhere include, without limitation, the following:</w:t>
      </w:r>
    </w:p>
    <w:p>
      <w:pPr>
        <w:spacing w:after="0" w:line="73" w:lineRule="exact"/>
        <w:rPr>
          <w:sz w:val="20"/>
          <w:szCs w:val="20"/>
          <w:color w:val="auto"/>
        </w:rPr>
      </w:pPr>
    </w:p>
    <w:p>
      <w:pPr>
        <w:jc w:val="both"/>
        <w:ind w:left="720" w:hanging="234"/>
        <w:spacing w:after="0" w:line="226"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64"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62" w:lineRule="exact"/>
        <w:rPr>
          <w:rFonts w:ascii="Times New Roman" w:cs="Times New Roman" w:eastAsia="Times New Roman" w:hAnsi="Times New Roman"/>
          <w:sz w:val="16"/>
          <w:szCs w:val="16"/>
          <w:color w:val="auto"/>
        </w:rPr>
      </w:pPr>
    </w:p>
    <w:p>
      <w:pPr>
        <w:jc w:val="both"/>
        <w:ind w:left="720" w:right="20" w:hanging="234"/>
        <w:spacing w:after="0" w:line="281" w:lineRule="auto"/>
        <w:tabs>
          <w:tab w:leader="none" w:pos="7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which created additional U.S.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34" w:lineRule="exact"/>
        <w:rPr>
          <w:rFonts w:ascii="Times New Roman" w:cs="Times New Roman" w:eastAsia="Times New Roman" w:hAnsi="Times New Roman"/>
          <w:sz w:val="14"/>
          <w:szCs w:val="14"/>
          <w:color w:val="auto"/>
        </w:rPr>
      </w:pPr>
    </w:p>
    <w:p>
      <w:pPr>
        <w:jc w:val="both"/>
        <w:ind w:left="720" w:right="20" w:hanging="234"/>
        <w:spacing w:after="0" w:line="230"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62" w:lineRule="exact"/>
        <w:rPr>
          <w:rFonts w:ascii="Times New Roman" w:cs="Times New Roman" w:eastAsia="Times New Roman" w:hAnsi="Times New Roman"/>
          <w:sz w:val="16"/>
          <w:szCs w:val="16"/>
          <w:color w:val="auto"/>
        </w:rPr>
      </w:pPr>
    </w:p>
    <w:p>
      <w:pPr>
        <w:jc w:val="both"/>
        <w:ind w:left="720" w:hanging="234"/>
        <w:spacing w:after="0" w:line="230"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consumer protection and unfair competition laws, which broadly regulate marketplace activities and activities that potentially harm consumers;</w:t>
      </w:r>
    </w:p>
    <w:p>
      <w:pPr>
        <w:spacing w:after="0" w:line="103" w:lineRule="exact"/>
        <w:rPr>
          <w:rFonts w:ascii="Times New Roman" w:cs="Times New Roman" w:eastAsia="Times New Roman" w:hAnsi="Times New Roman"/>
          <w:sz w:val="14"/>
          <w:szCs w:val="14"/>
          <w:color w:val="auto"/>
        </w:rPr>
      </w:pPr>
    </w:p>
    <w:p>
      <w:pPr>
        <w:ind w:left="720" w:right="20" w:hanging="234"/>
        <w:spacing w:after="0" w:line="244"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federal government price reporting laws, which require us to calculate and report complex pricing metrics to government programs and which may be used in the calculation of reimbursement and/or discounts on marketed products;</w:t>
      </w:r>
    </w:p>
    <w:p>
      <w:pPr>
        <w:spacing w:after="0" w:line="58"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Foreign Corrupt Practices Act, a U.S. law which regulates certain financial relationships with foreign government officials (which could include, for example, certain medical professionals);</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national anti-bribery laws and laws governing interactions with healthcare professionals of European Union member states;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U.K. Bribery Act 2010; and</w:t>
      </w:r>
    </w:p>
    <w:p>
      <w:pPr>
        <w:spacing w:after="0" w:line="80"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laws and regulations in U.S. states and other jurisdictions, such as U.S. state anti-kickback and false claims laws, which may apply to healthcare items or services that are reimbursed by non-governmental third-party payors, including private insurers.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3" w:name="page144"/>
    <w:bookmarkEnd w:id="14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Some U.S.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Laws in U.S. states and other jurisdictions also govern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scope and enforcement of each of these laws is uncertain and subject to rapid change in the current environment of healthcare reform, especially in light of the lack of applicable precedent and regulations. U.S.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6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 Current and Future Healthcare Reform Legislation</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the United States and other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The Biden administration has discussed proposals to control drug pricing and new legislation may be proposed regarding government negotiation of drug pricing that may affect future profitability.</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Additionally, other federal health reform measures have been proposed and adopted in the United States since the ACA was enacted:</w:t>
      </w:r>
    </w:p>
    <w:p>
      <w:pPr>
        <w:spacing w:after="0" w:line="92" w:lineRule="exact"/>
        <w:rPr>
          <w:sz w:val="20"/>
          <w:szCs w:val="20"/>
          <w:color w:val="auto"/>
        </w:rPr>
      </w:pPr>
    </w:p>
    <w:p>
      <w:pPr>
        <w:ind w:left="720" w:right="60" w:hanging="234"/>
        <w:spacing w:after="0" w:line="244" w:lineRule="auto"/>
        <w:tabs>
          <w:tab w:leader="none" w:pos="7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58"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62"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Further, there has been heightened governmental scrutiny in the United States and elsewhere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U.S. federal government, state legislatures, and other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U.S.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4" w:name="page145"/>
    <w:bookmarkEnd w:id="14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J. Packaging and Distribution in the United States and Other Jurisdictions</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If our products are made available to authorized users of the Federal Supply Schedule of the General Services Administration, additional laws and requirements apply in the United States (and similar laws may apply in other jurisdictions). Products must meet applicable child -resistant packaging requirements under the U.S. Poison Prevention Packaging Act. Manufacturing, sales, promotion and other activities also are potentially subject to federal and state consumer protection and unfair competition laws.</w:t>
      </w:r>
    </w:p>
    <w:p>
      <w:pPr>
        <w:spacing w:after="0" w:line="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7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K. Other Environmental, Health and Safety Laws and Regulations</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the United States, the European Union and other jurisdictions, 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5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L. Regulation of Artificial Intelligence Systems and Models</w:t>
      </w:r>
    </w:p>
    <w:p>
      <w:pPr>
        <w:spacing w:after="0" w:line="19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levels have been actively engaged in advancing policy frameworks, discussion papers, standards, and proposed legislation regarding the development and use of AI by life sciences companies and, where applicable, applying existing regulatory frameworks to particular uses of AI (e.g., by the FDA). Likewise, the EU and other countries and jurisdictions extensively regulate (or intend to extensively regulate) the development and use of AI systems and models. The processes for monitoring emerging regulatory frameworks, evaluating how current and emerging requirements for AI apply to our business, along with subsequent compliance with applicable requirements, require the expenditure of substantial time and financial resources.</w:t>
      </w:r>
    </w:p>
    <w:p>
      <w:pPr>
        <w:spacing w:after="0" w:line="4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 biotech company could use AI in a number of different contexts. It may use AI in the medicines lifecycle for drug discovery, for non-clinical research and development, for data analysis in clinical trials and with regard to real world data, for precision medicine (e.g., clinical decision support), for assessing eligibility for clinical trials, for drafting medicinal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5" w:name="page146"/>
    <w:bookmarkEnd w:id="14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product information documents, in the manufacturing of medicinal products, or to assist with post-authorization safety monitoring, among other potential uses. If the AI is intended to perform a regulated activity (such as related to drug manufacturing, release testing, or producing clinical/diagnostic outputs) or otherwise be used in operations that are the subject of scrutiny by health authorities, the use of AI could trigger health authority oversight and, in some cases, application of existing laws and regulations relevant to healthcare, pharmaceuticals, and/or medical devices or sector-agnostic AI laws and regulations.</w:t>
      </w:r>
    </w:p>
    <w:p>
      <w:pPr>
        <w:spacing w:after="0" w:line="71"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Outside the drug development and commercialization context, a biotech company may use AI for other operational reasons. For example, a company may have plans to use automated recruitment tools, deploy facial recognition technology to ensure security of its services, use customer service chatbots, or allow its employees to use generative AI or general-purpose AI tools to increase the efficiencies of administrative tasks.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company will need to identify how it uses AI in its business operations, and identify the relevant applicable regulatory regime that applies to ensure compliance.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Failure to adhere to (or remain up to date with evolving) regulatory requirements may lead to compliance actions, penalties and other risks.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9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In the United States, Congress, the White House, and various federal agencies have advanced proposed AI legislation, policy frameworks, whitepapers, and governing principles to address the use of AI, including when used in healthcare and life sciences. Of particular relevance to biotech companies, the FDA has been adapting and applying existing regulatory frameworks to account for AI and has issued guidance, discussion papers, and frameworks outlining FDA’s approach to regulation and oversight of health-related uses of AI. For example, FDA issued two discussion papers on the use of AI in drug manufacturing (March 2023) and the development of drug and biological products (May 2023). The discussion papers described the various ways in which AI can be used throughout various stages of biopharmaceutical development and commercialization processes and solicited stakeholder feedback on several issues, including human-led governance and transparency, quality and reliability of data, AI model performance, validation, and monitoring, and where guidance from FDA would be beneficial for the industry. The discussion papers also recognized the potential utility of several existing “sector-agnostic” frameworks and standards, such as the AI Risk Management Framework issued by the National Institute of Standards and Technology and frameworks focused on AI- enabled medical devices. To date, FDA has been applying its existing regulations for drug and biologic discovery, development, clinical testing and manufacturing to companies utilizing AI in these processes, such that companies seeking to incorporate AI into processes that are subject to FDA oversight need to demonstrate compliance with the existing regulations for drug and biologic sponsors. FDA also actively regulates some health-related AI as “software as a medical device,” or SaMD, and has issued a number of guidance documents and papers over the years describing FDA’s regulatory approach to SaMD, including AI-based SaMD.</w:t>
      </w:r>
    </w:p>
    <w:p>
      <w:pPr>
        <w:spacing w:after="0" w:line="75"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Additionally, in October 2023, the Biden Administration issued an Executive Order on the Safe, Secure, and Trustworthy Development of Artificial Intelligence, the AI Executive Order. The AI Executive Order contained a number of directives that may impact the life sciences sector, including directives to HHS to establish an AI “Task Force” responsible for issuing guidance on a number of AI topics (such as long-term safety and real-world performance monitoring, predictive and generative AI, equity principles, and privacy and security standards), develop a strategy for regulating the use of AI in drug development processes, develop an “AI assurance policy” to evaluate the performance of AI- enabled healthcare tools, and establish a common framework for capturing clinical errors resulting from AI deployed in healthcare settings. The AI Executive Order also sets forth certain reporting requirements for the development of certain AI models using primarily biological sequence data that meet outlined technical thresholds.</w:t>
      </w:r>
    </w:p>
    <w:p>
      <w:pPr>
        <w:spacing w:after="0" w:line="74"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Members of Congress also have introduced a number of bills on AI regulation. In addition to proposed legislation, certain senators have released a proposed bipartisan framework for regulating AI that would, among other things, establish a licensing regime for certain types of higher-risk AI models, require transparency of essential information about training data, accuracy, limitations, and safety of the model, and mandate transparency with end users prior to their interaction with a model. Another senator likewise released a whitepaper about the oversight and legislative role of Congress related to the deployment of AI in the life sciences sector, which disfavored a “one-size-fits-all” approach to AI regulation and instead called for approaches that take context of use into account and leverage existing frameworks.</w:t>
      </w:r>
    </w:p>
    <w:p>
      <w:pPr>
        <w:spacing w:after="0" w:line="4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continue to monitor developments in the regulation of AI in drug and biologic development and commercialization, or for more general business practices, and to assess the applicability of these evolving frameworks and policies as well as existing legal frameworks apply to our uses of AI. If we fail to meet regulator expectations or comply with applicable requirements, that could impact our ability to utilize AI-related processes or information in our development of product candidates or could subject us to delays, penalties or other risks.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46" w:name="page147"/>
    <w:bookmarkEnd w:id="14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European Union</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EU Artificial Intelligence Act, or the EU AI Act, which is scheduled for a final vote in the European Parliament in April 2024, will establish rules governing certain AI systems and general-purpose AI models that apply across the EU. It will apply to various actors along the AI value chain, including “providers” and “deployers” of AI systems classified as “high-risk,” “providers” of general- purpose AI models, and “providers” of general-purpose AI models with “systemic risk.” It also will prohibit certain AI practices and impose transparency requirements in relation to AI systems and general-purpose AI models generally.</w:t>
      </w:r>
    </w:p>
    <w:p>
      <w:pPr>
        <w:spacing w:after="0" w:line="71"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EU AI Act will apply to providers, located in or outside the EU, that place on the market or put into service AI systems in the EU, or that place on the market general -purpose AI models in the EU. It will also apply to deployers of AI systems located or established in the EU, and to providers or deployers located or established outside the EU where the output of the system is used in the EU. Whether a biotech company incurs obligations under the EU AI Act will depend on whether it develops, offers, or uses any AI systems or general-purpose AI models; whether it qualifies as a “provider,” “deployer,” or other regulated actor; and the jurisdiction where the system is put into service, where the system or model is placed on the market, or where the output of a system is used.</w:t>
      </w:r>
    </w:p>
    <w:p>
      <w:pPr>
        <w:spacing w:after="0" w:line="73"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Providers and deployers of “high-risk AI systems” will need to comply with numerous obligations that apply to such systems. The obligations for providers and deployers differ, with the majority of obligations falling to providers. The EU AI Act also contemplates circumstances where a deployer or other third-party must assume the obligations of the provider, e.g., where the third-party makes a substantial modification to a high-risk AI system that has already been placed on the market or put into service, but where the modified system remains high risk. The EU AI Act sets out an exhaustive list of “high-risk AI systems” in Annexes II and III. The categories of such systems that might be relevant to offerings of biotech companies include products that require a notified body conformity assessment under the EU Medical Devices Regulation 2017/745 or EU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Medical Devices Regulation 2017/746.</w:t>
      </w:r>
    </w:p>
    <w:p>
      <w:pPr>
        <w:spacing w:after="0" w:line="77"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The EU AI Act will impose a separate set of obligations on providers of “general-purpose AI models” and an additional set of obligations on providers of “general -purpose AI models with systemic risk.” Models that have “high-impact capabilities” will by default be designated as models with “systemic risk.” General-purpose AI models—with or without “systemic risk”— do not constitute “AI systems” in and of themselves, but they may be integrated into general-purpose AI systems, or systems with an intended purpose, including a high-risk purpose. Whether these obligations apply to a biotech company will depend on whether it develops any general-purpose AI models (or have them developed on its behalf) and place them on the market in the EU. If so, it will need to assess whether any of these models qualify as general-purpose AI models with systemic risk, which would require it to comply with additional obligations.</w:t>
      </w:r>
    </w:p>
    <w:p>
      <w:pPr>
        <w:spacing w:after="0" w:line="77"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Of particular relevance to the biotech industry, the EMA has published a draft reflection paper on the use of AI (July 2023), which is aimed at biopharmaceutical companies intending to use AI in the lifecycle of their medicines, including for drug discovery, design, and development. It also covers the use of medical devices with AI/machine-learning (ML) technology that are used to generate data or other evidence to support an EU marketing authorization for a medicine (i.e., used within the context of clinical trials or combined with the use of a medicine). The EMA’s view of “high risk” AI differs from the classifications used in the EU AI Act and requires biotech companies to assess whether the use of AI is “high- risk” for the purpose of the EU medicines rules. This means determining whether there is a high-risk that it could impact or affect the integrity of data used to support an application for a medicine approval (and thus the EMA’s assessment of the safety and efficacy of that medicine for patients). As a result, potentially, non-high-risk AI under the EU AI Act could still be relevant to the EMA if it impacts evidence generation for a medicine. The EMA guidance puts the onus on marketing authorization applicants/marketing authorization holders to ensure AI used during the medicines lifecycle is compliant with the medicines rules. If a biotech company intends to use AI in the context of its medicines it will need to carry out a regulatory impact and risk analysis and potentially discuss higher risk uses with the EMA.</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Failure to adhere to (or remain up to date with evolving) EU regulatory requirements may lead to delays, compliance risks, and penalties.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Rest of World</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Outside the United States and EU, the requirements governing the use and deployment of AI may vary from country to country. A company will need to identify how it uses AI in its business operations, and identify the relevant applicable regulatory regime that applies to ensure compliance. Failure to adhere to (or remain up to date with evolving) regulatory requirements may lead to delays, compliance risks, and penalties.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XI. Intellectual Property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7" w:name="page148"/>
    <w:bookmarkEnd w:id="14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 Introduction</w:t>
      </w:r>
    </w:p>
    <w:p>
      <w:pPr>
        <w:spacing w:after="0" w:line="178"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We pursue a layered intellectual property strategy to protect our various technology platforms and their application to the treatment of serious diseases, such as cancer and infectious diseases including COVID-19. One focus of our intellectual property strategy is to provide protection for our platforms and products as they are developed. We also pursue intellectual property protection for assets that may be used in future development programs, may be of interest to our collaborators, and/or otherwise may prove valuable in the field.</w:t>
      </w:r>
    </w:p>
    <w:p>
      <w:pPr>
        <w:spacing w:after="0" w:line="16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Various aspects of our technology platforms and our product candidates are claimed in patent filings. We also pursue other modalities of intellectual property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and/or product candidates, as developments arise or are identified.</w:t>
      </w:r>
    </w:p>
    <w:p>
      <w:pPr>
        <w:spacing w:after="0" w:line="169"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 xml:space="preserve">Regardless, we cannot be certain that any of the patent filings or other intellectual property rights that we have pursued or obtained will provide protection for any products as commercialized. The original version of our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COVID-19 vaccine product and our Omicron XBB.1.5- adapted monovalent COVID-19 vaccine have been approved, and our bivalent version (Original and Omicron BA.4/BA.5) has been authorized under Emergency Use Authorization (EUA) by the FDA in the United States for individuals 12 and older. In addition, both the original version of our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COVID-19 vaccine product, our Omicron XBB.1.5-adapted monovalent COVID-19 vaccine, and our bivalent vaccine were also authorized by the FDA in the United States under EUA for individuals 6 months to &lt;12 years old. As further variants of SARS -CoV-2 arise, and its impact and characteristics evolve, the composition, manufacture, and use (including, e.g., dosage regimen) of our COVID-19 vaccine products may be adjusted or modified and our filings may not protect them. Our other product candidates are currently in clinical testing, with no certainty that they will be successful, or that significant modification or adjustment may not be required for successful commercialization.</w:t>
      </w:r>
    </w:p>
    <w:p>
      <w:pPr>
        <w:spacing w:after="0" w:line="173"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in this Annual Report on Form 20-F.</w:t>
      </w:r>
    </w:p>
    <w:p>
      <w:pPr>
        <w:spacing w:after="0" w:line="17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As of January 1, 2024, our overall owned and in-licensed patent portfolio included more than 350 patent families, each of which includes at least one filing in the United States or Europe, and several of which are pending or granted in multiple jurisdictions. The patent families include at least 200 patent families that are solely or jointly owned by BioNTech, including certain families acquired through our acquisitions and others that we have licensed from a third party.</w:t>
      </w:r>
    </w:p>
    <w:p>
      <w:pPr>
        <w:spacing w:after="0" w:line="16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48" w:name="page149"/>
    <w:bookmarkEnd w:id="14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We did not extend any patent for our COVID-19 vaccine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when it was approved by the FDA in the United States in 2021. The United States also offers a different form of patent term extension, known as Patent Term Adjustment, or PTA, whereby a particular patent’s term is automatically extended beyond the 20-year date if the U.S. Patent and Trademark Office, or the USPTO, caused delay during its examination; however, potentially available PTA is reduced by any amount of any delay caused by the patent applicant.</w:t>
      </w:r>
    </w:p>
    <w:p>
      <w:pPr>
        <w:spacing w:after="0" w:line="173"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Below, we provide a summary of the contours of our current patent portfolio as it relates to different aspects of relevant technology, including noting ownership and patent terms for filings included in the portfolio that are directed to such aspects. Particularly given our pre- commercial state of development for many product candidates, we cannot be certain that any of the patent filings in our portfolio will provide meaningful protection for products that we do or attempt to commercialize.</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 Patent Portfolio</w:t>
      </w:r>
    </w:p>
    <w:p>
      <w:pPr>
        <w:spacing w:after="0" w:line="8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patent portfolios for our most advanced programs are summarized below. Patent prosecution is a lengthy process, during which the scope of the claims initially submitted to the USPTO and similar authorities for examination can be significantly narrowed by the time they issue, if they issue at all. We expect this could be the case with respect to some of our pending patent applications referred to below.</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1. mRNA</w:t>
      </w:r>
    </w:p>
    <w:p>
      <w:pPr>
        <w:spacing w:after="0" w:line="17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The patent portfolio for our mRNA therapeutic platforms and product candidates includes patent filings directed to features of therapeutic mRNA structures, some of which are included in our COVID- 19 vaccine and in current development candidates. Our patent portfolio also includes patent filings directed to mRNA formulations (including their production and use), including the lipoplex formulations currently utilized with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and iNeST platforms, and the lipid nanoparticles currently utilized with our mRNA,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platforms, as well as patent filings directed to mRNA manufacturing, and to uses of mRNA therapeutics. We provide more detail below regarding the patent filings directed to these features.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mRNA Structure</w:t>
      </w:r>
    </w:p>
    <w:p>
      <w:pPr>
        <w:spacing w:after="0" w:line="192" w:lineRule="exact"/>
        <w:rPr>
          <w:sz w:val="20"/>
          <w:szCs w:val="20"/>
          <w:color w:val="auto"/>
        </w:rPr>
      </w:pPr>
    </w:p>
    <w:p>
      <w:pPr>
        <w:jc w:val="both"/>
        <w:ind w:right="20" w:firstLine="384"/>
        <w:spacing w:after="0" w:line="275" w:lineRule="auto"/>
        <w:rPr>
          <w:sz w:val="20"/>
          <w:szCs w:val="20"/>
          <w:color w:val="auto"/>
        </w:rPr>
      </w:pPr>
      <w:r>
        <w:rPr>
          <w:rFonts w:ascii="Times New Roman" w:cs="Times New Roman" w:eastAsia="Times New Roman" w:hAnsi="Times New Roman"/>
          <w:sz w:val="14"/>
          <w:szCs w:val="14"/>
          <w:color w:val="auto"/>
        </w:rPr>
        <w:t>Our patent portfolio includes patent filings directed to various features of mRNA structure, which may, for example, contribute to increased immunogenicity (e.g., antigen presentation), translation efficiency, and/or stability of mRNA constructs that include them. Such features include, for example, antigen -MHC fusions, 5’ cap structures and related features, 3’ UTR structures, polyA tails, reduced-uracil content mRNAs, and modified nucleoside RNAs. Filings directed to each of these features, and/or to RNA constructs that include them (singly or in combination), or collectively, the mRNA Structure Filings, have been made in the United States and various other jurisdictions. Some such mRNA Structure Filings are owned solely by BioNTech SE,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We have non-exclusive rights to use certain U.S. and European patent filings owned by University of Pennsylvania and relating to RNA containing modified nucleosides through our sublicense agreements with mRNA RiboTherapeutics, Inc. (MRT) and CellScript, LLC, collectively, the MRT-CellScript Sublicenses, and summarized below in “C. In-Licensing”. Issued existing mRNA Structure Filings have, and pending existing mRNA Structure Filings, if issued, would have, 20-year terms that extend into the mid-2020s to the early-2040s.</w:t>
      </w: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mRNA Formulations</w:t>
      </w:r>
    </w:p>
    <w:p>
      <w:pPr>
        <w:spacing w:after="0" w:line="19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patent portfolio includes patent filings directed to various formulations for mRNA delivery, some of which are utilized with current development candidates. For example, our portfolio includes patent filings directed to lipoplex formulations and preparations thereof or collectively, the mRNA Lipoplex Filings. Issued mRNA Lipoplex Filing(s) has/have, and pending existing mRNA Lipoplex Filings, if issued, would have, 20-year terms that extend into the mid to late-2030s. Such mRNA Lipoplex Filings are solely owned by BioNTech or jointly owned by BioNTech and TRON.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9" w:name="page150"/>
    <w:bookmarkEnd w:id="14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In addition, our portfolio includes U.S. and other patent filings directed to lipid nanoparticles and polyplex technologies, which are solely owned by BioNTech or jointly owned by BioNTech and TRON, or collectively, the mRNA Lipid Nanoparticle/Polyplex Filings. Issued mRNA Lipid Nanoparticle/Polyplex Filings have, and pending mRNA Lipid Nanoparticle/Polyplex Filings, if issued, would have, 20 year terms that extend into the mid- to late 2030s or early 2040s. Some of such mRNA Lipid Nanoparticle/Polyplex Filings were granted in certain foreign jurisdictions, and currently include U.S. issued patents. The terms of the co-ownership of such patent filings with TRON are summarized below in “C. In-Licensing.”</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mRNA Manufacturing</w:t>
      </w:r>
    </w:p>
    <w:p>
      <w:pPr>
        <w:spacing w:after="0" w:line="96"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other patent filings relating to certain aspects of mRNA purification and production. These mRNA Manufacturing Filings are either solely owned by BioNTech, or jointly owned by BioNTech and TRON and, if issued, would have 20-year terms that would extend into mid 2030 to early 2040s; there are patents granted in certain foreign jurisdictions including EP, but no U.S. patent was yet issued.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mRNA Commercial Products and Product Candidates</w:t>
      </w:r>
    </w:p>
    <w:p>
      <w:pPr>
        <w:spacing w:after="0" w:line="190"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4"/>
          <w:szCs w:val="14"/>
          <w:i w:val="1"/>
          <w:iCs w:val="1"/>
          <w:color w:val="auto"/>
        </w:rPr>
        <w:t>Our COVID -19 vaccine</w:t>
      </w:r>
      <w:r>
        <w:rPr>
          <w:rFonts w:ascii="Times New Roman" w:cs="Times New Roman" w:eastAsia="Times New Roman" w:hAnsi="Times New Roman"/>
          <w:sz w:val="14"/>
          <w:szCs w:val="14"/>
          <w:color w:val="auto"/>
        </w:rPr>
        <w:t>. Our COVID-19 vaccine (BNT162b2), marketed as</w:t>
      </w:r>
      <w:r>
        <w:rPr>
          <w:rFonts w:ascii="Times New Roman" w:cs="Times New Roman" w:eastAsia="Times New Roman" w:hAnsi="Times New Roman"/>
          <w:sz w:val="14"/>
          <w:szCs w:val="14"/>
          <w:i w:val="1"/>
          <w:iCs w:val="1"/>
          <w:color w:val="auto"/>
        </w:rPr>
        <w:t xml:space="preserve"> Comirnaty</w:t>
      </w:r>
      <w:r>
        <w:rPr>
          <w:rFonts w:ascii="Times New Roman" w:cs="Times New Roman" w:eastAsia="Times New Roman" w:hAnsi="Times New Roman"/>
          <w:sz w:val="14"/>
          <w:szCs w:val="14"/>
          <w:color w:val="auto"/>
        </w:rPr>
        <w:t>, is our most advanced mRNA product, and is sold in monovalent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Original strain as well as on the Omicron XBB.1.5 variant) and bivalent (one RNA based on the Original strain and one RNA based on an Omicron variant) formats. The monovalent format (Original and Omicron XBB.1.5) has received full U.S. FDA approval for individuals 12 and older and Emergency Use Authorization (EUA) for individuals 6 months to &lt;12 years old, as well as full and/or conditional marketing approval in various other jurisdictions. The bivalent format (Original and Omicron BA.4/BA.5) has been authorized under EUA by the FDA in the United States for individuals 6 months and older. In Europe, two bivalent versions (Original and Omicron BA.1; and Original and Omicron BA.4/BA.5) have received marketing authorization for individuals 12 years and older. Additional COVID-19 vaccine candidates, as well as various dosing regimens and use in patient populations with certain medical conditions are being tested in clinical trials.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Comirnaty and Other COVID-19 Vaccine mRNA Product Candidates</w:t>
      </w:r>
    </w:p>
    <w:p>
      <w:pPr>
        <w:spacing w:after="0" w:line="190"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Both our current and previously-marketed monovalent and bivalent COVID-19 vaccines utilize modified-nucleoside mRNA formulated in lipid nanoparticles and which encode an optimized SARS-CoV-2 full-length spike protein antigen.</w:t>
      </w:r>
    </w:p>
    <w:p>
      <w:pPr>
        <w:spacing w:after="0" w:line="155"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color w:val="auto"/>
        </w:rPr>
        <w:t>Our platform patent filings relevant to our COVID-19 vaccines, collectively, the “BNT162b2 Platform Filings”, include certain mRNA Structure Filings relating to features for increasing translation efficiency and/or stability of mRNA constructs (e.g., certain 3’ UTR structures containing a specific sequence element, interrupted polyA tails, and certain 5’ cap/cap proximal sequence combinations), including filings that are jointly owned by BioNTech and TRON; also relevant are certain mRNA Manufacturing Filings. Issued BNT162b2 Platform Filings have, and pending BNT162b2 Platform Filings, if issued, would have 20-year terms extending into the late-2020s to the early-2040s. We also have undertaken various patent filings specifically related to the BNT162b2 structure (including as may be tailored based on particular SARS-CoV-2 variants), composition, formulation, packaging, use and/or manufacture, collectively the BNT162b2 Filings, including filings that have arisen through collaboration with third parties such as Pfizer. Such filings relevant to our COVID-19 vaccines, if issued, would have 20-year terms that would extend into early 2040s; there is one issued U.S. patent and one allowed U.S. patent application within the BNT162b2 Filings that covers our COVID-19 vaccines.</w:t>
      </w:r>
    </w:p>
    <w:p>
      <w:pPr>
        <w:spacing w:after="0" w:line="14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As noted above, our MRT-CellScript Sublicenses grant us rights to use certain U.S. and European patents and applications relating to mRNA containing modified nucleosides, including as used in BNT162b2. We also have a non-exclusive license from the National Institutes of Health granting us a right to use certain technology described in U.S. and European patent filings that may relate to SARS-CoV-2 spike (S) protein mutations that lock the S protein in an antigenically preferred prefusion conformation; such a variant is utilized in BNT162b2.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0" w:name="page151"/>
    <w:bookmarkEnd w:id="15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Additionally, we have obtained third-party licenses to technologies relating to certain lipids and/or lipid nanoparticles and formulations used in BNT162b2, including a non-exclusive license from Acuitas Therapeutics Inc., or Acuitas, granting use rights relevant to proprietary lipid nanoparticles and formulations used in BNT162b2.</w:t>
      </w:r>
    </w:p>
    <w:p>
      <w:pPr>
        <w:spacing w:after="0" w:line="16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Additional COVID -19 vaccine mRNA product candidates are being developed and tested in clinical trials, which share with BNT162b2 certain structural elements, and/or features of the composition, formulation, packaging, use and/or method of manufacture. Thus, some or all of the BNT162b2 Platform Filings and/or BNT162b2 Filings, as well as the in -licensed rights discussed above with respect to BNT162b2, may be relevant to certain of these candidates. We have also undertaken patent filings specifically related to structures and uses of certain such additional candidates, including BNT162b4, which includes a T-cell antigen mRNA encoding SARS-CoV-2 non-spike protein antigens that are highly conserved across a broad range of SARS-CoV-2 variants and were chosen based on our proprietary target prioritization platform and which is being assessed in combination with our monovalent and bivalent COVID-19 vaccine products, and BNT162b5, a bivalent product that includes RNAs encoding enhanced prefusion spike proteins for the SARS -CoV-2 Original strain and an Omicron variant. Such filings specifically relevant to BNT162b4 or BNT162b5, if issued, would have 20-year terms that would extend into the early 2040s.</w:t>
      </w:r>
    </w:p>
    <w:p>
      <w:pPr>
        <w:spacing w:after="0" w:line="1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Moreover, we are currently studying safety and efficacy of our COVID-19 vaccines and vaccine candidates in various dosing regimens (including booster doses) and/or in different age groups and/or individuals with various medical conditions, and also in combination with other vaccines or therapies. Certain of our patent filings, including certain BNT162b2 Filings, cover such uses being tested in clinical trials.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Oncology mRNA Product Candidates</w:t>
      </w:r>
    </w:p>
    <w:p>
      <w:pPr>
        <w:spacing w:after="0" w:line="190"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Certain mRNA oncology product candidates are also in clinical development and involve various platforms. Our pipeline also includes mRNA product candidates for treatment of certain infectious diseases beyond COVID-19, and mRNA product candidates for protein replacement therapy in certain rare diseases. We currently have more than 10 clinical oncology programs in Phase 1 or Phase 2. Our most advanced clinical oncology programs involve our iNeST immunotherapy product candidates being developed with our collaborator, Genentech. We also have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in Phase 1 and Phase 2 clinical trials and have initiated Phase 1 clinical trials of our mRNA-based intratumoral immunotherapy developed through our collaboration with Sanofi.</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FixVac</w:t>
      </w:r>
    </w:p>
    <w:p>
      <w:pPr>
        <w:spacing w:after="0" w:line="18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share many of the structural elements involved in our iNeST product candidates. Thus, some or all of the mRNA Structure Filings relevant to our iNeST product candidates and discussed below are also relevant to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These patent filings, or the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Platform Filings, include mRNA Structure Filings relating to antigen-MHC fusions, certain 5’ cap structures, 3’ UTR structures containing a specific sequence element, and interrupted polyA tails, which are solely or jointly owned by BioNTech or BioNTech’s licensors. Issued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Platform Filings have, and pending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Platform Filings, if issued, would have, 20-year terms extending into the mid-2020s to the mid-2030s. While we have pursued or obtained patent protection covering components of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manufacturing-related methods and/or formulations, we do not currently have any claims in our owned or in-licensed issued patents that cover the overall construct used in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w:t>
      </w:r>
    </w:p>
    <w:p>
      <w:pPr>
        <w:spacing w:after="0" w:line="17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6"/>
          <w:szCs w:val="16"/>
          <w:color w:val="auto"/>
        </w:rPr>
        <w:t>Our patent portfolio further includes U.S. and other patent filings relating to combined uses of our</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and iNeST product candidates. Such issued patent filings have, and such pending patent filings, if issued, would have, 20-year terms that extend into 2033, and are jointly owned by BioNTech and TRON.</w:t>
      </w:r>
    </w:p>
    <w:p>
      <w:pPr>
        <w:spacing w:after="0" w:line="150"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 xml:space="preserve">Our current clinical trials for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are studying such product candidates in treatment of various cancers. While we do not currently have any claims in our owned or in-licensed issued patents that are directed to use of our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in the indications of these clinical trials, certain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Platform Filings include specific reference to treatment of these indications, and if issued, would have 20-year terms extending into the mid-2030s.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iNeST</w:t>
      </w:r>
    </w:p>
    <w:p>
      <w:pPr>
        <w:spacing w:after="0" w:line="90"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Our patent filings relevant to our iNeST product candidates include mRNA Structure Filings relating to features for increasing antigen presentation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antigen-MHC fusions) and features for increasing translation efficiency and/or stability of mRNA constructs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certain 5’ cap structures, 3’ UTR structures containing a specific sequence element,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1" w:name="page152"/>
    <w:bookmarkEnd w:id="15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polyA tails of a particular length or interrupted polyA tails); mRNA Lipoplex Filings relating to negatively charged lipoplexes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66"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Our patent portfolio further includes U.S. and other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2030s. Many of the Neoantigen Filings are solely owned by BioNTech, or jointly owned by BioNTech and TRON; our acquisition of Neon added various Neoantigen Filings, including both BioNTech U.S.-owned and in-licensed filings. BioNTech and TRON jointly own issued EP patent number 2714071, whose claims recite steps relating to neoantigen selection, that were unsuccessfully opposed by multiple third parties; said third parties have appealed the decision to reject such opposition. In addition, related EP patent numbers 3473267 and 3892295 from the same patent family with claims reciting steps relating to neoantigen selection for an RNA vaccine encoding a recombinant polyepitopic polypeptide are being opposed by a third party; claims in the related U.S. case are granted. If we are unsuccessful in these opposition/appeal proceedings, the patent claims for our iNeST product candidates may be narrowed, or a patent may not issue at all. See “Risk Factors—Risks Related to our Intellectual Property” in this Annual Report on Form 20-F.</w:t>
      </w:r>
    </w:p>
    <w:p>
      <w:pPr>
        <w:spacing w:after="0" w:line="170"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are currently studying our iNeST product candidates for the treatment of metastatic melanoma and pancreatic cancer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u w:val="single" w:color="auto"/>
          <w:color w:val="auto"/>
        </w:rPr>
        <w:t>Intratumoral Immunotherapies</w:t>
      </w:r>
    </w:p>
    <w:p>
      <w:pPr>
        <w:spacing w:after="0" w:line="186"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auto"/>
        </w:rPr>
        <w:t xml:space="preserve">Certain of the mRNA Structure Filings (including some that are relevant to iNeST and/or </w:t>
      </w:r>
      <w:r>
        <w:rPr>
          <w:rFonts w:ascii="Times New Roman" w:cs="Times New Roman" w:eastAsia="Times New Roman" w:hAnsi="Times New Roman"/>
          <w:sz w:val="14"/>
          <w:szCs w:val="14"/>
          <w:i w:val="1"/>
          <w:iCs w:val="1"/>
          <w:color w:val="auto"/>
        </w:rPr>
        <w:t>FixVac</w:t>
      </w:r>
      <w:r>
        <w:rPr>
          <w:rFonts w:ascii="Times New Roman" w:cs="Times New Roman" w:eastAsia="Times New Roman" w:hAnsi="Times New Roman"/>
          <w:sz w:val="14"/>
          <w:szCs w:val="14"/>
          <w:color w:val="auto"/>
        </w:rPr>
        <w:t xml:space="preserve"> product candidates, as discussed above) are also directed to one or more features of our intratumoral immunotherapies, including our most advanced intratumoral immunotherapy, which we are developing through our collaboration with Sanofi, and which has entered Phase 1 clinical trials. For example, mRNA Structure Filings relating to 3’ UTR structures containing a specific sequence element, and interrupted polyA tail structures, which, as noted above are solely or jointly owned by BioNTech, provide protection to our current intratumoral immunotherapy development candidate. Such issued patent filing(s) has/have, and such pending patent filings, if issued, would have, 20-year terms that extend into the mid-2030s.</w:t>
      </w:r>
    </w:p>
    <w:p>
      <w:pPr>
        <w:spacing w:after="0" w:line="142"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Certain patent filings that are relevant to intratumoral immunotherapies include certain patent filings under the MRT-CellScript Sublicenses, which include patent filings directed to nucleotide-modified mRNAs.</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We have assigned certain of such mRNA Cytokine Filings (including one issued foreign patent) to Sanofi in accordance with our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u w:val="single" w:color="auto"/>
          <w:color w:val="auto"/>
        </w:rPr>
        <w:t xml:space="preserve">RiboMabs </w:t>
      </w:r>
      <w:r>
        <w:rPr>
          <w:rFonts w:ascii="Times New Roman" w:cs="Times New Roman" w:eastAsia="Times New Roman" w:hAnsi="Times New Roman"/>
          <w:sz w:val="16"/>
          <w:szCs w:val="16"/>
          <w:u w:val="single" w:color="auto"/>
          <w:color w:val="auto"/>
        </w:rPr>
        <w:t>and</w:t>
      </w:r>
      <w:r>
        <w:rPr>
          <w:rFonts w:ascii="Times New Roman" w:cs="Times New Roman" w:eastAsia="Times New Roman" w:hAnsi="Times New Roman"/>
          <w:sz w:val="16"/>
          <w:szCs w:val="16"/>
          <w:i w:val="1"/>
          <w:iCs w:val="1"/>
          <w:u w:val="single" w:color="auto"/>
          <w:color w:val="auto"/>
        </w:rPr>
        <w:t xml:space="preserve"> RiboCytokines</w:t>
      </w:r>
    </w:p>
    <w:p>
      <w:pPr>
        <w:spacing w:after="0" w:line="92"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We own or license a number of patent filings directed to our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programs. Many are owned solely by us, some are jointly owned, and some have been acquired or licensed.</w:t>
      </w:r>
    </w:p>
    <w:p>
      <w:pPr>
        <w:spacing w:after="0" w:line="15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color w:val="auto"/>
        </w:rPr>
        <w:t xml:space="preserve">Patent filings relevant to our </w:t>
      </w:r>
      <w:r>
        <w:rPr>
          <w:rFonts w:ascii="Times New Roman" w:cs="Times New Roman" w:eastAsia="Times New Roman" w:hAnsi="Times New Roman"/>
          <w:sz w:val="16"/>
          <w:szCs w:val="16"/>
          <w:i w:val="1"/>
          <w:iCs w:val="1"/>
          <w:color w:val="auto"/>
        </w:rPr>
        <w:t>RiboMab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RiboCytokine</w:t>
      </w:r>
      <w:r>
        <w:rPr>
          <w:rFonts w:ascii="Times New Roman" w:cs="Times New Roman" w:eastAsia="Times New Roman" w:hAnsi="Times New Roman"/>
          <w:sz w:val="16"/>
          <w:szCs w:val="16"/>
          <w:color w:val="auto"/>
        </w:rPr>
        <w:t xml:space="preserve"> programs include certain mRNA Structure Filings that are also relevant to our iNeST and/or</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including certain patent filings relating to 3’ UTR structures containing a specific sequence element, and interrupted polyA tail structures; and patent filings under the MRT-CellScript Sublicenses relating to nucleoside-modified mRNAs as well as certain patent filings we have licensed from Acuitas and Genevant relating to lipid or non-liposomal formulations.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2" w:name="page153"/>
    <w:bookmarkEnd w:id="15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Infectious Diseases beyond COVID-19</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As is discussed elsewhere, we have collaborated with third parties, including Pfizer and the University of Pennsylvania, to develop infectious disease mRNA vaccine candidates, some of which are currently in clinical trials at different phases, including mRNA vaccines against influenza (Phase 3) and HSV (Phase 1). We are also developing our own mRNA vaccines against malaria, which has recently entered Phase 1 clinical trial.</w:t>
      </w:r>
    </w:p>
    <w:p>
      <w:pPr>
        <w:spacing w:after="0" w:line="164"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Certain patent filings that might be useful to our infectious disease mRNA vaccines include certain of the mRNA Structure Filings and the mRNA Lipid Nanoparticle/Polyplex Filings as well as certain patent filings under the MRT-CellScript Sublicenses, which include patent filings directed to nucleotide-modified mRNAs. Self-Amplifying RNA Filings as discussed above may also be relevant. We have also undertaken and continue to undertake filings specific to particular product candidates.</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have also licensed technologies relating to certain lipids and/or lipid nanoparticles and formulations that may be useful for certain infectious disease mRNA vaccines.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u w:val="single" w:color="auto"/>
          <w:color w:val="auto"/>
        </w:rPr>
        <w:t>Rare Diseases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developing mRNA-based protein replacement therapy for several rare disease indications through our collaboration with Genevant.</w:t>
      </w:r>
    </w:p>
    <w:p>
      <w:pPr>
        <w:spacing w:after="0" w:line="186" w:lineRule="exact"/>
        <w:rPr>
          <w:sz w:val="20"/>
          <w:szCs w:val="20"/>
          <w:color w:val="auto"/>
        </w:rPr>
      </w:pPr>
    </w:p>
    <w:p>
      <w:pPr>
        <w:jc w:val="both"/>
        <w:ind w:firstLine="384"/>
        <w:spacing w:after="0"/>
        <w:rPr>
          <w:sz w:val="20"/>
          <w:szCs w:val="20"/>
          <w:color w:val="auto"/>
        </w:rPr>
      </w:pPr>
      <w:r>
        <w:rPr>
          <w:rFonts w:ascii="Times New Roman" w:cs="Times New Roman" w:eastAsia="Times New Roman" w:hAnsi="Times New Roman"/>
          <w:sz w:val="16"/>
          <w:szCs w:val="16"/>
          <w:color w:val="auto"/>
        </w:rPr>
        <w:t xml:space="preserve">Certain of the mRNA Structure Filings (including some that are relevant to iNeST and/or </w:t>
      </w:r>
      <w:r>
        <w:rPr>
          <w:rFonts w:ascii="Times New Roman" w:cs="Times New Roman" w:eastAsia="Times New Roman" w:hAnsi="Times New Roman"/>
          <w:sz w:val="16"/>
          <w:szCs w:val="16"/>
          <w:i w:val="1"/>
          <w:iCs w:val="1"/>
          <w:color w:val="auto"/>
        </w:rPr>
        <w:t>FixVac</w:t>
      </w:r>
      <w:r>
        <w:rPr>
          <w:rFonts w:ascii="Times New Roman" w:cs="Times New Roman" w:eastAsia="Times New Roman" w:hAnsi="Times New Roman"/>
          <w:sz w:val="16"/>
          <w:szCs w:val="16"/>
          <w:color w:val="auto"/>
        </w:rPr>
        <w:t xml:space="preserve"> product candidates, as discussed above) and patent filings under the MRT-CellScript Sublicenses (including patent filings directed to nucleoside- modified mRNAs) also provide protection for one or more features of mRNA-based protein replacement product candidates. For example, mRNA Structure Filings include patent filings directed to 3’ UTR structures containing a specific sequence element and interrupted poly A tail structures. As noted above, such mRNA Structure Filings are solely or jointly owned by BioNTech; such issued patent filing(s) has/have, and such pending patent filings, if issued, would have 20-year terms that would extend into the mid-2030s. However, there are currently no issued patents specific to our rare disease product candidates under development.</w:t>
      </w:r>
    </w:p>
    <w:p>
      <w:pPr>
        <w:spacing w:after="0" w:line="17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patent portfolio relating to our rare disease programs also include certain patent filings that we have licensed from Genevant, or the Genevant Filings. Specifically, some of the Genevant Filings are owned by Arbutus Biopharma Corporation and relate primarily to lipid or non-liposomal formulations that might be useful in these programs, with 20-year terms that extend into mid-2020s to mid-2030s for the issued Genevant Filings and the pending Genevant Filings, if issued.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2. Cell Therapy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Engineered Cell Therapy</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Our engineered cell therapy product class features use of chimeric antigen receptor, or CAR-, T cell or individualized T-cell receptors for oncology therapy. Our patent filings relevant to these platforms and product candidates, or the CAR-T/TCR Filings, are generally co-owned by BioNTech US, BioNTech Cell &amp; Gene Therapies and TRON. For example, the CAR-T/TCR Filings include patent filings directed to various CAR-T formats and methods of enhancing CAR-T cells by nucleic acid vaccination, as well as patent filings directed to compositions of matter comprising individualized T-cell receptors, for example. The CAR-T/TCR Patent Filings, if issued, would have patent terms that would extend into the mid-2030s to early 2040s.</w:t>
      </w:r>
    </w:p>
    <w:p>
      <w:pPr>
        <w:spacing w:after="0" w:line="169" w:lineRule="exact"/>
        <w:rPr>
          <w:sz w:val="20"/>
          <w:szCs w:val="20"/>
          <w:color w:val="auto"/>
        </w:rPr>
      </w:pPr>
    </w:p>
    <w:p>
      <w:pPr>
        <w:jc w:val="both"/>
        <w:ind w:right="40" w:firstLine="384"/>
        <w:spacing w:after="0" w:line="289" w:lineRule="auto"/>
        <w:rPr>
          <w:sz w:val="20"/>
          <w:szCs w:val="20"/>
          <w:color w:val="auto"/>
        </w:rPr>
      </w:pPr>
      <w:r>
        <w:rPr>
          <w:rFonts w:ascii="Times New Roman" w:cs="Times New Roman" w:eastAsia="Times New Roman" w:hAnsi="Times New Roman"/>
          <w:sz w:val="14"/>
          <w:szCs w:val="14"/>
          <w:color w:val="auto"/>
        </w:rPr>
        <w:t>Certain CAR -T programs involve CAR-T-cell product candidates that target different members of the claudin family. Our patent portfolio includes certain patent filings specifically relevant to our claudin- specific CAR-T-cell product candidates and are jointly owned by BioNTech Cell &amp; Gene Therapies, and TRON, or the Claudin-Specific CAR-T Cell Filings. The issued Claudin-Specific CAR-T-cell filings have, and the pending Claudin-Specific CAR-T- cell filings, if issued, would have, 20-year terms extending into the mid-2030s. The terms of our co-ownership of such patent filings with TRON are summarized below in “—C. In-Licensing.”</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Activated T Cells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3" w:name="page154"/>
    <w:bookmarkEnd w:id="15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Our acquisition of Neon included technologies for using peripheral blood mononuclear cells, or PBMCs, (e.g., collected from apheresis material of patients) as a starting material to induce and/or expand ex vivo functional T cells specific for therapeutically-relevant neoantigens.</w:t>
      </w:r>
    </w:p>
    <w:p>
      <w:pPr>
        <w:spacing w:after="0" w:line="155"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Our BNT221 program, formerly Neon’s NEO -PTC- 01 program, is a personalized adoptive T-cell therapy, which uses multiple T-cell populations expanded from an individual patient’s PBMCs that together target a set of neoantigens expressed by that patient’s tumor.</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Patent filings relevant to BNT221, referred to herein as the T-cell Induction/Expansion Filings, are generally solely owned by BioNTech US, or co-owned by BioNTech US and the Netherlands Cancer Institute (NKI). For example, the T Cell Induction/Expansion Filings include patent filings directed to therapeutic T cell compositions and methods of ex vivo induction and/or expansion of antigen-specific T cells. An issued subsisting T-cell Induction/Expansion Filing in the United States has, and pending subsisting T-cell Induction/Expansion Filings, if issued, would have, patent terms that extend into the late-2030s to early-2040s.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3. Antibodies</w:t>
      </w:r>
    </w:p>
    <w:p>
      <w:pPr>
        <w:spacing w:after="0" w:line="17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CD-40 or EpCAM. Our patent portfolio includes certain patent filings relevant to such bispecific antibodies, or the Bispecific Checkpoint Modulator Filings, co-owned by us and Genmab. Such Bispecific Checkpoint Modulator Filings, if issued, would have 20-year terms that would extend into the late 2030s.</w:t>
      </w:r>
    </w:p>
    <w:p>
      <w:pPr>
        <w:spacing w:after="0" w:line="71" w:lineRule="exact"/>
        <w:rPr>
          <w:sz w:val="20"/>
          <w:szCs w:val="20"/>
          <w:color w:val="auto"/>
        </w:rPr>
      </w:pPr>
    </w:p>
    <w:p>
      <w:pPr>
        <w:jc w:val="both"/>
        <w:ind w:right="20" w:firstLine="336"/>
        <w:spacing w:after="0" w:line="243" w:lineRule="auto"/>
        <w:rPr>
          <w:sz w:val="20"/>
          <w:szCs w:val="20"/>
          <w:color w:val="auto"/>
        </w:rPr>
      </w:pPr>
      <w:r>
        <w:rPr>
          <w:rFonts w:ascii="Times New Roman" w:cs="Times New Roman" w:eastAsia="Times New Roman" w:hAnsi="Times New Roman"/>
          <w:sz w:val="16"/>
          <w:szCs w:val="16"/>
          <w:color w:val="auto"/>
        </w:rPr>
        <w:t>We have also recently expanded our collaboration with Genmab to include development of monospecific antibody candidates to address malignant solid tumors. For example, BNT313 is a CD27 antibody based on Genmab’s proprietary HexaBody technology platform, specifically engineered to form an antibody hexamer (a formation of six antibodies) upon binding its target on the cell membrane of the T cells. We have also undertaken and continue to undertake filings specific to particular product candidates.</w:t>
      </w:r>
    </w:p>
    <w:p>
      <w:pPr>
        <w:spacing w:after="0" w:line="71" w:lineRule="exact"/>
        <w:rPr>
          <w:sz w:val="20"/>
          <w:szCs w:val="20"/>
          <w:color w:val="auto"/>
        </w:rPr>
      </w:pPr>
    </w:p>
    <w:p>
      <w:pPr>
        <w:jc w:val="both"/>
        <w:ind w:right="40" w:firstLine="336"/>
        <w:spacing w:after="0" w:line="247" w:lineRule="auto"/>
        <w:rPr>
          <w:sz w:val="20"/>
          <w:szCs w:val="20"/>
          <w:color w:val="auto"/>
        </w:rPr>
      </w:pPr>
      <w:r>
        <w:rPr>
          <w:rFonts w:ascii="Times New Roman" w:cs="Times New Roman" w:eastAsia="Times New Roman" w:hAnsi="Times New Roman"/>
          <w:sz w:val="16"/>
          <w:szCs w:val="16"/>
          <w:color w:val="auto"/>
        </w:rPr>
        <w:t>We own patent assets acquired from MabVax Therapeutics Holding, Inc.,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4. Small Molecule Immunomodulators</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 In-Licensing</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Some of our intellectual property assets have been acquired by acquisition and/or in-licensing.</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pursued a strategy of identifying and in-licensing third-party patents that we believe are complementary to or otherwise interact synergistically with our own intellectual property portfolio. In addition to the agreements described in the section “—B.IX. Third-Party Collaborations” above, we have entered into material intellectual property licensing or option arrangements with TRON, Louisiana State University, MRT-CellScript, and Acuitas.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key terms of these arrangements are summarized below.</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TRON Agreements</w:t>
      </w:r>
    </w:p>
    <w:p>
      <w:pPr>
        <w:spacing w:after="0" w:line="192"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In 2015, we and our subsidiaries BioNTech RNA (now merged into BioNTech SE),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4" w:name="page155"/>
    <w:bookmarkEnd w:id="15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Pharmaceuticals AG, or Ganymed, TRON, Johannes Gutenberg- 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(now merged into BioNTech SE),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TRON Research Agreement</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are entitled to the exclusive rights to all inventions, methods, specifications, materials, documents, data, know- 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 non -exclusive,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69"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6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6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5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In November 2017, we and TRON entered into a supplementary agreement to include certain research and development activities regarding neoepitope RNA immunotherapies as work included in the TRON Research Agreement. In February 2022, we agreed to extend the term of the supplementary agreement.</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TRON License Agreement</w:t>
      </w:r>
    </w:p>
    <w:p>
      <w:pPr>
        <w:spacing w:after="0" w:line="96"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3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55" w:name="page156"/>
    <w:bookmarkEnd w:id="15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small interfering RNA (siRNA) -based therapeutics, micro-proteins, antibody based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 receptors and RNA -based pharmaceuticals). The University Parties may use the Development Results for internal research purposes only. We have an obligation to use reasonable efforts to develop and commercialize products in our field of use worldwide.</w:t>
      </w:r>
    </w:p>
    <w:p>
      <w:pPr>
        <w:spacing w:after="0" w:line="17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are obligated to pay to the University Parties low single- 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seven-figure amount to Johannes Gutenberg-Universität Mainz.</w:t>
      </w:r>
    </w:p>
    <w:p>
      <w:pPr>
        <w:spacing w:after="0" w:line="169"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 -party claims of product liability or violation of applicable law based on our distribution of our products or if we breach the TRON License Agreement or if we or one of our agents acts culpably.</w:t>
      </w:r>
    </w:p>
    <w:p>
      <w:pPr>
        <w:spacing w:after="0" w:line="16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TRON Collaboration Agreement</w:t>
      </w:r>
    </w:p>
    <w:p>
      <w:pPr>
        <w:spacing w:after="0" w:line="96"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16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6" w:name="page157"/>
    <w:bookmarkEnd w:id="15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55"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Under the TRON Collaboration Agreement, TRON’s activities are invoiced at cost. TRON invoices us monthly and our payments are due no later than 10 days thereafter. Additionally, we are obligated to pay to TRON low single- 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7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that subsidiary.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LSU License Agreement</w:t>
      </w:r>
    </w:p>
    <w:p>
      <w:pPr>
        <w:spacing w:after="0" w:line="9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6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are obligated to use commercially reasonable efforts to develop one or more marketable products utilizing the licensed patents, upon which we would owe additional milestone payments to LSU.</w:t>
      </w:r>
    </w:p>
    <w:p>
      <w:pPr>
        <w:spacing w:after="0" w:line="155"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CellScript and mRNA Ribotherapeutics License Agreement</w:t>
      </w:r>
    </w:p>
    <w:p>
      <w:pPr>
        <w:spacing w:after="0" w:line="19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BioNTech RNA (now merged into BioNTech SE)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in vivo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6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6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The agreements continue until the expiration or abandonment of the last licensed patent to expire or be abandoned. BioNTech RNA may terminate the agreement for convenience with respect to all or certain patent rights with 60 days’ prior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7" w:name="page158"/>
    <w:bookmarkEnd w:id="15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written notice. MRT or CellScript may terminate the respective sublicense agreement for payment default, uncured material breach or the bankruptcy of BioNTech RNA.</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Acuitas License Agreement</w:t>
      </w:r>
    </w:p>
    <w:p>
      <w:pPr>
        <w:spacing w:after="0" w:line="192"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auto"/>
        </w:rPr>
        <w:t>In April 2020 we entered into a Non-Exclusive License Agreement with Acuitas, or the Acuitas License Agreement. Under the Acuitas License Agreement Acuitas grants us a non-exclusive worldwide license, with the right to sublicense (subject to certain conditions) under Acuitas’s LNP technology to develop, manufacture and commercialize licensed products directed to the SARS-CoV-2 surface glycoprotein. We have the option to convert the non-exclusive licenses to exclusive licenses subject to certain additional financial obligations.</w:t>
      </w:r>
    </w:p>
    <w:p>
      <w:pPr>
        <w:spacing w:after="0" w:line="167"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Under the Acuitas License Agreement, we must pay Acuitas up to between approximately $1.6 million and $2.45 million in development milestone payments, $2.5 million and $3.75 million in regulatory milestone payments and $2.5 million and $3.75 million in commercial milestone payments upon the occurrence of certain milestone events. We are further required to pay Acuitas a low single-digit tiered percentage royalty on net sales of licensed products, subject to certain potential customary reductions. Our royalty obligations continue under the Acuitas License Agreement on a country-by- country and product-by-product basis until the later of (i) the expiration of the last-to -expire licensed valid patent claim covering such licensed product in such country, (ii) expiration of any data exclusivity, market exclusivity or supplemental protection certificates period for such product in such country, and (iii) certain years following the first commercial sale of such product in such country.</w:t>
      </w:r>
    </w:p>
    <w:p>
      <w:pPr>
        <w:spacing w:after="0" w:line="145"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auto"/>
        </w:rPr>
        <w:t>The Acuitas License Agreement will continue on a product-by-product and a country -by-country basis until there are no more payments owed to Acuitas for such product in such country. Upon expiration of the Acuitas License Agreement, the license will become fully paid up and will remain in effect. We have the right to terminate the Acuitas License Agreement for convenience following a certain notice period. Either party may terminate the Acuitas License Agreement in the event of a material breach by the other party following a cure period. Alternatively, instead of exercising our right to terminate in the event of Acuitas’s material breach, we may elect to instead continue the license but reduce our milestone and royalty payment obligations to Acuitas by a certain percentage. In the event of termination of an Acuitas License Agreement by us for convenience or by Acuitas for our material breach, the licenses granted under such agreement will terminate, except that we will have the right to sell off any remaining inventories of licensed products for a certain period of time.</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 Trademark Portfolio</w:t>
      </w:r>
    </w:p>
    <w:p>
      <w:pPr>
        <w:spacing w:after="0" w:line="80" w:lineRule="exact"/>
        <w:rPr>
          <w:sz w:val="20"/>
          <w:szCs w:val="20"/>
          <w:color w:val="auto"/>
        </w:rPr>
      </w:pPr>
    </w:p>
    <w:p>
      <w:pPr>
        <w:jc w:val="both"/>
        <w:ind w:right="20" w:firstLine="336"/>
        <w:spacing w:after="0" w:line="262" w:lineRule="auto"/>
        <w:rPr>
          <w:sz w:val="20"/>
          <w:szCs w:val="20"/>
          <w:color w:val="auto"/>
        </w:rPr>
      </w:pPr>
      <w:r>
        <w:rPr>
          <w:rFonts w:ascii="Times New Roman" w:cs="Times New Roman" w:eastAsia="Times New Roman" w:hAnsi="Times New Roman"/>
          <w:sz w:val="16"/>
          <w:szCs w:val="16"/>
          <w:color w:val="auto"/>
        </w:rPr>
        <w:t>Certain features of our business and our product candidates are protected by trademarks. Our trademark portfolio includes, but is not limited to,</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BioNTainer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FixVac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RiboCytokine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RiboMab</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Recon</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Neo-Stim</w:t>
      </w:r>
      <w:r>
        <w:rPr>
          <w:rFonts w:ascii="Times New Roman" w:cs="Times New Roman" w:eastAsia="Times New Roman" w:hAnsi="Times New Roman"/>
          <w:sz w:val="16"/>
          <w:szCs w:val="16"/>
          <w:color w:val="auto"/>
        </w:rPr>
        <w:t>, including logo versions of some of these trademarks.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Brand names appearing in italics throughout this report are trademarks owned by BioNTech. All other trademarks are the property of their respective owners.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 Trade Secret Protection</w:t>
      </w:r>
    </w:p>
    <w:p>
      <w:pPr>
        <w:spacing w:after="0" w:line="8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Certain of our technologies, including in particular certain proprietary manufacturing processes or technologies and/or neoantigen prediction technologies, are protected as trade secrets.</w:t>
      </w:r>
    </w:p>
    <w:p>
      <w:pPr>
        <w:spacing w:after="0" w:line="59"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 -how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58" w:name="page159"/>
    <w:bookmarkEnd w:id="15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independently develop the same or similar proprietary information or may otherwise gain access to our proprietary information. As a result, we may be unable to meaningfully protect our trade secrets and proprietary information.</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XII. Competition</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anticipate that the key competitive factors affecting our technologies will be efficacy, safety, cost and convenience, ease of distribution, storage and administration, as well as our ability to build a fully-integrated 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7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Specifically, our marketed monovalent and bivalent COVID -19 vaccines and any other COVID-19 vaccines we and Pfizer develop compete with other COVID-19 vaccines that have been approved or authorized for temporary or emergency use and a large number of vaccine manufacturers, academic institutions and other organizations currently have programs to develop COVID-19 vaccine candidates.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9" w:name="page160"/>
    <w:bookmarkEnd w:id="15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XIII. Legal Proceedings</w:t>
      </w:r>
    </w:p>
    <w:p>
      <w:pPr>
        <w:spacing w:after="0" w:line="94" w:lineRule="exact"/>
        <w:rPr>
          <w:sz w:val="20"/>
          <w:szCs w:val="20"/>
          <w:color w:val="auto"/>
        </w:rPr>
      </w:pPr>
    </w:p>
    <w:p>
      <w:pPr>
        <w:jc w:val="both"/>
        <w:ind w:right="20" w:firstLine="336"/>
        <w:spacing w:after="0" w:line="247" w:lineRule="auto"/>
        <w:rPr>
          <w:sz w:val="20"/>
          <w:szCs w:val="20"/>
          <w:color w:val="auto"/>
        </w:rPr>
      </w:pPr>
      <w:r>
        <w:rPr>
          <w:rFonts w:ascii="Times New Roman" w:cs="Times New Roman" w:eastAsia="Times New Roman" w:hAnsi="Times New Roman"/>
          <w:sz w:val="16"/>
          <w:szCs w:val="16"/>
          <w:color w:val="auto"/>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164" w:lineRule="exact"/>
        <w:rPr>
          <w:sz w:val="20"/>
          <w:szCs w:val="20"/>
          <w:color w:val="auto"/>
        </w:rPr>
      </w:pPr>
    </w:p>
    <w:p>
      <w:pPr>
        <w:jc w:val="both"/>
        <w:ind w:right="20" w:firstLine="336"/>
        <w:spacing w:after="0" w:line="273" w:lineRule="auto"/>
        <w:rPr>
          <w:sz w:val="20"/>
          <w:szCs w:val="20"/>
          <w:color w:val="auto"/>
        </w:rPr>
      </w:pPr>
      <w:r>
        <w:rPr>
          <w:rFonts w:ascii="Times New Roman" w:cs="Times New Roman" w:eastAsia="Times New Roman" w:hAnsi="Times New Roman"/>
          <w:sz w:val="14"/>
          <w:szCs w:val="14"/>
          <w:color w:val="auto"/>
        </w:rPr>
        <w:t>Our contingencies include, but are not limited to, intellectual property disputes and product liability and other product-related litigation. From time to time, in the normal course and conduct of our business, we may be involved in discussions with third parties about considering, for example, the use and/or remuneration for use of such third party’s intellectual property. As of December 31, 2023, none of such intellectual property-related considerations that we have been notified of, and for which potential claims could be brought against us or our subsidiaries in the future, fulfill the criteria for recording a provision. We are subject to an increasing number of product liability claims. Such claims often involve highly complex issues related to medical causation, correctness and completeness of product information (Summary of Product Characteristics/package leaflet) as well as label warnings and reliance thereon, scientific evidence and findings, actual and provable injury, and other matters. These complexities vary from matter to matter. As of December 31, 2023, none of these claims fulfill the criteria for recording a provision. Substantially all of our contingencies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Certain pending matters to which we are a party are discussed below.</w:t>
      </w:r>
    </w:p>
    <w:p>
      <w:pPr>
        <w:spacing w:after="0" w:line="18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For a description of the risks relating to these and other legal proceedings we face and may in the future face and our assessments thereof, see “Risk Factors” elsewhere in this Annual Report.</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Alnylam Proceedings</w:t>
      </w:r>
    </w:p>
    <w:p>
      <w:pPr>
        <w:spacing w:after="0" w:line="94"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Times New Roman" w:cs="Times New Roman" w:eastAsia="Times New Roman" w:hAnsi="Times New Roman"/>
          <w:sz w:val="14"/>
          <w:szCs w:val="14"/>
          <w:i w:val="1"/>
          <w:iCs w:val="1"/>
          <w:color w:val="auto"/>
        </w:rPr>
        <w:t>Comirnaty</w:t>
      </w:r>
      <w:r>
        <w:rPr>
          <w:rFonts w:ascii="Times New Roman" w:cs="Times New Roman" w:eastAsia="Times New Roman" w:hAnsi="Times New Roman"/>
          <w:sz w:val="14"/>
          <w:szCs w:val="14"/>
          <w:color w:val="auto"/>
        </w:rPr>
        <w:t>, and seeking monetary relief, which is not specified in their filings. We filed a counterclaim to become party to the Alnylam proceeding, and in June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patents. All of the proceedings have been consolidated and are currently pending.</w:t>
      </w:r>
    </w:p>
    <w:p>
      <w:pPr>
        <w:spacing w:after="0" w:line="200"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0" w:name="page161"/>
    <w:bookmarkEnd w:id="16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CureVac Proceedings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Germany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EP’122, DE’961, DE‘974, DE’575, and EP’668</w:t>
      </w:r>
    </w:p>
    <w:p>
      <w:pPr>
        <w:spacing w:after="0" w:line="9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one European patent, EP1857122B1, or the EP’122 Patent, and three Utility Models DE202015009961U1, DE202015009974U1, and DE202021003575U1. In August 2022, CureVac added European Patent EP3708668B1, or the EP’668 Patent, to its German lawsuit.</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 122 by the Federal Court of Justice.</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EP’755, DE’123, and DE’130</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one European patent, EP4023755B1, or the EP’755 Patent, and two Utility Models DE202021004123U1, and DE202021004130U1.</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Nullity Proceedings – EP’122</w:t>
      </w:r>
    </w:p>
    <w:p>
      <w:pPr>
        <w:spacing w:after="0" w:line="92"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color w:val="auto"/>
        </w:rPr>
        <w:t>In September 2022, we filed a nullity action in the Federal Patent Court of Germany seeking a declaration that the EP’122 Patent is invalid. In April 2023, the Federal Patent Court of Germany issued a preliminary opinion in the EP’122 nullity action in support of the validity of the EP’122 Patent. The preliminary opinion did not address any infringement of the EP’122 Patent. The preliminary opinion is a preliminary assessment by the court of the merits of a claim, and is non-binding. On December 19, 2023, the Federal Patent Court held an oral hearing, after which it nullified EP’122.</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Cancellation Proceedings– DE’961, DE‘974, and DE’575</w:t>
      </w:r>
    </w:p>
    <w:p>
      <w:pPr>
        <w:spacing w:after="0" w:line="9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November 2022, we filed cancellation actions seeking the cancellation of the three German Utility Models in the German Patent and Trademark Office. On December 27, 2023, the German Patent Office issued a preliminary opinion that DE’974 is likely to be cancelled based on invalidity pursuant to para. 1 (2) no. 5 Utility Model Act.</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States</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Kingdom</w:t>
      </w:r>
    </w:p>
    <w:p>
      <w:pPr>
        <w:spacing w:after="0" w:line="9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September 2022, we and Pfizer filed a declaration of non-infringement and revocation action against the EP’122 Patent and the EP’668 Patent in the Business and Property Courts of England and Wales. In October 2022, CureVac responded by filing a counterclaim alleging infringement of the EP’122 and EP’668 patents in the Business And Property Courts of England and Wales. On December 18, 2023, we amended our pleadings to further allege non-infringement and invalidity against EP’755.</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of the above proceedings are currently pending.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1" w:name="page162"/>
    <w:bookmarkEnd w:id="16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Moderna Proceedings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Germany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EP’949 and EP’565</w:t>
      </w:r>
    </w:p>
    <w:p>
      <w:pPr>
        <w:spacing w:after="0" w:line="9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the EP’949 Patent, and 3718565B1, or the EP’565 Patent. On November 7, 2023, the European Patent Office (“EPO”) Opposition Division revoked EP’565 after a one-day oral hearing. The Opposition Division issued a preliminary opinion on December 8, 2023 noting that it believes EP’949 is likely invalid. As a result of these EPO proceedings, the Düsseldorf Regional Court postponed its hearing on infringement, originally scheduled for December 12, 2023, to January 21, 2025.</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Kingdom</w:t>
      </w:r>
    </w:p>
    <w:p>
      <w:pPr>
        <w:spacing w:after="0" w:line="9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color w:val="auto"/>
        </w:rPr>
        <w:t xml:space="preserve">In August 2022, Moderna filed a lawsuit asserting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EP’565 Patent against us and our wholly owned subsidiaries, BioNTech Manufacturing GmbH, BioNTech Europe GmbH and BioNTech Manufacturing Marburg GmbH, Pfizer Limited, Pfizer Manufacturing Belgium NV and Pfizer Inc. in the Business and Property Courts of England and Wales. In September 2022, we and Pfizer filed a revocation action in the Business and Property Courts of England and Wales requesting revocation of the EP’949 Patent and EP’565 Patent.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States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U.S. District Court Litigation</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August 2022, Moderna filed a lawsuit in the United States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U.S. Patent Nos. 10,898,574, 10,702,600 and 10,933,127 and seeking monetary relief.</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 xml:space="preserve">Inter Partes </w:t>
      </w:r>
      <w:r>
        <w:rPr>
          <w:rFonts w:ascii="Times New Roman" w:cs="Times New Roman" w:eastAsia="Times New Roman" w:hAnsi="Times New Roman"/>
          <w:sz w:val="16"/>
          <w:szCs w:val="16"/>
          <w:u w:val="single" w:color="auto"/>
          <w:color w:val="auto"/>
        </w:rPr>
        <w:t>Review</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August 2023, Pfizer and we filed petitions seeking inter partes review of U.S. Patent Nos. 10,702,600 and 10,933,127 before the United States Patent Trial and Appeal Board.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Netherlands</w:t>
      </w:r>
    </w:p>
    <w:p>
      <w:pPr>
        <w:spacing w:after="0" w:line="9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September 2022, Moderna filed a lawsuit against us and our wholly owned subsidiary BioNTech Manufacturing GmbH and Pfizer B.V., Pfizer Export B.V., C.P. Pharmaceuticals International C.V. and Pfizer Inc. in the District Court of The Hague alleging Comirnaty’s infringement of the EP ‘949 Patent and the EP ’565 Patent. The District Court of the Hague held a hearing on October 6, 2023 on infringement and validity with respect to the EP ’949 Patent. On December 6, 2023, the Court found EP’949 to be invalid. The EP’565 case has been stayed pending Moderna’s appeal of the Opposition Division’s revocation of EP’565.</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Ireland</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EP’565 Patent in the High Court of Ireland.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2" w:name="page163"/>
    <w:bookmarkEnd w:id="16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Belgium</w:t>
      </w:r>
    </w:p>
    <w:p>
      <w:pPr>
        <w:spacing w:after="0" w:line="9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the EP’565 Patent in the Brussels Dutch-speaking Enterprise Court.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of the above proceedings are currently pending.</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Arbutus and Genevant Proceedings</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and seeking monetary relief. This proceeding is currently pending.</w:t>
      </w:r>
    </w:p>
    <w:p>
      <w:pPr>
        <w:spacing w:after="0" w:line="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Promosome Proceedings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June 2023, Promosome LLC filed a lawsuit against Pfizer, us, and BioNTech Manufacturing GmbH in the U.S. District Court for the Southern District of California alleging that Pfizer and our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vaccine has infringed U.S. Patent No. 8,853,179, and seeking monetary relief. On October 4, 2023, the parties filed a joint stipulation of dismissal, dismissing the lawsuit with prejudice. As part of this stipulation of dismissal, Promosome agreed to a covenant not to assert U.S. Patent No. 8,853,179 against Pfizer and us or any of their products, including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This matter is considered closed.</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Organizational Structure</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color w:val="231F20"/>
        </w:rPr>
        <w:t>Item 18.</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Property, Plant and Equipment</w:t>
      </w:r>
    </w:p>
    <w:p>
      <w:pPr>
        <w:spacing w:after="0" w:line="82"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The following is a summary of our principal owned and leased real estate. We also lease other properties in the ordinary course of business as part of our global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Germany: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headquarters are located in Mainz, where we principally occupy:</w:t>
      </w:r>
    </w:p>
    <w:p>
      <w:pPr>
        <w:spacing w:after="0" w:line="92" w:lineRule="exact"/>
        <w:rPr>
          <w:sz w:val="20"/>
          <w:szCs w:val="20"/>
          <w:color w:val="auto"/>
        </w:rPr>
      </w:pPr>
    </w:p>
    <w:p>
      <w:pPr>
        <w:ind w:left="720" w:right="40" w:hanging="234"/>
        <w:spacing w:after="0" w:line="259" w:lineRule="auto"/>
        <w:tabs>
          <w:tab w:leader="none" w:pos="7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9,416 square meters of laboratory, GMP manufacturing, storage and office space at An der Goldgrube 12, 55131. We acquired ownership of the building in December 2022.</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8,446 square meters of office and laboratory container space at Freiligrathstraße 6, 55131. The lease of the office container space expires on June 30, 2027. We own the laboratory container space.</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1,049 square meters of office and GMP manufacturing space under a lease for part of the building located at Kupferbergterstraße 15, 55161 under a lease that expires on March 31, 2027.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3" w:name="page164"/>
    <w:bookmarkEnd w:id="16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20" w:hanging="234"/>
        <w:spacing w:after="0" w:line="247" w:lineRule="auto"/>
        <w:tabs>
          <w:tab w:leader="none" w:pos="3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4,882 square meters of laboratory and office space located at Adam-Opel-Straße 10, 55129, which is owned by us, as well as 9,278 square meters of undeveloped land intended for construction of a laboratory and office building of up to 12,000 square meters in size. Currently the land is occupied by approximately 2,125 square meters of office container space.</w:t>
      </w:r>
    </w:p>
    <w:p>
      <w:pPr>
        <w:spacing w:after="0" w:line="68" w:lineRule="exact"/>
        <w:rPr>
          <w:rFonts w:ascii="Times New Roman" w:cs="Times New Roman" w:eastAsia="Times New Roman" w:hAnsi="Times New Roman"/>
          <w:sz w:val="16"/>
          <w:szCs w:val="16"/>
          <w:color w:val="auto"/>
        </w:rPr>
      </w:pPr>
    </w:p>
    <w:p>
      <w:pPr>
        <w:ind w:left="320" w:right="20" w:hanging="234"/>
        <w:spacing w:after="0" w:line="259" w:lineRule="auto"/>
        <w:tabs>
          <w:tab w:leader="none" w:pos="3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also own a plot of land of approximately 8,753 square meters at Hechtsheimer Straße 2b, 55131, where construction for a GMP manufacturing facility of approximately 18,000 square meters commenced in 2021.</w:t>
      </w:r>
    </w:p>
    <w:p>
      <w:pPr>
        <w:spacing w:after="0" w:line="59" w:lineRule="exact"/>
        <w:rPr>
          <w:rFonts w:ascii="Times New Roman" w:cs="Times New Roman" w:eastAsia="Times New Roman" w:hAnsi="Times New Roman"/>
          <w:sz w:val="16"/>
          <w:szCs w:val="16"/>
          <w:color w:val="auto"/>
        </w:rPr>
      </w:pPr>
    </w:p>
    <w:p>
      <w:pPr>
        <w:ind w:left="320" w:right="20" w:hanging="234"/>
        <w:spacing w:after="0" w:line="259" w:lineRule="auto"/>
        <w:tabs>
          <w:tab w:leader="none" w:pos="3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42,164 square meters of office space under a lease for two of three building parts at Große Bleiche 54-56, 55131, under a lease that expires on December 31, 2029.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Idar-Oberstein:</w:t>
      </w:r>
    </w:p>
    <w:p>
      <w:pPr>
        <w:spacing w:after="0" w:line="92" w:lineRule="exact"/>
        <w:rPr>
          <w:sz w:val="20"/>
          <w:szCs w:val="20"/>
          <w:color w:val="auto"/>
        </w:rPr>
      </w:pPr>
    </w:p>
    <w:p>
      <w:pPr>
        <w:jc w:val="both"/>
        <w:ind w:left="320" w:right="20" w:hanging="234"/>
        <w:spacing w:after="0" w:line="247" w:lineRule="auto"/>
        <w:tabs>
          <w:tab w:leader="none" w:pos="3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IMFS facility (consisting of buildings A to E and J) has a total area of approximately 13,470 square meters. This includes approximately 2,660 square meters of storage space, approximately 1,270 square meters of development and QC laboratory space, approximately 1,650 square meters of clean rooms, and approximately 2,540 square meters are office space. This facility, including the GMP-certified manufacturing suites, is owned by BioNTech.</w:t>
      </w:r>
    </w:p>
    <w:p>
      <w:pPr>
        <w:spacing w:after="0" w:line="68" w:lineRule="exact"/>
        <w:rPr>
          <w:rFonts w:ascii="Times New Roman" w:cs="Times New Roman" w:eastAsia="Times New Roman" w:hAnsi="Times New Roman"/>
          <w:sz w:val="16"/>
          <w:szCs w:val="16"/>
          <w:color w:val="auto"/>
        </w:rPr>
      </w:pPr>
    </w:p>
    <w:p>
      <w:pPr>
        <w:ind w:left="620" w:right="20" w:hanging="234"/>
        <w:spacing w:after="0" w:line="259" w:lineRule="auto"/>
        <w:tabs>
          <w:tab w:leader="none" w:pos="6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occupy approximately 575 square meters of this space, which is used primarily for storage, under a lease that has an initial expiry date of October 1, 2021, but which we have extended until September 30, 2026. The warehouse is located in Tiefenstein.</w:t>
      </w:r>
    </w:p>
    <w:p>
      <w:pPr>
        <w:spacing w:after="0" w:line="59" w:lineRule="exact"/>
        <w:rPr>
          <w:rFonts w:ascii="Times New Roman" w:cs="Times New Roman" w:eastAsia="Times New Roman" w:hAnsi="Times New Roman"/>
          <w:sz w:val="16"/>
          <w:szCs w:val="16"/>
          <w:color w:val="auto"/>
        </w:rPr>
      </w:pPr>
    </w:p>
    <w:p>
      <w:pPr>
        <w:ind w:left="620" w:right="40" w:hanging="234"/>
        <w:spacing w:after="0" w:line="259" w:lineRule="auto"/>
        <w:tabs>
          <w:tab w:leader="none" w:pos="6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renting the warehouse for GMP products since April 2022. The warehouse has an area of 1,120 square meters. The term is 5 years with the option to extend.</w:t>
      </w:r>
    </w:p>
    <w:p>
      <w:pPr>
        <w:spacing w:after="0" w:line="59" w:lineRule="exact"/>
        <w:rPr>
          <w:rFonts w:ascii="Times New Roman" w:cs="Times New Roman" w:eastAsia="Times New Roman" w:hAnsi="Times New Roman"/>
          <w:sz w:val="16"/>
          <w:szCs w:val="16"/>
          <w:color w:val="auto"/>
        </w:rPr>
      </w:pPr>
    </w:p>
    <w:p>
      <w:pPr>
        <w:ind w:left="620" w:right="40" w:hanging="234"/>
        <w:spacing w:after="0" w:line="259" w:lineRule="auto"/>
        <w:tabs>
          <w:tab w:leader="none" w:pos="6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of a plot of land with 2,000 square meters. A container facility was built on it. The office container facility has a size of approximately 2,125 square meters. Both contracts currently run until June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Marburg:</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Behringwerke</w:t>
      </w:r>
    </w:p>
    <w:p>
      <w:pPr>
        <w:spacing w:after="0" w:line="92" w:lineRule="exact"/>
        <w:rPr>
          <w:sz w:val="20"/>
          <w:szCs w:val="20"/>
          <w:color w:val="auto"/>
        </w:rPr>
      </w:pPr>
    </w:p>
    <w:p>
      <w:pPr>
        <w:ind w:left="320" w:hanging="234"/>
        <w:spacing w:after="0" w:line="259" w:lineRule="auto"/>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main manufacturing facility consists 10,240 square meters, including 4,589 square meters of GMP space, 2,422 square meters of technical and storage facilities, 540 square meters of laboratory space and 2,690 square meters of offices. The lease will expire December 31, 2034.</w:t>
      </w:r>
    </w:p>
    <w:p>
      <w:pPr>
        <w:spacing w:after="0" w:line="59" w:lineRule="exact"/>
        <w:rPr>
          <w:rFonts w:ascii="Times New Roman" w:cs="Times New Roman" w:eastAsia="Times New Roman" w:hAnsi="Times New Roman"/>
          <w:sz w:val="16"/>
          <w:szCs w:val="16"/>
          <w:color w:val="auto"/>
        </w:rPr>
      </w:pPr>
    </w:p>
    <w:p>
      <w:pPr>
        <w:ind w:left="320" w:hanging="234"/>
        <w:spacing w:after="0"/>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main office building consists of 4,913 square meters of office space. The lease will expire until October 31, 2027.</w:t>
      </w:r>
    </w:p>
    <w:p>
      <w:pPr>
        <w:spacing w:after="0" w:line="92" w:lineRule="exact"/>
        <w:rPr>
          <w:rFonts w:ascii="Times New Roman" w:cs="Times New Roman" w:eastAsia="Times New Roman" w:hAnsi="Times New Roman"/>
          <w:sz w:val="16"/>
          <w:szCs w:val="16"/>
          <w:color w:val="auto"/>
        </w:rPr>
      </w:pPr>
    </w:p>
    <w:p>
      <w:pPr>
        <w:ind w:left="320" w:hanging="234"/>
        <w:spacing w:after="0"/>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also occupy 920 square meters of office space under a lease which will expire on May 31, 2026.</w:t>
      </w:r>
    </w:p>
    <w:p>
      <w:pPr>
        <w:spacing w:after="0" w:line="92" w:lineRule="exact"/>
        <w:rPr>
          <w:rFonts w:ascii="Times New Roman" w:cs="Times New Roman" w:eastAsia="Times New Roman" w:hAnsi="Times New Roman"/>
          <w:sz w:val="16"/>
          <w:szCs w:val="16"/>
          <w:color w:val="auto"/>
        </w:rPr>
      </w:pPr>
    </w:p>
    <w:p>
      <w:pPr>
        <w:ind w:left="320" w:hanging="234"/>
        <w:spacing w:after="0"/>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leased additional 779 square meters of technical and storage facilities under a lease which will expire on December 31, 2024.</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Görzhausen</w:t>
      </w:r>
    </w:p>
    <w:p>
      <w:pPr>
        <w:spacing w:after="0" w:line="90" w:lineRule="exact"/>
        <w:rPr>
          <w:sz w:val="20"/>
          <w:szCs w:val="20"/>
          <w:color w:val="auto"/>
        </w:rPr>
      </w:pPr>
    </w:p>
    <w:p>
      <w:pPr>
        <w:ind w:left="320" w:right="40" w:hanging="234"/>
        <w:spacing w:after="0" w:line="334" w:lineRule="auto"/>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part of our </w:t>
      </w:r>
      <w:r>
        <w:rPr>
          <w:rFonts w:ascii="Times New Roman" w:cs="Times New Roman" w:eastAsia="Times New Roman" w:hAnsi="Times New Roman"/>
          <w:sz w:val="14"/>
          <w:szCs w:val="14"/>
          <w:i w:val="1"/>
          <w:iCs w:val="1"/>
          <w:color w:val="auto"/>
        </w:rPr>
        <w:t>BioNTainer</w:t>
      </w:r>
      <w:r>
        <w:rPr>
          <w:rFonts w:ascii="Times New Roman" w:cs="Times New Roman" w:eastAsia="Times New Roman" w:hAnsi="Times New Roman"/>
          <w:sz w:val="14"/>
          <w:szCs w:val="14"/>
          <w:color w:val="auto"/>
        </w:rPr>
        <w:t xml:space="preserve"> program (BioNTech Innovation Center/BIC), we occupy approximately 2,040 square meters. Approximately 804 square meters are used as office space and 1,236 square meters are used as GMP and technical storage facilities under a lease which will expire December 31, 2031.</w:t>
      </w:r>
    </w:p>
    <w:p>
      <w:pPr>
        <w:spacing w:after="0" w:line="10" w:lineRule="exact"/>
        <w:rPr>
          <w:rFonts w:ascii="Times New Roman" w:cs="Times New Roman" w:eastAsia="Times New Roman" w:hAnsi="Times New Roman"/>
          <w:sz w:val="14"/>
          <w:szCs w:val="14"/>
          <w:color w:val="auto"/>
        </w:rPr>
      </w:pPr>
    </w:p>
    <w:p>
      <w:pPr>
        <w:jc w:val="both"/>
        <w:ind w:left="320" w:hanging="234"/>
        <w:spacing w:after="0" w:line="247" w:lineRule="auto"/>
        <w:tabs>
          <w:tab w:leader="none" w:pos="3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own Plasmid Production/Miami (Microbial Manufacturing) is located in M537 and M536. In M537 we occupy 3,088 square meters, including 1,021 square meters of usable GMP and laboratory space, 1,065 square meters of usable technical and storage facilities and 448 square meters of usable office space. In M536 we occupy 164 square meters. The lease will expire December 31, 2031.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Berlin:</w:t>
      </w:r>
    </w:p>
    <w:p>
      <w:pPr>
        <w:spacing w:after="0" w:line="92" w:lineRule="exact"/>
        <w:rPr>
          <w:sz w:val="20"/>
          <w:szCs w:val="20"/>
          <w:color w:val="auto"/>
        </w:rPr>
      </w:pPr>
    </w:p>
    <w:p>
      <w:pPr>
        <w:ind w:left="320" w:hanging="234"/>
        <w:spacing w:after="0"/>
        <w:tabs>
          <w:tab w:leader="none" w:pos="3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JPT facility, we occupy approximately 2,390 square meters of office, laboratory and general technical production space:</w:t>
      </w:r>
    </w:p>
    <w:p>
      <w:pPr>
        <w:spacing w:after="0" w:line="92" w:lineRule="exact"/>
        <w:rPr>
          <w:rFonts w:ascii="Times New Roman" w:cs="Times New Roman" w:eastAsia="Times New Roman" w:hAnsi="Times New Roman"/>
          <w:sz w:val="16"/>
          <w:szCs w:val="16"/>
          <w:color w:val="auto"/>
        </w:rPr>
      </w:pPr>
    </w:p>
    <w:p>
      <w:pPr>
        <w:ind w:left="620" w:hanging="234"/>
        <w:spacing w:after="0"/>
        <w:tabs>
          <w:tab w:leader="none" w:pos="62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About 2,050 square meters are occupied under a lease contract, which will expire simultaneously to our moving into our new building.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80"/>
          </w:cols>
          <w:pgMar w:left="1060" w:top="557" w:right="660" w:bottom="1440" w:gutter="0" w:footer="0" w:header="0"/>
        </w:sectPr>
      </w:pPr>
    </w:p>
    <w:bookmarkStart w:id="164" w:name="page165"/>
    <w:bookmarkEnd w:id="16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hanging="234"/>
        <w:spacing w:after="0"/>
        <w:tabs>
          <w:tab w:leader="none" w:pos="102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remaining approximately 350 square meters of office space, we have a lease contract with a firm term until 2026.</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laboratory and office building, wholly owned by JPT, is under construction, with an expected completion date in mid-2025.</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renting an office of approximately 1,700 square meters since April 2023. The contract runs until December 31, 2028. Extension options are possible.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Munich, we have leased approximately 3,700 square meters in the Werksviertel. The lease is for 60 months with options to extend.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Martinsried, we occupy approximately 1,862 square meters under a lease which will expire on December 31, 2026.</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Neuried:</w:t>
      </w:r>
    </w:p>
    <w:p>
      <w:pPr>
        <w:spacing w:after="0" w:line="92" w:lineRule="exact"/>
        <w:rPr>
          <w:sz w:val="20"/>
          <w:szCs w:val="20"/>
          <w:color w:val="auto"/>
        </w:rPr>
      </w:pPr>
    </w:p>
    <w:p>
      <w:pPr>
        <w:ind w:left="680" w:hanging="290"/>
        <w:spacing w:after="0"/>
        <w:tabs>
          <w:tab w:leader="none" w:pos="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occupy approximately 1,732 square meters of laboratory and office space under a lease which will expire on November 30, 2031.</w:t>
      </w:r>
    </w:p>
    <w:p>
      <w:pPr>
        <w:spacing w:after="0" w:line="92" w:lineRule="exact"/>
        <w:rPr>
          <w:rFonts w:ascii="Times New Roman" w:cs="Times New Roman" w:eastAsia="Times New Roman" w:hAnsi="Times New Roman"/>
          <w:sz w:val="16"/>
          <w:szCs w:val="16"/>
          <w:color w:val="auto"/>
        </w:rPr>
      </w:pPr>
    </w:p>
    <w:p>
      <w:pPr>
        <w:ind w:left="680" w:right="40" w:hanging="290"/>
        <w:spacing w:after="0" w:line="259" w:lineRule="auto"/>
        <w:tabs>
          <w:tab w:leader="none" w:pos="6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leased additional space in July 2022 of approximately 1,470 square meters of laboratory, office and storage space under a lease which will expire on August 30, 2029.</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Fussgoenheim, we lease approximately 3,448 square meters of freezer farm space.</w:t>
      </w:r>
    </w:p>
    <w:p>
      <w:pPr>
        <w:spacing w:after="0" w:line="188"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In Mutterstadt, we occupy approximately 5,744 square meters of freezer farm space under a rental agreement. We also lease a further 2,160 square meters of handling space. The term ends on December 31, 2027, with a one-year extension option.</w:t>
      </w:r>
    </w:p>
    <w:p>
      <w:pPr>
        <w:spacing w:after="0" w:line="155"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In Halle, we have rented an area of approximately 1,100 square meters, including approximately 100 square meters of laboratory space. The lease runs until spring 2025, with an option to extend.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intend to expand our capacity as follows:</w:t>
      </w:r>
    </w:p>
    <w:p>
      <w:pPr>
        <w:spacing w:after="0" w:line="92" w:lineRule="exact"/>
        <w:rPr>
          <w:sz w:val="20"/>
          <w:szCs w:val="20"/>
          <w:color w:val="auto"/>
        </w:rPr>
      </w:pPr>
    </w:p>
    <w:p>
      <w:pPr>
        <w:jc w:val="both"/>
        <w:ind w:left="720" w:right="20" w:hanging="234"/>
        <w:spacing w:after="0" w:line="247" w:lineRule="auto"/>
        <w:tabs>
          <w:tab w:leader="none" w:pos="7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commenced construction of a four-story building at An der Goldgrube 10 in Mainz, which we will own. We have planned laboratory space for research and development, offices, storage facilities, a conference center and cafeteria. As a result, we will take up an additional 2,400 square meters of main laboratory space and 4,000 square meters of main office space.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Global locations: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Cambridge, Massachusetts, United States, we principally occupy:</w:t>
      </w:r>
    </w:p>
    <w:p>
      <w:pPr>
        <w:spacing w:after="0" w:line="92" w:lineRule="exact"/>
        <w:rPr>
          <w:sz w:val="20"/>
          <w:szCs w:val="20"/>
          <w:color w:val="auto"/>
        </w:rPr>
      </w:pPr>
    </w:p>
    <w:p>
      <w:pPr>
        <w:ind w:left="720" w:right="20" w:hanging="234"/>
        <w:spacing w:after="0" w:line="259" w:lineRule="auto"/>
        <w:tabs>
          <w:tab w:leader="none" w:pos="7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2,490 square meters of laboratory and office space under a lease for part of a building located at 40 Erie Street that has an initial term that expires on September 30, 2024.</w:t>
      </w:r>
    </w:p>
    <w:p>
      <w:pPr>
        <w:spacing w:after="0" w:line="59"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4,410 square meters of laboratory and office space under a lease for part of a building located at 75 Sidney Street that has an initial term that expires on January 31, 2032.</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Gaithersburg, Maryland, United States, we principally occupy:</w:t>
      </w:r>
    </w:p>
    <w:p>
      <w:pPr>
        <w:spacing w:after="0" w:line="92" w:lineRule="exact"/>
        <w:rPr>
          <w:sz w:val="20"/>
          <w:szCs w:val="20"/>
          <w:color w:val="auto"/>
        </w:rPr>
      </w:pPr>
    </w:p>
    <w:p>
      <w:pPr>
        <w:ind w:left="720" w:hanging="234"/>
        <w:spacing w:after="0"/>
        <w:tabs>
          <w:tab w:leader="none" w:pos="7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5,476 square meters under a lease which will expire on July 31, 2033.</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823 square meters of laboratory and office space under a lease which will expire on July 31, 2033.</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Cambridge, England, we principally occupy:</w:t>
      </w:r>
    </w:p>
    <w:p>
      <w:pPr>
        <w:spacing w:after="0" w:line="92" w:lineRule="exact"/>
        <w:rPr>
          <w:sz w:val="20"/>
          <w:szCs w:val="20"/>
          <w:color w:val="auto"/>
        </w:rPr>
      </w:pPr>
    </w:p>
    <w:p>
      <w:pPr>
        <w:ind w:left="720" w:hanging="234"/>
        <w:spacing w:after="0" w:line="259" w:lineRule="auto"/>
        <w:tabs>
          <w:tab w:leader="none" w:pos="7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120 square meters of laboratory and office space under a lease at the MRC-Laboratory of Molecular Biology with an initial term until December 31,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5" w:name="page166"/>
    <w:bookmarkEnd w:id="16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hanging="234"/>
        <w:spacing w:after="0" w:line="259" w:lineRule="auto"/>
        <w:tabs>
          <w:tab w:leader="none" w:pos="7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7,400 square meters of shell and core laboratory and office space under a lease with an initial term until October 13, 2033, including a tenant only break option at year 7 of the term. The building is expected to be in operation during 2025.</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Vienna, Austria, we signed a lease in September 2022 for approximately 1,300 square meters of office and laboratory space for part of the building located at Helmut-Qualtinger-Gasse 2, 1030. The lease commenced on April 1, 2023, with a lease term of eight years and an option to extend.</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Kigali, Rwanda, we have leased a plot of land of approximately 35,100 square meters to develop an mRNA vaccine factory for the manufacturing of bulk drug substance and bulk drug product.</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Singapore, we will own a production site. The purchase will close in April 2024. The entire area covers approximately 63,300 square meters. The building is currently being upgraded. After completion, there will be office space of approximately 6,195 square meters, a production and technical building of approximately 20,000 square meters, and a warehouse of approximately 3,400 square meters.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80" w:lineRule="exact"/>
        <w:rPr>
          <w:sz w:val="20"/>
          <w:szCs w:val="20"/>
          <w:color w:val="auto"/>
        </w:rPr>
      </w:pPr>
    </w:p>
    <w:p>
      <w:pPr>
        <w:jc w:val="both"/>
        <w:ind w:firstLine="384"/>
        <w:spacing w:after="0" w:line="281" w:lineRule="auto"/>
        <w:rPr>
          <w:sz w:val="20"/>
          <w:szCs w:val="20"/>
          <w:color w:val="auto"/>
        </w:rPr>
      </w:pPr>
      <w:r>
        <w:rPr>
          <w:rFonts w:ascii="Times New Roman" w:cs="Times New Roman" w:eastAsia="Times New Roman" w:hAnsi="Times New Roman"/>
          <w:sz w:val="14"/>
          <w:szCs w:val="14"/>
          <w:i w:val="1"/>
          <w:iCs w:val="1"/>
          <w:color w:val="auto"/>
        </w:rPr>
        <w:t>The following “Operating and Financial Review and Prospects” discussion should be read together with the information in our financial statements and related notes included elsewhere in this Annual Report.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Annual Report. Please also see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6" w:name="page167"/>
    <w:bookmarkEnd w:id="16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Operations Overview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The following table shows our consolidated statements of profit or loss for each period presented:</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83"/>
        </w:trPr>
        <w:tc>
          <w:tcPr>
            <w:tcW w:w="6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320" w:type="dxa"/>
            <w:vAlign w:val="bottom"/>
          </w:tcPr>
          <w:p>
            <w:pPr>
              <w:spacing w:after="0"/>
              <w:rPr>
                <w:sz w:val="24"/>
                <w:szCs w:val="24"/>
                <w:color w:val="auto"/>
              </w:rPr>
            </w:pPr>
          </w:p>
        </w:tc>
      </w:tr>
      <w:tr>
        <w:trPr>
          <w:trHeight w:val="206"/>
        </w:trPr>
        <w:tc>
          <w:tcPr>
            <w:tcW w:w="6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Pr>
          <w:p>
            <w:pPr>
              <w:spacing w:after="0"/>
              <w:rPr>
                <w:sz w:val="17"/>
                <w:szCs w:val="17"/>
                <w:color w:val="auto"/>
              </w:rPr>
            </w:pPr>
          </w:p>
        </w:tc>
      </w:tr>
      <w:tr>
        <w:trPr>
          <w:trHeight w:val="217"/>
        </w:trPr>
        <w:tc>
          <w:tcPr>
            <w:tcW w:w="666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5"/>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300" w:type="dxa"/>
            <w:vAlign w:val="bottom"/>
            <w:tcBorders>
              <w:bottom w:val="single" w:sz="8" w:color="70AD47"/>
              <w:right w:val="single" w:sz="8" w:color="70AD47"/>
            </w:tcBorders>
            <w:shd w:val="clear" w:color="auto" w:fill="C6E0B4"/>
          </w:tcPr>
          <w:p>
            <w:pPr>
              <w:spacing w:after="0"/>
              <w:rPr>
                <w:sz w:val="18"/>
                <w:szCs w:val="18"/>
                <w:color w:val="auto"/>
              </w:rPr>
            </w:pPr>
          </w:p>
        </w:tc>
        <w:tc>
          <w:tcPr>
            <w:tcW w:w="1300" w:type="dxa"/>
            <w:vAlign w:val="bottom"/>
            <w:tcBorders>
              <w:bottom w:val="single" w:sz="8" w:color="70AD47"/>
              <w:right w:val="single" w:sz="8" w:color="70AD47"/>
            </w:tcBorders>
          </w:tcPr>
          <w:p>
            <w:pPr>
              <w:spacing w:after="0"/>
              <w:rPr>
                <w:sz w:val="18"/>
                <w:szCs w:val="18"/>
                <w:color w:val="auto"/>
              </w:rPr>
            </w:pPr>
          </w:p>
        </w:tc>
        <w:tc>
          <w:tcPr>
            <w:tcW w:w="1320" w:type="dxa"/>
            <w:vAlign w:val="bottom"/>
            <w:tcBorders>
              <w:bottom w:val="single" w:sz="8" w:color="70AD47"/>
              <w:right w:val="single" w:sz="8" w:color="70AD47"/>
            </w:tcBorders>
          </w:tcPr>
          <w:p>
            <w:pPr>
              <w:spacing w:after="0"/>
              <w:rPr>
                <w:sz w:val="18"/>
                <w:szCs w:val="18"/>
                <w:color w:val="auto"/>
              </w:rPr>
            </w:pPr>
          </w:p>
        </w:tc>
      </w:tr>
      <w:tr>
        <w:trPr>
          <w:trHeight w:val="435"/>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300" w:type="dxa"/>
            <w:vAlign w:val="bottom"/>
            <w:tcBorders>
              <w:right w:val="single" w:sz="8" w:color="70AD47"/>
            </w:tcBorders>
            <w:shd w:val="clear" w:color="auto" w:fill="C6E0B4"/>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1320" w:type="dxa"/>
            <w:vAlign w:val="bottom"/>
            <w:tcBorders>
              <w:right w:val="single" w:sz="8" w:color="70AD47"/>
            </w:tcBorders>
          </w:tcPr>
          <w:p>
            <w:pPr>
              <w:spacing w:after="0"/>
              <w:rPr>
                <w:sz w:val="24"/>
                <w:szCs w:val="24"/>
                <w:color w:val="auto"/>
              </w:rPr>
            </w:pPr>
          </w:p>
        </w:tc>
      </w:tr>
      <w:tr>
        <w:trPr>
          <w:trHeight w:val="216"/>
        </w:trPr>
        <w:tc>
          <w:tcPr>
            <w:tcW w:w="66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Commercial revenues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3,815.5</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17,194.6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18,874.0</w:t>
            </w:r>
          </w:p>
        </w:tc>
      </w:tr>
      <w:tr>
        <w:trPr>
          <w:trHeight w:val="217"/>
        </w:trPr>
        <w:tc>
          <w:tcPr>
            <w:tcW w:w="666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Research &amp; development revenues</w:t>
            </w: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08"/>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3,819.0</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17,310.6</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18,976.7</w:t>
            </w:r>
          </w:p>
        </w:tc>
      </w:tr>
      <w:tr>
        <w:trPr>
          <w:trHeight w:val="435"/>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(2,995.0)</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(2,911.5)</w:t>
            </w:r>
          </w:p>
        </w:tc>
      </w:tr>
      <w:tr>
        <w:trPr>
          <w:trHeight w:val="216"/>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(949.2)</w:t>
            </w:r>
          </w:p>
        </w:tc>
      </w:tr>
      <w:tr>
        <w:trPr>
          <w:trHeight w:val="216"/>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16"/>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16"/>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7"/>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operating income</w:t>
            </w: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598.4</w:t>
            </w:r>
          </w:p>
        </w:tc>
      </w:tr>
      <w:tr>
        <w:trPr>
          <w:trHeight w:val="208"/>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3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690.4</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12,642.7</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15,283.8</w:t>
            </w:r>
          </w:p>
        </w:tc>
      </w:tr>
      <w:tr>
        <w:trPr>
          <w:trHeight w:val="435"/>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319"/>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Finance expenses</w:t>
            </w: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(305.1)</w:t>
            </w:r>
          </w:p>
        </w:tc>
      </w:tr>
      <w:tr>
        <w:trPr>
          <w:trHeight w:val="214"/>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13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1,186.1</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12,954.1</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15,046.4</w:t>
            </w:r>
          </w:p>
        </w:tc>
      </w:tr>
      <w:tr>
        <w:trPr>
          <w:trHeight w:val="436"/>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(3,519.7)</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(4,753.9)</w:t>
            </w:r>
          </w:p>
        </w:tc>
      </w:tr>
      <w:tr>
        <w:trPr>
          <w:trHeight w:val="208"/>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930.3</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9,434.4</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10,292.5</w:t>
            </w:r>
          </w:p>
        </w:tc>
      </w:tr>
      <w:tr>
        <w:trPr>
          <w:trHeight w:val="531"/>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300" w:type="dxa"/>
            <w:vAlign w:val="bottom"/>
            <w:tcBorders>
              <w:right w:val="single" w:sz="8" w:color="70AD47"/>
            </w:tcBorders>
            <w:shd w:val="clear" w:color="auto" w:fill="C5E0B4"/>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1320" w:type="dxa"/>
            <w:vAlign w:val="bottom"/>
            <w:tcBorders>
              <w:right w:val="single" w:sz="8" w:color="70AD47"/>
            </w:tcBorders>
          </w:tcPr>
          <w:p>
            <w:pPr>
              <w:spacing w:after="0"/>
              <w:rPr>
                <w:sz w:val="24"/>
                <w:szCs w:val="24"/>
                <w:color w:val="auto"/>
              </w:rPr>
            </w:pPr>
          </w:p>
        </w:tc>
      </w:tr>
      <w:tr>
        <w:trPr>
          <w:trHeight w:val="228"/>
        </w:trPr>
        <w:tc>
          <w:tcPr>
            <w:tcW w:w="6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Basic earnings for the period per share</w:t>
            </w:r>
          </w:p>
        </w:tc>
        <w:tc>
          <w:tcPr>
            <w:tcW w:w="13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17"/>
        </w:trPr>
        <w:tc>
          <w:tcPr>
            <w:tcW w:w="6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Diluted earnings for the period per share</w:t>
            </w:r>
          </w:p>
        </w:tc>
        <w:tc>
          <w:tcPr>
            <w:tcW w:w="13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67" w:name="page168"/>
    <w:bookmarkEnd w:id="16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Comparison of the year ended December 31, 2023 and the year ended December 31, 2022</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summary of revenues recognized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800" w:type="dxa"/>
            <w:vAlign w:val="bottom"/>
            <w:gridSpan w:val="2"/>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6"/>
              </w:rPr>
              <w:t>Years ended</w:t>
            </w:r>
          </w:p>
        </w:tc>
        <w:tc>
          <w:tcPr>
            <w:tcW w:w="720" w:type="dxa"/>
            <w:vAlign w:val="bottom"/>
          </w:tcPr>
          <w:p>
            <w:pPr>
              <w:spacing w:after="0"/>
              <w:rPr>
                <w:sz w:val="16"/>
                <w:szCs w:val="16"/>
                <w:color w:val="auto"/>
              </w:rPr>
            </w:pPr>
          </w:p>
        </w:tc>
      </w:tr>
      <w:tr>
        <w:trPr>
          <w:trHeight w:val="206"/>
        </w:trPr>
        <w:tc>
          <w:tcPr>
            <w:tcW w:w="5580" w:type="dxa"/>
            <w:vAlign w:val="bottom"/>
          </w:tcPr>
          <w:p>
            <w:pPr>
              <w:spacing w:after="0"/>
              <w:rPr>
                <w:sz w:val="17"/>
                <w:szCs w:val="17"/>
                <w:color w:val="auto"/>
              </w:rPr>
            </w:pPr>
          </w:p>
        </w:tc>
        <w:tc>
          <w:tcPr>
            <w:tcW w:w="1800" w:type="dxa"/>
            <w:vAlign w:val="bottom"/>
            <w:gridSpan w:val="2"/>
          </w:tcPr>
          <w:p>
            <w:pPr>
              <w:jc w:val="center"/>
              <w:ind w:left="60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20" w:type="dxa"/>
            <w:vAlign w:val="bottom"/>
          </w:tcPr>
          <w:p>
            <w:pPr>
              <w:spacing w:after="0"/>
              <w:rPr>
                <w:sz w:val="17"/>
                <w:szCs w:val="17"/>
                <w:color w:val="auto"/>
              </w:rPr>
            </w:pPr>
          </w:p>
        </w:tc>
      </w:tr>
      <w:tr>
        <w:trPr>
          <w:trHeight w:val="216"/>
        </w:trPr>
        <w:tc>
          <w:tcPr>
            <w:tcW w:w="55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2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70AD47"/>
            </w:tcBorders>
          </w:tcPr>
          <w:p>
            <w:pPr>
              <w:spacing w:after="0"/>
              <w:rPr>
                <w:sz w:val="18"/>
                <w:szCs w:val="18"/>
                <w:color w:val="auto"/>
              </w:rPr>
            </w:pPr>
          </w:p>
        </w:tc>
        <w:tc>
          <w:tcPr>
            <w:tcW w:w="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5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20" w:type="dxa"/>
            <w:vAlign w:val="bottom"/>
            <w:tcBorders>
              <w:right w:val="single" w:sz="8" w:color="70AD47"/>
            </w:tcBorders>
            <w:shd w:val="clear" w:color="auto" w:fill="C6E0B4"/>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right w:val="single" w:sz="8" w:color="70AD47"/>
            </w:tcBorders>
          </w:tcPr>
          <w:p>
            <w:pPr>
              <w:spacing w:after="0"/>
              <w:rPr>
                <w:sz w:val="18"/>
                <w:szCs w:val="18"/>
                <w:color w:val="auto"/>
              </w:rPr>
            </w:pPr>
          </w:p>
        </w:tc>
      </w:tr>
      <w:tr>
        <w:trPr>
          <w:trHeight w:val="216"/>
        </w:trPr>
        <w:tc>
          <w:tcPr>
            <w:tcW w:w="5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revenues</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3,815.5</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17,194.6</w:t>
            </w:r>
          </w:p>
        </w:tc>
      </w:tr>
      <w:tr>
        <w:trPr>
          <w:trHeight w:val="216"/>
        </w:trPr>
        <w:tc>
          <w:tcPr>
            <w:tcW w:w="5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COVID-19 vaccine revenues</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3,776.2</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17,145.2</w:t>
            </w:r>
          </w:p>
        </w:tc>
      </w:tr>
      <w:tr>
        <w:trPr>
          <w:trHeight w:val="216"/>
        </w:trPr>
        <w:tc>
          <w:tcPr>
            <w:tcW w:w="558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Sales to collaboration partners</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275.3</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1,224.3</w:t>
            </w:r>
          </w:p>
        </w:tc>
      </w:tr>
      <w:tr>
        <w:trPr>
          <w:trHeight w:val="216"/>
        </w:trPr>
        <w:tc>
          <w:tcPr>
            <w:tcW w:w="558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Direct product sales to customers</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473.6</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3,184.7</w:t>
            </w:r>
          </w:p>
        </w:tc>
      </w:tr>
      <w:tr>
        <w:trPr>
          <w:trHeight w:val="216"/>
        </w:trPr>
        <w:tc>
          <w:tcPr>
            <w:tcW w:w="558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Share of collaboration partners’ gross profit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3,027.3</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12,736.2</w:t>
            </w:r>
          </w:p>
        </w:tc>
      </w:tr>
      <w:tr>
        <w:trPr>
          <w:trHeight w:val="216"/>
        </w:trPr>
        <w:tc>
          <w:tcPr>
            <w:tcW w:w="5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sales</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580" w:type="dxa"/>
            <w:vAlign w:val="bottom"/>
          </w:tcPr>
          <w:p>
            <w:pPr>
              <w:spacing w:after="0"/>
              <w:rPr>
                <w:sz w:val="18"/>
                <w:szCs w:val="18"/>
                <w:color w:val="auto"/>
              </w:rPr>
            </w:pPr>
          </w:p>
        </w:tc>
        <w:tc>
          <w:tcPr>
            <w:tcW w:w="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7"/>
        </w:trPr>
        <w:tc>
          <w:tcPr>
            <w:tcW w:w="55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Research &amp; development revenues from collaborations</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580" w:type="dxa"/>
            <w:vAlign w:val="bottom"/>
            <w:tcBorders>
              <w:bottom w:val="single" w:sz="8" w:color="70AD47"/>
            </w:tcBorders>
          </w:tcPr>
          <w:p>
            <w:pPr>
              <w:spacing w:after="0"/>
              <w:rPr>
                <w:sz w:val="18"/>
                <w:szCs w:val="18"/>
                <w:color w:val="auto"/>
              </w:rPr>
            </w:pPr>
          </w:p>
        </w:tc>
        <w:tc>
          <w:tcPr>
            <w:tcW w:w="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116.0</w:t>
            </w:r>
          </w:p>
        </w:tc>
      </w:tr>
      <w:tr>
        <w:trPr>
          <w:trHeight w:val="208"/>
        </w:trPr>
        <w:tc>
          <w:tcPr>
            <w:tcW w:w="55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3,819.0</w:t>
            </w:r>
          </w:p>
        </w:tc>
        <w:tc>
          <w:tcPr>
            <w:tcW w:w="580" w:type="dxa"/>
            <w:vAlign w:val="bottom"/>
            <w:tcBorders>
              <w:bottom w:val="single" w:sz="8" w:color="70AD47"/>
            </w:tcBorders>
          </w:tcPr>
          <w:p>
            <w:pPr>
              <w:spacing w:after="0"/>
              <w:rPr>
                <w:sz w:val="18"/>
                <w:szCs w:val="18"/>
                <w:color w:val="auto"/>
              </w:rPr>
            </w:pPr>
          </w:p>
        </w:tc>
        <w:tc>
          <w:tcPr>
            <w:tcW w:w="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17,310.6</w:t>
            </w: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Commercial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Change</w:t>
      </w:r>
    </w:p>
    <w:p>
      <w:pPr>
        <w:spacing w:after="0" w:line="32" w:lineRule="exact"/>
        <w:rPr>
          <w:sz w:val="20"/>
          <w:szCs w:val="20"/>
          <w:color w:val="auto"/>
        </w:rPr>
      </w:pPr>
    </w:p>
    <w:p>
      <w:pPr>
        <w:ind w:left="1560" w:hanging="987"/>
        <w:spacing w:after="0"/>
        <w:tabs>
          <w:tab w:leader="none" w:pos="156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14605</wp:posOffset>
            </wp:positionV>
            <wp:extent cx="15246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24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(13,379.1)</w:t>
      </w:r>
      <w:r>
        <w:rPr>
          <w:sz w:val="20"/>
          <w:szCs w:val="20"/>
          <w:color w:val="auto"/>
        </w:rPr>
        <w:tab/>
      </w:r>
      <w:r>
        <w:rPr>
          <w:rFonts w:ascii="Times New Roman" w:cs="Times New Roman" w:eastAsia="Times New Roman" w:hAnsi="Times New Roman"/>
          <w:sz w:val="14"/>
          <w:szCs w:val="14"/>
          <w:b w:val="1"/>
          <w:bCs w:val="1"/>
          <w:color w:val="auto"/>
        </w:rPr>
        <w:t>(78)</w:t>
      </w:r>
    </w:p>
    <w:p>
      <w:pPr>
        <w:spacing w:after="0" w:line="3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color w:val="auto"/>
        </w:rPr>
        <w:t>(13,369.0)</w:t>
      </w:r>
      <w:r>
        <w:rPr>
          <w:sz w:val="20"/>
          <w:szCs w:val="20"/>
          <w:color w:val="auto"/>
        </w:rPr>
        <w:tab/>
      </w:r>
      <w:r>
        <w:rPr>
          <w:rFonts w:ascii="Times New Roman" w:cs="Times New Roman" w:eastAsia="Times New Roman" w:hAnsi="Times New Roman"/>
          <w:sz w:val="14"/>
          <w:szCs w:val="14"/>
          <w:color w:val="auto"/>
        </w:rPr>
        <w:t>(78)</w:t>
      </w:r>
    </w:p>
    <w:p>
      <w:pPr>
        <w:spacing w:after="0" w:line="30" w:lineRule="exact"/>
        <w:rPr>
          <w:sz w:val="20"/>
          <w:szCs w:val="20"/>
          <w:color w:val="auto"/>
        </w:rPr>
      </w:pPr>
    </w:p>
    <w:p>
      <w:pPr>
        <w:ind w:left="200"/>
        <w:spacing w:after="0"/>
        <w:tabs>
          <w:tab w:leader="none" w:pos="1440" w:val="left"/>
        </w:tabs>
        <w:rPr>
          <w:sz w:val="20"/>
          <w:szCs w:val="20"/>
          <w:color w:val="auto"/>
        </w:rPr>
      </w:pPr>
      <w:r>
        <w:rPr>
          <w:rFonts w:ascii="Times New Roman" w:cs="Times New Roman" w:eastAsia="Times New Roman" w:hAnsi="Times New Roman"/>
          <w:sz w:val="16"/>
          <w:szCs w:val="16"/>
          <w:i w:val="1"/>
          <w:iCs w:val="1"/>
          <w:color w:val="auto"/>
        </w:rPr>
        <w:t>(949.0)</w:t>
      </w:r>
      <w:r>
        <w:rPr>
          <w:sz w:val="20"/>
          <w:szCs w:val="20"/>
          <w:color w:val="auto"/>
        </w:rPr>
        <w:tab/>
      </w:r>
      <w:r>
        <w:rPr>
          <w:rFonts w:ascii="Times New Roman" w:cs="Times New Roman" w:eastAsia="Times New Roman" w:hAnsi="Times New Roman"/>
          <w:sz w:val="14"/>
          <w:szCs w:val="14"/>
          <w:i w:val="1"/>
          <w:iCs w:val="1"/>
          <w:color w:val="auto"/>
        </w:rPr>
        <w:t>(78)</w:t>
      </w:r>
    </w:p>
    <w:p>
      <w:pPr>
        <w:spacing w:after="0" w:line="32" w:lineRule="exact"/>
        <w:rPr>
          <w:sz w:val="20"/>
          <w:szCs w:val="20"/>
          <w:color w:val="auto"/>
        </w:rPr>
      </w:pPr>
    </w:p>
    <w:p>
      <w:pPr>
        <w:ind w:left="80"/>
        <w:spacing w:after="0"/>
        <w:tabs>
          <w:tab w:leader="none" w:pos="1440" w:val="left"/>
        </w:tabs>
        <w:rPr>
          <w:sz w:val="20"/>
          <w:szCs w:val="20"/>
          <w:color w:val="auto"/>
        </w:rPr>
      </w:pPr>
      <w:r>
        <w:rPr>
          <w:rFonts w:ascii="Times New Roman" w:cs="Times New Roman" w:eastAsia="Times New Roman" w:hAnsi="Times New Roman"/>
          <w:sz w:val="16"/>
          <w:szCs w:val="16"/>
          <w:i w:val="1"/>
          <w:iCs w:val="1"/>
          <w:color w:val="auto"/>
        </w:rPr>
        <w:t>(2,711.1)</w:t>
      </w:r>
      <w:r>
        <w:rPr>
          <w:sz w:val="20"/>
          <w:szCs w:val="20"/>
          <w:color w:val="auto"/>
        </w:rPr>
        <w:tab/>
      </w:r>
      <w:r>
        <w:rPr>
          <w:rFonts w:ascii="Times New Roman" w:cs="Times New Roman" w:eastAsia="Times New Roman" w:hAnsi="Times New Roman"/>
          <w:sz w:val="14"/>
          <w:szCs w:val="14"/>
          <w:i w:val="1"/>
          <w:iCs w:val="1"/>
          <w:color w:val="auto"/>
        </w:rPr>
        <w:t>(85)</w:t>
      </w:r>
    </w:p>
    <w:p>
      <w:pPr>
        <w:spacing w:after="0" w:line="32" w:lineRule="exact"/>
        <w:rPr>
          <w:sz w:val="20"/>
          <w:szCs w:val="20"/>
          <w:color w:val="auto"/>
        </w:rPr>
      </w:pPr>
    </w:p>
    <w:p>
      <w:pPr>
        <w:ind w:left="80"/>
        <w:spacing w:after="0"/>
        <w:tabs>
          <w:tab w:leader="none" w:pos="1440" w:val="left"/>
        </w:tabs>
        <w:rPr>
          <w:sz w:val="20"/>
          <w:szCs w:val="20"/>
          <w:color w:val="auto"/>
        </w:rPr>
      </w:pPr>
      <w:r>
        <w:rPr>
          <w:rFonts w:ascii="Times New Roman" w:cs="Times New Roman" w:eastAsia="Times New Roman" w:hAnsi="Times New Roman"/>
          <w:sz w:val="16"/>
          <w:szCs w:val="16"/>
          <w:i w:val="1"/>
          <w:iCs w:val="1"/>
          <w:color w:val="auto"/>
        </w:rPr>
        <w:t>(9,708.9)</w:t>
      </w:r>
      <w:r>
        <w:rPr>
          <w:sz w:val="20"/>
          <w:szCs w:val="20"/>
          <w:color w:val="auto"/>
        </w:rPr>
        <w:tab/>
      </w:r>
      <w:r>
        <w:rPr>
          <w:rFonts w:ascii="Times New Roman" w:cs="Times New Roman" w:eastAsia="Times New Roman" w:hAnsi="Times New Roman"/>
          <w:sz w:val="14"/>
          <w:szCs w:val="14"/>
          <w:i w:val="1"/>
          <w:iCs w:val="1"/>
          <w:color w:val="auto"/>
        </w:rPr>
        <w:t>(76)</w:t>
      </w:r>
    </w:p>
    <w:p>
      <w:pPr>
        <w:spacing w:after="0" w:line="34"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4"/>
          <w:szCs w:val="14"/>
          <w:color w:val="auto"/>
        </w:rPr>
        <w:t>(20)</w:t>
      </w:r>
    </w:p>
    <w:p>
      <w:pPr>
        <w:spacing w:after="0" w:line="30" w:lineRule="exact"/>
        <w:rPr>
          <w:sz w:val="20"/>
          <w:szCs w:val="20"/>
          <w:color w:val="auto"/>
        </w:rPr>
      </w:pPr>
    </w:p>
    <w:p>
      <w:pPr>
        <w:ind w:left="200"/>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(112.5)</w:t>
      </w:r>
      <w:r>
        <w:rPr>
          <w:sz w:val="20"/>
          <w:szCs w:val="20"/>
          <w:color w:val="auto"/>
        </w:rPr>
        <w:tab/>
      </w:r>
      <w:r>
        <w:rPr>
          <w:rFonts w:ascii="Times New Roman" w:cs="Times New Roman" w:eastAsia="Times New Roman" w:hAnsi="Times New Roman"/>
          <w:sz w:val="14"/>
          <w:szCs w:val="14"/>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14605</wp:posOffset>
            </wp:positionV>
            <wp:extent cx="152463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2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(13,491.6)</w:t>
      </w:r>
      <w:r>
        <w:rPr>
          <w:sz w:val="20"/>
          <w:szCs w:val="20"/>
          <w:color w:val="auto"/>
        </w:rPr>
        <w:tab/>
      </w:r>
      <w:r>
        <w:rPr>
          <w:rFonts w:ascii="Times New Roman" w:cs="Times New Roman" w:eastAsia="Times New Roman" w:hAnsi="Times New Roman"/>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14605</wp:posOffset>
            </wp:positionV>
            <wp:extent cx="152463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562" w:lineRule="exact"/>
        <w:rPr>
          <w:sz w:val="20"/>
          <w:szCs w:val="20"/>
          <w:color w:val="auto"/>
        </w:rPr>
      </w:pPr>
    </w:p>
    <w:p>
      <w:pPr>
        <w:sectPr>
          <w:pgSz w:w="11900" w:h="16840" w:orient="portrait"/>
          <w:cols w:equalWidth="0" w:num="2">
            <w:col w:w="8100" w:space="720"/>
            <w:col w:w="1760"/>
          </w:cols>
          <w:pgMar w:left="660" w:top="557" w:right="660" w:bottom="1440" w:gutter="0" w:footer="0" w:header="0"/>
        </w:sect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From the year ended December 31, 2022 compared to the year ended December 31, 2023 commercial revenues decreased by €13,379.1 million from €17,194.6 million to €3,815.5 million, in line with a lower COVID -19 vaccine market demand. We are the marketing authorization holder in the United States, the European Union, the United Kingdom, Canada and other countries, and holder of EUAs or equivalents in the United States (jointly with Pfizer) and other countries. Pfizer has marketing and distribution rights worldwide with the exception of China, Germany and Türkiye. Fosun Pharma, has marketing and distribution rights in China, Hong Kong special administrative region, or SAR, Macau SAR and the region of Taiwan. The allocation of marketing and distribution rights defines territories in which the collaboration partners act as a principal.</w:t>
      </w:r>
    </w:p>
    <w:p>
      <w:pPr>
        <w:spacing w:after="0" w:line="173"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Sales to collaboration partners represent sales of products manufactured by us to collaboration partners. Whenever responsibilities in the manufacturing and supply process of the COVID-19 vaccine shift and the COVID-19 vaccine is transferred, the vaccine is sold from one partner to the other. Under the collaboration with Pfizer, from time to time, those sales are significantly influenced by amounts due to write-downs of inventories as well as costs related to production capacities derived from contracts with CMOs that became redundant. Those costs represent accrued manufacturing variances and are charged to our partner once finally materialized. These manufacturing variances are reflected as transfer price adjustments once identified. The regular reassessment of these manufacturing variances may result in adjustments to the respective prior-period revenues. Sales to collaboration partners during the years ended December 31, 2023, and 2022, amounted to €275.3 million and €1,224.3 million, respectively. During the years ended December 31, 2023, and 2022 those sales included €74.5 million and €850.0 million, respectively, related to the aforementioned manufacturing variances.</w:t>
      </w:r>
    </w:p>
    <w:p>
      <w:pPr>
        <w:spacing w:after="0" w:line="173"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Direct product sales are recognized from supplying COVID-19 vaccine in our territories Germany and Türkiye. During the years ended December 31, 2023, and 2022, we recognized €473.6 million and €3,184.7 million of revenues, respectively. The share of gross profit that we owe our collaboration partner Pfizer based on our sales is recognized as cost of sales.</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Based on COVID- 19 vaccine sales in the collaboration partners’ territories, we are eligible to receive a share of their gross profit, which represents a seasonally affected net figure and is recognized as collaboration revenue during the commercial phase, together with sales milestones. Manufacturing cost variances either reflected as transfer price adjustments as described above or resulting from costs highly probable to be incurred by the partner, were taken into account when determining the gross profit. During the year ended December 31, 2023, €3,027.3 million gross profit share has been recognized as revenue. During the year ended December 31, 2022, €12,736.2 million gross profit share has been recognized as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68" w:name="page169"/>
    <w:bookmarkEnd w:id="16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Research &amp; Development Revenues from Collaborations</w:t>
      </w:r>
    </w:p>
    <w:p>
      <w:pPr>
        <w:spacing w:after="0" w:line="94" w:lineRule="exact"/>
        <w:rPr>
          <w:sz w:val="20"/>
          <w:szCs w:val="20"/>
          <w:color w:val="auto"/>
        </w:rPr>
      </w:pPr>
    </w:p>
    <w:p>
      <w:pPr>
        <w:jc w:val="both"/>
        <w:ind w:firstLine="384"/>
        <w:spacing w:after="0" w:line="331" w:lineRule="auto"/>
        <w:rPr>
          <w:sz w:val="20"/>
          <w:szCs w:val="20"/>
          <w:color w:val="auto"/>
        </w:rPr>
      </w:pPr>
      <w:r>
        <w:rPr>
          <w:rFonts w:ascii="Times New Roman" w:cs="Times New Roman" w:eastAsia="Times New Roman" w:hAnsi="Times New Roman"/>
          <w:sz w:val="14"/>
          <w:szCs w:val="14"/>
          <w:color w:val="auto"/>
        </w:rPr>
        <w:t>From the year ended December 31, 2022 compared to the year ended December 31, 2023, research and development revenues from collaborations decreased by €112.5 million or 97% from €116.0 million to €3.5 million. This was mainly effected by one-time effects from our collaborations with Pfizer and Sanofi S.A, or Sanofi.</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cost of sales decreased by €2,395.2 million or 80% from €2,995.0 million to €599.8 million, mainly due to recognizing lower cost of sales from our decreased COVID-19 vaccine sales, which included the share of gross profit that we owe our collaboration partner Pfizer based on our sales. In addition, cost of sales was impacted by expenses arising from inventory write-offs and expenses for production capacities derived from contracts with CMOs that became redundant. The effects were driven by reducing production capacities as well as further fostering the global production network with our collaboration partners during the year ended December 31, 2023.</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Borders>
              <w:right w:val="single" w:sz="8" w:color="70AD47"/>
            </w:tcBorders>
          </w:tcPr>
          <w:p>
            <w:pPr>
              <w:spacing w:after="0"/>
              <w:rPr>
                <w:sz w:val="16"/>
                <w:szCs w:val="16"/>
                <w:color w:val="auto"/>
              </w:rPr>
            </w:pPr>
          </w:p>
        </w:tc>
        <w:tc>
          <w:tcPr>
            <w:tcW w:w="1840" w:type="dxa"/>
            <w:vAlign w:val="bottom"/>
            <w:gridSpan w:val="2"/>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6"/>
              </w:rPr>
              <w:t>Years ended</w:t>
            </w:r>
          </w:p>
        </w:tc>
        <w:tc>
          <w:tcPr>
            <w:tcW w:w="660" w:type="dxa"/>
            <w:vAlign w:val="bottom"/>
            <w:tcBorders>
              <w:right w:val="single" w:sz="8" w:color="70AD47"/>
            </w:tcBorders>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Borders>
              <w:right w:val="single" w:sz="8" w:color="70AD47"/>
            </w:tcBorders>
          </w:tcPr>
          <w:p>
            <w:pPr>
              <w:spacing w:after="0"/>
              <w:rPr>
                <w:sz w:val="16"/>
                <w:szCs w:val="16"/>
                <w:color w:val="auto"/>
              </w:rPr>
            </w:pPr>
          </w:p>
        </w:tc>
      </w:tr>
      <w:tr>
        <w:trPr>
          <w:trHeight w:val="206"/>
        </w:trPr>
        <w:tc>
          <w:tcPr>
            <w:tcW w:w="5640" w:type="dxa"/>
            <w:vAlign w:val="bottom"/>
            <w:tcBorders>
              <w:right w:val="single" w:sz="8" w:color="70AD47"/>
            </w:tcBorders>
          </w:tcPr>
          <w:p>
            <w:pPr>
              <w:spacing w:after="0"/>
              <w:rPr>
                <w:sz w:val="17"/>
                <w:szCs w:val="17"/>
                <w:color w:val="auto"/>
              </w:rPr>
            </w:pPr>
          </w:p>
        </w:tc>
        <w:tc>
          <w:tcPr>
            <w:tcW w:w="1840" w:type="dxa"/>
            <w:vAlign w:val="bottom"/>
            <w:gridSpan w:val="2"/>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60" w:type="dxa"/>
            <w:vAlign w:val="bottom"/>
            <w:tcBorders>
              <w:right w:val="single" w:sz="8" w:color="70AD47"/>
            </w:tcBorders>
          </w:tcPr>
          <w:p>
            <w:pPr>
              <w:spacing w:after="0"/>
              <w:rPr>
                <w:sz w:val="17"/>
                <w:szCs w:val="17"/>
                <w:color w:val="auto"/>
              </w:rPr>
            </w:pPr>
          </w:p>
        </w:tc>
        <w:tc>
          <w:tcPr>
            <w:tcW w:w="17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right w:val="single" w:sz="8" w:color="70AD47"/>
            </w:tcBorders>
          </w:tcPr>
          <w:p>
            <w:pPr>
              <w:spacing w:after="0"/>
              <w:rPr>
                <w:sz w:val="17"/>
                <w:szCs w:val="17"/>
                <w:color w:val="auto"/>
              </w:rPr>
            </w:pPr>
          </w:p>
        </w:tc>
      </w:tr>
      <w:tr>
        <w:trPr>
          <w:trHeight w:val="216"/>
        </w:trPr>
        <w:tc>
          <w:tcPr>
            <w:tcW w:w="56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70AD47"/>
            </w:tcBorders>
          </w:tcPr>
          <w:p>
            <w:pPr>
              <w:spacing w:after="0"/>
              <w:rPr>
                <w:sz w:val="18"/>
                <w:szCs w:val="18"/>
                <w:color w:val="auto"/>
              </w:rPr>
            </w:pPr>
          </w:p>
        </w:tc>
        <w:tc>
          <w:tcPr>
            <w:tcW w:w="6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60" w:type="dxa"/>
            <w:vAlign w:val="bottom"/>
            <w:tcBorders>
              <w:bottom w:val="single" w:sz="8" w:color="70AD47"/>
            </w:tcBorders>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r>
              <w:rPr>
                <w:rFonts w:ascii="Times New Roman" w:cs="Times New Roman" w:eastAsia="Times New Roman" w:hAnsi="Times New Roman"/>
                <w:sz w:val="9"/>
                <w:szCs w:val="9"/>
                <w:b w:val="1"/>
                <w:bCs w:val="1"/>
                <w:color w:val="auto"/>
              </w:rPr>
              <w:t>(1)</w:t>
            </w:r>
          </w:p>
        </w:tc>
        <w:tc>
          <w:tcPr>
            <w:tcW w:w="1260" w:type="dxa"/>
            <w:vAlign w:val="bottom"/>
            <w:tcBorders>
              <w:right w:val="single" w:sz="8" w:color="70AD47"/>
            </w:tcBorders>
            <w:shd w:val="clear" w:color="auto" w:fill="C6E0B4"/>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Borders>
              <w:right w:val="single" w:sz="8" w:color="70AD47"/>
            </w:tcBorders>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Borders>
              <w:right w:val="single" w:sz="8" w:color="70AD47"/>
            </w:tcBorders>
          </w:tcPr>
          <w:p>
            <w:pPr>
              <w:spacing w:after="0"/>
              <w:rPr>
                <w:sz w:val="18"/>
                <w:szCs w:val="18"/>
                <w:color w:val="auto"/>
              </w:rPr>
            </w:pPr>
          </w:p>
        </w:tc>
      </w:tr>
      <w:tr>
        <w:trPr>
          <w:trHeight w:val="216"/>
        </w:trPr>
        <w:tc>
          <w:tcPr>
            <w:tcW w:w="56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COVID-19</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580" w:type="dxa"/>
            <w:vAlign w:val="bottom"/>
          </w:tcPr>
          <w:p>
            <w:pPr>
              <w:spacing w:after="0"/>
              <w:rPr>
                <w:sz w:val="18"/>
                <w:szCs w:val="18"/>
                <w:color w:val="auto"/>
              </w:rPr>
            </w:pPr>
          </w:p>
        </w:tc>
        <w:tc>
          <w:tcPr>
            <w:tcW w:w="6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7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(237.0)</w:t>
            </w:r>
          </w:p>
        </w:tc>
        <w:tc>
          <w:tcPr>
            <w:tcW w:w="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7"/>
        </w:trPr>
        <w:tc>
          <w:tcPr>
            <w:tcW w:w="56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Non-COVID-19</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580" w:type="dxa"/>
            <w:vAlign w:val="bottom"/>
            <w:tcBorders>
              <w:bottom w:val="single" w:sz="8" w:color="70AD47"/>
            </w:tcBorders>
          </w:tcPr>
          <w:p>
            <w:pPr>
              <w:spacing w:after="0"/>
              <w:rPr>
                <w:sz w:val="18"/>
                <w:szCs w:val="18"/>
                <w:color w:val="auto"/>
              </w:rPr>
            </w:pPr>
          </w:p>
        </w:tc>
        <w:tc>
          <w:tcPr>
            <w:tcW w:w="6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987.0</w:t>
            </w:r>
          </w:p>
        </w:tc>
        <w:tc>
          <w:tcPr>
            <w:tcW w:w="1760" w:type="dxa"/>
            <w:vAlign w:val="bottom"/>
            <w:tcBorders>
              <w:bottom w:val="single" w:sz="8" w:color="70AD47"/>
            </w:tcBorders>
          </w:tcPr>
          <w:p>
            <w:pPr>
              <w:jc w:val="right"/>
              <w:ind w:right="382"/>
              <w:spacing w:after="0"/>
              <w:rPr>
                <w:sz w:val="20"/>
                <w:szCs w:val="20"/>
                <w:color w:val="auto"/>
              </w:rPr>
            </w:pPr>
            <w:r>
              <w:rPr>
                <w:rFonts w:ascii="Times New Roman" w:cs="Times New Roman" w:eastAsia="Times New Roman" w:hAnsi="Times New Roman"/>
                <w:sz w:val="16"/>
                <w:szCs w:val="16"/>
                <w:color w:val="auto"/>
              </w:rPr>
              <w:t>483.1</w:t>
            </w:r>
          </w:p>
        </w:tc>
        <w:tc>
          <w:tcPr>
            <w:tcW w:w="680" w:type="dxa"/>
            <w:vAlign w:val="bottom"/>
            <w:tcBorders>
              <w:bottom w:val="single" w:sz="8" w:color="70AD47"/>
              <w:right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color w:val="auto"/>
              </w:rPr>
              <w:t>48.9</w:t>
            </w:r>
          </w:p>
        </w:tc>
      </w:tr>
      <w:tr>
        <w:trPr>
          <w:trHeight w:val="208"/>
        </w:trPr>
        <w:tc>
          <w:tcPr>
            <w:tcW w:w="56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1,783.1</w:t>
            </w:r>
          </w:p>
        </w:tc>
        <w:tc>
          <w:tcPr>
            <w:tcW w:w="580" w:type="dxa"/>
            <w:vAlign w:val="bottom"/>
            <w:tcBorders>
              <w:bottom w:val="single" w:sz="8" w:color="70AD47"/>
            </w:tcBorders>
          </w:tcPr>
          <w:p>
            <w:pPr>
              <w:spacing w:after="0"/>
              <w:rPr>
                <w:sz w:val="18"/>
                <w:szCs w:val="18"/>
                <w:color w:val="auto"/>
              </w:rPr>
            </w:pPr>
          </w:p>
        </w:tc>
        <w:tc>
          <w:tcPr>
            <w:tcW w:w="6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1,537.0</w:t>
            </w:r>
          </w:p>
        </w:tc>
        <w:tc>
          <w:tcPr>
            <w:tcW w:w="1760" w:type="dxa"/>
            <w:vAlign w:val="bottom"/>
            <w:tcBorders>
              <w:bottom w:val="single" w:sz="8" w:color="70AD47"/>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246.1</w:t>
            </w:r>
          </w:p>
        </w:tc>
        <w:tc>
          <w:tcPr>
            <w:tcW w:w="680" w:type="dxa"/>
            <w:vAlign w:val="bottom"/>
            <w:tcBorders>
              <w:bottom w:val="single" w:sz="8" w:color="70AD47"/>
              <w:right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16.0</w:t>
            </w:r>
          </w:p>
        </w:tc>
      </w:tr>
    </w:tbl>
    <w:p>
      <w:pPr>
        <w:spacing w:after="0" w:line="78" w:lineRule="exact"/>
        <w:rPr>
          <w:sz w:val="20"/>
          <w:szCs w:val="20"/>
          <w:color w:val="auto"/>
        </w:rPr>
      </w:pPr>
    </w:p>
    <w:p>
      <w:pPr>
        <w:ind w:left="260" w:hanging="254"/>
        <w:spacing w:after="0"/>
        <w:tabs>
          <w:tab w:leader="none" w:pos="260" w:val="left"/>
        </w:tabs>
        <w:numPr>
          <w:ilvl w:val="0"/>
          <w:numId w:val="1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Break-down as per internal cost allocation logic.</w:t>
      </w:r>
    </w:p>
    <w:p>
      <w:pPr>
        <w:spacing w:after="0" w:line="17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research and development expenses increased by €246.1 million or 16% from €1,537.0 million to €1,783.1 million, mainly influenced by progressing clinical studies for pipeline candidates as well as by our newly acquired product candidates and the development of variant adapted COVID-19 vaccines. The increase was further driven by an increase in wages, benefits and social security expenses resulting from a significant increase in headcount.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sales and marketing expenses increased by €3.2 million or 5% from €59.5 million to €62.7 million, mainly due to increased expenses for setup and enhancement of commercial IT platforms and an increase in wages, benefits and social security expenses resulting from an increase in headcount.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general and administrative expenses increased by €13.3 million or 3% from €481.7 million to €495.0 million, mainly influenced by increased expenses for IT services as well as by wages, benefits and social security expenses resulting from an increase in headcount.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Other Operating Income / Expenses</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other result decreased by €593.3 million or 146% from positive €405.3 million to a negative result of €188.0 million. The other operating result reflected the change in foreign exchange rates and included net negative foreign exchange differences during year ended December 31, 2023 compared to net positive foreign exchange differences during the previous year period that related to our U.S. dollar denominated trade receivables which were mainly incurred under our COVID-19 vaccine collaboration with Pfizer, U.S. dollar denominated trade payables as well as U.S. dollar denominated other financial liabilities which mainly relate to obligations incurred from our license agreements. The amounts were offset by recording the change in fair value of foreign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9" w:name="page170"/>
    <w:bookmarkEnd w:id="16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forward contracts that were entered to manage some of our transaction exposures but were not designated as hedging instruments under IFRS.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Finance Income / Expenses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total financial result increased by €184.3 million from a positive financial result of € 311.4 million to a positive financial result of € 495.7 million, which was driven by interest income earned on bank deposits and financial securities as well as fair value adjustments in relation to our money market funds. During the year ended December 31, 2022, the fair value adjustments derived from remeasuring the derivative embedded in our convertible note significantly affected our finance result.</w:t>
      </w:r>
    </w:p>
    <w:p>
      <w:pPr>
        <w:sectPr>
          <w:pgSz w:w="11900" w:h="16840" w:orient="portrait"/>
          <w:cols w:equalWidth="0" w:num="1">
            <w:col w:w="10580"/>
          </w:cols>
          <w:pgMar w:left="660" w:top="557" w:right="660" w:bottom="1440" w:gutter="0" w:footer="0" w:header="0"/>
        </w:sectPr>
      </w:pP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our income taxes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78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8"/>
              </w:rPr>
              <w:t>Years ended</w:t>
            </w:r>
          </w:p>
        </w:tc>
        <w:tc>
          <w:tcPr>
            <w:tcW w:w="640" w:type="dxa"/>
            <w:vAlign w:val="bottom"/>
          </w:tcPr>
          <w:p>
            <w:pPr>
              <w:spacing w:after="0"/>
              <w:rPr>
                <w:sz w:val="16"/>
                <w:szCs w:val="16"/>
                <w:color w:val="auto"/>
              </w:rPr>
            </w:pPr>
          </w:p>
        </w:tc>
      </w:tr>
      <w:tr>
        <w:trPr>
          <w:trHeight w:val="206"/>
        </w:trPr>
        <w:tc>
          <w:tcPr>
            <w:tcW w:w="5580" w:type="dxa"/>
            <w:vAlign w:val="bottom"/>
          </w:tcPr>
          <w:p>
            <w:pPr>
              <w:spacing w:after="0"/>
              <w:rPr>
                <w:sz w:val="17"/>
                <w:szCs w:val="17"/>
                <w:color w:val="auto"/>
              </w:rPr>
            </w:pPr>
          </w:p>
        </w:tc>
        <w:tc>
          <w:tcPr>
            <w:tcW w:w="178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40" w:type="dxa"/>
            <w:vAlign w:val="bottom"/>
          </w:tcPr>
          <w:p>
            <w:pPr>
              <w:spacing w:after="0"/>
              <w:rPr>
                <w:sz w:val="17"/>
                <w:szCs w:val="17"/>
                <w:color w:val="auto"/>
              </w:rPr>
            </w:pPr>
          </w:p>
        </w:tc>
      </w:tr>
      <w:tr>
        <w:trPr>
          <w:trHeight w:val="216"/>
        </w:trPr>
        <w:tc>
          <w:tcPr>
            <w:tcW w:w="55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1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70AD47"/>
            </w:tcBorders>
          </w:tcPr>
          <w:p>
            <w:pPr>
              <w:spacing w:after="0"/>
              <w:rPr>
                <w:sz w:val="18"/>
                <w:szCs w:val="18"/>
                <w:color w:val="auto"/>
              </w:rPr>
            </w:pPr>
          </w:p>
        </w:tc>
        <w:tc>
          <w:tcPr>
            <w:tcW w:w="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5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Current income taxes</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620" w:type="dxa"/>
            <w:vAlign w:val="bottom"/>
          </w:tcPr>
          <w:p>
            <w:pPr>
              <w:spacing w:after="0"/>
              <w:rPr>
                <w:sz w:val="18"/>
                <w:szCs w:val="18"/>
                <w:color w:val="auto"/>
              </w:rPr>
            </w:pPr>
          </w:p>
        </w:tc>
        <w:tc>
          <w:tcPr>
            <w:tcW w:w="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3,629.6</w:t>
            </w:r>
          </w:p>
        </w:tc>
      </w:tr>
      <w:tr>
        <w:trPr>
          <w:trHeight w:val="217"/>
        </w:trPr>
        <w:tc>
          <w:tcPr>
            <w:tcW w:w="558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20" w:type="dxa"/>
            <w:vAlign w:val="bottom"/>
            <w:tcBorders>
              <w:bottom w:val="single" w:sz="8" w:color="70AD47"/>
            </w:tcBorders>
          </w:tcPr>
          <w:p>
            <w:pPr>
              <w:spacing w:after="0"/>
              <w:rPr>
                <w:sz w:val="18"/>
                <w:szCs w:val="18"/>
                <w:color w:val="auto"/>
              </w:rPr>
            </w:pPr>
          </w:p>
        </w:tc>
        <w:tc>
          <w:tcPr>
            <w:tcW w:w="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08"/>
        </w:trPr>
        <w:tc>
          <w:tcPr>
            <w:tcW w:w="55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1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255.8</w:t>
            </w:r>
          </w:p>
        </w:tc>
        <w:tc>
          <w:tcPr>
            <w:tcW w:w="620" w:type="dxa"/>
            <w:vAlign w:val="bottom"/>
            <w:tcBorders>
              <w:bottom w:val="single" w:sz="8" w:color="70AD47"/>
            </w:tcBorders>
          </w:tcPr>
          <w:p>
            <w:pPr>
              <w:spacing w:after="0"/>
              <w:rPr>
                <w:sz w:val="18"/>
                <w:szCs w:val="18"/>
                <w:color w:val="auto"/>
              </w:rPr>
            </w:pPr>
          </w:p>
        </w:tc>
        <w:tc>
          <w:tcPr>
            <w:tcW w:w="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3,519.7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8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17"/>
                <w:szCs w:val="17"/>
                <w:color w:val="auto"/>
              </w:rPr>
            </w:pPr>
          </w:p>
        </w:tc>
      </w:tr>
      <w:tr>
        <w:trPr>
          <w:trHeight w:val="217"/>
        </w:trPr>
        <w:tc>
          <w:tcPr>
            <w:tcW w:w="1800" w:type="dxa"/>
            <w:vAlign w:val="bottom"/>
            <w:tcBorders>
              <w:bottom w:val="single" w:sz="8" w:color="70AD47"/>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18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(3,386.5)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1800" w:type="dxa"/>
            <w:vAlign w:val="bottom"/>
            <w:tcBorders>
              <w:bottom w:val="single" w:sz="8" w:color="70AD47"/>
            </w:tcBorders>
          </w:tcPr>
          <w:p>
            <w:pPr>
              <w:jc w:val="right"/>
              <w:ind w:right="422"/>
              <w:spacing w:after="0"/>
              <w:rPr>
                <w:sz w:val="20"/>
                <w:szCs w:val="20"/>
                <w:color w:val="auto"/>
              </w:rPr>
            </w:pPr>
            <w:r>
              <w:rPr>
                <w:rFonts w:ascii="Times New Roman" w:cs="Times New Roman" w:eastAsia="Times New Roman" w:hAnsi="Times New Roman"/>
                <w:sz w:val="16"/>
                <w:szCs w:val="16"/>
                <w:color w:val="auto"/>
              </w:rPr>
              <w:t>122.6</w:t>
            </w: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8"/>
        </w:trPr>
        <w:tc>
          <w:tcPr>
            <w:tcW w:w="1800" w:type="dxa"/>
            <w:vAlign w:val="bottom"/>
            <w:tcBorders>
              <w:bottom w:val="single" w:sz="8" w:color="70AD47"/>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(3,263.9)</w:t>
            </w: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r>
    </w:tbl>
    <w:p>
      <w:pPr>
        <w:spacing w:after="0" w:line="200" w:lineRule="exact"/>
        <w:rPr>
          <w:sz w:val="20"/>
          <w:szCs w:val="20"/>
          <w:color w:val="auto"/>
        </w:rPr>
      </w:pPr>
    </w:p>
    <w:p>
      <w:pPr>
        <w:sectPr>
          <w:pgSz w:w="11900" w:h="16840" w:orient="portrait"/>
          <w:cols w:equalWidth="0" w:num="2">
            <w:col w:w="8000" w:space="80"/>
            <w:col w:w="2500"/>
          </w:cols>
          <w:pgMar w:left="660" w:top="557" w:right="660" w:bottom="1440" w:gutter="0" w:footer="0" w:header="0"/>
          <w:type w:val="continuous"/>
        </w:sectPr>
      </w:pPr>
    </w:p>
    <w:p>
      <w:pPr>
        <w:spacing w:after="0" w:line="51" w:lineRule="exact"/>
        <w:rPr>
          <w:sz w:val="20"/>
          <w:szCs w:val="20"/>
          <w:color w:val="auto"/>
        </w:rPr>
      </w:pPr>
    </w:p>
    <w:p>
      <w:pPr>
        <w:jc w:val="both"/>
        <w:ind w:firstLine="384"/>
        <w:spacing w:after="0" w:line="242" w:lineRule="auto"/>
        <w:rPr>
          <w:sz w:val="20"/>
          <w:szCs w:val="20"/>
          <w:color w:val="auto"/>
        </w:rPr>
      </w:pPr>
      <w:r>
        <w:rPr>
          <w:rFonts w:ascii="Times New Roman" w:cs="Times New Roman" w:eastAsia="Times New Roman" w:hAnsi="Times New Roman"/>
          <w:sz w:val="16"/>
          <w:szCs w:val="16"/>
          <w:color w:val="auto"/>
        </w:rPr>
        <w:t>Our current income taxes represent mainly corporate and trade taxes derived by our German tax group. The decrease in profit during the year ended December 31, 2023 led to lower taxable income for the year ended December 31, 2023 for the German tax group. Corporate and trade tax prepayments have been made exceeding the tax charge. Refunds will become due once tax declarations have been filed and assessed.</w:t>
      </w:r>
    </w:p>
    <w:p>
      <w:pPr>
        <w:spacing w:after="0" w:line="2" w:lineRule="exact"/>
        <w:rPr>
          <w:sz w:val="20"/>
          <w:szCs w:val="20"/>
          <w:color w:val="auto"/>
        </w:rPr>
      </w:pPr>
    </w:p>
    <w:p>
      <w:pPr>
        <w:ind w:firstLine="384"/>
        <w:spacing w:after="0" w:line="236" w:lineRule="auto"/>
        <w:rPr>
          <w:sz w:val="20"/>
          <w:szCs w:val="20"/>
          <w:color w:val="auto"/>
        </w:rPr>
      </w:pPr>
      <w:r>
        <w:rPr>
          <w:rFonts w:ascii="Times New Roman" w:cs="Times New Roman" w:eastAsia="Times New Roman" w:hAnsi="Times New Roman"/>
          <w:sz w:val="16"/>
          <w:szCs w:val="16"/>
          <w:color w:val="auto"/>
        </w:rPr>
        <w:t>As of December 31, 2023, our accumulated tax losses comprised tax losses of German entities that were incurred prior to the establishment of a tax group with BioNTech SE or by entities that are not within the tax group (as of December 31, 2023: BioNTech Real Estate Verwaltungs GmbH; as of December 31, 2022: BioNTech BioNTainer Holding GmbH, BioNTech Idar-Oberstein Services GmbH, NT Security and Services GmbH, BioNTech Real Estate Verwaltungs GmbH and the Real Estate partnerships) or U.S. tax group.</w:t>
      </w:r>
    </w:p>
    <w:p>
      <w:pPr>
        <w:spacing w:after="0" w:line="1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amount of deductible temporary differences, unused tax losses, and unused tax credits for which no deferred tax asset is recognized in the statement of financial position as of December 31, 2023 is €531.5 million. Thus as of December 31, 2023, we have not recognized deferred tax assets for unused tax losses and temporary differences in an amount of €138.0 million (December 31, 2022: € 136.7 million) as the criteria of the recognition guidance for IAS 12, which requires that no reliance should be placed on future events that cannot be controlled and are uncertain, are not met. Unrecognized deferred tax assets are re-assessed at each reporting date and are recognized to the extent that it has become probable that future taxable profits will allow the deferred tax asset to be recovered.</w:t>
      </w:r>
    </w:p>
    <w:p>
      <w:pPr>
        <w:spacing w:after="0" w:line="169"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A reorganization of the intellectual property rights within the group has become effective June 30, 2023 and July 1, 2023 which led to deferred tax effects in Germany, the US and Austria. As a result BioNTech SE recognized deferred tax assets and deferred tax income at the time of the transaction. In addition this transaction led to a revaluation of previously unrecognized U.S. federal and state deferred tax assets, including unused tax losses and unused tax credits. As of December 31, 2022, there were unrecognized U.S. federal and state deferred tax assets of €128.9 million. As of December 31, 2023, it is considered highly probable that taxable profits for the U.S. tax group will be available against which the deferred tax assets can be utilized in the near future, fulfilling the requirements set out by IAS 12. Therefore we no longer continue to maintain the full non-recognition of deferred tax assets of our U.S. tax group as there will be future taxable profits available against which the unused tax losses and temporary differences can be utilized. As of December 31, 2023, we maintain the non -recognition of deferred tax assets for unused U.S. federal and state tax losses and tax credits at an amount of €31.9 million and €2.8 million, respectively, as there is not sufficient probability in terms of IAS 12 that future taxable income will be available against which these unused tax losses can be utilized. The material unrecognized U.S. federal and state tax losses and tax credits will begin to expire in 2036.</w:t>
      </w:r>
    </w:p>
    <w:p>
      <w:pPr>
        <w:spacing w:after="0" w:line="17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realization of deferred tax assets is dependent upon the generation of future taxable income, the amount and timing of which are subject to uncertainties. We may become subject to income tax audits and adjustments by local tax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70" w:name="page171"/>
    <w:bookmarkEnd w:id="17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authorities. The assessments of the recoverability of deferred tax assets and the nature of uncertain tax positions are subject to significant judgment by management and subject to change.</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groups does not recognize deferred tax liabilities for taxable temporary differences associated with investments in subsidiaries, in cases where the group is able to control the timing of the reversal of the temporary difference and it is probable that the temporary differences will not reverse in the foreseeable future. The aggregate amount of temporary differences associated with investments in subsidiaries, for which deferred tax liabilities have not been recognized is €2.8 million.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Information about Our Operating Segments</w:t>
      </w:r>
    </w:p>
    <w:p>
      <w:pPr>
        <w:spacing w:after="0" w:line="82"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Decisions with respect to business operations and resource allocations are made by our Management Board, as the chief operating decision maker (CODM) based on BioNTech as a whole. Accordingly, we operate and make decisions as a single operating segment, which is also our reporting segment.</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Related </w:t>
      </w:r>
      <w:r>
        <w:rPr>
          <w:rFonts w:ascii="Times New Roman" w:cs="Times New Roman" w:eastAsia="Times New Roman" w:hAnsi="Times New Roman"/>
          <w:sz w:val="16"/>
          <w:szCs w:val="16"/>
          <w:b w:val="1"/>
          <w:bCs w:val="1"/>
          <w:color w:val="231F20"/>
        </w:rPr>
        <w:t>Party</w:t>
      </w:r>
      <w:r>
        <w:rPr>
          <w:rFonts w:ascii="Times New Roman" w:cs="Times New Roman" w:eastAsia="Times New Roman" w:hAnsi="Times New Roman"/>
          <w:sz w:val="16"/>
          <w:szCs w:val="16"/>
          <w:b w:val="1"/>
          <w:bCs w:val="1"/>
          <w:color w:val="auto"/>
        </w:rPr>
        <w:t xml:space="preserve"> Transactions</w:t>
      </w:r>
    </w:p>
    <w:p>
      <w:pPr>
        <w:spacing w:after="0" w:line="82"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color w:val="auto"/>
        </w:rPr>
        <w:t>Related party transactions that occurred during the years ended December 31, 2023, and 2022 are explained inItem 7. of this Annual Report as well as in Note 21 of our consolidated financial statements included elsewhere in this Annual Report.</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Key Performance Indicators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Financial key performance indicators</w:t>
      </w:r>
    </w:p>
    <w:p>
      <w:pPr>
        <w:spacing w:after="0" w:line="96"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The following financial performance indicators are the focus of managing our operational business development. We use the key figures on the basis of current exchange rates (not currency-adjusted) and take into account the effects of potential M&amp;A activities or collaborations to the extent that they are published.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94"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auto"/>
        </w:rPr>
        <w:t>Total revenues mainly comprises expected commercial revenue, particularly in connection with our COVID-19 business as well as other revenue sources. Revenues are heavily influenced by the volumes available under the collaboration and the agreed upon purchase quantities. As our revenues represent our share of the collaboration partners' gross profit, they are also influenced by the incurring costs. For further information on the composition of commercial COVID-19 vaccine sales and the components contained therein, see the comments on sales under Item 5. Operating Results. Our sales serve as a performance indicator of our commercial earning power.</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Research and development expense</w:t>
      </w:r>
      <w:r>
        <w:rPr>
          <w:rFonts w:ascii="Times New Roman" w:cs="Times New Roman" w:eastAsia="Times New Roman" w:hAnsi="Times New Roman"/>
          <w:sz w:val="16"/>
          <w:szCs w:val="16"/>
          <w:color w:val="auto"/>
        </w:rPr>
        <w:t>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Research and development expenses are an indicator of our future earnings potential, as this is highly dependent on the development of the clinical pipeline and the responsible use of the financial resources generated. This figure mainly includes expenses for the development of our clinical product candidates, early exploratory research and research and development overhead costs.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Sales, general and administrative expenses</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These costs include sales and marketing costs as well as general and administrative costs. We use this measure to manage the costs associated with the expansion of the sales and marketing organization to ensure the necessary infrastructure and digital capacity for future market-ready products, as well as to manage the internal administrative and coordination functions associated with the expansion of research and development, such as finance, human resources, or business development, with regard to the associated cost development.</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addition, we also use the following financial performance indicators: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Investments in property, plant and equipment and intangible assets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Capital expenditures for property, plant and equipment and intangible assets include expenditures for the acquisition of property, plant and equipment as well as expenditures for the acquisition of intangible assets and rights of use, unless they are made as part of business combinations. These mainly include expenditures for the expansion and improvement 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71" w:name="page172"/>
    <w:bookmarkEnd w:id="17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research and development and manufacturing facilities and investments in a state-of-the-art IT infrastructure to support the company in all digitization projects.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Non-financial key performance indicators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R&amp;D Pipeline progress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Progress in research achievements, such as the development and commercialization of the COVID-19 vaccine, is a key performance indicator. We are working to clinically demonstrate the benefit of additional treatment approaches, further develop additional product candidates in the form of pivotal studies, and continuously expand collaborations and manufacturing capabilities to offer innovative treatments to patients around the world.</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Liquidity and Capital Resources</w:t>
      </w:r>
    </w:p>
    <w:p>
      <w:pPr>
        <w:spacing w:after="0" w:line="9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Given our strong financial, scientific and operational accomplishments, we believe we have the resources to diligently allocate our current capital to drive a multi-platform strategy and deliver a fully integrated global biotechnology company. We focus our research and development (R&amp;D) on rapidly advancing our diversified clinical oncology pipeline with synergistic potential, developing next generation COVID-19 vaccines to maintain leadership and pandemic preparedness as well as broaden the label of and access to the 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 support our future trajectory, growing the organization and expanding our team is of utmost importance. We are on the way to develop our global footprint in key regions including Europe, the United States, Asia and Africa. Additionally, investing in manufacturing capabilities for key technologies and deploying our pandemic response capabilities remain priorities for us. As a science and innovation driven company, we will continue to focus investments on R&amp;D and scaling the business for commercial readiness in oncology in multiple countries by the end of 2025.</w:t>
      </w:r>
    </w:p>
    <w:p>
      <w:pPr>
        <w:spacing w:after="0" w:line="7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of December 31, 2023, we had cash and cash equivalents of €11,663.7 million and security investments of €5,989.7 million accumulating to €17,653.4 million cash and security investments. Our trade receivables of €2,155.7 million outstanding as of December 31, 2023 were mainly due to the contractual settlement of the gross profit share under our COVID-19 collaboration with Pfizer as described in Note 6 to our consolidated financial statements included elsewhere in this Annual Report. As of December 31, 2023, our trade receivables included, in addition to the profit share for the fourth quarter of 2023, trade receivables which related to the gross profit share for the third quarter of 2023.</w:t>
      </w:r>
    </w:p>
    <w:p>
      <w:pPr>
        <w:spacing w:after="0" w:line="16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5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January 2022, we announced a new research, development and commercialization collaboration with Pfizer to develop a potential first mRNA-based vaccine for the prevention of shingles (herpes zoster virus, or HZV). Under the terms of the agreement, Pfizer will pay $225.0 million in upfront payments, including a cash payment and an equity investment as we will pay Pfizer $25.0 million for the company’s proprietary antigen technology. In addition, we are eligible to receive future regulatory and sales milestone payments of up to $200.0 million as well as a share of gross profits arising from future product sales. The issuance of 245,284 ordinary shares with the nominal amount of €0.5 million was registered with the commercial register (Handelsregister) on March 24, 2022.</w:t>
      </w:r>
    </w:p>
    <w:p>
      <w:pPr>
        <w:spacing w:after="0" w:line="169"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March 2022, our Management Board and Supervisory Board authorized the 2022 share repurchase program of ADSs, pursuant to which we were permitted to repurchase ADSs, each representing one ordinary share, with a value of up to $1.5 billion a two- year period, commencing on May 2, 2022. The first tranche of our 2022 share repurchase program of ADSs, with a value of up to $1.0 billion, concluded on October 10, 2022. The second tranche with a value of up to $0.5 billion commenced on December 7, 2022 and concluded on March 17, 2023.</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March 2023, our Management Board and Supervisory Board authorized the 2023 share repurchase program, under which we were permitted to purchase ADSs, each representing one ordinary share, with a value of up to $0.5 billion, which started June 2, 2023 and concluded on September 18,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2" w:name="page173"/>
    <w:bookmarkEnd w:id="17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total 9,166,684 ADSs were repurchased under the 2022 program at an average price of $142.05 (€138.37), for total consideration of $1,302.0 million (€1,268.4 million). For the 2023 program, in total 4,646,965 ADSs were repurchased at an average price of $107.58 (€98.24), for total consideration of $500.0 million (€456.5 million).</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November 2020, we entered into a sales agreement, or the Sales Agreement, with Jefferies LLC and SVB Leerink LLC (nowknown as SVB Securities LLC), as sales agents, to establish an at-the-market offering program, pursuant to which we may sell, from time to time, ADSs representing ordinary shares for aggregate gross proceeds of up to $500.0 million. During the year ended December 31, 2022, we sold 995,890 ADSs, each representing one of our ordinary shares and previously held in treasury, under the Sales Agreement. During the year ended December 31, 2021, the aggregate gross proceeds were $200.0 million (€163.6 million). We did not sell any ADS during year ended December 31, 2023. The plan expired in November 2023.</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Cash Flow</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primary sources and uses of cash for each period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60" w:type="dxa"/>
            <w:vAlign w:val="bottom"/>
          </w:tcPr>
          <w:p>
            <w:pPr>
              <w:spacing w:after="0"/>
              <w:rPr>
                <w:sz w:val="16"/>
                <w:szCs w:val="16"/>
                <w:color w:val="auto"/>
              </w:rPr>
            </w:pPr>
          </w:p>
        </w:tc>
      </w:tr>
      <w:tr>
        <w:trPr>
          <w:trHeight w:val="206"/>
        </w:trPr>
        <w:tc>
          <w:tcPr>
            <w:tcW w:w="5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Pr>
          <w:p>
            <w:pPr>
              <w:spacing w:after="0"/>
              <w:rPr>
                <w:sz w:val="17"/>
                <w:szCs w:val="17"/>
                <w:color w:val="auto"/>
              </w:rPr>
            </w:pPr>
          </w:p>
        </w:tc>
      </w:tr>
      <w:tr>
        <w:trPr>
          <w:trHeight w:val="216"/>
        </w:trPr>
        <w:tc>
          <w:tcPr>
            <w:tcW w:w="56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6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from / (used in):</w:t>
            </w:r>
          </w:p>
        </w:tc>
        <w:tc>
          <w:tcPr>
            <w:tcW w:w="1700" w:type="dxa"/>
            <w:vAlign w:val="bottom"/>
            <w:tcBorders>
              <w:right w:val="single" w:sz="8" w:color="70AD47"/>
            </w:tcBorders>
            <w:shd w:val="clear" w:color="auto" w:fill="C6E0B4"/>
          </w:tcPr>
          <w:p>
            <w:pPr>
              <w:spacing w:after="0"/>
              <w:rPr>
                <w:sz w:val="18"/>
                <w:szCs w:val="18"/>
                <w:color w:val="auto"/>
              </w:rPr>
            </w:pPr>
          </w:p>
        </w:tc>
        <w:tc>
          <w:tcPr>
            <w:tcW w:w="1680" w:type="dxa"/>
            <w:vAlign w:val="bottom"/>
            <w:tcBorders>
              <w:right w:val="single" w:sz="8" w:color="70AD47"/>
            </w:tcBorders>
          </w:tcPr>
          <w:p>
            <w:pPr>
              <w:spacing w:after="0"/>
              <w:rPr>
                <w:sz w:val="18"/>
                <w:szCs w:val="18"/>
                <w:color w:val="auto"/>
              </w:rPr>
            </w:pPr>
          </w:p>
        </w:tc>
        <w:tc>
          <w:tcPr>
            <w:tcW w:w="1560" w:type="dxa"/>
            <w:vAlign w:val="bottom"/>
            <w:tcBorders>
              <w:right w:val="single" w:sz="8" w:color="70AD47"/>
            </w:tcBorders>
          </w:tcPr>
          <w:p>
            <w:pPr>
              <w:spacing w:after="0"/>
              <w:rPr>
                <w:sz w:val="18"/>
                <w:szCs w:val="18"/>
                <w:color w:val="auto"/>
              </w:rPr>
            </w:pPr>
          </w:p>
        </w:tc>
      </w:tr>
      <w:tr>
        <w:trPr>
          <w:trHeight w:val="216"/>
        </w:trPr>
        <w:tc>
          <w:tcPr>
            <w:tcW w:w="56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€5,371.4</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€13,577.4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€889.7</w:t>
            </w:r>
          </w:p>
        </w:tc>
      </w:tr>
      <w:tr>
        <w:trPr>
          <w:trHeight w:val="216"/>
        </w:trPr>
        <w:tc>
          <w:tcPr>
            <w:tcW w:w="56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Investing activities</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(6,954.5)</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(566.1)</w:t>
            </w:r>
          </w:p>
        </w:tc>
      </w:tr>
      <w:tr>
        <w:trPr>
          <w:trHeight w:val="217"/>
        </w:trPr>
        <w:tc>
          <w:tcPr>
            <w:tcW w:w="56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Financing activities</w:t>
            </w:r>
          </w:p>
        </w:tc>
        <w:tc>
          <w:tcPr>
            <w:tcW w:w="17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(1,419.3)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9"/>
        </w:trPr>
        <w:tc>
          <w:tcPr>
            <w:tcW w:w="56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inflow (outflow)</w:t>
            </w:r>
          </w:p>
        </w:tc>
        <w:tc>
          <w:tcPr>
            <w:tcW w:w="17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€(2,361.7)</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€12,122.8</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€417.8</w:t>
            </w: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 During the year ended December 31, 2023, our cash flows from operating activities include the settlement payments of our gross profit share from our collaboration partner Pfizer as scheduled by the contractual arrangement. As described in Note 6.2 to the consolidated financial statements included elsewhere in this Annual Report, the contractual settlement of the gross profit share has a temporal offset of more than one calendar quarter.</w:t>
      </w:r>
    </w:p>
    <w:p>
      <w:pPr>
        <w:spacing w:after="0" w:line="1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Net cash generated in operating activities for the year ended December 31, 2023 was €5,371.4 million, comprising a profit before tax of €1,186.1 million, negative non-cash adjustments of €393.2 million, and a net positive change in assets and liabilities of €5,574.8 million. Non -cash items primarily included net foreign exchange differences as well as share-based payment expenses without cash -effect. The net positive change in assets and liabilities was primarily due to a decrease in trade receivables related to our COVID-19 collaboration with Pfizer, as described in Note 6.2 to the consolidated financial statements included elsewhere in this Annual Report.</w:t>
      </w:r>
    </w:p>
    <w:p>
      <w:pPr>
        <w:spacing w:after="0" w:line="169"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Net cash generated in operating activities for the year ended December 31, 2022 was €13,577.4 million, comprising a profit before tax of €12,954.1 million, positive non-cash adjustments of €370.9 million, and a net positive change in assets and liabilities of €4,518.5 million. Non-cash items primarily included net foreign exchange differences as well as share-based payment expenses without cash-effect. The net positive change in assets and liabilities was primarily due to a decrease in trade receivables related to our COVID-19 collaboration with Pfizer.</w:t>
      </w:r>
    </w:p>
    <w:p>
      <w:pPr>
        <w:spacing w:after="0" w:line="167"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Net cash generated in operating activities for the year ended December 31, 2021 was €889.7 million, comprising a profit before tax of €15,046.4 million, positive non-cash adjustments of €56.0 million, and a net negative change in assets and liabilities of €10,730.4 million. Non -cash items primarily included movements in government grant, depreciation and amortization as well as share-based compensation expenses and non-cash effective finance expenses. The net negative change in assets and liabilities was primarily due to an increase in trade receivables and a decrease in payables and liabilities as well as inventories.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3" w:name="page174"/>
    <w:bookmarkEnd w:id="17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2023 was €6,954.5 million. The amount includes €5,912.1 million spend into security investments, €330.6 million caused by or driven from in-licensing arrangements as well as €336.9 million for collaborations or M&amp;A transactions. Excluding those effects, the amount for capital expenditures supporting our operating activities amounts to €275.5 million whereof the majority was related to investments in building our laboratory and office facilities in Mainz, Germany.</w:t>
      </w:r>
    </w:p>
    <w:p>
      <w:pPr>
        <w:spacing w:after="0" w:line="16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2022 was €35.3 million, comprising the release of €375.2 million cash deposits and compensated by €329.2 million, which was attributable to the purchase of property, plant and equipment including the amounts spent with respect to the acquisition of the land and laboratory as well as the office facility of our headquarter in Mainz, Germany. Intangible assets investments amounted to €34.1 million, which was mainly attributable to certain patents and licenses. Therefore, the total capital expenditure spent on tangible and intangible assets during the year ended December 31, 2022 amounted to €363.3 million.</w:t>
      </w:r>
    </w:p>
    <w:p>
      <w:pPr>
        <w:spacing w:after="0" w:line="1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Net cash used in investing activities for the year ended December 31, 2021 was €566.1 million, comprising the investments of €375.2 million cash deposits, presented as financial assets as of December 31, 2021 due to their original term of six months, were shown as cash flow used in investing activities during the year ended December 31, 2021 but were returned to cash and cash equivalents during January and February 2022. In addition €127.5 million was attributable to the purchase of property, plant and equipment including the amounts spent with respect to our acquired facility in Gaithersburg, Maryland, United States as well as €20.8 million spent upon the acquisition of our new subsidiary in Vienna, Austria.</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2023 was €778.6 million, comprising the €738.5 million used for the share repurchase programs of ADS.</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2022 was €1,419.3 million, comprising the € 986.4 million used for the first tranche of our $1.5 billion share repurchase program of ADS as well as the €484.3 million special cash dividend paid in June 2022. Whereas €110.5 million cash generated was attributable to the Pfizer equity investment as part of our HZV collaboration.</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Net cash generated in financing activities for the year ended December 31, 2021 was € 94.2 million, primarily generated from the sale of treasury shares under the at-the-market offering program net of transaction cost and offset by the amount spent when repaying our financing arrangement which was entered with the European Investment Bank, or the EIB.</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Operation and Funding Requirements</w:t>
      </w:r>
    </w:p>
    <w:p>
      <w:pPr>
        <w:spacing w:after="0" w:line="192"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59" w:lineRule="exact"/>
        <w:rPr>
          <w:sz w:val="20"/>
          <w:szCs w:val="20"/>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or expand our research or development of our programs in preclinical development;</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or expand the scope of our clinical trials for our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additional preclinical, clinical, or other trials for our product candidates, including under our collaboration agreements;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invest in our immunotherapy platforms to conduct research to identify novel technologies;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increase our manufacturing capacity or capability;</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add additional suppliers;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skilled personnel;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marketing approvals and reimbursement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4" w:name="page175"/>
    <w:bookmarkEnd w:id="17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line="259" w:lineRule="auto"/>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our sales, marketing, and distribution infrastructure for our COVID-19 vaccine and any other products for which we may obtain marketing approval or emergency use authorization;</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identify and validate additional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other product candidates and technologies;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other companies;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or other payments under any in-license agreements;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protect, defend, enforce and expand our intellectual property portfolio;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any delays or encounter issues with any of the above.</w:t>
      </w:r>
    </w:p>
    <w:p>
      <w:pPr>
        <w:spacing w:after="0" w:line="92"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We are a party to license and research and development agreements with universities and other third parties, as well as patent assignment agreements, under which we have obtained rights to patents, patent applications and know- how. We enter into contracts in the normal course of business with CROs for clinical trials, clinical and commercial supply manufacturing,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in 2024 is related to lease payments amounting to €34.1 million and commitments under purchase agreements and contractual obligations amounting to € 401.9 million. Further, we have lease payment obligation with an amount of €210.3 million and commitments under purchase agreements and contractual obligations of €1,473.6 million for the years 2025 and beyond.</w:t>
      </w:r>
    </w:p>
    <w:p>
      <w:pPr>
        <w:spacing w:after="0" w:line="173"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future funding requirements, both near and long term, will depend on many factors, including, but not limited to:</w:t>
      </w:r>
    </w:p>
    <w:p>
      <w:pPr>
        <w:spacing w:after="0" w:line="92" w:lineRule="exact"/>
        <w:rPr>
          <w:sz w:val="20"/>
          <w:szCs w:val="20"/>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progress, timing, costs, and results of preclinical or nonclinical studies and clinical trials for our product candidates;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revenues and associated costs from sales of our COVID-19 vaccine;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research and our other platform activities;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development plans we establish for our product candidates;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agreements with our current or future collaborators, and the achievement of any milestone payments under such agreements to be paid to us or our collaborators;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characteristics of product candidates that we develop or may in-license;</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timing and cost of meeting regulatory requirements established by the FDA, the EMA and other comparable regulatory authorities;</w:t>
      </w:r>
    </w:p>
    <w:p>
      <w:pPr>
        <w:spacing w:after="0" w:line="92" w:lineRule="exact"/>
        <w:rPr>
          <w:rFonts w:ascii="Times New Roman" w:cs="Times New Roman" w:eastAsia="Times New Roman" w:hAnsi="Times New Roman"/>
          <w:sz w:val="16"/>
          <w:szCs w:val="16"/>
          <w:color w:val="auto"/>
        </w:rPr>
      </w:pPr>
    </w:p>
    <w:p>
      <w:pPr>
        <w:jc w:val="both"/>
        <w:ind w:left="720" w:right="20" w:hanging="234"/>
        <w:spacing w:after="0" w:line="247" w:lineRule="auto"/>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6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including other products that may compete with one or more of our product candidates;</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completion and further expansion of clinical and commercial scale manufacturing activities sufficient to support all of our current and future programs;</w:t>
      </w:r>
    </w:p>
    <w:p>
      <w:pPr>
        <w:spacing w:after="0" w:line="59"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establishing sales, marketing, and distribution capabilities for any product candidates for which we may receive marketing approval and reimbursement in regions where we choose to commercialize our products on our own; and</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ADS repurchases we make.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5" w:name="page176"/>
    <w:bookmarkEnd w:id="17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Research and Development, Patents and Licenses, etc.</w:t>
      </w:r>
    </w:p>
    <w:p>
      <w:pPr>
        <w:spacing w:after="0" w:line="82"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Full details of our research and development activities and expenditures are given in Item 4 and under the description of the “Operating Results” in this Item 5 within this Annual Report.</w:t>
      </w: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Trend Information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description of “Operating Results” in this Item 5, “Business Overview” in Item 4 and “Risk Factors” in Item 3 within this Annual Report.</w:t>
      </w: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 Critical Accounting Estimates</w:t>
      </w:r>
    </w:p>
    <w:p>
      <w:pPr>
        <w:spacing w:after="0" w:line="82"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For a discussion of our Significant Accounting Judgments, Estimates and Assumption please refer to Note 3 to our consolidated financial statements included elsewhere in this Annual Report.</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 Comparison of the year ended December 31, 2022 and the year ended December 31, 2021</w:t>
      </w:r>
    </w:p>
    <w:p>
      <w:pPr>
        <w:spacing w:after="0" w:line="82"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For a discussion of our operating results for the year ended December 31, 2021 and a comparison of the years ended December 31, 2022, and 2021 please refer to Item 5 of our Annual Report on Form 20-F for theyear ended December 31,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Directors and Senior Management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Management Board (</w:t>
      </w:r>
      <w:r>
        <w:rPr>
          <w:rFonts w:ascii="Times New Roman" w:cs="Times New Roman" w:eastAsia="Times New Roman" w:hAnsi="Times New Roman"/>
          <w:sz w:val="16"/>
          <w:szCs w:val="16"/>
          <w:b w:val="1"/>
          <w:bCs w:val="1"/>
          <w:i w:val="1"/>
          <w:iCs w:val="1"/>
          <w:color w:val="auto"/>
        </w:rPr>
        <w:t>Vorstand</w:t>
      </w:r>
      <w:r>
        <w:rPr>
          <w:rFonts w:ascii="Times New Roman" w:cs="Times New Roman" w:eastAsia="Times New Roman" w:hAnsi="Times New Roman"/>
          <w:sz w:val="16"/>
          <w:szCs w:val="16"/>
          <w:b w:val="1"/>
          <w:bCs w:val="1"/>
          <w:color w:val="auto"/>
        </w:rPr>
        <w:t>)</w:t>
      </w:r>
    </w:p>
    <w:p>
      <w:pPr>
        <w:spacing w:after="0" w:line="8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On May 3, 2023, our Supervisory Board expanded our Management Board by appointing James Ryan as Chief Legal Officer (CLO), effective as of September 1, 2023. As CLO, James Ryan heads up our legal department and is responsible for developing and leading the Company’s corporate legal strategy to promote and protect BioNTech’s global operations. His current appointment to our Management Board will end on August 30, 2027.</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sets forth the names and functions of the current members of our Management Board, their ages as of December 31, 2023 and their terms: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300" w:type="dxa"/>
            <w:vAlign w:val="bottom"/>
            <w:tcBorders>
              <w:bottom w:val="single" w:sz="8" w:color="70AD47"/>
              <w:right w:val="single" w:sz="8" w:color="70AD47"/>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Term Expires</w:t>
            </w:r>
          </w:p>
        </w:tc>
        <w:tc>
          <w:tcPr>
            <w:tcW w:w="40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30"/>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Prof. Ugur Sahin, M.D.</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3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2026</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Jens Holstein</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3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9"/>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Sean Marett</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300" w:type="dxa"/>
            <w:vAlign w:val="bottom"/>
            <w:tcBorders>
              <w:right w:val="single" w:sz="8" w:color="70AD47"/>
            </w:tcBorders>
          </w:tcPr>
          <w:p>
            <w:pPr>
              <w:jc w:val="center"/>
              <w:spacing w:after="0" w:line="229" w:lineRule="exact"/>
              <w:rPr>
                <w:sz w:val="20"/>
                <w:szCs w:val="20"/>
                <w:color w:val="auto"/>
              </w:rPr>
            </w:pPr>
            <w:r>
              <w:rPr>
                <w:rFonts w:ascii="Times New Roman" w:cs="Times New Roman" w:eastAsia="Times New Roman" w:hAnsi="Times New Roman"/>
                <w:sz w:val="16"/>
                <w:szCs w:val="16"/>
                <w:color w:val="auto"/>
                <w:w w:val="90"/>
              </w:rPr>
              <w:t>2024</w:t>
            </w:r>
            <w:r>
              <w:rPr>
                <w:rFonts w:ascii="Times New Roman" w:cs="Times New Roman" w:eastAsia="Times New Roman" w:hAnsi="Times New Roman"/>
                <w:sz w:val="21"/>
                <w:szCs w:val="21"/>
                <w:color w:val="auto"/>
                <w:w w:val="90"/>
                <w:vertAlign w:val="superscript"/>
              </w:rPr>
              <w:t>(2)</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Business Officer and Chief Commercial Officer</w:t>
            </w:r>
          </w:p>
        </w:tc>
      </w:tr>
      <w:tr>
        <w:trPr>
          <w:trHeight w:val="203"/>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Sierk Poetting, Ph.D.</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3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2026</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16"/>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Ryan Richardson</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3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2026</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Strategy Officer</w:t>
            </w:r>
          </w:p>
        </w:tc>
      </w:tr>
      <w:tr>
        <w:trPr>
          <w:trHeight w:val="216"/>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James Ryan, Ph.D.</w:t>
            </w:r>
            <w:r>
              <w:rPr>
                <w:rFonts w:ascii="Times New Roman" w:cs="Times New Roman" w:eastAsia="Times New Roman" w:hAnsi="Times New Roman"/>
                <w:sz w:val="9"/>
                <w:szCs w:val="9"/>
                <w:color w:val="auto"/>
              </w:rPr>
              <w:t>(1)</w:t>
            </w:r>
          </w:p>
        </w:tc>
        <w:tc>
          <w:tcPr>
            <w:tcW w:w="11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3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2027</w:t>
            </w: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w:t>
            </w:r>
          </w:p>
        </w:tc>
      </w:tr>
      <w:tr>
        <w:trPr>
          <w:trHeight w:val="217"/>
        </w:trPr>
        <w:tc>
          <w:tcPr>
            <w:tcW w:w="41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Prof. Özlem Türeci, M.D.</w:t>
            </w:r>
          </w:p>
        </w:tc>
        <w:tc>
          <w:tcPr>
            <w:tcW w:w="11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30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2025</w:t>
            </w:r>
          </w:p>
        </w:tc>
        <w:tc>
          <w:tcPr>
            <w:tcW w:w="40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Chief Medical Officer</w:t>
            </w:r>
          </w:p>
        </w:tc>
      </w:tr>
    </w:tbl>
    <w:p>
      <w:pPr>
        <w:spacing w:after="0" w:line="78" w:lineRule="exact"/>
        <w:rPr>
          <w:sz w:val="20"/>
          <w:szCs w:val="20"/>
          <w:color w:val="auto"/>
        </w:rPr>
      </w:pPr>
    </w:p>
    <w:p>
      <w:pPr>
        <w:ind w:left="220" w:hanging="214"/>
        <w:spacing w:after="0"/>
        <w:tabs>
          <w:tab w:leader="none" w:pos="220" w:val="left"/>
        </w:tabs>
        <w:numPr>
          <w:ilvl w:val="0"/>
          <w:numId w:val="1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Appointed effective as of September 1, 2023.</w:t>
      </w:r>
    </w:p>
    <w:p>
      <w:pPr>
        <w:spacing w:after="0" w:line="43" w:lineRule="exact"/>
        <w:rPr>
          <w:rFonts w:ascii="Times New Roman" w:cs="Times New Roman" w:eastAsia="Times New Roman" w:hAnsi="Times New Roman"/>
          <w:sz w:val="19"/>
          <w:szCs w:val="19"/>
          <w:color w:val="auto"/>
          <w:vertAlign w:val="superscript"/>
        </w:rPr>
      </w:pPr>
    </w:p>
    <w:p>
      <w:pPr>
        <w:ind w:left="240" w:hanging="234"/>
        <w:spacing w:after="0" w:line="215" w:lineRule="auto"/>
        <w:tabs>
          <w:tab w:leader="none" w:pos="263" w:val="left"/>
        </w:tabs>
        <w:numPr>
          <w:ilvl w:val="0"/>
          <w:numId w:val="1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Sean Marett will retire as planned from the Management Board of BioNTech as of June 30, 2024. He will continue as a specialist advisor to the Company at least until the end of the year 2024.</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The business </w:t>
      </w:r>
      <w:r>
        <w:rPr>
          <w:rFonts w:ascii="Times New Roman" w:cs="Times New Roman" w:eastAsia="Times New Roman" w:hAnsi="Times New Roman"/>
          <w:sz w:val="16"/>
          <w:szCs w:val="16"/>
          <w:color w:val="231F20"/>
        </w:rPr>
        <w:t>address of the members of our Management Board is the same as our business address: An der Goldgrube 12, D-55131 Mainz, Germany.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 xml:space="preserve">The </w:t>
      </w:r>
      <w:r>
        <w:rPr>
          <w:rFonts w:ascii="Times New Roman" w:cs="Times New Roman" w:eastAsia="Times New Roman" w:hAnsi="Times New Roman"/>
          <w:sz w:val="16"/>
          <w:szCs w:val="16"/>
          <w:color w:val="000000"/>
        </w:rPr>
        <w:t>following</w:t>
      </w:r>
      <w:r>
        <w:rPr>
          <w:rFonts w:ascii="Times New Roman" w:cs="Times New Roman" w:eastAsia="Times New Roman" w:hAnsi="Times New Roman"/>
          <w:sz w:val="16"/>
          <w:szCs w:val="16"/>
          <w:color w:val="231F20"/>
        </w:rPr>
        <w:t xml:space="preserve"> is a brief summary of the business experience of the members of our Management Board:</w:t>
      </w:r>
    </w:p>
    <w:p>
      <w:pPr>
        <w:spacing w:after="0" w:line="90"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b w:val="1"/>
          <w:bCs w:val="1"/>
          <w:color w:val="231F20"/>
        </w:rPr>
        <w:t xml:space="preserve">Prof. Ugur Sahin, M.D. </w:t>
      </w:r>
      <w:r>
        <w:rPr>
          <w:rFonts w:ascii="Times New Roman" w:cs="Times New Roman" w:eastAsia="Times New Roman" w:hAnsi="Times New Roman"/>
          <w:sz w:val="16"/>
          <w:szCs w:val="16"/>
          <w:color w:val="231F20"/>
        </w:rPr>
        <w:t>co-founded BioNTech in 2008 and has served as our Chief Executive Officer since that time. He is a physician, immunologist and leader</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in the development of novel approaches to fight cancer and infectious diseases. Ugur Sahin is one of the world’s foremost experts on messenger ribonucleic acid (mRNA) medicines. He has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76" w:name="page177"/>
    <w:bookmarkEnd w:id="17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231F20"/>
        </w:rPr>
        <w:t>pioneered several fundamental breakthroughs enabling the development of mRNA vaccines and other types of immunotherapies. He initiated and oversaw “Project Lightspeed,” the historic development of the first mRNA vaccine for COVID-19, moving from lab and clinical testing to conditional approval within an unprecedented 11-month period. He also leads BioNTech’s research and development of neoantigen specific as well as non-neoantigen specific mRNA cancer vaccines, which can be individually tailored and produced on demand according to the profile of non -synonymous mutations identified by next -generation sequencing in patients’ tumors. Ugur Sahin is co-inventor of more than 500 filed patents applications and patents. His academic credentials include serving as a Full Professor in Translational Oncology &amp; Immunology at Johannes Gutenberg University in Mainz, Germany, where he was the supervisor of more than 50 Ph.D. students. He also holds the role of Chairman of the Scientific Management Board of the Helmholtz Institute for Translational Oncology (HI-TRON). Based on his contributions to scientific discovery, Ugur Sahin has received numerous awards and recognitions, including the German Sustainability Award, the Mustafa Prize, and the German Cancer Award. He is married to Özlem Türeci.</w:t>
      </w:r>
    </w:p>
    <w:p>
      <w:pPr>
        <w:spacing w:after="0" w:line="72"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Jens Holstein </w:t>
      </w:r>
      <w:r>
        <w:rPr>
          <w:rFonts w:ascii="Times New Roman" w:cs="Times New Roman" w:eastAsia="Times New Roman" w:hAnsi="Times New Roman"/>
          <w:sz w:val="16"/>
          <w:szCs w:val="16"/>
          <w:color w:val="auto"/>
        </w:rPr>
        <w:t>is our Chief Financial Officer. Prior to joining BioNTech in 2021, Jens was CFO of dual- listed MorphoSys AG (Nasdaq/FWB: MOR) where 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instrumental in building a fully integrated biopharmaceutical company. Before joining MorphoSys in 2011, Jens Holstein served in multiple CFO positions as well as general management roles within the Fresenius SE Group. He served as Regional CFO for the region EME (Europe/Middle East) and as Managing Director of Fresenius Kabi Deutschland GmbH. From 2006 to 2010, he was Regional CFO of Fresenius Kabi Asia Pacific Ltd., based in Hong Kong. Prior to this appointment, Jens Holstein was Managing Director of Fresenius ProServe GmbH, and CFO and Labor Director of the company’s subsidiary Wittgensteiner Kliniken AG. Earlier positions within Fresenius included General Manager of hospitalia care GmbH, Commercial Manager of the Projects &amp; Service business unit of Fresenius AG and Commercial Manager of hospitalia international GmbH. Jens Holstein also spent several years in the consulting industry, including in M&amp;A with positions in Frankfurt and London. Jens Holstein holds a Diploma in Business Administration from the University of Münster, Germany. He is also a non-executive member of the board of directors at global genomic diagnostics company Veracyte Inc.</w:t>
      </w:r>
    </w:p>
    <w:p>
      <w:pPr>
        <w:spacing w:after="0" w:line="74" w:lineRule="exact"/>
        <w:rPr>
          <w:sz w:val="20"/>
          <w:szCs w:val="20"/>
          <w:color w:val="auto"/>
        </w:rPr>
      </w:pPr>
    </w:p>
    <w:p>
      <w:pPr>
        <w:jc w:val="both"/>
        <w:ind w:right="20" w:firstLine="384"/>
        <w:spacing w:after="0" w:line="277" w:lineRule="auto"/>
        <w:rPr>
          <w:sz w:val="20"/>
          <w:szCs w:val="20"/>
          <w:color w:val="auto"/>
        </w:rPr>
      </w:pPr>
      <w:r>
        <w:rPr>
          <w:rFonts w:ascii="Times New Roman" w:cs="Times New Roman" w:eastAsia="Times New Roman" w:hAnsi="Times New Roman"/>
          <w:sz w:val="14"/>
          <w:szCs w:val="14"/>
          <w:b w:val="1"/>
          <w:bCs w:val="1"/>
          <w:color w:val="231F20"/>
        </w:rPr>
        <w:t xml:space="preserve">Sean Marett </w:t>
      </w:r>
      <w:r>
        <w:rPr>
          <w:rFonts w:ascii="Times New Roman" w:cs="Times New Roman" w:eastAsia="Times New Roman" w:hAnsi="Times New Roman"/>
          <w:sz w:val="14"/>
          <w:szCs w:val="14"/>
          <w:color w:val="231F20"/>
        </w:rPr>
        <w:t>is our Chief Business Officer and Chief Commercial Officer. He joined BioNTech in 2012. Prior to that, he worked in global strategic and regional</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 xml:space="preserve">marketing and sales roles at GlaxoSmithKline (NYSE: GSK) in the United States and Pfizer (NYSE: PFE) in Europe, before taking business </w:t>
      </w:r>
      <w:r>
        <w:rPr>
          <w:rFonts w:ascii="Times New Roman" w:cs="Times New Roman" w:eastAsia="Times New Roman" w:hAnsi="Times New Roman"/>
          <w:sz w:val="14"/>
          <w:szCs w:val="14"/>
          <w:color w:val="000000"/>
        </w:rPr>
        <w:t>development</w:t>
      </w:r>
      <w:r>
        <w:rPr>
          <w:rFonts w:ascii="Times New Roman" w:cs="Times New Roman" w:eastAsia="Times New Roman" w:hAnsi="Times New Roman"/>
          <w:sz w:val="14"/>
          <w:szCs w:val="14"/>
          <w:color w:val="231F20"/>
        </w:rPr>
        <w:t xml:space="preserve"> executive roles at Evotec (Nasdaq: EVO; FWB: EVT) and Lorantis. He has successfully executed complex licensing transactions with large pharmaceutical companies, negotiated M&amp;A transactions and raised finance from investors. Sean Marett built and ran a contract clinical manufacturing organization with operations across Europe and the United States for over half a decade for the contract manufacturer NextPharma. Sean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5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b w:val="1"/>
          <w:bCs w:val="1"/>
          <w:color w:val="231F20"/>
        </w:rPr>
        <w:t xml:space="preserve">Sierk Poetting, Ph.D. </w:t>
      </w:r>
      <w:r>
        <w:rPr>
          <w:rFonts w:ascii="Times New Roman" w:cs="Times New Roman" w:eastAsia="Times New Roman" w:hAnsi="Times New Roman"/>
          <w:sz w:val="16"/>
          <w:szCs w:val="16"/>
          <w:color w:val="231F20"/>
        </w:rPr>
        <w:t>is our Chief Operating Officer. He joined BioNTech in September 2014 from Novartis (NYSE: NV), where he served in various positions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from May 2012 to August 2014 as Vice President and Chief Financial </w:t>
      </w:r>
      <w:r>
        <w:rPr>
          <w:rFonts w:ascii="Times New Roman" w:cs="Times New Roman" w:eastAsia="Times New Roman" w:hAnsi="Times New Roman"/>
          <w:sz w:val="16"/>
          <w:szCs w:val="16"/>
          <w:color w:val="000000"/>
        </w:rPr>
        <w:t>Officer</w:t>
      </w:r>
      <w:r>
        <w:rPr>
          <w:rFonts w:ascii="Times New Roman" w:cs="Times New Roman" w:eastAsia="Times New Roman" w:hAnsi="Times New Roman"/>
          <w:sz w:val="16"/>
          <w:szCs w:val="16"/>
          <w:color w:val="231F20"/>
        </w:rPr>
        <w:t xml:space="preserve"> for the Sandoz Division in </w:t>
      </w:r>
      <w:r>
        <w:rPr>
          <w:rFonts w:ascii="Times New Roman" w:cs="Times New Roman" w:eastAsia="Times New Roman" w:hAnsi="Times New Roman"/>
          <w:sz w:val="16"/>
          <w:szCs w:val="16"/>
          <w:color w:val="000000"/>
        </w:rPr>
        <w:t>North</w:t>
      </w:r>
      <w:r>
        <w:rPr>
          <w:rFonts w:ascii="Times New Roman" w:cs="Times New Roman" w:eastAsia="Times New Roman" w:hAnsi="Times New Roman"/>
          <w:sz w:val="16"/>
          <w:szCs w:val="16"/>
          <w:color w:val="231F20"/>
        </w:rPr>
        <w:t xml:space="preserve"> America. Sierk Poetting started his career as a consultant with McKinsey &amp; Company. A German citizen, Sierk Poetting holds a Master of Science in Optical Sciences from the University of Arizona and a Ph.D. in Physics from the Ludwig-Maximilians University in Munich.</w:t>
      </w:r>
    </w:p>
    <w:p>
      <w:pPr>
        <w:spacing w:after="0" w:line="68"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b w:val="1"/>
          <w:bCs w:val="1"/>
          <w:color w:val="231F20"/>
        </w:rPr>
        <w:t xml:space="preserve">Ryan Richardson </w:t>
      </w:r>
      <w:r>
        <w:rPr>
          <w:rFonts w:ascii="Times New Roman" w:cs="Times New Roman" w:eastAsia="Times New Roman" w:hAnsi="Times New Roman"/>
          <w:sz w:val="16"/>
          <w:szCs w:val="16"/>
          <w:color w:val="231F20"/>
        </w:rPr>
        <w:t>is our Chief Strategy Officer.</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000000"/>
        </w:rPr>
        <w:t>He brings more than 20 years of experience in the healthcare and finance industries to BioNTech. Ryan joined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000000"/>
        </w:rPr>
        <w:t>BioNTech in 2018 as Senior Vice President, Corporate Development &amp; Strategy and was appointed to Chief Strategy Officer and a Member of the Management Board in 2020. Prior to joining BioNTech, Ryan Richardson was an Executive Director in the Global Healthcare Investment Banking team at J.P. Morgan in London, where he advised companies in the biotech and life sciences industry on cross-border M&amp;A, equity and debt capital financings. Earlier in his career, Ryan Richardson worked as a Management Consultant to biopharmaceutical companies in the United States and Europe, focusing on a wide range of strategic and operational projects in the areas of commercial strategy, pricing and market access, new product planning, and R&amp;D transformation. Ryan has also worked as a Health Economist at IMS Health in London. Ryan was the recipient of the 2018 Eisenhower Zhi Xing Fellowship to China, and the 2005-6 Robert R. Bosch Fellowship to Germany. Ryan Richardson holds an International MBA from the University of Chicago Booth School of Business, an MSc from the London School of Economics, and a BS in Biology from the University of Kansas.</w:t>
      </w:r>
    </w:p>
    <w:p>
      <w:pPr>
        <w:spacing w:after="0" w:line="74" w:lineRule="exact"/>
        <w:rPr>
          <w:sz w:val="20"/>
          <w:szCs w:val="20"/>
          <w:color w:val="auto"/>
        </w:rPr>
      </w:pPr>
    </w:p>
    <w:p>
      <w:pPr>
        <w:ind w:right="4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t>James Ryan, Ph.D</w:t>
      </w:r>
      <w:r>
        <w:rPr>
          <w:rFonts w:ascii="Times New Roman" w:cs="Times New Roman" w:eastAsia="Times New Roman" w:hAnsi="Times New Roman"/>
          <w:sz w:val="16"/>
          <w:szCs w:val="16"/>
          <w:color w:val="auto"/>
        </w:rPr>
        <w:t>., is our Chief Legal Officer. He brings nearly 20 years of global legal and IP expertise in the pharmaceutical industry to BioNTech. James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Ryan joined the Company in 2018 as General Counsel and Senior Vice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7" w:name="page178"/>
    <w:bookmarkEnd w:id="17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President Legal &amp; IP and was appointed to Chief Legal Officer and a Member of the Management Board in 2023. He has guided BioNTech through a wide range of key business, IP and transactional activities, mergers and acquisitions, strategic collaborations and equity capital markets transactions, including the Company’s IPO in 2019. James Ryan and his teams played a pivotal role in the successful development of the Pfizer-BioNTech COVID-19 vaccine, supporting every legal aspect of the program, its launch and commercialization. Prior to joining BioNTech, he established the legal group of GW Pharmaceuticals (NASDAQ: GWPH), where he also served as Head of Legal Affairs. Earlier in his career, James Ryan worked for a number of UK and U.S. law firms, including Special Counsel at Covington &amp; Burling LLP, where he specialized in commercial and strategic transactions with a focus on companies in the life sciences sector. James has a Ph.D. in epigenetics from the University of St Andrews, is a member of the Law Society of England &amp; Wales, and is a member of the Law Society of Ireland.</w:t>
      </w:r>
    </w:p>
    <w:p>
      <w:pPr>
        <w:spacing w:after="0" w:line="72"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b w:val="1"/>
          <w:bCs w:val="1"/>
          <w:color w:val="231F20"/>
        </w:rPr>
        <w:t>Prof. Özlem Türeci, M.D.</w:t>
      </w:r>
      <w:r>
        <w:rPr>
          <w:rFonts w:ascii="Times New Roman" w:cs="Times New Roman" w:eastAsia="Times New Roman" w:hAnsi="Times New Roman"/>
          <w:sz w:val="16"/>
          <w:szCs w:val="16"/>
          <w:color w:val="231F20"/>
        </w:rPr>
        <w:t>, Co-founder and Chief Medical Officer of BioNTech, is a physician, immunologist, and cancer researcher with translational and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clinical experience. She has helped lead the discovery of cancer antigens, the development of mRNA-based individualized and off-the-shelf vaccine candidates and other types of immunotherapies which are currently in clinical development. Özlem Türeci leads the clinical development of BioNTech’s “Project Lightspeed”, the company’s successful effort to develop and distribute an mRNA-based vaccine against COVID-19, a historic achievement completed in less than one year. Özlem Türeci previously served as CEO and Chief Medical Officer of Ganymed Pharmaceuticals AG, which she co-founded with Ugur Sahin and Christoph Huber. She is also a professor for Personalized Immunotherapy at the University Medical Center Mainz and the Helmholtz Institute for Translational Oncology Mainz (HI-TRON) and currently serves as President of the Association for Cancer Immunotherapy (CIMT) in Germany. She is a recipient of the German Sustainability Award, among other notable recognitions. Özlem Türeci is married to Ugur Sahin.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Supervisory Board (</w:t>
      </w:r>
      <w:r>
        <w:rPr>
          <w:rFonts w:ascii="Times New Roman" w:cs="Times New Roman" w:eastAsia="Times New Roman" w:hAnsi="Times New Roman"/>
          <w:sz w:val="16"/>
          <w:szCs w:val="16"/>
          <w:b w:val="1"/>
          <w:bCs w:val="1"/>
          <w:i w:val="1"/>
          <w:iCs w:val="1"/>
          <w:color w:val="auto"/>
        </w:rPr>
        <w:t>Aufsichtsrat</w:t>
      </w:r>
      <w:r>
        <w:rPr>
          <w:rFonts w:ascii="Times New Roman" w:cs="Times New Roman" w:eastAsia="Times New Roman" w:hAnsi="Times New Roman"/>
          <w:sz w:val="16"/>
          <w:szCs w:val="16"/>
          <w:b w:val="1"/>
          <w:bCs w:val="1"/>
          <w:color w:val="auto"/>
        </w:rPr>
        <w:t>)</w:t>
      </w:r>
    </w:p>
    <w:p>
      <w:pPr>
        <w:spacing w:after="0" w:line="180"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2023, the term of office of the Supervisory Board members Ulrich Wandschneider, Christoph Huber, and Michael Motschmann, who were elected by the shareholders at the Annual General Meeting (AGM) on September 17, 2018, ended at the close of the Annual General Meeting on May 25, 2023. As part of the 2023 AGM, Ulrich Wandschneider and Michael Motschmann were re-elected as Supervisory Board members. In addition, Nicola Blackwood was appointed to our Supervisory Board. She succeeded Christoph Huber, who left the Supervisory Board after reaching the applicable retirement age limit. Ulrich Wandschneider’s, Nicola Blackwood’s and Michael Motschmann’s current appointment to our Supervisory Board will end at the AGM in 2027.</w:t>
      </w:r>
    </w:p>
    <w:p>
      <w:pPr>
        <w:spacing w:after="0" w:line="16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231F20"/>
        </w:rPr>
        <w:t>The following table sets forth the names and functions of the members of our Supervisory Board during 2023, their ages as of December 31, 2023, their terms (which expire on the date of the relevant year’s general shareholders’ meeting) and their principal occupations outside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78" w:name="page179"/>
    <w:bookmarkEnd w:id="17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8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 Expires</w:t>
            </w:r>
          </w:p>
        </w:tc>
        <w:tc>
          <w:tcPr>
            <w:tcW w:w="41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Occupation</w:t>
            </w:r>
          </w:p>
        </w:tc>
      </w:tr>
      <w:tr>
        <w:trPr>
          <w:trHeight w:val="171"/>
        </w:trPr>
        <w:tc>
          <w:tcPr>
            <w:tcW w:w="4140" w:type="dxa"/>
            <w:vAlign w:val="bottom"/>
            <w:tcBorders>
              <w:right w:val="single" w:sz="8" w:color="70AD47"/>
            </w:tcBorders>
            <w:gridSpan w:val="2"/>
          </w:tcPr>
          <w:p>
            <w:pPr>
              <w:ind w:left="20"/>
              <w:spacing w:after="0" w:line="171" w:lineRule="exact"/>
              <w:rPr>
                <w:sz w:val="20"/>
                <w:szCs w:val="20"/>
                <w:color w:val="auto"/>
              </w:rPr>
            </w:pPr>
            <w:r>
              <w:rPr>
                <w:rFonts w:ascii="Times New Roman" w:cs="Times New Roman" w:eastAsia="Times New Roman" w:hAnsi="Times New Roman"/>
                <w:sz w:val="16"/>
                <w:szCs w:val="16"/>
                <w:color w:val="auto"/>
              </w:rPr>
              <w:t>Helmut Jeggle (Chair Supervisory Board)</w:t>
            </w:r>
          </w:p>
        </w:tc>
        <w:tc>
          <w:tcPr>
            <w:tcW w:w="1080" w:type="dxa"/>
            <w:vAlign w:val="bottom"/>
            <w:tcBorders>
              <w:right w:val="single" w:sz="8" w:color="70AD47"/>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53</w:t>
            </w:r>
          </w:p>
        </w:tc>
        <w:tc>
          <w:tcPr>
            <w:tcW w:w="1220" w:type="dxa"/>
            <w:vAlign w:val="bottom"/>
            <w:tcBorders>
              <w:right w:val="single" w:sz="8" w:color="70AD47"/>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2026</w:t>
            </w:r>
          </w:p>
        </w:tc>
        <w:tc>
          <w:tcPr>
            <w:tcW w:w="412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w w:val="98"/>
              </w:rPr>
              <w:t>Managing partner and entrepreneurial venture capital investor of</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Salvia GmbH (Supervisory Board member 4SC AG, AiCuris</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 APK AG and Tonies SE)</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w w:val="98"/>
              </w:rPr>
              <w:t>Ulrich Wandschneider, Ph.D. (Deputy Chair Supervisory Board)</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62</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2027</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Managing director of beebusy capital GmbH and independent</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consultant to companies in the lifescience and healthcare sector</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5"/>
                <w:szCs w:val="15"/>
                <w:color w:val="auto"/>
              </w:rPr>
              <w:t>Baroness Nicola Blackwood</w:t>
            </w:r>
            <w:r>
              <w:rPr>
                <w:rFonts w:ascii="Times New Roman" w:cs="Times New Roman" w:eastAsia="Times New Roman" w:hAnsi="Times New Roman"/>
                <w:sz w:val="20"/>
                <w:szCs w:val="20"/>
                <w:color w:val="auto"/>
                <w:vertAlign w:val="superscript"/>
              </w:rPr>
              <w:t>(1)</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44</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2027</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Managing Director and Chairman of Oxford University</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Innovations Limited (Equity Partner, ReCode Health Ventures</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LLC, Board Trustee and Director of the Alan Turing Institute,</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 of the Board of Genomics England Limited)</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Prof. Christoph Huber, M.D.</w:t>
            </w:r>
            <w:r>
              <w:rPr>
                <w:rFonts w:ascii="Times New Roman" w:cs="Times New Roman" w:eastAsia="Times New Roman" w:hAnsi="Times New Roman"/>
                <w:sz w:val="9"/>
                <w:szCs w:val="9"/>
                <w:color w:val="auto"/>
              </w:rPr>
              <w:t>(2)</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79</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2023</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w w:val="99"/>
              </w:rPr>
              <w:t>Professor emeritus at the Johannes-Gutenberg University Mainz</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(Deputy Chair of the Supervisory Board Tirol Kliniken GmbH)</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Prof. Anja Morawietz, Ph.D.</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46</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2026</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Certified Public Accountant and Management Consultant,</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Professor of External Accounting and General Business</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w w:val="97"/>
              </w:rPr>
              <w:t>Administration at the Nuremberg University of Applied Sciences</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 Simon Ohm</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Michael Motschmann</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66</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2027</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Member of the Management Board and head of equity</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investments of MIG Capital AG (Supervisory Board member</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AFFiRiS AG, APK AG, HMW-Emissionshaus AG and HMW-</w:t>
            </w:r>
          </w:p>
        </w:tc>
      </w:tr>
      <w:tr>
        <w:trPr>
          <w:trHeight w:val="203"/>
        </w:trPr>
        <w:tc>
          <w:tcPr>
            <w:tcW w:w="200" w:type="dxa"/>
            <w:vAlign w:val="bottom"/>
          </w:tcPr>
          <w:p>
            <w:pPr>
              <w:spacing w:after="0"/>
              <w:rPr>
                <w:sz w:val="17"/>
                <w:szCs w:val="17"/>
                <w:color w:val="auto"/>
              </w:rPr>
            </w:pPr>
          </w:p>
        </w:tc>
        <w:tc>
          <w:tcPr>
            <w:tcW w:w="39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Innovations AG)</w:t>
            </w:r>
          </w:p>
        </w:tc>
      </w:tr>
      <w:tr>
        <w:trPr>
          <w:trHeight w:val="181"/>
        </w:trPr>
        <w:tc>
          <w:tcPr>
            <w:tcW w:w="4140" w:type="dxa"/>
            <w:vAlign w:val="bottom"/>
            <w:tcBorders>
              <w:right w:val="single" w:sz="8" w:color="70AD47"/>
            </w:tcBorders>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Prof. Rudolf Staudigl, Ph.D.</w:t>
            </w:r>
          </w:p>
        </w:tc>
        <w:tc>
          <w:tcPr>
            <w:tcW w:w="108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69</w:t>
            </w:r>
          </w:p>
        </w:tc>
        <w:tc>
          <w:tcPr>
            <w:tcW w:w="1220" w:type="dxa"/>
            <w:vAlign w:val="bottom"/>
            <w:tcBorders>
              <w:right w:val="single" w:sz="8" w:color="70AD47"/>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2026</w:t>
            </w:r>
          </w:p>
        </w:tc>
        <w:tc>
          <w:tcPr>
            <w:tcW w:w="4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Independent consultant (member of the Supervisory Board of</w:t>
            </w:r>
          </w:p>
        </w:tc>
      </w:tr>
      <w:tr>
        <w:trPr>
          <w:trHeight w:val="168"/>
        </w:trPr>
        <w:tc>
          <w:tcPr>
            <w:tcW w:w="200" w:type="dxa"/>
            <w:vAlign w:val="bottom"/>
          </w:tcPr>
          <w:p>
            <w:pPr>
              <w:spacing w:after="0"/>
              <w:rPr>
                <w:sz w:val="14"/>
                <w:szCs w:val="14"/>
                <w:color w:val="auto"/>
              </w:rPr>
            </w:pPr>
          </w:p>
        </w:tc>
        <w:tc>
          <w:tcPr>
            <w:tcW w:w="3940" w:type="dxa"/>
            <w:vAlign w:val="bottom"/>
            <w:tcBorders>
              <w:right w:val="single" w:sz="8" w:color="70AD47"/>
            </w:tcBorders>
          </w:tcPr>
          <w:p>
            <w:pPr>
              <w:spacing w:after="0"/>
              <w:rPr>
                <w:sz w:val="14"/>
                <w:szCs w:val="14"/>
                <w:color w:val="auto"/>
              </w:rPr>
            </w:pPr>
          </w:p>
        </w:tc>
        <w:tc>
          <w:tcPr>
            <w:tcW w:w="108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w w:val="99"/>
              </w:rPr>
              <w:t>TÜV Süd Aktiengesellschaft, member of the Supervisory Board</w:t>
            </w:r>
          </w:p>
        </w:tc>
      </w:tr>
      <w:tr>
        <w:trPr>
          <w:trHeight w:val="204"/>
        </w:trPr>
        <w:tc>
          <w:tcPr>
            <w:tcW w:w="200" w:type="dxa"/>
            <w:vAlign w:val="bottom"/>
            <w:tcBorders>
              <w:bottom w:val="single" w:sz="8" w:color="70AD47"/>
            </w:tcBorders>
          </w:tcPr>
          <w:p>
            <w:pPr>
              <w:spacing w:after="0"/>
              <w:rPr>
                <w:sz w:val="17"/>
                <w:szCs w:val="17"/>
                <w:color w:val="auto"/>
              </w:rPr>
            </w:pPr>
          </w:p>
        </w:tc>
        <w:tc>
          <w:tcPr>
            <w:tcW w:w="3940" w:type="dxa"/>
            <w:vAlign w:val="bottom"/>
            <w:tcBorders>
              <w:bottom w:val="single" w:sz="8" w:color="70AD47"/>
              <w:right w:val="single" w:sz="8" w:color="70AD47"/>
            </w:tcBorders>
          </w:tcPr>
          <w:p>
            <w:pPr>
              <w:spacing w:after="0"/>
              <w:rPr>
                <w:sz w:val="17"/>
                <w:szCs w:val="17"/>
                <w:color w:val="auto"/>
              </w:rPr>
            </w:pPr>
          </w:p>
        </w:tc>
        <w:tc>
          <w:tcPr>
            <w:tcW w:w="1080" w:type="dxa"/>
            <w:vAlign w:val="bottom"/>
            <w:tcBorders>
              <w:bottom w:val="single" w:sz="8" w:color="70AD47"/>
              <w:right w:val="single" w:sz="8" w:color="70AD47"/>
            </w:tcBorders>
          </w:tcPr>
          <w:p>
            <w:pPr>
              <w:spacing w:after="0"/>
              <w:rPr>
                <w:sz w:val="17"/>
                <w:szCs w:val="17"/>
                <w:color w:val="auto"/>
              </w:rPr>
            </w:pPr>
          </w:p>
        </w:tc>
        <w:tc>
          <w:tcPr>
            <w:tcW w:w="1220" w:type="dxa"/>
            <w:vAlign w:val="bottom"/>
            <w:tcBorders>
              <w:bottom w:val="single" w:sz="8" w:color="70AD47"/>
              <w:right w:val="single" w:sz="8" w:color="70AD47"/>
            </w:tcBorders>
          </w:tcPr>
          <w:p>
            <w:pPr>
              <w:spacing w:after="0"/>
              <w:rPr>
                <w:sz w:val="17"/>
                <w:szCs w:val="17"/>
                <w:color w:val="auto"/>
              </w:rPr>
            </w:pPr>
          </w:p>
        </w:tc>
        <w:tc>
          <w:tcPr>
            <w:tcW w:w="41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of Groz-Beckert KG (Deputy Chair))</w:t>
            </w:r>
          </w:p>
        </w:tc>
      </w:tr>
      <w:tr>
        <w:trPr>
          <w:trHeight w:val="301"/>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Appointed effective as of May 25, 2023.</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(2)</w:t>
            </w:r>
          </w:p>
        </w:tc>
        <w:tc>
          <w:tcPr>
            <w:tcW w:w="3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Supervisory Board member until May 25, 2023.</w:t>
            </w: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20" w:type="dxa"/>
            <w:vAlign w:val="bottom"/>
          </w:tcPr>
          <w:p>
            <w:pPr>
              <w:spacing w:after="0"/>
              <w:rPr>
                <w:sz w:val="18"/>
                <w:szCs w:val="18"/>
                <w:color w:val="auto"/>
              </w:rPr>
            </w:pPr>
          </w:p>
        </w:tc>
      </w:tr>
    </w:tbl>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Th</w:t>
      </w:r>
      <w:r>
        <w:rPr>
          <w:rFonts w:ascii="Times New Roman" w:cs="Times New Roman" w:eastAsia="Times New Roman" w:hAnsi="Times New Roman"/>
          <w:sz w:val="16"/>
          <w:szCs w:val="16"/>
          <w:color w:val="000000"/>
        </w:rPr>
        <w:t>e business address of the members of our Supervisory Board is the same as our business address: An der Goldgrube 12, D-55131 Mainz, Germany.</w:t>
      </w:r>
    </w:p>
    <w:p>
      <w:pPr>
        <w:spacing w:after="0" w:line="9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following is a brief summary of the prior business experience of the members of our Supervisory Board (including</w:t>
      </w:r>
      <w:r>
        <w:rPr>
          <w:rFonts w:ascii="Times New Roman" w:cs="Times New Roman" w:eastAsia="Times New Roman" w:hAnsi="Times New Roman"/>
          <w:sz w:val="16"/>
          <w:szCs w:val="16"/>
          <w:color w:val="231F20"/>
        </w:rPr>
        <w:t>Christoph Huber,</w:t>
      </w:r>
      <w:r>
        <w:rPr>
          <w:rFonts w:ascii="Times New Roman" w:cs="Times New Roman" w:eastAsia="Times New Roman" w:hAnsi="Times New Roman"/>
          <w:sz w:val="16"/>
          <w:szCs w:val="16"/>
          <w:color w:val="auto"/>
        </w:rPr>
        <w:t xml:space="preserve"> who left the Supervisory Board after reaching the applicable retirement age limit):</w:t>
      </w:r>
    </w:p>
    <w:p>
      <w:pPr>
        <w:spacing w:after="0" w:line="153" w:lineRule="exact"/>
        <w:rPr>
          <w:sz w:val="20"/>
          <w:szCs w:val="20"/>
          <w:color w:val="auto"/>
        </w:rPr>
      </w:pPr>
    </w:p>
    <w:p>
      <w:pPr>
        <w:jc w:val="both"/>
        <w:ind w:right="20" w:firstLine="384"/>
        <w:spacing w:after="0"/>
        <w:rPr>
          <w:sz w:val="20"/>
          <w:szCs w:val="20"/>
          <w:color w:val="auto"/>
        </w:rPr>
      </w:pPr>
      <w:r>
        <w:rPr>
          <w:rFonts w:ascii="Times New Roman" w:cs="Times New Roman" w:eastAsia="Times New Roman" w:hAnsi="Times New Roman"/>
          <w:sz w:val="16"/>
          <w:szCs w:val="16"/>
          <w:b w:val="1"/>
          <w:bCs w:val="1"/>
          <w:color w:val="auto"/>
        </w:rPr>
        <w:t xml:space="preserve">Helmut Jeggle </w:t>
      </w:r>
      <w:r>
        <w:rPr>
          <w:rFonts w:ascii="Times New Roman" w:cs="Times New Roman" w:eastAsia="Times New Roman" w:hAnsi="Times New Roman"/>
          <w:sz w:val="16"/>
          <w:szCs w:val="16"/>
          <w:color w:val="auto"/>
        </w:rPr>
        <w:t>has been Chair of our Supervisory Board since its foundation in 2008. He has a degree in business administration from the University of Applied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Sciences in Neu-Ulm and an MBA (Master of Business Administration) from the Stuttgart Institute of Management and Technology. From 2000 to 2007, Helmut Jeggle held various positions at Hexal AG. From 2007 onwards, he was, among other things, in charge of Direct Investments at ATHOS KG, the family office of the Strüngmann family, from which he resigned as general partner (</w:t>
      </w:r>
      <w:r>
        <w:rPr>
          <w:rFonts w:ascii="Times New Roman" w:cs="Times New Roman" w:eastAsia="Times New Roman" w:hAnsi="Times New Roman"/>
          <w:sz w:val="16"/>
          <w:szCs w:val="16"/>
          <w:i w:val="1"/>
          <w:iCs w:val="1"/>
          <w:color w:val="auto"/>
        </w:rPr>
        <w:t>Komplementär</w:t>
      </w:r>
      <w:r>
        <w:rPr>
          <w:rFonts w:ascii="Times New Roman" w:cs="Times New Roman" w:eastAsia="Times New Roman" w:hAnsi="Times New Roman"/>
          <w:sz w:val="16"/>
          <w:szCs w:val="16"/>
          <w:color w:val="auto"/>
        </w:rPr>
        <w:t>) in April 2021. Since 2014, Helmut Jeggle has been Managing Director of Salvia GmbH, where he acts as an entrepreneurial venture capital investor. He is currently a member of two other supervisory boards of listed companies, including 4SC AG (ETR: VSC) and Tonies SE (ETR: TNIE).</w:t>
      </w:r>
    </w:p>
    <w:p>
      <w:pPr>
        <w:spacing w:after="0" w:line="72"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b w:val="1"/>
          <w:bCs w:val="1"/>
          <w:color w:val="auto"/>
        </w:rPr>
        <w:t>Ulrich Wandschneider, Ph.D</w:t>
      </w:r>
      <w:r>
        <w:rPr>
          <w:rFonts w:ascii="Times New Roman" w:cs="Times New Roman" w:eastAsia="Times New Roman" w:hAnsi="Times New Roman"/>
          <w:sz w:val="16"/>
          <w:szCs w:val="16"/>
          <w:color w:val="auto"/>
        </w:rPr>
        <w:t>. has served as a member of our Supervisory Board since 2018. He has more than 20 years of experience in the healthcare sector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manager in the operative business and as a member of boards and committees. He was a Partner at Arthur Andersen until 2002 and at Deloitte from 2002 to 2004 in the healthcare and life science sector for many years. From 2004 to 2016 Ulrich Wandschneider served as Chief Executive Officer first of Mediclin AG later of Asklepios Kliniken GmbH &amp; Co. KGaA. In addition to BioNTech SE, he is part of the Supervisory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9" w:name="page180"/>
    <w:bookmarkEnd w:id="17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Board of Marienhaus GmbH, Chairman of the Board of Trustees of Oberberg GmbH, Chairman of the Advisory Board of Argentum Pflege Holding GmbH, Panorama Fachklinik GmbH and SmileEyes GmbH and a member of the Advisory Board of Creative Balloons GmbH.</w:t>
      </w:r>
    </w:p>
    <w:p>
      <w:pPr>
        <w:spacing w:after="0" w:line="5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Baroness Nicola Blackwood </w:t>
      </w:r>
      <w:r>
        <w:rPr>
          <w:rFonts w:ascii="Times New Roman" w:cs="Times New Roman" w:eastAsia="Times New Roman" w:hAnsi="Times New Roman"/>
          <w:sz w:val="16"/>
          <w:szCs w:val="16"/>
          <w:color w:val="auto"/>
        </w:rPr>
        <w:t>has served as a member of our Supervisory Board since May 25, 2023. She has been Chair of Genomics England since 2020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 of Oxford University Innovation since 2021. She is a member of the House of Lords, the upper chamber of the Parliament of the United Kingdom (UK). Blackwood was elected Member of Parliament for Oxford West and Abingdon 2010 to 2017 and served as Minister for Innovation at the UK Department of Health and Social Care from 2016 to 2017 and 2019 to 2020 where she led on life sciences, NHS data and digital transformation and global health security. Among other roles, she was Chair of the technical regulator, the Human Tissue Authority, as well as a Chair of the UK House of Commons Science and Technology Select Committee and a member of the House of Lords Science and Technology Select Committee. Nicola Blackwood was educated at Trinity College of Music, London, St Anne’s College, Oxford, and Emmanuel College, Cambridge.</w:t>
      </w:r>
    </w:p>
    <w:p>
      <w:pPr>
        <w:spacing w:after="0" w:line="7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b w:val="1"/>
          <w:bCs w:val="1"/>
          <w:color w:val="231F20"/>
        </w:rPr>
        <w:t xml:space="preserve">Christoph Huber, M.D. </w:t>
      </w:r>
      <w:r>
        <w:rPr>
          <w:rFonts w:ascii="Times New Roman" w:cs="Times New Roman" w:eastAsia="Times New Roman" w:hAnsi="Times New Roman"/>
          <w:sz w:val="16"/>
          <w:szCs w:val="16"/>
          <w:color w:val="231F20"/>
        </w:rPr>
        <w:t>is a co-founder of BioNTech and has served as a member of our Supervisory Board since 2008. Christoph Huber has more than 50 years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 xml:space="preserve">of professional experience in hematology, oncology and translational immunology. He served as Chair of the Department of Hematology and Oncology at the Johannes-Gutenberg University Mainz from 1990 to 2009 and, since 2009, has served as Chair Emeritus of the Department of Hematology and Oncology. He was a co-founder of Ganymed Pharmaceuticals AG, now a subsidiary of Astellas. Christoph Huber is an </w:t>
      </w:r>
      <w:r>
        <w:rPr>
          <w:rFonts w:ascii="Times New Roman" w:cs="Times New Roman" w:eastAsia="Times New Roman" w:hAnsi="Times New Roman"/>
          <w:sz w:val="16"/>
          <w:szCs w:val="16"/>
          <w:color w:val="000000"/>
        </w:rPr>
        <w:t>executive</w:t>
      </w:r>
      <w:r>
        <w:rPr>
          <w:rFonts w:ascii="Times New Roman" w:cs="Times New Roman" w:eastAsia="Times New Roman" w:hAnsi="Times New Roman"/>
          <w:sz w:val="16"/>
          <w:szCs w:val="16"/>
          <w:color w:val="231F20"/>
        </w:rPr>
        <w:t xml:space="preserve"> board member of CIMT and a board member of Ci3. From 2018 to April 2019, He served as a member of the supervisory board of TRON. Christoph Huber earned his M.D. at the University of Innsbruck.</w:t>
      </w:r>
    </w:p>
    <w:p>
      <w:pPr>
        <w:spacing w:after="0" w:line="73" w:lineRule="exact"/>
        <w:rPr>
          <w:sz w:val="20"/>
          <w:szCs w:val="20"/>
          <w:color w:val="auto"/>
        </w:rPr>
      </w:pPr>
    </w:p>
    <w:p>
      <w:pPr>
        <w:jc w:val="both"/>
        <w:ind w:right="20" w:firstLine="384"/>
        <w:spacing w:after="0"/>
        <w:rPr>
          <w:sz w:val="20"/>
          <w:szCs w:val="20"/>
          <w:color w:val="auto"/>
        </w:rPr>
      </w:pPr>
      <w:r>
        <w:rPr>
          <w:rFonts w:ascii="Times New Roman" w:cs="Times New Roman" w:eastAsia="Times New Roman" w:hAnsi="Times New Roman"/>
          <w:sz w:val="16"/>
          <w:szCs w:val="16"/>
          <w:b w:val="1"/>
          <w:bCs w:val="1"/>
          <w:color w:val="auto"/>
        </w:rPr>
        <w:t xml:space="preserve">Prof. Anja Morawietz, Ph.D. </w:t>
      </w:r>
      <w:r>
        <w:rPr>
          <w:rFonts w:ascii="Times New Roman" w:cs="Times New Roman" w:eastAsia="Times New Roman" w:hAnsi="Times New Roman"/>
          <w:sz w:val="16"/>
          <w:szCs w:val="16"/>
          <w:color w:val="auto"/>
        </w:rPr>
        <w:t>has served as a member of our Supervisory Board since 2022. She has been a professor of external accounting and general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administration at the Nuremberg University of Applied Sciences Georg Simon Ohm since 2015. Her research areas are international and national accounting, current developments in corporate governance and sustainability reporting. She also works as a freelance auditor, particularly in audit-related consulting. Previously, she worked for ten years for auditing company KPMG AG, where she conducted audits of annual and consolidated financial statements and advised clients on accounting and regulatory issues. After training as a bank clerk at Norddeutsche Landesbank in Hanover, Anja Morawietz studied business administration at Goethe University in Frankfurt am Main, where she also completed her doctorate as an external doctoral candidate.</w:t>
      </w:r>
    </w:p>
    <w:p>
      <w:pPr>
        <w:spacing w:after="0" w:line="168"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b w:val="1"/>
          <w:bCs w:val="1"/>
          <w:color w:val="231F20"/>
        </w:rPr>
        <w:t xml:space="preserve">Michael Motschmann </w:t>
      </w:r>
      <w:r>
        <w:rPr>
          <w:rFonts w:ascii="Times New Roman" w:cs="Times New Roman" w:eastAsia="Times New Roman" w:hAnsi="Times New Roman"/>
          <w:sz w:val="16"/>
          <w:szCs w:val="16"/>
          <w:color w:val="231F20"/>
        </w:rPr>
        <w:t>has served as a</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000000"/>
        </w:rPr>
        <w:t>member</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of our Supervisory Board since 2008. He co-founded MIG</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000000"/>
        </w:rPr>
        <w:t>Verwaltungs</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AG, or</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000000"/>
        </w:rPr>
        <w:t>MIG</w:t>
      </w:r>
      <w:r>
        <w:rPr>
          <w:rFonts w:ascii="Times New Roman" w:cs="Times New Roman" w:eastAsia="Times New Roman" w:hAnsi="Times New Roman"/>
          <w:sz w:val="16"/>
          <w:szCs w:val="16"/>
          <w:color w:val="231F20"/>
        </w:rPr>
        <w:t>, in 2004, where he serves on</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the Management Board and as Head of Equity Investments. In his role with MIG, Michael Motschmann currently serves on the supervisory boards of several private portfolio companies.</w:t>
      </w:r>
    </w:p>
    <w:p>
      <w:pPr>
        <w:spacing w:after="0" w:line="16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Prof. Rudolf Staudigl, Ph.D. </w:t>
      </w:r>
      <w:r>
        <w:rPr>
          <w:rFonts w:ascii="Times New Roman" w:cs="Times New Roman" w:eastAsia="Times New Roman" w:hAnsi="Times New Roman"/>
          <w:sz w:val="16"/>
          <w:szCs w:val="16"/>
          <w:color w:val="auto"/>
        </w:rPr>
        <w:t>has served as a member of our Supervisory Board since 2022. He studied chemistry at Ludwig Maximilian University of Munich,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obtaining his Ph.D. (Dr. rer. nat) in 1981. After postdoctoral research at Harvard University (Cambridge, USA) and Ludwig Maximilian University, he joined Wacker Chemitronic in 1983. Mr. Staudigl became Vice President of Operations at Wacker Siltronic Corporation (Portland, Oregon, USA) in 1989 and President a year later. He joined the Executive Board of Wacker Chemitronic in 1993. In 1995, Rudolf Staudigl was appointed to the Executive Board of Wacker Chemie. In May 2008, Rudolf Staudigl was appointed President &amp; CEO of Wacker Chemie AG. He currently serves on various supervisory boards.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Compensation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of Our Supervisory Board Members</w:t>
      </w:r>
    </w:p>
    <w:p>
      <w:pPr>
        <w:spacing w:after="0" w:line="8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The compensation system of our Supervisory Board as included in our Articles of Association is structured as 100% fixed compensation.</w:t>
      </w:r>
      <w:r>
        <w:rPr>
          <w:rFonts w:ascii="Times New Roman" w:cs="Times New Roman" w:eastAsia="Times New Roman" w:hAnsi="Times New Roman"/>
          <w:sz w:val="16"/>
          <w:szCs w:val="16"/>
          <w:color w:val="000000"/>
        </w:rPr>
        <w:t>The compensation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system for Supervisory Board members for 2023 was retained from 2022.</w:t>
      </w:r>
    </w:p>
    <w:p>
      <w:pPr>
        <w:spacing w:after="0" w:line="155"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231F20"/>
        </w:rPr>
        <w:t>Pursuant to Sec. 113 para. 3 AktG, as amended by the Act Implementing the Second Shareholder Rights Directive, the Annual General Meeting of a listed company must pass a resolution on the compensation of the members of the Supervisory Board at least every four years.</w:t>
      </w:r>
    </w:p>
    <w:p>
      <w:pPr>
        <w:spacing w:after="0" w:line="155"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231F20"/>
        </w:rPr>
        <w:t>The members of the Supervisory Board receive an annual compensation of €70,000, the Chair €210,000 and the Vice Chair €105,000. The Chair of the Audit Committee receives an additional annual compensation of €30,000. The respective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0" w:name="page181"/>
    <w:bookmarkEnd w:id="18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231F20"/>
        </w:rPr>
        <w:t>Chair of another committee receives an additional annual compensation of €15,000. An ordinary committee member receives an additional annual remuneration of €5,000 per committee.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All members of the Supervisory Board are reimbursed for their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w:t>
            </w:r>
          </w:p>
        </w:tc>
        <w:tc>
          <w:tcPr>
            <w:tcW w:w="9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Helmut</w:t>
            </w:r>
          </w:p>
        </w:tc>
        <w:tc>
          <w:tcPr>
            <w:tcW w:w="17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Ulrich Wandschneider,</w:t>
            </w:r>
          </w:p>
        </w:tc>
        <w:tc>
          <w:tcPr>
            <w:tcW w:w="1380" w:type="dxa"/>
            <w:vAlign w:val="bottom"/>
            <w:tcBorders>
              <w:right w:val="single" w:sz="8" w:color="70AD47"/>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Baroness Nicola</w:t>
            </w:r>
          </w:p>
        </w:tc>
        <w:tc>
          <w:tcPr>
            <w:tcW w:w="1280" w:type="dxa"/>
            <w:vAlign w:val="bottom"/>
            <w:tcBorders>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Prof. Christoph</w:t>
            </w:r>
          </w:p>
        </w:tc>
        <w:tc>
          <w:tcPr>
            <w:tcW w:w="1240" w:type="dxa"/>
            <w:vAlign w:val="bottom"/>
            <w:tcBorders>
              <w:right w:val="single" w:sz="8" w:color="70AD47"/>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Prof. Anja</w:t>
            </w:r>
          </w:p>
        </w:tc>
        <w:tc>
          <w:tcPr>
            <w:tcW w:w="1400" w:type="dxa"/>
            <w:vAlign w:val="bottom"/>
            <w:tcBorders>
              <w:right w:val="single" w:sz="8" w:color="70AD47"/>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Michael</w:t>
            </w:r>
          </w:p>
        </w:tc>
        <w:tc>
          <w:tcPr>
            <w:tcW w:w="1120" w:type="dxa"/>
            <w:vAlign w:val="bottom"/>
            <w:tcBorders>
              <w:right w:val="single" w:sz="8" w:color="70AD47"/>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Prof. Rudolf</w:t>
            </w:r>
          </w:p>
        </w:tc>
        <w:tc>
          <w:tcPr>
            <w:tcW w:w="0" w:type="dxa"/>
            <w:vAlign w:val="bottom"/>
          </w:tcPr>
          <w:p>
            <w:pPr>
              <w:spacing w:after="0"/>
              <w:rPr>
                <w:sz w:val="1"/>
                <w:szCs w:val="1"/>
                <w:color w:val="auto"/>
              </w:rPr>
            </w:pPr>
          </w:p>
        </w:tc>
      </w:tr>
      <w:tr>
        <w:trPr>
          <w:trHeight w:val="206"/>
        </w:trPr>
        <w:tc>
          <w:tcPr>
            <w:tcW w:w="1560" w:type="dxa"/>
            <w:vAlign w:val="bottom"/>
            <w:tcBorders>
              <w:bottom w:val="single" w:sz="8" w:color="70AD47"/>
              <w:right w:val="single" w:sz="8" w:color="70AD47"/>
            </w:tcBorders>
            <w:vMerge w:val="continue"/>
          </w:tcPr>
          <w:p>
            <w:pPr>
              <w:spacing w:after="0"/>
              <w:rPr>
                <w:sz w:val="17"/>
                <w:szCs w:val="17"/>
                <w:color w:val="auto"/>
              </w:rPr>
            </w:pPr>
          </w:p>
        </w:tc>
        <w:tc>
          <w:tcPr>
            <w:tcW w:w="90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Jeggle</w:t>
            </w:r>
          </w:p>
        </w:tc>
        <w:tc>
          <w:tcPr>
            <w:tcW w:w="170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Ph.D.</w:t>
            </w:r>
          </w:p>
        </w:tc>
        <w:tc>
          <w:tcPr>
            <w:tcW w:w="1380" w:type="dxa"/>
            <w:vAlign w:val="bottom"/>
            <w:tcBorders>
              <w:bottom w:val="single" w:sz="8" w:color="70AD47"/>
              <w:right w:val="single" w:sz="8" w:color="70AD47"/>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Blackwood</w:t>
            </w:r>
            <w:r>
              <w:rPr>
                <w:rFonts w:ascii="Times New Roman" w:cs="Times New Roman" w:eastAsia="Times New Roman" w:hAnsi="Times New Roman"/>
                <w:sz w:val="9"/>
                <w:szCs w:val="9"/>
                <w:b w:val="1"/>
                <w:bCs w:val="1"/>
                <w:color w:val="auto"/>
              </w:rPr>
              <w:t>(1)</w:t>
            </w:r>
          </w:p>
        </w:tc>
        <w:tc>
          <w:tcPr>
            <w:tcW w:w="1280" w:type="dxa"/>
            <w:vAlign w:val="bottom"/>
            <w:tcBorders>
              <w:bottom w:val="single" w:sz="8" w:color="70AD47"/>
              <w:right w:val="single" w:sz="8" w:color="70AD47"/>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Huber, M.D.</w:t>
            </w:r>
            <w:r>
              <w:rPr>
                <w:rFonts w:ascii="Times New Roman" w:cs="Times New Roman" w:eastAsia="Times New Roman" w:hAnsi="Times New Roman"/>
                <w:sz w:val="9"/>
                <w:szCs w:val="9"/>
                <w:b w:val="1"/>
                <w:bCs w:val="1"/>
                <w:color w:val="auto"/>
              </w:rPr>
              <w:t>(2)</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Morawietz, Ph.D.</w:t>
            </w:r>
          </w:p>
        </w:tc>
        <w:tc>
          <w:tcPr>
            <w:tcW w:w="1400" w:type="dxa"/>
            <w:vAlign w:val="bottom"/>
            <w:tcBorders>
              <w:bottom w:val="single" w:sz="8" w:color="70AD47"/>
              <w:right w:val="single" w:sz="8" w:color="70AD47"/>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Motschmann</w:t>
            </w:r>
          </w:p>
        </w:tc>
        <w:tc>
          <w:tcPr>
            <w:tcW w:w="1120" w:type="dxa"/>
            <w:vAlign w:val="bottom"/>
            <w:tcBorders>
              <w:bottom w:val="single" w:sz="8" w:color="70AD47"/>
              <w:right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8"/>
              </w:rPr>
              <w:t>Staudigl, Ph.D.</w:t>
            </w:r>
          </w:p>
        </w:tc>
        <w:tc>
          <w:tcPr>
            <w:tcW w:w="0" w:type="dxa"/>
            <w:vAlign w:val="bottom"/>
          </w:tcPr>
          <w:p>
            <w:pPr>
              <w:spacing w:after="0"/>
              <w:rPr>
                <w:sz w:val="1"/>
                <w:szCs w:val="1"/>
                <w:color w:val="auto"/>
              </w:rPr>
            </w:pPr>
          </w:p>
        </w:tc>
      </w:tr>
      <w:tr>
        <w:trPr>
          <w:trHeight w:val="207"/>
        </w:trPr>
        <w:tc>
          <w:tcPr>
            <w:tcW w:w="1560" w:type="dxa"/>
            <w:vAlign w:val="bottom"/>
            <w:tcBorders>
              <w:right w:val="single" w:sz="8" w:color="70AD47"/>
            </w:tcBorders>
          </w:tcPr>
          <w:p>
            <w:pPr>
              <w:spacing w:after="0"/>
              <w:rPr>
                <w:sz w:val="18"/>
                <w:szCs w:val="18"/>
                <w:color w:val="auto"/>
              </w:rPr>
            </w:pPr>
          </w:p>
        </w:tc>
        <w:tc>
          <w:tcPr>
            <w:tcW w:w="9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Chair</w:t>
            </w:r>
          </w:p>
        </w:tc>
        <w:tc>
          <w:tcPr>
            <w:tcW w:w="170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Vice Chair</w:t>
            </w:r>
          </w:p>
        </w:tc>
        <w:tc>
          <w:tcPr>
            <w:tcW w:w="1380" w:type="dxa"/>
            <w:vAlign w:val="bottom"/>
            <w:tcBorders>
              <w:right w:val="single" w:sz="8" w:color="70AD47"/>
            </w:tcBorders>
          </w:tcPr>
          <w:p>
            <w:pPr>
              <w:spacing w:after="0"/>
              <w:rPr>
                <w:sz w:val="18"/>
                <w:szCs w:val="18"/>
                <w:color w:val="auto"/>
              </w:rPr>
            </w:pPr>
          </w:p>
        </w:tc>
        <w:tc>
          <w:tcPr>
            <w:tcW w:w="1280" w:type="dxa"/>
            <w:vAlign w:val="bottom"/>
            <w:tcBorders>
              <w:right w:val="single" w:sz="8" w:color="70AD47"/>
            </w:tcBorders>
          </w:tcPr>
          <w:p>
            <w:pPr>
              <w:spacing w:after="0"/>
              <w:rPr>
                <w:sz w:val="18"/>
                <w:szCs w:val="18"/>
                <w:color w:val="auto"/>
              </w:rPr>
            </w:pPr>
          </w:p>
        </w:tc>
        <w:tc>
          <w:tcPr>
            <w:tcW w:w="12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1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Base Compensation</w:t>
            </w:r>
          </w:p>
        </w:tc>
        <w:tc>
          <w:tcPr>
            <w:tcW w:w="9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1280" w:type="dxa"/>
            <w:vAlign w:val="bottom"/>
            <w:tcBorders>
              <w:right w:val="single" w:sz="8" w:color="70AD47"/>
            </w:tcBorders>
          </w:tcPr>
          <w:p>
            <w:pPr>
              <w:spacing w:after="0"/>
              <w:rPr>
                <w:sz w:val="18"/>
                <w:szCs w:val="18"/>
                <w:color w:val="auto"/>
              </w:rPr>
            </w:pPr>
          </w:p>
        </w:tc>
        <w:tc>
          <w:tcPr>
            <w:tcW w:w="12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1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6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7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38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8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12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4"/>
        </w:trPr>
        <w:tc>
          <w:tcPr>
            <w:tcW w:w="1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7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79"/>
        </w:trPr>
        <w:tc>
          <w:tcPr>
            <w:tcW w:w="1560" w:type="dxa"/>
            <w:vAlign w:val="bottom"/>
            <w:tcBorders>
              <w:right w:val="single" w:sz="8" w:color="70AD47"/>
            </w:tcBorders>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Committee</w:t>
            </w:r>
          </w:p>
        </w:tc>
        <w:tc>
          <w:tcPr>
            <w:tcW w:w="900" w:type="dxa"/>
            <w:vAlign w:val="bottom"/>
            <w:tcBorders>
              <w:right w:val="single" w:sz="8" w:color="70AD47"/>
            </w:tcBorders>
          </w:tcPr>
          <w:p>
            <w:pPr>
              <w:spacing w:after="0"/>
              <w:rPr>
                <w:sz w:val="15"/>
                <w:szCs w:val="15"/>
                <w:color w:val="auto"/>
              </w:rPr>
            </w:pPr>
          </w:p>
        </w:tc>
        <w:tc>
          <w:tcPr>
            <w:tcW w:w="170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1280" w:type="dxa"/>
            <w:vAlign w:val="bottom"/>
            <w:tcBorders>
              <w:right w:val="single" w:sz="8" w:color="70AD47"/>
            </w:tcBorders>
          </w:tcPr>
          <w:p>
            <w:pPr>
              <w:spacing w:after="0"/>
              <w:rPr>
                <w:sz w:val="15"/>
                <w:szCs w:val="15"/>
                <w:color w:val="auto"/>
              </w:rPr>
            </w:pPr>
          </w:p>
        </w:tc>
        <w:tc>
          <w:tcPr>
            <w:tcW w:w="12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12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900" w:type="dxa"/>
            <w:vAlign w:val="bottom"/>
            <w:tcBorders>
              <w:right w:val="single" w:sz="8" w:color="70AD47"/>
            </w:tcBorders>
          </w:tcPr>
          <w:p>
            <w:pPr>
              <w:spacing w:after="0"/>
              <w:rPr>
                <w:sz w:val="17"/>
                <w:szCs w:val="17"/>
                <w:color w:val="auto"/>
              </w:rPr>
            </w:pPr>
          </w:p>
        </w:tc>
        <w:tc>
          <w:tcPr>
            <w:tcW w:w="1700" w:type="dxa"/>
            <w:vAlign w:val="bottom"/>
            <w:tcBorders>
              <w:right w:val="single" w:sz="8" w:color="70AD47"/>
            </w:tcBorders>
          </w:tcPr>
          <w:p>
            <w:pPr>
              <w:spacing w:after="0"/>
              <w:rPr>
                <w:sz w:val="17"/>
                <w:szCs w:val="17"/>
                <w:color w:val="auto"/>
              </w:rPr>
            </w:pPr>
          </w:p>
        </w:tc>
        <w:tc>
          <w:tcPr>
            <w:tcW w:w="1380" w:type="dxa"/>
            <w:vAlign w:val="bottom"/>
            <w:tcBorders>
              <w:right w:val="single" w:sz="8" w:color="70AD47"/>
            </w:tcBorders>
          </w:tcPr>
          <w:p>
            <w:pPr>
              <w:spacing w:after="0"/>
              <w:rPr>
                <w:sz w:val="17"/>
                <w:szCs w:val="17"/>
                <w:color w:val="auto"/>
              </w:rPr>
            </w:pPr>
          </w:p>
        </w:tc>
        <w:tc>
          <w:tcPr>
            <w:tcW w:w="1280" w:type="dxa"/>
            <w:vAlign w:val="bottom"/>
            <w:tcBorders>
              <w:right w:val="single" w:sz="8" w:color="70AD47"/>
            </w:tcBorders>
          </w:tcPr>
          <w:p>
            <w:pPr>
              <w:spacing w:after="0"/>
              <w:rPr>
                <w:sz w:val="17"/>
                <w:szCs w:val="17"/>
                <w:color w:val="auto"/>
              </w:rPr>
            </w:pPr>
          </w:p>
        </w:tc>
        <w:tc>
          <w:tcPr>
            <w:tcW w:w="1240" w:type="dxa"/>
            <w:vAlign w:val="bottom"/>
            <w:tcBorders>
              <w:right w:val="single" w:sz="8" w:color="70AD47"/>
            </w:tcBorders>
          </w:tcPr>
          <w:p>
            <w:pPr>
              <w:spacing w:after="0"/>
              <w:rPr>
                <w:sz w:val="17"/>
                <w:szCs w:val="17"/>
                <w:color w:val="auto"/>
              </w:rPr>
            </w:pPr>
          </w:p>
        </w:tc>
        <w:tc>
          <w:tcPr>
            <w:tcW w:w="1400" w:type="dxa"/>
            <w:vAlign w:val="bottom"/>
            <w:tcBorders>
              <w:right w:val="single" w:sz="8" w:color="70AD47"/>
            </w:tcBorders>
          </w:tcPr>
          <w:p>
            <w:pPr>
              <w:spacing w:after="0"/>
              <w:rPr>
                <w:sz w:val="17"/>
                <w:szCs w:val="17"/>
                <w:color w:val="auto"/>
              </w:rPr>
            </w:pPr>
          </w:p>
        </w:tc>
        <w:tc>
          <w:tcPr>
            <w:tcW w:w="112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6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7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1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7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1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right w:val="single" w:sz="8" w:color="70AD47"/>
            </w:tcBorders>
          </w:tcPr>
          <w:p>
            <w:pPr>
              <w:spacing w:after="0"/>
              <w:rPr>
                <w:sz w:val="18"/>
                <w:szCs w:val="18"/>
                <w:color w:val="auto"/>
              </w:rPr>
            </w:pPr>
          </w:p>
        </w:tc>
        <w:tc>
          <w:tcPr>
            <w:tcW w:w="170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1280" w:type="dxa"/>
            <w:vAlign w:val="bottom"/>
            <w:tcBorders>
              <w:right w:val="single" w:sz="8" w:color="70AD47"/>
            </w:tcBorders>
          </w:tcPr>
          <w:p>
            <w:pPr>
              <w:spacing w:after="0"/>
              <w:rPr>
                <w:sz w:val="18"/>
                <w:szCs w:val="18"/>
                <w:color w:val="auto"/>
              </w:rPr>
            </w:pPr>
          </w:p>
        </w:tc>
        <w:tc>
          <w:tcPr>
            <w:tcW w:w="12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1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6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7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38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28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140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12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5"/>
        </w:trPr>
        <w:tc>
          <w:tcPr>
            <w:tcW w:w="15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17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4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254"/>
        <w:spacing w:after="0"/>
        <w:tabs>
          <w:tab w:leader="none" w:pos="2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Nicola Blackwood was appointed to the Supervisory Board by the Annual General Meeting on May 25, 2023.</w:t>
      </w:r>
    </w:p>
    <w:p>
      <w:pPr>
        <w:spacing w:after="0" w:line="43" w:lineRule="exact"/>
        <w:rPr>
          <w:rFonts w:ascii="Times New Roman" w:cs="Times New Roman" w:eastAsia="Times New Roman" w:hAnsi="Times New Roman"/>
          <w:sz w:val="19"/>
          <w:szCs w:val="19"/>
          <w:color w:val="auto"/>
          <w:vertAlign w:val="superscript"/>
        </w:rPr>
      </w:pPr>
    </w:p>
    <w:p>
      <w:pPr>
        <w:ind w:left="260" w:hanging="254"/>
        <w:spacing w:after="0" w:line="189" w:lineRule="auto"/>
        <w:tabs>
          <w:tab w:leader="none" w:pos="2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Christoph Huber served as a member of our Supervisory Board from 2008 and left the Supervisory Board on May 25, 2023 after reaching the retirement age limit.</w:t>
      </w:r>
    </w:p>
    <w:p>
      <w:pPr>
        <w:spacing w:after="0" w:line="1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Members of the Supervisory Board who are only members of the Supervisory Board or committees, or who chair or vice-chair the Supervisory Board or the Audit Committee or another committee, for part of the financial year receive the respective compensation on a pro-rata basis.</w:t>
      </w:r>
    </w:p>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Hence, the compensation of the Supervisory Board members who either left or joined in 2023, namely Christoph Huber and Nicola Blackwood, was paid on a pro-rata basis with respect to their departure or appointment at our AGM on May 25, 2023. In addition, compensation was paid to the members of the Product Committee with effect from the date of its establishment as of October 1, 2023.</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If the reimbursement of expenses or the compensation is subject to value-added tax, the value-added tax shall be paid in addition.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The Supervisory Board members are included in our D&amp;O liability insurance and are co-insured at our expense.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The current appointments of our Supervisory Board will end with the Annual General Meeting during the respective year set forth below:</w:t>
      </w:r>
    </w:p>
    <w:p>
      <w:pPr>
        <w:spacing w:after="0" w:line="188" w:lineRule="exact"/>
        <w:rPr>
          <w:sz w:val="20"/>
          <w:szCs w:val="20"/>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Helmut Jeggle: 2026</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Ulrich Wandschneider: 2027</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Nicola Blackwood: 2027</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Anja Morawietz: 2026</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Motschmann: 2027</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Rudolf Staudigl: 2026</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of the Members of Our Management Board</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We have entered into agreements with all current members of our Management Board.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1" w:name="page182"/>
    <w:bookmarkEnd w:id="18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231F20"/>
        </w:rPr>
        <w:t>We believe that the agreements between us and the members of our Management Board provide for payments and benefits (including upon termination of employment) that are in line with customary market practice.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 xml:space="preserve">The following sets forth </w:t>
      </w:r>
      <w:r>
        <w:rPr>
          <w:rFonts w:ascii="Times New Roman" w:cs="Times New Roman" w:eastAsia="Times New Roman" w:hAnsi="Times New Roman"/>
          <w:sz w:val="16"/>
          <w:szCs w:val="16"/>
          <w:color w:val="000000"/>
        </w:rPr>
        <w:t>the</w:t>
      </w:r>
      <w:r>
        <w:rPr>
          <w:rFonts w:ascii="Times New Roman" w:cs="Times New Roman" w:eastAsia="Times New Roman" w:hAnsi="Times New Roman"/>
          <w:sz w:val="16"/>
          <w:szCs w:val="16"/>
          <w:color w:val="231F20"/>
        </w:rPr>
        <w:t xml:space="preserve"> termination dates of the current service agreements of our Management Board:</w:t>
      </w:r>
    </w:p>
    <w:p>
      <w:pPr>
        <w:spacing w:after="0" w:line="188" w:lineRule="exact"/>
        <w:rPr>
          <w:sz w:val="20"/>
          <w:szCs w:val="20"/>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Prof. Ugur Sahin, M.D.: December 31, 2026</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Jens Holstein: June 30, 2025</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Sean Marett: December 31, 2024</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Sierk Poetting, Ph.D.: November 30, 2026</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Ryan Richardson: December 31, 2026</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James Ryan, Ph.D.: August 31, 2027</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Prof. Özlem Türeci, M.D.: May 31, 2025</w:t>
      </w:r>
    </w:p>
    <w:p>
      <w:pPr>
        <w:spacing w:after="0" w:line="188" w:lineRule="exact"/>
        <w:rPr>
          <w:sz w:val="20"/>
          <w:szCs w:val="20"/>
          <w:color w:val="auto"/>
        </w:rPr>
      </w:pPr>
    </w:p>
    <w:p>
      <w:pPr>
        <w:jc w:val="both"/>
        <w:ind w:firstLine="384"/>
        <w:spacing w:after="0" w:line="236" w:lineRule="auto"/>
        <w:rPr>
          <w:sz w:val="20"/>
          <w:szCs w:val="20"/>
          <w:color w:val="auto"/>
        </w:rPr>
      </w:pPr>
      <w:r>
        <w:rPr>
          <w:rFonts w:ascii="Times New Roman" w:cs="Times New Roman" w:eastAsia="Times New Roman" w:hAnsi="Times New Roman"/>
          <w:sz w:val="16"/>
          <w:szCs w:val="16"/>
          <w:color w:val="auto"/>
        </w:rPr>
        <w:t>Effective January 1, 2023, Ugur Sahin</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s annual fixed compensation was increased to €700,000 from €360,000 as part of an annual compensation review to ensure competitive compensation comparable to that of companies in a comparable sector and relevant peer group. Jens Holstein’s effective annual fixed compensation was €550,000 during each of the years ended December 31, 2023 and 2022. Effective April 1, 2022, Sean Marett’s annual fixed compensation was increased from €400,000 to €550,000. Hence, during the years ended December 31, 2023 and 2022, his effective annual fixed compensation amounted to € 550,000 and €512,500, respectively. Sierk Poetting’s effective annual fixed compensation amounted to €550,000, respectively, during the years ended December 31, 2023 and 2022. Effective as of his appointment to the Management Board as of September 1, 2023, James Ryan’s annual fixed compensation was €550,000. His compensation is partly paid in the U.K. (in GBP) by the Company's subsidiary, BioNTech UK Limited, and partly in Germany (in Euro). During the year ended December 31, 2023, his effective annual fixed compensation as a Management Board member amounted to €183,333. Ryan Richardson’s annual fixed compensation was increased from €340,000 to €550,000 leading to the respective effective annual fixed compensation during the years ended December 31, 2023 and 2022. Effective March 1, 2022, Özlem Türeci’s annual fixed compensation was increased from €360,000 to €550,000. Hence, during the years ended December 31, 2023 and 2022, her effective annual fixed compensation amounted to €550,000 and €518,333, respectively. The increase in the fixed compensation payable to Sean Marett, Ryan Richardson and Özlem Türeci increased to €550,000 to align with the fixed compensation payable to Jens Holstein under his 2021 service agreement, which was considered necessary and in the Company's interest to retain our existing Management Board members. All of the Management Board members’ activities for BioNTech Group companies are compensated by their base compensation of €550,000 and in the case of Ugur Sahin, €700,000. Management Board’s service agreements also include a short-term incentive compensation component, which is an annual performance-related bonus for the years of their respective service periods. During the year ended December 31, 2022, the maximum short-term incentive compensation for each of Ugur Sahin, Jens Holstein, Sean Marett, Sierk Poetting, Ryan Richardson and Özlem Türeci was € 180,000; €300,000; €300,000; €300,000; €170,000; and €300,000, respectively, which, considering the 2022 target achievement of 85%, led to respective annual bonus amounts of €153,000; €255,000; €255,000; € 255,000; €144,500; and €255,000. Following the extension of their respective service agreements and in line with the changes in their annual fixed compensation, the maximum short-term incentive compensation for Ugur Sahin and Ryan Richardson was increased to € 350,000 and €300,000 respectively. Following his appointment to the Management Board as of September 1, 2023, the maximum short-term compensation for James Ryan was defined on a pro-rata basis and amounted to €100,000 for the year ended December 31, 2023. Based on the 2023 target achievement of 90%, the annual bonus amounts for Ugur Sahin, Jens Holstein, Sean Marett, Sierk Poetting, Ryan Richardson, James Ryan and Özlem Türeci for the year ended December 31, 2023 amounted to €315,000; €270,000; €270,000; €270,000; €270,000; €90,000; and €270,000, respectively.</w:t>
      </w:r>
    </w:p>
    <w:p>
      <w:pPr>
        <w:spacing w:after="0" w:line="17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payout amount of the short-term incentive compensation depends on the achievement of certain financialand non-financial performance criteria of the Group in a particular financial year, which goals are set uniformly for all members of the Management Board. The Supervisory Board exercises reasonable discretion in determining whether such criteria have been achieved. 50% percent of the compensation is paid following determination of the actual achievement of the performance targets (first installment), with the remaining amount payable one year after such determination, subject to adjustment relative to the performance of the price of the American Depositary Shares representing our ordinary shares during that year (second installment).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82" w:name="page183"/>
    <w:bookmarkEnd w:id="18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auto"/>
        </w:rPr>
        <w:t xml:space="preserve">Our Management Board’s service agreements provide for long-term incentive compensation (Management Board Grant - LTI) through an annual grant of options to acquire BioNTech shares during their respective service periods. </w:t>
      </w:r>
      <w:r>
        <w:rPr>
          <w:rFonts w:ascii="Times New Roman" w:cs="Times New Roman" w:eastAsia="Times New Roman" w:hAnsi="Times New Roman"/>
          <w:sz w:val="16"/>
          <w:szCs w:val="16"/>
          <w:color w:val="231F20"/>
        </w:rPr>
        <w:t>The</w:t>
      </w:r>
      <w:r>
        <w:rPr>
          <w:rFonts w:ascii="Times New Roman" w:cs="Times New Roman" w:eastAsia="Times New Roman" w:hAnsi="Times New Roman"/>
          <w:sz w:val="16"/>
          <w:szCs w:val="16"/>
          <w:color w:val="auto"/>
        </w:rPr>
        <w:t xml:space="preserve"> options </w:t>
      </w:r>
      <w:r>
        <w:rPr>
          <w:rFonts w:ascii="Times New Roman" w:cs="Times New Roman" w:eastAsia="Times New Roman" w:hAnsi="Times New Roman"/>
          <w:sz w:val="16"/>
          <w:szCs w:val="16"/>
          <w:color w:val="231F20"/>
        </w:rPr>
        <w:t>granted each year are subject to the terms and conditions of the respective authorizations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of the Annual General Meeting creating our Employee Stock Ownership Plan (ESOP) and the applicable option agreements thereunder. </w:t>
      </w:r>
      <w:r>
        <w:rPr>
          <w:rFonts w:ascii="Times New Roman" w:cs="Times New Roman" w:eastAsia="Times New Roman" w:hAnsi="Times New Roman"/>
          <w:sz w:val="16"/>
          <w:szCs w:val="16"/>
          <w:color w:val="000000"/>
        </w:rPr>
        <w:t>During the year ended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December 31, 2022, the number of options granted to Ugur Sahin, Jens Holstein, Sean Marett, Sierk Poetting, Ryan Richardson and Özlem Türeci was calculated based on a target value of €750,000; €550,000; €550,000; €550,000; €280,000; and €550,000, respectively. Beginning on January 1, 2023, the target for the number of options to be granted each year for Ugur Sahin and Ryan Richardson was increased to a value of €1,050,000 and €550,000, respectively, as part of an annual compensation review to ensure competitive compensation. </w:t>
      </w:r>
      <w:r>
        <w:rPr>
          <w:rFonts w:ascii="Times New Roman" w:cs="Times New Roman" w:eastAsia="Times New Roman" w:hAnsi="Times New Roman"/>
          <w:sz w:val="16"/>
          <w:szCs w:val="16"/>
          <w:color w:val="231F20"/>
        </w:rPr>
        <w:t>As a result,</w:t>
      </w:r>
      <w:r>
        <w:rPr>
          <w:rFonts w:ascii="Times New Roman" w:cs="Times New Roman" w:eastAsia="Times New Roman" w:hAnsi="Times New Roman"/>
          <w:sz w:val="16"/>
          <w:szCs w:val="16"/>
          <w:color w:val="000000"/>
        </w:rPr>
        <w:t xml:space="preserve"> the number of options granted to Ugur Sahin, Jens Holstein, Sean Marett, Sierk Poetting, Ryan Richardson and Özlem Türeci was calculated based on a target value of €1,050,000; €550,000; €550,000; €550,000; €550,000; and €550,000, respectively. The service agreement with James Ryan provides that granted options will generally be calculated based on a target value of €550,000. However, as the annual grant is generally made in the first half of the year, no LTI was granted for the period from his appointment on September 1, 2023 to December 31, 2023.</w:t>
      </w:r>
    </w:p>
    <w:p>
      <w:pPr>
        <w:spacing w:after="0" w:line="17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Taking the requirements of Sec. 87a para. 1 AktG into account, the Supervisory Board adopted a compensation system for the members of the Management Board on May 7, 2021. </w:t>
      </w:r>
      <w:r>
        <w:rPr>
          <w:rFonts w:ascii="Times New Roman" w:cs="Times New Roman" w:eastAsia="Times New Roman" w:hAnsi="Times New Roman"/>
          <w:sz w:val="16"/>
          <w:szCs w:val="16"/>
          <w:color w:val="231F20"/>
        </w:rPr>
        <w:t>The compensation system was approved by the</w:t>
      </w:r>
      <w:r>
        <w:rPr>
          <w:rFonts w:ascii="Times New Roman" w:cs="Times New Roman" w:eastAsia="Times New Roman" w:hAnsi="Times New Roman"/>
          <w:sz w:val="16"/>
          <w:szCs w:val="16"/>
          <w:color w:val="auto"/>
        </w:rPr>
        <w:t xml:space="preserve"> Annual </w:t>
      </w:r>
      <w:r>
        <w:rPr>
          <w:rFonts w:ascii="Times New Roman" w:cs="Times New Roman" w:eastAsia="Times New Roman" w:hAnsi="Times New Roman"/>
          <w:sz w:val="16"/>
          <w:szCs w:val="16"/>
          <w:color w:val="231F20"/>
        </w:rPr>
        <w:t>General Meeting</w:t>
      </w:r>
      <w:r>
        <w:rPr>
          <w:rFonts w:ascii="Times New Roman" w:cs="Times New Roman" w:eastAsia="Times New Roman" w:hAnsi="Times New Roman"/>
          <w:sz w:val="16"/>
          <w:szCs w:val="16"/>
          <w:color w:val="auto"/>
        </w:rPr>
        <w:t xml:space="preserve"> on June 22, 2021 </w:t>
      </w:r>
      <w:r>
        <w:rPr>
          <w:rFonts w:ascii="Times New Roman" w:cs="Times New Roman" w:eastAsia="Times New Roman" w:hAnsi="Times New Roman"/>
          <w:sz w:val="16"/>
          <w:szCs w:val="16"/>
          <w:color w:val="231F20"/>
        </w:rPr>
        <w:t>and has become effective in connection with the entry into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extension of service agreements or the initiation of specific compensation components.</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The comprehensive compensation system as approved </w:t>
      </w:r>
      <w:r>
        <w:rPr>
          <w:rFonts w:ascii="Times New Roman" w:cs="Times New Roman" w:eastAsia="Times New Roman" w:hAnsi="Times New Roman"/>
          <w:sz w:val="16"/>
          <w:szCs w:val="16"/>
          <w:color w:val="231F20"/>
        </w:rPr>
        <w:t>by the Annual General Meeting</w:t>
      </w:r>
      <w:r>
        <w:rPr>
          <w:rFonts w:ascii="Times New Roman" w:cs="Times New Roman" w:eastAsia="Times New Roman" w:hAnsi="Times New Roman"/>
          <w:sz w:val="16"/>
          <w:szCs w:val="16"/>
          <w:color w:val="auto"/>
        </w:rPr>
        <w:t xml:space="preserve"> on June 22, 2021 includes specific provisions with respect to</w:t>
      </w:r>
      <w:r>
        <w:rPr>
          <w:rFonts w:ascii="Times New Roman" w:cs="Times New Roman" w:eastAsia="Times New Roman" w:hAnsi="Times New Roman"/>
          <w:sz w:val="16"/>
          <w:szCs w:val="16"/>
          <w:color w:val="231F20"/>
        </w:rPr>
        <w:t>benefits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termination and </w:t>
      </w:r>
      <w:r>
        <w:rPr>
          <w:rFonts w:ascii="Times New Roman" w:cs="Times New Roman" w:eastAsia="Times New Roman" w:hAnsi="Times New Roman"/>
          <w:sz w:val="16"/>
          <w:szCs w:val="16"/>
          <w:color w:val="000000"/>
        </w:rPr>
        <w:t>is available online on our website at www.biontech.com. The information and other content appearing on our website are not incorporated by reference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into this Annual Report and our website address is included in this report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3" w:name="page184"/>
    <w:bookmarkEnd w:id="18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231F20"/>
        </w:rPr>
        <w:t>During the years ended December 31, 2023, and 2022, the aggregated remuneration for members of our Management Board amounted to 8.3 million and 15.0 million,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w:t>
            </w:r>
          </w:p>
        </w:tc>
        <w:tc>
          <w:tcPr>
            <w:tcW w:w="1040" w:type="dxa"/>
            <w:vAlign w:val="bottom"/>
            <w:tcBorders>
              <w:right w:val="single" w:sz="8" w:color="70AD47"/>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Prof. Ugur</w:t>
            </w:r>
          </w:p>
        </w:tc>
        <w:tc>
          <w:tcPr>
            <w:tcW w:w="1220" w:type="dxa"/>
            <w:vAlign w:val="bottom"/>
            <w:tcBorders>
              <w:right w:val="single" w:sz="8" w:color="70AD47"/>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Jens Holstein</w:t>
            </w:r>
            <w:r>
              <w:rPr>
                <w:rFonts w:ascii="Times New Roman" w:cs="Times New Roman" w:eastAsia="Times New Roman" w:hAnsi="Times New Roman"/>
                <w:sz w:val="21"/>
                <w:szCs w:val="21"/>
                <w:b w:val="1"/>
                <w:bCs w:val="1"/>
                <w:color w:val="auto"/>
                <w:vertAlign w:val="superscript"/>
              </w:rPr>
              <w:t>(2)</w:t>
            </w:r>
          </w:p>
        </w:tc>
        <w:tc>
          <w:tcPr>
            <w:tcW w:w="1060" w:type="dxa"/>
            <w:vAlign w:val="bottom"/>
            <w:tcBorders>
              <w:right w:val="single" w:sz="8" w:color="70AD47"/>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Sean Marett</w:t>
            </w:r>
          </w:p>
        </w:tc>
        <w:tc>
          <w:tcPr>
            <w:tcW w:w="1160" w:type="dxa"/>
            <w:vAlign w:val="bottom"/>
            <w:tcBorders>
              <w:right w:val="single" w:sz="8" w:color="70AD47"/>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Sierk Poetting,</w:t>
            </w:r>
          </w:p>
        </w:tc>
        <w:tc>
          <w:tcPr>
            <w:tcW w:w="1440" w:type="dxa"/>
            <w:vAlign w:val="bottom"/>
            <w:tcBorders>
              <w:right w:val="single" w:sz="8" w:color="70AD47"/>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Ryan Richardson</w:t>
            </w:r>
          </w:p>
        </w:tc>
        <w:tc>
          <w:tcPr>
            <w:tcW w:w="1140" w:type="dxa"/>
            <w:vAlign w:val="bottom"/>
            <w:tcBorders>
              <w:right w:val="single" w:sz="8" w:color="70AD47"/>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James Ryan,</w:t>
            </w:r>
          </w:p>
        </w:tc>
        <w:tc>
          <w:tcPr>
            <w:tcW w:w="1080" w:type="dxa"/>
            <w:vAlign w:val="bottom"/>
            <w:tcBorders>
              <w:right w:val="single" w:sz="8" w:color="70AD47"/>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Prof. Özlem</w:t>
            </w:r>
          </w:p>
        </w:tc>
      </w:tr>
      <w:tr>
        <w:trPr>
          <w:trHeight w:val="132"/>
        </w:trPr>
        <w:tc>
          <w:tcPr>
            <w:tcW w:w="2440" w:type="dxa"/>
            <w:vAlign w:val="bottom"/>
            <w:tcBorders>
              <w:bottom w:val="single" w:sz="8" w:color="70AD47"/>
              <w:right w:val="single" w:sz="8" w:color="70AD47"/>
            </w:tcBorders>
          </w:tcPr>
          <w:p>
            <w:pPr>
              <w:spacing w:after="0"/>
              <w:rPr>
                <w:sz w:val="11"/>
                <w:szCs w:val="11"/>
                <w:color w:val="auto"/>
              </w:rPr>
            </w:pPr>
          </w:p>
        </w:tc>
        <w:tc>
          <w:tcPr>
            <w:tcW w:w="1040" w:type="dxa"/>
            <w:vAlign w:val="bottom"/>
            <w:tcBorders>
              <w:bottom w:val="single" w:sz="8" w:color="70AD47"/>
              <w:right w:val="single" w:sz="8" w:color="70AD47"/>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Sahin, M.D.</w:t>
            </w:r>
          </w:p>
        </w:tc>
        <w:tc>
          <w:tcPr>
            <w:tcW w:w="1220" w:type="dxa"/>
            <w:vAlign w:val="bottom"/>
            <w:tcBorders>
              <w:bottom w:val="single" w:sz="8" w:color="70AD47"/>
              <w:right w:val="single" w:sz="8" w:color="70AD47"/>
            </w:tcBorders>
          </w:tcPr>
          <w:p>
            <w:pPr>
              <w:spacing w:after="0"/>
              <w:rPr>
                <w:sz w:val="11"/>
                <w:szCs w:val="11"/>
                <w:color w:val="auto"/>
              </w:rPr>
            </w:pPr>
          </w:p>
        </w:tc>
        <w:tc>
          <w:tcPr>
            <w:tcW w:w="1060" w:type="dxa"/>
            <w:vAlign w:val="bottom"/>
            <w:tcBorders>
              <w:bottom w:val="single" w:sz="8" w:color="70AD47"/>
              <w:right w:val="single" w:sz="8" w:color="70AD47"/>
            </w:tcBorders>
          </w:tcPr>
          <w:p>
            <w:pPr>
              <w:spacing w:after="0"/>
              <w:rPr>
                <w:sz w:val="11"/>
                <w:szCs w:val="11"/>
                <w:color w:val="auto"/>
              </w:rPr>
            </w:pPr>
          </w:p>
        </w:tc>
        <w:tc>
          <w:tcPr>
            <w:tcW w:w="1160" w:type="dxa"/>
            <w:vAlign w:val="bottom"/>
            <w:tcBorders>
              <w:bottom w:val="single" w:sz="8" w:color="70AD47"/>
              <w:right w:val="single" w:sz="8" w:color="70AD47"/>
            </w:tcBorders>
          </w:tcPr>
          <w:p>
            <w:pPr>
              <w:jc w:val="right"/>
              <w:ind w:right="322"/>
              <w:spacing w:after="0" w:line="132" w:lineRule="exact"/>
              <w:rPr>
                <w:sz w:val="20"/>
                <w:szCs w:val="20"/>
                <w:color w:val="auto"/>
              </w:rPr>
            </w:pPr>
            <w:r>
              <w:rPr>
                <w:rFonts w:ascii="Times New Roman" w:cs="Times New Roman" w:eastAsia="Times New Roman" w:hAnsi="Times New Roman"/>
                <w:sz w:val="14"/>
                <w:szCs w:val="14"/>
                <w:b w:val="1"/>
                <w:bCs w:val="1"/>
                <w:color w:val="auto"/>
              </w:rPr>
              <w:t>Ph.D.</w:t>
            </w:r>
          </w:p>
        </w:tc>
        <w:tc>
          <w:tcPr>
            <w:tcW w:w="1440" w:type="dxa"/>
            <w:vAlign w:val="bottom"/>
            <w:tcBorders>
              <w:bottom w:val="single" w:sz="8" w:color="70AD47"/>
              <w:right w:val="single" w:sz="8" w:color="70AD47"/>
            </w:tcBorders>
          </w:tcPr>
          <w:p>
            <w:pPr>
              <w:spacing w:after="0"/>
              <w:rPr>
                <w:sz w:val="11"/>
                <w:szCs w:val="11"/>
                <w:color w:val="auto"/>
              </w:rPr>
            </w:pPr>
          </w:p>
        </w:tc>
        <w:tc>
          <w:tcPr>
            <w:tcW w:w="1140" w:type="dxa"/>
            <w:vAlign w:val="bottom"/>
            <w:tcBorders>
              <w:bottom w:val="single" w:sz="8" w:color="70AD47"/>
              <w:right w:val="single" w:sz="8" w:color="70AD47"/>
            </w:tcBorders>
          </w:tcPr>
          <w:p>
            <w:pPr>
              <w:jc w:val="right"/>
              <w:ind w:right="245"/>
              <w:spacing w:after="0" w:line="132" w:lineRule="exact"/>
              <w:rPr>
                <w:sz w:val="20"/>
                <w:szCs w:val="20"/>
                <w:color w:val="auto"/>
              </w:rPr>
            </w:pPr>
            <w:r>
              <w:rPr>
                <w:rFonts w:ascii="Times New Roman" w:cs="Times New Roman" w:eastAsia="Times New Roman" w:hAnsi="Times New Roman"/>
                <w:sz w:val="12"/>
                <w:szCs w:val="12"/>
                <w:b w:val="1"/>
                <w:bCs w:val="1"/>
                <w:color w:val="auto"/>
              </w:rPr>
              <w:t>Ph.D.</w:t>
            </w:r>
            <w:r>
              <w:rPr>
                <w:rFonts w:ascii="Times New Roman" w:cs="Times New Roman" w:eastAsia="Times New Roman" w:hAnsi="Times New Roman"/>
                <w:sz w:val="15"/>
                <w:szCs w:val="15"/>
                <w:b w:val="1"/>
                <w:bCs w:val="1"/>
                <w:color w:val="auto"/>
                <w:vertAlign w:val="superscript"/>
              </w:rPr>
              <w:t>(3)</w:t>
            </w:r>
          </w:p>
        </w:tc>
        <w:tc>
          <w:tcPr>
            <w:tcW w:w="1080" w:type="dxa"/>
            <w:vAlign w:val="bottom"/>
            <w:tcBorders>
              <w:bottom w:val="single" w:sz="8" w:color="70AD47"/>
              <w:right w:val="single" w:sz="8" w:color="70AD47"/>
            </w:tcBorders>
          </w:tcPr>
          <w:p>
            <w:pPr>
              <w:jc w:val="right"/>
              <w:ind w:right="42"/>
              <w:spacing w:after="0" w:line="132" w:lineRule="exact"/>
              <w:rPr>
                <w:sz w:val="20"/>
                <w:szCs w:val="20"/>
                <w:color w:val="auto"/>
              </w:rPr>
            </w:pPr>
            <w:r>
              <w:rPr>
                <w:rFonts w:ascii="Times New Roman" w:cs="Times New Roman" w:eastAsia="Times New Roman" w:hAnsi="Times New Roman"/>
                <w:sz w:val="14"/>
                <w:szCs w:val="14"/>
                <w:b w:val="1"/>
                <w:bCs w:val="1"/>
                <w:color w:val="auto"/>
              </w:rPr>
              <w:t>Türeci, M.D.</w:t>
            </w:r>
          </w:p>
        </w:tc>
      </w:tr>
      <w:tr>
        <w:trPr>
          <w:trHeight w:val="436"/>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Fixed compensation</w:t>
            </w:r>
            <w:r>
              <w:rPr>
                <w:rFonts w:ascii="Times New Roman" w:cs="Times New Roman" w:eastAsia="Times New Roman" w:hAnsi="Times New Roman"/>
                <w:sz w:val="21"/>
                <w:szCs w:val="21"/>
                <w:b w:val="1"/>
                <w:bCs w:val="1"/>
                <w:color w:val="auto"/>
                <w:vertAlign w:val="superscript"/>
              </w:rPr>
              <w:t>(1)</w:t>
            </w:r>
          </w:p>
        </w:tc>
        <w:tc>
          <w:tcPr>
            <w:tcW w:w="1040" w:type="dxa"/>
            <w:vAlign w:val="bottom"/>
            <w:tcBorders>
              <w:right w:val="single" w:sz="8" w:color="70AD47"/>
            </w:tcBorders>
          </w:tcPr>
          <w:p>
            <w:pPr>
              <w:spacing w:after="0"/>
              <w:rPr>
                <w:sz w:val="24"/>
                <w:szCs w:val="24"/>
                <w:color w:val="auto"/>
              </w:rPr>
            </w:pPr>
          </w:p>
        </w:tc>
        <w:tc>
          <w:tcPr>
            <w:tcW w:w="1220" w:type="dxa"/>
            <w:vAlign w:val="bottom"/>
            <w:tcBorders>
              <w:right w:val="single" w:sz="8" w:color="70AD47"/>
            </w:tcBorders>
          </w:tcPr>
          <w:p>
            <w:pPr>
              <w:spacing w:after="0"/>
              <w:rPr>
                <w:sz w:val="24"/>
                <w:szCs w:val="24"/>
                <w:color w:val="auto"/>
              </w:rPr>
            </w:pPr>
          </w:p>
        </w:tc>
        <w:tc>
          <w:tcPr>
            <w:tcW w:w="1060" w:type="dxa"/>
            <w:vAlign w:val="bottom"/>
            <w:tcBorders>
              <w:right w:val="single" w:sz="8" w:color="70AD47"/>
            </w:tcBorders>
          </w:tcPr>
          <w:p>
            <w:pPr>
              <w:spacing w:after="0"/>
              <w:rPr>
                <w:sz w:val="24"/>
                <w:szCs w:val="24"/>
                <w:color w:val="auto"/>
              </w:rPr>
            </w:pPr>
          </w:p>
        </w:tc>
        <w:tc>
          <w:tcPr>
            <w:tcW w:w="116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spacing w:after="0"/>
              <w:rPr>
                <w:sz w:val="24"/>
                <w:szCs w:val="24"/>
                <w:color w:val="auto"/>
              </w:rPr>
            </w:pPr>
          </w:p>
        </w:tc>
        <w:tc>
          <w:tcPr>
            <w:tcW w:w="1140" w:type="dxa"/>
            <w:vAlign w:val="bottom"/>
            <w:tcBorders>
              <w:right w:val="single" w:sz="8" w:color="70AD47"/>
            </w:tcBorders>
          </w:tcPr>
          <w:p>
            <w:pPr>
              <w:spacing w:after="0"/>
              <w:rPr>
                <w:sz w:val="24"/>
                <w:szCs w:val="24"/>
                <w:color w:val="auto"/>
              </w:rPr>
            </w:pPr>
          </w:p>
        </w:tc>
        <w:tc>
          <w:tcPr>
            <w:tcW w:w="1080" w:type="dxa"/>
            <w:vAlign w:val="bottom"/>
            <w:tcBorders>
              <w:right w:val="single" w:sz="8" w:color="70AD47"/>
            </w:tcBorders>
          </w:tcPr>
          <w:p>
            <w:pPr>
              <w:spacing w:after="0"/>
              <w:rPr>
                <w:sz w:val="24"/>
                <w:szCs w:val="24"/>
                <w:color w:val="auto"/>
              </w:rPr>
            </w:pPr>
          </w:p>
        </w:tc>
      </w:tr>
      <w:tr>
        <w:trPr>
          <w:trHeight w:val="216"/>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319"/>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Fringe benefits</w:t>
            </w:r>
            <w:r>
              <w:rPr>
                <w:rFonts w:ascii="Times New Roman" w:cs="Times New Roman" w:eastAsia="Times New Roman" w:hAnsi="Times New Roman"/>
                <w:sz w:val="9"/>
                <w:szCs w:val="9"/>
                <w:color w:val="auto"/>
              </w:rPr>
              <w:t>(4)</w:t>
            </w:r>
          </w:p>
        </w:tc>
        <w:tc>
          <w:tcPr>
            <w:tcW w:w="1040" w:type="dxa"/>
            <w:vAlign w:val="bottom"/>
            <w:tcBorders>
              <w:right w:val="single" w:sz="8" w:color="70AD47"/>
            </w:tcBorders>
          </w:tcPr>
          <w:p>
            <w:pPr>
              <w:spacing w:after="0"/>
              <w:rPr>
                <w:sz w:val="24"/>
                <w:szCs w:val="24"/>
                <w:color w:val="auto"/>
              </w:rPr>
            </w:pPr>
          </w:p>
        </w:tc>
        <w:tc>
          <w:tcPr>
            <w:tcW w:w="1220" w:type="dxa"/>
            <w:vAlign w:val="bottom"/>
            <w:tcBorders>
              <w:right w:val="single" w:sz="8" w:color="70AD47"/>
            </w:tcBorders>
          </w:tcPr>
          <w:p>
            <w:pPr>
              <w:spacing w:after="0"/>
              <w:rPr>
                <w:sz w:val="24"/>
                <w:szCs w:val="24"/>
                <w:color w:val="auto"/>
              </w:rPr>
            </w:pPr>
          </w:p>
        </w:tc>
        <w:tc>
          <w:tcPr>
            <w:tcW w:w="1060" w:type="dxa"/>
            <w:vAlign w:val="bottom"/>
            <w:tcBorders>
              <w:right w:val="single" w:sz="8" w:color="70AD47"/>
            </w:tcBorders>
          </w:tcPr>
          <w:p>
            <w:pPr>
              <w:spacing w:after="0"/>
              <w:rPr>
                <w:sz w:val="24"/>
                <w:szCs w:val="24"/>
                <w:color w:val="auto"/>
              </w:rPr>
            </w:pPr>
          </w:p>
        </w:tc>
        <w:tc>
          <w:tcPr>
            <w:tcW w:w="116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spacing w:after="0"/>
              <w:rPr>
                <w:sz w:val="24"/>
                <w:szCs w:val="24"/>
                <w:color w:val="auto"/>
              </w:rPr>
            </w:pPr>
          </w:p>
        </w:tc>
        <w:tc>
          <w:tcPr>
            <w:tcW w:w="1140" w:type="dxa"/>
            <w:vAlign w:val="bottom"/>
            <w:tcBorders>
              <w:right w:val="single" w:sz="8" w:color="70AD47"/>
            </w:tcBorders>
          </w:tcPr>
          <w:p>
            <w:pPr>
              <w:spacing w:after="0"/>
              <w:rPr>
                <w:sz w:val="24"/>
                <w:szCs w:val="24"/>
                <w:color w:val="auto"/>
              </w:rPr>
            </w:pPr>
          </w:p>
        </w:tc>
        <w:tc>
          <w:tcPr>
            <w:tcW w:w="1080" w:type="dxa"/>
            <w:vAlign w:val="bottom"/>
            <w:tcBorders>
              <w:right w:val="single" w:sz="8" w:color="70AD47"/>
            </w:tcBorders>
          </w:tcPr>
          <w:p>
            <w:pPr>
              <w:spacing w:after="0"/>
              <w:rPr>
                <w:sz w:val="24"/>
                <w:szCs w:val="24"/>
                <w:color w:val="auto"/>
              </w:rPr>
            </w:pPr>
          </w:p>
        </w:tc>
      </w:tr>
      <w:tr>
        <w:trPr>
          <w:trHeight w:val="223"/>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2440" w:type="dxa"/>
            <w:vAlign w:val="bottom"/>
            <w:tcBorders>
              <w:right w:val="single" w:sz="8" w:color="70AD47"/>
            </w:tcBorders>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Short-term incentive – first</w:t>
            </w:r>
          </w:p>
        </w:tc>
        <w:tc>
          <w:tcPr>
            <w:tcW w:w="1040" w:type="dxa"/>
            <w:vAlign w:val="bottom"/>
            <w:tcBorders>
              <w:right w:val="single" w:sz="8" w:color="70AD47"/>
            </w:tcBorders>
          </w:tcPr>
          <w:p>
            <w:pPr>
              <w:spacing w:after="0"/>
              <w:rPr>
                <w:sz w:val="15"/>
                <w:szCs w:val="15"/>
                <w:color w:val="auto"/>
              </w:rPr>
            </w:pPr>
          </w:p>
        </w:tc>
        <w:tc>
          <w:tcPr>
            <w:tcW w:w="1220" w:type="dxa"/>
            <w:vAlign w:val="bottom"/>
            <w:tcBorders>
              <w:right w:val="single" w:sz="8" w:color="70AD47"/>
            </w:tcBorders>
          </w:tcPr>
          <w:p>
            <w:pPr>
              <w:spacing w:after="0"/>
              <w:rPr>
                <w:sz w:val="15"/>
                <w:szCs w:val="15"/>
                <w:color w:val="auto"/>
              </w:rPr>
            </w:pPr>
          </w:p>
        </w:tc>
        <w:tc>
          <w:tcPr>
            <w:tcW w:w="1060" w:type="dxa"/>
            <w:vAlign w:val="bottom"/>
            <w:tcBorders>
              <w:right w:val="single" w:sz="8" w:color="70AD47"/>
            </w:tcBorders>
          </w:tcPr>
          <w:p>
            <w:pPr>
              <w:spacing w:after="0"/>
              <w:rPr>
                <w:sz w:val="15"/>
                <w:szCs w:val="15"/>
                <w:color w:val="auto"/>
              </w:rPr>
            </w:pPr>
          </w:p>
        </w:tc>
        <w:tc>
          <w:tcPr>
            <w:tcW w:w="116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spacing w:after="0"/>
              <w:rPr>
                <w:sz w:val="15"/>
                <w:szCs w:val="15"/>
                <w:color w:val="auto"/>
              </w:rPr>
            </w:pPr>
          </w:p>
        </w:tc>
        <w:tc>
          <w:tcPr>
            <w:tcW w:w="1140" w:type="dxa"/>
            <w:vAlign w:val="bottom"/>
            <w:tcBorders>
              <w:right w:val="single" w:sz="8" w:color="70AD47"/>
            </w:tcBorders>
          </w:tcPr>
          <w:p>
            <w:pPr>
              <w:spacing w:after="0"/>
              <w:rPr>
                <w:sz w:val="15"/>
                <w:szCs w:val="15"/>
                <w:color w:val="auto"/>
              </w:rPr>
            </w:pPr>
          </w:p>
        </w:tc>
        <w:tc>
          <w:tcPr>
            <w:tcW w:w="1080" w:type="dxa"/>
            <w:vAlign w:val="bottom"/>
            <w:tcBorders>
              <w:right w:val="single" w:sz="8" w:color="70AD47"/>
            </w:tcBorders>
          </w:tcPr>
          <w:p>
            <w:pPr>
              <w:spacing w:after="0"/>
              <w:rPr>
                <w:sz w:val="15"/>
                <w:szCs w:val="15"/>
                <w:color w:val="auto"/>
              </w:rPr>
            </w:pPr>
          </w:p>
        </w:tc>
      </w:tr>
      <w:tr>
        <w:trPr>
          <w:trHeight w:val="206"/>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installment</w:t>
            </w:r>
          </w:p>
        </w:tc>
        <w:tc>
          <w:tcPr>
            <w:tcW w:w="104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060" w:type="dxa"/>
            <w:vAlign w:val="bottom"/>
            <w:tcBorders>
              <w:right w:val="single" w:sz="8" w:color="70AD47"/>
            </w:tcBorders>
          </w:tcPr>
          <w:p>
            <w:pPr>
              <w:spacing w:after="0"/>
              <w:rPr>
                <w:sz w:val="17"/>
                <w:szCs w:val="17"/>
                <w:color w:val="auto"/>
              </w:rPr>
            </w:pPr>
          </w:p>
        </w:tc>
        <w:tc>
          <w:tcPr>
            <w:tcW w:w="1160" w:type="dxa"/>
            <w:vAlign w:val="bottom"/>
            <w:tcBorders>
              <w:right w:val="single" w:sz="8" w:color="70AD47"/>
            </w:tcBorders>
          </w:tcPr>
          <w:p>
            <w:pPr>
              <w:spacing w:after="0"/>
              <w:rPr>
                <w:sz w:val="17"/>
                <w:szCs w:val="17"/>
                <w:color w:val="auto"/>
              </w:rPr>
            </w:pPr>
          </w:p>
        </w:tc>
        <w:tc>
          <w:tcPr>
            <w:tcW w:w="1440" w:type="dxa"/>
            <w:vAlign w:val="bottom"/>
            <w:tcBorders>
              <w:right w:val="single" w:sz="8" w:color="70AD47"/>
            </w:tcBorders>
          </w:tcPr>
          <w:p>
            <w:pPr>
              <w:spacing w:after="0"/>
              <w:rPr>
                <w:sz w:val="17"/>
                <w:szCs w:val="17"/>
                <w:color w:val="auto"/>
              </w:rPr>
            </w:pPr>
          </w:p>
        </w:tc>
        <w:tc>
          <w:tcPr>
            <w:tcW w:w="1140" w:type="dxa"/>
            <w:vAlign w:val="bottom"/>
            <w:tcBorders>
              <w:right w:val="single" w:sz="8" w:color="70AD47"/>
            </w:tcBorders>
          </w:tcPr>
          <w:p>
            <w:pPr>
              <w:spacing w:after="0"/>
              <w:rPr>
                <w:sz w:val="17"/>
                <w:szCs w:val="17"/>
                <w:color w:val="auto"/>
              </w:rPr>
            </w:pPr>
          </w:p>
        </w:tc>
        <w:tc>
          <w:tcPr>
            <w:tcW w:w="1080" w:type="dxa"/>
            <w:vAlign w:val="bottom"/>
            <w:tcBorders>
              <w:right w:val="single" w:sz="8" w:color="70AD47"/>
            </w:tcBorders>
          </w:tcPr>
          <w:p>
            <w:pPr>
              <w:spacing w:after="0"/>
              <w:rPr>
                <w:sz w:val="17"/>
                <w:szCs w:val="17"/>
                <w:color w:val="auto"/>
              </w:rPr>
            </w:pPr>
          </w:p>
        </w:tc>
      </w:tr>
      <w:tr>
        <w:trPr>
          <w:trHeight w:val="217"/>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179"/>
        </w:trPr>
        <w:tc>
          <w:tcPr>
            <w:tcW w:w="2440" w:type="dxa"/>
            <w:vAlign w:val="bottom"/>
            <w:tcBorders>
              <w:right w:val="single" w:sz="8" w:color="70AD47"/>
            </w:tcBorders>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Short-term incentive – second</w:t>
            </w:r>
          </w:p>
        </w:tc>
        <w:tc>
          <w:tcPr>
            <w:tcW w:w="1040" w:type="dxa"/>
            <w:vAlign w:val="bottom"/>
            <w:tcBorders>
              <w:right w:val="single" w:sz="8" w:color="70AD47"/>
            </w:tcBorders>
          </w:tcPr>
          <w:p>
            <w:pPr>
              <w:spacing w:after="0"/>
              <w:rPr>
                <w:sz w:val="15"/>
                <w:szCs w:val="15"/>
                <w:color w:val="auto"/>
              </w:rPr>
            </w:pPr>
          </w:p>
        </w:tc>
        <w:tc>
          <w:tcPr>
            <w:tcW w:w="1220" w:type="dxa"/>
            <w:vAlign w:val="bottom"/>
            <w:tcBorders>
              <w:right w:val="single" w:sz="8" w:color="70AD47"/>
            </w:tcBorders>
          </w:tcPr>
          <w:p>
            <w:pPr>
              <w:spacing w:after="0"/>
              <w:rPr>
                <w:sz w:val="15"/>
                <w:szCs w:val="15"/>
                <w:color w:val="auto"/>
              </w:rPr>
            </w:pPr>
          </w:p>
        </w:tc>
        <w:tc>
          <w:tcPr>
            <w:tcW w:w="1060" w:type="dxa"/>
            <w:vAlign w:val="bottom"/>
            <w:tcBorders>
              <w:right w:val="single" w:sz="8" w:color="70AD47"/>
            </w:tcBorders>
          </w:tcPr>
          <w:p>
            <w:pPr>
              <w:spacing w:after="0"/>
              <w:rPr>
                <w:sz w:val="15"/>
                <w:szCs w:val="15"/>
                <w:color w:val="auto"/>
              </w:rPr>
            </w:pPr>
          </w:p>
        </w:tc>
        <w:tc>
          <w:tcPr>
            <w:tcW w:w="116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spacing w:after="0"/>
              <w:rPr>
                <w:sz w:val="15"/>
                <w:szCs w:val="15"/>
                <w:color w:val="auto"/>
              </w:rPr>
            </w:pPr>
          </w:p>
        </w:tc>
        <w:tc>
          <w:tcPr>
            <w:tcW w:w="1140" w:type="dxa"/>
            <w:vAlign w:val="bottom"/>
            <w:tcBorders>
              <w:right w:val="single" w:sz="8" w:color="70AD47"/>
            </w:tcBorders>
          </w:tcPr>
          <w:p>
            <w:pPr>
              <w:spacing w:after="0"/>
              <w:rPr>
                <w:sz w:val="15"/>
                <w:szCs w:val="15"/>
                <w:color w:val="auto"/>
              </w:rPr>
            </w:pPr>
          </w:p>
        </w:tc>
        <w:tc>
          <w:tcPr>
            <w:tcW w:w="1080" w:type="dxa"/>
            <w:vAlign w:val="bottom"/>
            <w:tcBorders>
              <w:right w:val="single" w:sz="8" w:color="70AD47"/>
            </w:tcBorders>
          </w:tcPr>
          <w:p>
            <w:pPr>
              <w:spacing w:after="0"/>
              <w:rPr>
                <w:sz w:val="15"/>
                <w:szCs w:val="15"/>
                <w:color w:val="auto"/>
              </w:rPr>
            </w:pPr>
          </w:p>
        </w:tc>
      </w:tr>
      <w:tr>
        <w:trPr>
          <w:trHeight w:val="207"/>
        </w:trPr>
        <w:tc>
          <w:tcPr>
            <w:tcW w:w="2440" w:type="dxa"/>
            <w:vAlign w:val="bottom"/>
            <w:tcBorders>
              <w:right w:val="single" w:sz="8" w:color="70AD47"/>
            </w:tcBorders>
          </w:tcPr>
          <w:p>
            <w:pPr>
              <w:ind w:left="20"/>
              <w:spacing w:after="0" w:line="207" w:lineRule="exact"/>
              <w:rPr>
                <w:sz w:val="20"/>
                <w:szCs w:val="20"/>
                <w:color w:val="auto"/>
              </w:rPr>
            </w:pPr>
            <w:r>
              <w:rPr>
                <w:rFonts w:ascii="Times New Roman" w:cs="Times New Roman" w:eastAsia="Times New Roman" w:hAnsi="Times New Roman"/>
                <w:sz w:val="16"/>
                <w:szCs w:val="16"/>
                <w:b w:val="1"/>
                <w:bCs w:val="1"/>
                <w:color w:val="auto"/>
              </w:rPr>
              <w:t>installment</w:t>
            </w:r>
            <w:r>
              <w:rPr>
                <w:rFonts w:ascii="Times New Roman" w:cs="Times New Roman" w:eastAsia="Times New Roman" w:hAnsi="Times New Roman"/>
                <w:sz w:val="21"/>
                <w:szCs w:val="21"/>
                <w:color w:val="auto"/>
                <w:vertAlign w:val="superscript"/>
              </w:rPr>
              <w:t>(5)</w:t>
            </w:r>
          </w:p>
        </w:tc>
        <w:tc>
          <w:tcPr>
            <w:tcW w:w="104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1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r>
      <w:tr>
        <w:trPr>
          <w:trHeight w:val="216"/>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8"/>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variable compensation</w:t>
            </w:r>
          </w:p>
        </w:tc>
        <w:tc>
          <w:tcPr>
            <w:tcW w:w="104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1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r>
      <w:tr>
        <w:trPr>
          <w:trHeight w:val="216"/>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600</w:t>
            </w:r>
            <w:r>
              <w:rPr>
                <w:rFonts w:ascii="Times New Roman" w:cs="Times New Roman" w:eastAsia="Times New Roman" w:hAnsi="Times New Roman"/>
                <w:sz w:val="10"/>
                <w:szCs w:val="10"/>
                <w:color w:val="auto"/>
              </w:rPr>
              <w:t>(7)</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6E0B4"/>
            </w:tcBorders>
            <w:shd w:val="clear" w:color="auto" w:fill="C6E0B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180</w:t>
            </w:r>
            <w:r>
              <w:rPr>
                <w:rFonts w:ascii="Times New Roman" w:cs="Times New Roman" w:eastAsia="Times New Roman" w:hAnsi="Times New Roman"/>
                <w:sz w:val="10"/>
                <w:szCs w:val="10"/>
                <w:color w:val="auto"/>
              </w:rPr>
              <w:t>(6)</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2440" w:type="dxa"/>
            <w:vAlign w:val="bottom"/>
            <w:tcBorders>
              <w:right w:val="single" w:sz="8" w:color="70AD47"/>
            </w:tcBorders>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Share-based payments (incl. long-</w:t>
            </w:r>
          </w:p>
        </w:tc>
        <w:tc>
          <w:tcPr>
            <w:tcW w:w="1040" w:type="dxa"/>
            <w:vAlign w:val="bottom"/>
            <w:tcBorders>
              <w:right w:val="single" w:sz="8" w:color="70AD47"/>
            </w:tcBorders>
          </w:tcPr>
          <w:p>
            <w:pPr>
              <w:spacing w:after="0"/>
              <w:rPr>
                <w:sz w:val="15"/>
                <w:szCs w:val="15"/>
                <w:color w:val="auto"/>
              </w:rPr>
            </w:pPr>
          </w:p>
        </w:tc>
        <w:tc>
          <w:tcPr>
            <w:tcW w:w="1220" w:type="dxa"/>
            <w:vAlign w:val="bottom"/>
            <w:tcBorders>
              <w:right w:val="single" w:sz="8" w:color="70AD47"/>
            </w:tcBorders>
          </w:tcPr>
          <w:p>
            <w:pPr>
              <w:spacing w:after="0"/>
              <w:rPr>
                <w:sz w:val="15"/>
                <w:szCs w:val="15"/>
                <w:color w:val="auto"/>
              </w:rPr>
            </w:pPr>
          </w:p>
        </w:tc>
        <w:tc>
          <w:tcPr>
            <w:tcW w:w="1060" w:type="dxa"/>
            <w:vAlign w:val="bottom"/>
            <w:tcBorders>
              <w:right w:val="single" w:sz="8" w:color="70AD47"/>
            </w:tcBorders>
          </w:tcPr>
          <w:p>
            <w:pPr>
              <w:spacing w:after="0"/>
              <w:rPr>
                <w:sz w:val="15"/>
                <w:szCs w:val="15"/>
                <w:color w:val="auto"/>
              </w:rPr>
            </w:pPr>
          </w:p>
        </w:tc>
        <w:tc>
          <w:tcPr>
            <w:tcW w:w="116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spacing w:after="0"/>
              <w:rPr>
                <w:sz w:val="15"/>
                <w:szCs w:val="15"/>
                <w:color w:val="auto"/>
              </w:rPr>
            </w:pPr>
          </w:p>
        </w:tc>
        <w:tc>
          <w:tcPr>
            <w:tcW w:w="1140" w:type="dxa"/>
            <w:vAlign w:val="bottom"/>
            <w:tcBorders>
              <w:right w:val="single" w:sz="8" w:color="70AD47"/>
            </w:tcBorders>
          </w:tcPr>
          <w:p>
            <w:pPr>
              <w:spacing w:after="0"/>
              <w:rPr>
                <w:sz w:val="15"/>
                <w:szCs w:val="15"/>
                <w:color w:val="auto"/>
              </w:rPr>
            </w:pPr>
          </w:p>
        </w:tc>
        <w:tc>
          <w:tcPr>
            <w:tcW w:w="1080" w:type="dxa"/>
            <w:vAlign w:val="bottom"/>
            <w:tcBorders>
              <w:right w:val="single" w:sz="8" w:color="70AD47"/>
            </w:tcBorders>
          </w:tcPr>
          <w:p>
            <w:pPr>
              <w:spacing w:after="0"/>
              <w:rPr>
                <w:sz w:val="15"/>
                <w:szCs w:val="15"/>
                <w:color w:val="auto"/>
              </w:rPr>
            </w:pPr>
          </w:p>
        </w:tc>
      </w:tr>
      <w:tr>
        <w:trPr>
          <w:trHeight w:val="207"/>
        </w:trPr>
        <w:tc>
          <w:tcPr>
            <w:tcW w:w="2440" w:type="dxa"/>
            <w:vAlign w:val="bottom"/>
            <w:tcBorders>
              <w:right w:val="single" w:sz="8" w:color="70AD47"/>
            </w:tcBorders>
          </w:tcPr>
          <w:p>
            <w:pPr>
              <w:ind w:left="20"/>
              <w:spacing w:after="0" w:line="207" w:lineRule="exact"/>
              <w:rPr>
                <w:sz w:val="20"/>
                <w:szCs w:val="20"/>
                <w:color w:val="auto"/>
              </w:rPr>
            </w:pPr>
            <w:r>
              <w:rPr>
                <w:rFonts w:ascii="Times New Roman" w:cs="Times New Roman" w:eastAsia="Times New Roman" w:hAnsi="Times New Roman"/>
                <w:sz w:val="16"/>
                <w:szCs w:val="16"/>
                <w:b w:val="1"/>
                <w:bCs w:val="1"/>
                <w:color w:val="auto"/>
              </w:rPr>
              <w:t>term incentive)</w:t>
            </w:r>
            <w:r>
              <w:rPr>
                <w:rFonts w:ascii="Times New Roman" w:cs="Times New Roman" w:eastAsia="Times New Roman" w:hAnsi="Times New Roman"/>
                <w:sz w:val="21"/>
                <w:szCs w:val="21"/>
                <w:color w:val="auto"/>
                <w:vertAlign w:val="superscript"/>
              </w:rPr>
              <w:t>(8)</w:t>
            </w:r>
          </w:p>
        </w:tc>
        <w:tc>
          <w:tcPr>
            <w:tcW w:w="104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1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r>
      <w:tr>
        <w:trPr>
          <w:trHeight w:val="216"/>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4"/>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1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17"/>
        </w:trPr>
        <w:tc>
          <w:tcPr>
            <w:tcW w:w="24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14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r>
      <w:tr>
        <w:trPr>
          <w:trHeight w:val="217"/>
        </w:trPr>
        <w:tc>
          <w:tcPr>
            <w:tcW w:w="2440" w:type="dxa"/>
            <w:vAlign w:val="bottom"/>
            <w:tcBorders>
              <w:right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3,056</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1,319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821</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1,410</w:t>
            </w:r>
          </w:p>
        </w:tc>
        <w:tc>
          <w:tcPr>
            <w:tcW w:w="1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848</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r>
      <w:tr>
        <w:trPr>
          <w:trHeight w:val="215"/>
        </w:trPr>
        <w:tc>
          <w:tcPr>
            <w:tcW w:w="24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6,312</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1,736</w:t>
            </w:r>
          </w:p>
        </w:tc>
        <w:tc>
          <w:tcPr>
            <w:tcW w:w="10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2,357</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2,467</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w:t>
            </w:r>
          </w:p>
        </w:tc>
        <w:tc>
          <w:tcPr>
            <w:tcW w:w="11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1,638</w:t>
            </w:r>
          </w:p>
        </w:tc>
      </w:tr>
    </w:tbl>
    <w:p>
      <w:pPr>
        <w:spacing w:after="0" w:line="96" w:lineRule="exact"/>
        <w:rPr>
          <w:sz w:val="20"/>
          <w:szCs w:val="20"/>
          <w:color w:val="auto"/>
        </w:rPr>
      </w:pPr>
    </w:p>
    <w:p>
      <w:pPr>
        <w:ind w:left="240" w:right="20" w:hanging="234"/>
        <w:spacing w:after="0" w:line="225" w:lineRule="auto"/>
        <w:tabs>
          <w:tab w:leader="none" w:pos="258" w:val="left"/>
        </w:tabs>
        <w:numPr>
          <w:ilvl w:val="0"/>
          <w:numId w:val="1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James Ryan, a part of the fixed compensation was paid by BioNTech UK Limited, a subsidiary of BioNTech SE. Approximately 30% of his total compensation is attributable to his position as a member of the Management Board and approximately 70% is attributable to his position as a director of BioNTech UK Limited.</w:t>
      </w:r>
    </w:p>
    <w:p>
      <w:pPr>
        <w:spacing w:after="0" w:line="28" w:lineRule="exact"/>
        <w:rPr>
          <w:rFonts w:ascii="Times New Roman" w:cs="Times New Roman" w:eastAsia="Times New Roman" w:hAnsi="Times New Roman"/>
          <w:sz w:val="19"/>
          <w:szCs w:val="19"/>
          <w:color w:val="auto"/>
          <w:vertAlign w:val="superscript"/>
        </w:rPr>
      </w:pPr>
    </w:p>
    <w:p>
      <w:pPr>
        <w:jc w:val="both"/>
        <w:ind w:left="240" w:hanging="234"/>
        <w:spacing w:after="0" w:line="239" w:lineRule="auto"/>
        <w:tabs>
          <w:tab w:leader="none" w:pos="270" w:val="left"/>
        </w:tabs>
        <w:numPr>
          <w:ilvl w:val="0"/>
          <w:numId w:val="1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Jens Holstein was appointed to the Management Board as Chief Financial Officer (CFO) effective as of July 1, 2021. As of his appointment, the Supervisory Board granted Jens Holstein a one-time signing bonus €800,000 in the form of 4,246 phantom shares which are included in the share-based payments amounts. The phantom shares vest in four equal installments on July 1 of 2022, 2023, 2024, and June 30, 2025 but will only be settled in cash on July 1, 2025. The cash payment is subject to an effective settlement closing price cap. This means that the settlement closing price shall effectively be adjusted to ensure that the current price of an ADS as of the settlement date does not exceed 800% of the closing price applied when the award was initially granted. In addition, the total cash payment under the award shall not exceed €6.4 million.</w:t>
      </w:r>
    </w:p>
    <w:p>
      <w:pPr>
        <w:spacing w:after="0" w:line="29" w:lineRule="exact"/>
        <w:rPr>
          <w:rFonts w:ascii="Times New Roman" w:cs="Times New Roman" w:eastAsia="Times New Roman" w:hAnsi="Times New Roman"/>
          <w:sz w:val="19"/>
          <w:szCs w:val="19"/>
          <w:color w:val="auto"/>
          <w:vertAlign w:val="superscript"/>
        </w:rPr>
      </w:pPr>
    </w:p>
    <w:p>
      <w:pPr>
        <w:ind w:left="240" w:hanging="234"/>
        <w:spacing w:after="0" w:line="225" w:lineRule="auto"/>
        <w:tabs>
          <w:tab w:leader="none" w:pos="272" w:val="left"/>
        </w:tabs>
        <w:numPr>
          <w:ilvl w:val="0"/>
          <w:numId w:val="1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James Ryan was appointed to the Management Board as Chief Legal Officer (CLO) effective as of September 1, 2023. His compensation for the year ended December 31, 2023 was granted on a pro-rata basis.</w:t>
      </w:r>
    </w:p>
    <w:p>
      <w:pPr>
        <w:spacing w:after="0" w:line="28" w:lineRule="exact"/>
        <w:rPr>
          <w:rFonts w:ascii="Times New Roman" w:cs="Times New Roman" w:eastAsia="Times New Roman" w:hAnsi="Times New Roman"/>
          <w:sz w:val="19"/>
          <w:szCs w:val="19"/>
          <w:color w:val="auto"/>
          <w:vertAlign w:val="superscript"/>
        </w:rPr>
      </w:pPr>
    </w:p>
    <w:p>
      <w:pPr>
        <w:ind w:left="240" w:hanging="234"/>
        <w:spacing w:after="0" w:line="225" w:lineRule="auto"/>
        <w:tabs>
          <w:tab w:leader="none" w:pos="320" w:val="left"/>
        </w:tabs>
        <w:numPr>
          <w:ilvl w:val="0"/>
          <w:numId w:val="1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social security, health and additional insurance, company bike and travel expenses. Other fringe benefits, e.g., costs for security services, which are integral to the performance of business duties, are not included in the amount.</w:t>
      </w:r>
    </w:p>
    <w:p>
      <w:pPr>
        <w:spacing w:after="0" w:line="28" w:lineRule="exact"/>
        <w:rPr>
          <w:rFonts w:ascii="Times New Roman" w:cs="Times New Roman" w:eastAsia="Times New Roman" w:hAnsi="Times New Roman"/>
          <w:sz w:val="19"/>
          <w:szCs w:val="19"/>
          <w:color w:val="auto"/>
          <w:vertAlign w:val="superscript"/>
        </w:rPr>
      </w:pPr>
    </w:p>
    <w:p>
      <w:pPr>
        <w:jc w:val="both"/>
        <w:ind w:left="240" w:hanging="234"/>
        <w:spacing w:after="0" w:line="236" w:lineRule="auto"/>
        <w:tabs>
          <w:tab w:leader="none" w:pos="282" w:val="left"/>
        </w:tabs>
        <w:numPr>
          <w:ilvl w:val="0"/>
          <w:numId w:val="1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fair value of the second installment of the short-term incentive compensation which has been classified as a cash-settled share-based payment arrangement was determined pursuant to the regulations of IFRS 2 “Share-based Payments.” This table shows the pro-rata share of personnel expenses for the respective financial year that are recognized over the award’s vesting period beginning as of the service commencement date (date when entering or renewing service agreements) until each separate determination date and are remeasured until settlement date.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84" w:name="page185"/>
    <w:bookmarkEnd w:id="18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240" w:hanging="234"/>
        <w:spacing w:after="0" w:line="236" w:lineRule="auto"/>
        <w:tabs>
          <w:tab w:leader="none" w:pos="325" w:val="left"/>
        </w:tabs>
        <w:numPr>
          <w:ilvl w:val="0"/>
          <w:numId w:val="1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year ended December 31, 2023, as part of his appointment to the Management Board, James Ryan received a one-time signing cash payment in the amount of €180,000. The one-time signing cash payment provided compensation in lieu of participation in the LTI 2023 program, which was allocated before his appointment, and a pro-rata allocation for 2023 would not have been permitted under our current AGM authorizations, as ESOPs may only be issued within the first six months of each calendar year. Of this payment, James Ryan shall use 50% net of costs and expenses to purchase BioNTech shares on or before August 31, 2024 to further strengthen his long-term commitment.</w:t>
      </w:r>
    </w:p>
    <w:p>
      <w:pPr>
        <w:spacing w:after="0" w:line="30" w:lineRule="exact"/>
        <w:rPr>
          <w:rFonts w:ascii="Times New Roman" w:cs="Times New Roman" w:eastAsia="Times New Roman" w:hAnsi="Times New Roman"/>
          <w:sz w:val="19"/>
          <w:szCs w:val="19"/>
          <w:color w:val="auto"/>
          <w:vertAlign w:val="superscript"/>
        </w:rPr>
      </w:pPr>
    </w:p>
    <w:p>
      <w:pPr>
        <w:jc w:val="both"/>
        <w:ind w:left="240" w:hanging="234"/>
        <w:spacing w:after="0" w:line="236" w:lineRule="auto"/>
        <w:tabs>
          <w:tab w:leader="none" w:pos="267" w:val="left"/>
        </w:tabs>
        <w:numPr>
          <w:ilvl w:val="0"/>
          <w:numId w:val="1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year ended December 31, 2023, upon the recommendation of the Compensation, Nomination and Corporate Governance Committee, the Supervisory Board approved a special payment in the gross amount of €600,000 to Jens Holstein. The special payment was made to honor Jens Holstein’s contribution to the extraordinary financial performance of BioNTech and recognize his efforts to strengthen the Company’s long-term financial performance. Of this payment, Jens Holstein used €150,000 net of costs and expenses to purchase 1,620 BioNTech shares during the year ended December 31, 2023 to further strengthen his long-term commitment.</w:t>
      </w:r>
    </w:p>
    <w:p>
      <w:pPr>
        <w:spacing w:after="0" w:line="30" w:lineRule="exact"/>
        <w:rPr>
          <w:rFonts w:ascii="Times New Roman" w:cs="Times New Roman" w:eastAsia="Times New Roman" w:hAnsi="Times New Roman"/>
          <w:sz w:val="19"/>
          <w:szCs w:val="19"/>
          <w:color w:val="auto"/>
          <w:vertAlign w:val="superscript"/>
        </w:rPr>
      </w:pPr>
    </w:p>
    <w:p>
      <w:pPr>
        <w:jc w:val="both"/>
        <w:ind w:left="240" w:hanging="234"/>
        <w:spacing w:after="0" w:line="232" w:lineRule="auto"/>
        <w:tabs>
          <w:tab w:leader="none" w:pos="311" w:val="left"/>
        </w:tabs>
        <w:numPr>
          <w:ilvl w:val="0"/>
          <w:numId w:val="1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fair value of the share-based payments was determined pursuant to the regulations of IFRS 2 “Stock-based Payments.” This table shows the pro-rata share of personnel expenses resulting from stock-based compensation for the respective financial year. It includes the share-based payment arrangements explained in footnote (1) and (2) and those explained in “Share-Based Payment Arrangements” in Note 16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5" w:name="page186"/>
    <w:bookmarkEnd w:id="18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231F20"/>
        </w:rPr>
        <w:t>The table below provides an overview of the (phantom) share options and other share-based payment instruments granted to our Management Board which are outstanding as of December 31, 2023 - excluding future grants: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00" w:type="dxa"/>
            <w:vAlign w:val="bottom"/>
            <w:tcBorders>
              <w:top w:val="single" w:sz="8" w:color="70AD47"/>
              <w:left w:val="single" w:sz="8" w:color="70AD47"/>
              <w:right w:val="single" w:sz="8" w:color="70AD47"/>
            </w:tcBorders>
          </w:tcPr>
          <w:p>
            <w:pPr>
              <w:spacing w:after="0"/>
              <w:rPr>
                <w:sz w:val="16"/>
                <w:szCs w:val="16"/>
                <w:color w:val="auto"/>
              </w:rPr>
            </w:pPr>
          </w:p>
        </w:tc>
        <w:tc>
          <w:tcPr>
            <w:tcW w:w="1480" w:type="dxa"/>
            <w:vAlign w:val="bottom"/>
            <w:tcBorders>
              <w:top w:val="single" w:sz="8" w:color="70AD47"/>
              <w:right w:val="single" w:sz="8" w:color="70AD47"/>
            </w:tcBorders>
          </w:tcPr>
          <w:p>
            <w:pPr>
              <w:spacing w:after="0"/>
              <w:rPr>
                <w:sz w:val="16"/>
                <w:szCs w:val="16"/>
                <w:color w:val="auto"/>
              </w:rPr>
            </w:pPr>
          </w:p>
        </w:tc>
        <w:tc>
          <w:tcPr>
            <w:tcW w:w="1380" w:type="dxa"/>
            <w:vAlign w:val="bottom"/>
            <w:tcBorders>
              <w:top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0" w:type="dxa"/>
            <w:vAlign w:val="bottom"/>
            <w:tcBorders>
              <w:top w:val="single" w:sz="8" w:color="70AD47"/>
              <w:right w:val="single" w:sz="8" w:color="70AD47"/>
            </w:tcBorders>
          </w:tcPr>
          <w:p>
            <w:pPr>
              <w:spacing w:after="0"/>
              <w:rPr>
                <w:sz w:val="16"/>
                <w:szCs w:val="16"/>
                <w:color w:val="auto"/>
              </w:rPr>
            </w:pPr>
          </w:p>
        </w:tc>
        <w:tc>
          <w:tcPr>
            <w:tcW w:w="1320" w:type="dxa"/>
            <w:vAlign w:val="bottom"/>
            <w:tcBorders>
              <w:top w:val="single" w:sz="8" w:color="70AD47"/>
              <w:right w:val="single" w:sz="8" w:color="70AD47"/>
            </w:tcBorders>
          </w:tcPr>
          <w:p>
            <w:pPr>
              <w:spacing w:after="0"/>
              <w:rPr>
                <w:sz w:val="16"/>
                <w:szCs w:val="16"/>
                <w:color w:val="auto"/>
              </w:rPr>
            </w:pPr>
          </w:p>
        </w:tc>
        <w:tc>
          <w:tcPr>
            <w:tcW w:w="1340" w:type="dxa"/>
            <w:vAlign w:val="bottom"/>
            <w:tcBorders>
              <w:top w:val="single" w:sz="8" w:color="70AD47"/>
              <w:right w:val="single" w:sz="8" w:color="70AD47"/>
            </w:tcBorders>
          </w:tcPr>
          <w:p>
            <w:pPr>
              <w:spacing w:after="0"/>
              <w:rPr>
                <w:sz w:val="16"/>
                <w:szCs w:val="16"/>
                <w:color w:val="auto"/>
              </w:rPr>
            </w:pPr>
          </w:p>
        </w:tc>
        <w:tc>
          <w:tcPr>
            <w:tcW w:w="1260" w:type="dxa"/>
            <w:vAlign w:val="bottom"/>
            <w:tcBorders>
              <w:top w:val="single" w:sz="8" w:color="70AD47"/>
              <w:right w:val="single" w:sz="8" w:color="70AD47"/>
            </w:tcBorders>
          </w:tcPr>
          <w:p>
            <w:pPr>
              <w:spacing w:after="0"/>
              <w:rPr>
                <w:sz w:val="16"/>
                <w:szCs w:val="16"/>
                <w:color w:val="auto"/>
              </w:rPr>
            </w:pPr>
          </w:p>
        </w:tc>
      </w:tr>
      <w:tr>
        <w:trPr>
          <w:trHeight w:val="168"/>
        </w:trPr>
        <w:tc>
          <w:tcPr>
            <w:tcW w:w="2600" w:type="dxa"/>
            <w:vAlign w:val="bottom"/>
            <w:tcBorders>
              <w:left w:val="single" w:sz="8" w:color="70AD47"/>
              <w:right w:val="single" w:sz="8" w:color="70AD47"/>
            </w:tcBorders>
          </w:tcPr>
          <w:p>
            <w:pPr>
              <w:spacing w:after="0"/>
              <w:rPr>
                <w:sz w:val="14"/>
                <w:szCs w:val="14"/>
                <w:color w:val="auto"/>
              </w:rPr>
            </w:pPr>
          </w:p>
        </w:tc>
        <w:tc>
          <w:tcPr>
            <w:tcW w:w="1480" w:type="dxa"/>
            <w:vAlign w:val="bottom"/>
            <w:tcBorders>
              <w:right w:val="single" w:sz="8" w:color="70AD47"/>
            </w:tcBorders>
          </w:tcPr>
          <w:p>
            <w:pPr>
              <w:spacing w:after="0"/>
              <w:rPr>
                <w:sz w:val="14"/>
                <w:szCs w:val="14"/>
                <w:color w:val="auto"/>
              </w:rPr>
            </w:pPr>
          </w:p>
        </w:tc>
        <w:tc>
          <w:tcPr>
            <w:tcW w:w="1380" w:type="dxa"/>
            <w:vAlign w:val="bottom"/>
            <w:tcBorders>
              <w:right w:val="single" w:sz="8" w:color="70AD47"/>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Ordinary Shares</w:t>
            </w:r>
          </w:p>
        </w:tc>
        <w:tc>
          <w:tcPr>
            <w:tcW w:w="1200" w:type="dxa"/>
            <w:vAlign w:val="bottom"/>
            <w:tcBorders>
              <w:right w:val="single" w:sz="8" w:color="70AD47"/>
            </w:tcBorders>
          </w:tcPr>
          <w:p>
            <w:pPr>
              <w:spacing w:after="0"/>
              <w:rPr>
                <w:sz w:val="14"/>
                <w:szCs w:val="14"/>
                <w:color w:val="auto"/>
              </w:rPr>
            </w:pPr>
          </w:p>
        </w:tc>
        <w:tc>
          <w:tcPr>
            <w:tcW w:w="13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r>
      <w:tr>
        <w:trPr>
          <w:trHeight w:val="168"/>
        </w:trPr>
        <w:tc>
          <w:tcPr>
            <w:tcW w:w="2600" w:type="dxa"/>
            <w:vAlign w:val="bottom"/>
            <w:tcBorders>
              <w:left w:val="single" w:sz="8" w:color="70AD47"/>
              <w:right w:val="single" w:sz="8" w:color="70AD47"/>
            </w:tcBorders>
          </w:tcPr>
          <w:p>
            <w:pPr>
              <w:spacing w:after="0"/>
              <w:rPr>
                <w:sz w:val="14"/>
                <w:szCs w:val="14"/>
                <w:color w:val="auto"/>
              </w:rPr>
            </w:pPr>
          </w:p>
        </w:tc>
        <w:tc>
          <w:tcPr>
            <w:tcW w:w="1480" w:type="dxa"/>
            <w:vAlign w:val="bottom"/>
            <w:tcBorders>
              <w:right w:val="single" w:sz="8" w:color="70AD47"/>
            </w:tcBorders>
          </w:tcPr>
          <w:p>
            <w:pPr>
              <w:jc w:val="right"/>
              <w:ind w:right="262"/>
              <w:spacing w:after="0" w:line="168" w:lineRule="exact"/>
              <w:rPr>
                <w:sz w:val="20"/>
                <w:szCs w:val="20"/>
                <w:color w:val="auto"/>
              </w:rPr>
            </w:pPr>
            <w:r>
              <w:rPr>
                <w:rFonts w:ascii="Times New Roman" w:cs="Times New Roman" w:eastAsia="Times New Roman" w:hAnsi="Times New Roman"/>
                <w:sz w:val="16"/>
                <w:szCs w:val="16"/>
                <w:b w:val="1"/>
                <w:bCs w:val="1"/>
                <w:color w:val="auto"/>
              </w:rPr>
              <w:t>Grant Date /</w:t>
            </w:r>
          </w:p>
        </w:tc>
        <w:tc>
          <w:tcPr>
            <w:tcW w:w="1380" w:type="dxa"/>
            <w:vAlign w:val="bottom"/>
            <w:tcBorders>
              <w:right w:val="single" w:sz="8" w:color="70AD47"/>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Underlying Share</w:t>
            </w:r>
          </w:p>
        </w:tc>
        <w:tc>
          <w:tcPr>
            <w:tcW w:w="1200" w:type="dxa"/>
            <w:vAlign w:val="bottom"/>
            <w:tcBorders>
              <w:right w:val="single" w:sz="8" w:color="70AD47"/>
            </w:tcBorders>
          </w:tcPr>
          <w:p>
            <w:pPr>
              <w:jc w:val="right"/>
              <w:ind w:right="3"/>
              <w:spacing w:after="0" w:line="168" w:lineRule="exact"/>
              <w:rPr>
                <w:sz w:val="20"/>
                <w:szCs w:val="20"/>
                <w:color w:val="auto"/>
              </w:rPr>
            </w:pPr>
            <w:r>
              <w:rPr>
                <w:rFonts w:ascii="Times New Roman" w:cs="Times New Roman" w:eastAsia="Times New Roman" w:hAnsi="Times New Roman"/>
                <w:sz w:val="16"/>
                <w:szCs w:val="16"/>
                <w:b w:val="1"/>
                <w:bCs w:val="1"/>
                <w:color w:val="auto"/>
              </w:rPr>
              <w:t>Option Exercise</w:t>
            </w:r>
          </w:p>
        </w:tc>
        <w:tc>
          <w:tcPr>
            <w:tcW w:w="1320" w:type="dxa"/>
            <w:vAlign w:val="bottom"/>
            <w:tcBorders>
              <w:right w:val="single" w:sz="8" w:color="70AD47"/>
            </w:tcBorders>
          </w:tcPr>
          <w:p>
            <w:pPr>
              <w:ind w:left="140"/>
              <w:spacing w:after="0" w:line="168" w:lineRule="exact"/>
              <w:rPr>
                <w:sz w:val="20"/>
                <w:szCs w:val="20"/>
                <w:color w:val="auto"/>
              </w:rPr>
            </w:pPr>
            <w:r>
              <w:rPr>
                <w:rFonts w:ascii="Times New Roman" w:cs="Times New Roman" w:eastAsia="Times New Roman" w:hAnsi="Times New Roman"/>
                <w:sz w:val="16"/>
                <w:szCs w:val="16"/>
                <w:b w:val="1"/>
                <w:bCs w:val="1"/>
                <w:color w:val="auto"/>
              </w:rPr>
              <w:t>Earliest Option</w:t>
            </w:r>
          </w:p>
        </w:tc>
        <w:tc>
          <w:tcPr>
            <w:tcW w:w="1340" w:type="dxa"/>
            <w:vAlign w:val="bottom"/>
            <w:tcBorders>
              <w:right w:val="single" w:sz="8" w:color="70AD47"/>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Option Expiration</w:t>
            </w:r>
          </w:p>
        </w:tc>
        <w:tc>
          <w:tcPr>
            <w:tcW w:w="1260" w:type="dxa"/>
            <w:vAlign w:val="bottom"/>
            <w:tcBorders>
              <w:right w:val="single" w:sz="8" w:color="70AD47"/>
            </w:tcBorders>
          </w:tcPr>
          <w:p>
            <w:pPr>
              <w:jc w:val="right"/>
              <w:ind w:right="162"/>
              <w:spacing w:after="0" w:line="168" w:lineRule="exact"/>
              <w:rPr>
                <w:sz w:val="20"/>
                <w:szCs w:val="20"/>
                <w:color w:val="auto"/>
              </w:rPr>
            </w:pPr>
            <w:r>
              <w:rPr>
                <w:rFonts w:ascii="Times New Roman" w:cs="Times New Roman" w:eastAsia="Times New Roman" w:hAnsi="Times New Roman"/>
                <w:sz w:val="16"/>
                <w:szCs w:val="16"/>
                <w:b w:val="1"/>
                <w:bCs w:val="1"/>
                <w:color w:val="auto"/>
              </w:rPr>
              <w:t>Name of the</w:t>
            </w:r>
          </w:p>
        </w:tc>
      </w:tr>
      <w:tr>
        <w:trPr>
          <w:trHeight w:val="168"/>
        </w:trPr>
        <w:tc>
          <w:tcPr>
            <w:tcW w:w="2600" w:type="dxa"/>
            <w:vAlign w:val="bottom"/>
            <w:tcBorders>
              <w:left w:val="single" w:sz="8" w:color="70AD47"/>
              <w:right w:val="single" w:sz="8" w:color="70AD47"/>
            </w:tcBorders>
          </w:tcPr>
          <w:p>
            <w:pPr>
              <w:spacing w:after="0"/>
              <w:rPr>
                <w:sz w:val="14"/>
                <w:szCs w:val="14"/>
                <w:color w:val="auto"/>
              </w:rPr>
            </w:pPr>
          </w:p>
        </w:tc>
        <w:tc>
          <w:tcPr>
            <w:tcW w:w="1480" w:type="dxa"/>
            <w:vAlign w:val="bottom"/>
            <w:tcBorders>
              <w:right w:val="single" w:sz="8" w:color="70AD47"/>
            </w:tcBorders>
          </w:tcPr>
          <w:p>
            <w:pPr>
              <w:jc w:val="right"/>
              <w:ind w:right="162"/>
              <w:spacing w:after="0" w:line="168" w:lineRule="exact"/>
              <w:rPr>
                <w:sz w:val="20"/>
                <w:szCs w:val="20"/>
                <w:color w:val="auto"/>
              </w:rPr>
            </w:pPr>
            <w:r>
              <w:rPr>
                <w:rFonts w:ascii="Times New Roman" w:cs="Times New Roman" w:eastAsia="Times New Roman" w:hAnsi="Times New Roman"/>
                <w:sz w:val="16"/>
                <w:szCs w:val="16"/>
                <w:b w:val="1"/>
                <w:bCs w:val="1"/>
                <w:color w:val="auto"/>
              </w:rPr>
              <w:t>Allocation Date</w:t>
            </w:r>
          </w:p>
        </w:tc>
        <w:tc>
          <w:tcPr>
            <w:tcW w:w="1380" w:type="dxa"/>
            <w:vAlign w:val="bottom"/>
            <w:tcBorders>
              <w:right w:val="single" w:sz="8" w:color="70AD47"/>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Options / Number</w:t>
            </w:r>
          </w:p>
        </w:tc>
        <w:tc>
          <w:tcPr>
            <w:tcW w:w="1200" w:type="dxa"/>
            <w:vAlign w:val="bottom"/>
            <w:tcBorders>
              <w:right w:val="single" w:sz="8" w:color="70AD47"/>
            </w:tcBorders>
          </w:tcPr>
          <w:p>
            <w:pPr>
              <w:jc w:val="right"/>
              <w:ind w:right="163"/>
              <w:spacing w:after="0" w:line="168" w:lineRule="exact"/>
              <w:rPr>
                <w:sz w:val="20"/>
                <w:szCs w:val="20"/>
                <w:color w:val="auto"/>
              </w:rPr>
            </w:pPr>
            <w:r>
              <w:rPr>
                <w:rFonts w:ascii="Times New Roman" w:cs="Times New Roman" w:eastAsia="Times New Roman" w:hAnsi="Times New Roman"/>
                <w:sz w:val="14"/>
                <w:szCs w:val="14"/>
                <w:b w:val="1"/>
                <w:bCs w:val="1"/>
                <w:color w:val="auto"/>
              </w:rPr>
              <w:t>Price (€)</w:t>
            </w:r>
            <w:r>
              <w:rPr>
                <w:rFonts w:ascii="Times New Roman" w:cs="Times New Roman" w:eastAsia="Times New Roman" w:hAnsi="Times New Roman"/>
                <w:sz w:val="19"/>
                <w:szCs w:val="19"/>
                <w:b w:val="1"/>
                <w:bCs w:val="1"/>
                <w:color w:val="auto"/>
                <w:vertAlign w:val="superscript"/>
              </w:rPr>
              <w:t>(11)</w:t>
            </w:r>
          </w:p>
        </w:tc>
        <w:tc>
          <w:tcPr>
            <w:tcW w:w="1320" w:type="dxa"/>
            <w:vAlign w:val="bottom"/>
            <w:tcBorders>
              <w:right w:val="single" w:sz="8" w:color="70AD47"/>
            </w:tcBorders>
          </w:tcPr>
          <w:p>
            <w:pPr>
              <w:ind w:left="140"/>
              <w:spacing w:after="0" w:line="168" w:lineRule="exact"/>
              <w:rPr>
                <w:sz w:val="20"/>
                <w:szCs w:val="20"/>
                <w:color w:val="auto"/>
              </w:rPr>
            </w:pPr>
            <w:r>
              <w:rPr>
                <w:rFonts w:ascii="Times New Roman" w:cs="Times New Roman" w:eastAsia="Times New Roman" w:hAnsi="Times New Roman"/>
                <w:sz w:val="14"/>
                <w:szCs w:val="14"/>
                <w:b w:val="1"/>
                <w:bCs w:val="1"/>
                <w:color w:val="auto"/>
              </w:rPr>
              <w:t>Exercise Date</w:t>
            </w:r>
            <w:r>
              <w:rPr>
                <w:rFonts w:ascii="Times New Roman" w:cs="Times New Roman" w:eastAsia="Times New Roman" w:hAnsi="Times New Roman"/>
                <w:sz w:val="19"/>
                <w:szCs w:val="19"/>
                <w:b w:val="1"/>
                <w:bCs w:val="1"/>
                <w:color w:val="auto"/>
                <w:vertAlign w:val="superscript"/>
              </w:rPr>
              <w:t>(9)</w:t>
            </w:r>
          </w:p>
        </w:tc>
        <w:tc>
          <w:tcPr>
            <w:tcW w:w="1340" w:type="dxa"/>
            <w:vAlign w:val="bottom"/>
            <w:tcBorders>
              <w:right w:val="single" w:sz="8" w:color="70AD47"/>
            </w:tcBorders>
          </w:tcPr>
          <w:p>
            <w:pPr>
              <w:jc w:val="right"/>
              <w:ind w:right="443"/>
              <w:spacing w:after="0" w:line="168" w:lineRule="exact"/>
              <w:rPr>
                <w:sz w:val="20"/>
                <w:szCs w:val="20"/>
                <w:color w:val="auto"/>
              </w:rPr>
            </w:pPr>
            <w:r>
              <w:rPr>
                <w:rFonts w:ascii="Times New Roman" w:cs="Times New Roman" w:eastAsia="Times New Roman" w:hAnsi="Times New Roman"/>
                <w:sz w:val="16"/>
                <w:szCs w:val="16"/>
                <w:b w:val="1"/>
                <w:bCs w:val="1"/>
                <w:color w:val="auto"/>
              </w:rPr>
              <w:t>Date</w:t>
            </w:r>
          </w:p>
        </w:tc>
        <w:tc>
          <w:tcPr>
            <w:tcW w:w="1260" w:type="dxa"/>
            <w:vAlign w:val="bottom"/>
            <w:tcBorders>
              <w:right w:val="single" w:sz="8" w:color="70AD47"/>
            </w:tcBorders>
          </w:tcPr>
          <w:p>
            <w:pPr>
              <w:jc w:val="right"/>
              <w:ind w:right="262"/>
              <w:spacing w:after="0" w:line="168" w:lineRule="exact"/>
              <w:rPr>
                <w:sz w:val="20"/>
                <w:szCs w:val="20"/>
                <w:color w:val="auto"/>
              </w:rPr>
            </w:pPr>
            <w:r>
              <w:rPr>
                <w:rFonts w:ascii="Times New Roman" w:cs="Times New Roman" w:eastAsia="Times New Roman" w:hAnsi="Times New Roman"/>
                <w:sz w:val="16"/>
                <w:szCs w:val="16"/>
                <w:b w:val="1"/>
                <w:bCs w:val="1"/>
                <w:color w:val="auto"/>
              </w:rPr>
              <w:t>Program</w:t>
            </w:r>
          </w:p>
        </w:tc>
      </w:tr>
      <w:tr>
        <w:trPr>
          <w:trHeight w:val="168"/>
        </w:trPr>
        <w:tc>
          <w:tcPr>
            <w:tcW w:w="2600" w:type="dxa"/>
            <w:vAlign w:val="bottom"/>
            <w:tcBorders>
              <w:left w:val="single" w:sz="8" w:color="70AD47"/>
              <w:right w:val="single" w:sz="8" w:color="70AD47"/>
            </w:tcBorders>
          </w:tcPr>
          <w:p>
            <w:pPr>
              <w:spacing w:after="0"/>
              <w:rPr>
                <w:sz w:val="14"/>
                <w:szCs w:val="14"/>
                <w:color w:val="auto"/>
              </w:rPr>
            </w:pPr>
          </w:p>
        </w:tc>
        <w:tc>
          <w:tcPr>
            <w:tcW w:w="1480" w:type="dxa"/>
            <w:vAlign w:val="bottom"/>
            <w:tcBorders>
              <w:right w:val="single" w:sz="8" w:color="70AD47"/>
            </w:tcBorders>
          </w:tcPr>
          <w:p>
            <w:pPr>
              <w:spacing w:after="0"/>
              <w:rPr>
                <w:sz w:val="14"/>
                <w:szCs w:val="14"/>
                <w:color w:val="auto"/>
              </w:rPr>
            </w:pPr>
          </w:p>
        </w:tc>
        <w:tc>
          <w:tcPr>
            <w:tcW w:w="1380" w:type="dxa"/>
            <w:vAlign w:val="bottom"/>
            <w:tcBorders>
              <w:right w:val="single" w:sz="8" w:color="70AD47"/>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of Phantom Share</w:t>
            </w:r>
          </w:p>
        </w:tc>
        <w:tc>
          <w:tcPr>
            <w:tcW w:w="1200" w:type="dxa"/>
            <w:vAlign w:val="bottom"/>
            <w:tcBorders>
              <w:right w:val="single" w:sz="8" w:color="70AD47"/>
            </w:tcBorders>
          </w:tcPr>
          <w:p>
            <w:pPr>
              <w:spacing w:after="0"/>
              <w:rPr>
                <w:sz w:val="14"/>
                <w:szCs w:val="14"/>
                <w:color w:val="auto"/>
              </w:rPr>
            </w:pPr>
          </w:p>
        </w:tc>
        <w:tc>
          <w:tcPr>
            <w:tcW w:w="13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r>
      <w:tr>
        <w:trPr>
          <w:trHeight w:val="207"/>
        </w:trPr>
        <w:tc>
          <w:tcPr>
            <w:tcW w:w="2600" w:type="dxa"/>
            <w:vAlign w:val="bottom"/>
            <w:tcBorders>
              <w:left w:val="single" w:sz="8" w:color="70AD47"/>
              <w:bottom w:val="single" w:sz="8" w:color="70AD47"/>
              <w:right w:val="single" w:sz="8" w:color="70AD47"/>
            </w:tcBorders>
          </w:tcPr>
          <w:p>
            <w:pPr>
              <w:spacing w:after="0"/>
              <w:rPr>
                <w:sz w:val="18"/>
                <w:szCs w:val="18"/>
                <w:color w:val="auto"/>
              </w:rPr>
            </w:pPr>
          </w:p>
        </w:tc>
        <w:tc>
          <w:tcPr>
            <w:tcW w:w="1480" w:type="dxa"/>
            <w:vAlign w:val="bottom"/>
            <w:tcBorders>
              <w:bottom w:val="single" w:sz="8" w:color="70AD47"/>
              <w:right w:val="single" w:sz="8" w:color="70AD47"/>
            </w:tcBorders>
          </w:tcPr>
          <w:p>
            <w:pPr>
              <w:spacing w:after="0"/>
              <w:rPr>
                <w:sz w:val="18"/>
                <w:szCs w:val="18"/>
                <w:color w:val="auto"/>
              </w:rPr>
            </w:pPr>
          </w:p>
        </w:tc>
        <w:tc>
          <w:tcPr>
            <w:tcW w:w="1380" w:type="dxa"/>
            <w:vAlign w:val="bottom"/>
            <w:tcBorders>
              <w:bottom w:val="single" w:sz="8" w:color="70AD47"/>
              <w:right w:val="single" w:sz="8" w:color="70AD47"/>
            </w:tcBorders>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1"/>
              </w:rPr>
              <w:t xml:space="preserve">Options </w:t>
            </w:r>
            <w:r>
              <w:rPr>
                <w:rFonts w:ascii="Times New Roman" w:cs="Times New Roman" w:eastAsia="Times New Roman" w:hAnsi="Times New Roman"/>
                <w:sz w:val="21"/>
                <w:szCs w:val="21"/>
                <w:b w:val="1"/>
                <w:bCs w:val="1"/>
                <w:color w:val="auto"/>
                <w:w w:val="91"/>
                <w:vertAlign w:val="superscript"/>
              </w:rPr>
              <w:t>(1)</w:t>
            </w:r>
          </w:p>
        </w:tc>
        <w:tc>
          <w:tcPr>
            <w:tcW w:w="1200" w:type="dxa"/>
            <w:vAlign w:val="bottom"/>
            <w:tcBorders>
              <w:bottom w:val="single" w:sz="8" w:color="70AD47"/>
              <w:right w:val="single" w:sz="8" w:color="70AD47"/>
            </w:tcBorders>
          </w:tcPr>
          <w:p>
            <w:pPr>
              <w:spacing w:after="0"/>
              <w:rPr>
                <w:sz w:val="18"/>
                <w:szCs w:val="18"/>
                <w:color w:val="auto"/>
              </w:rPr>
            </w:pPr>
          </w:p>
        </w:tc>
        <w:tc>
          <w:tcPr>
            <w:tcW w:w="1320" w:type="dxa"/>
            <w:vAlign w:val="bottom"/>
            <w:tcBorders>
              <w:bottom w:val="single" w:sz="8" w:color="70AD47"/>
              <w:right w:val="single" w:sz="8" w:color="70AD47"/>
            </w:tcBorders>
          </w:tcPr>
          <w:p>
            <w:pPr>
              <w:spacing w:after="0"/>
              <w:rPr>
                <w:sz w:val="18"/>
                <w:szCs w:val="18"/>
                <w:color w:val="auto"/>
              </w:rPr>
            </w:pPr>
          </w:p>
        </w:tc>
        <w:tc>
          <w:tcPr>
            <w:tcW w:w="1340" w:type="dxa"/>
            <w:vAlign w:val="bottom"/>
            <w:tcBorders>
              <w:bottom w:val="single" w:sz="8" w:color="70AD47"/>
              <w:right w:val="single" w:sz="8" w:color="70AD47"/>
            </w:tcBorders>
          </w:tcPr>
          <w:p>
            <w:pPr>
              <w:spacing w:after="0"/>
              <w:rPr>
                <w:sz w:val="18"/>
                <w:szCs w:val="18"/>
                <w:color w:val="auto"/>
              </w:rPr>
            </w:pPr>
          </w:p>
        </w:tc>
        <w:tc>
          <w:tcPr>
            <w:tcW w:w="1260" w:type="dxa"/>
            <w:vAlign w:val="bottom"/>
            <w:tcBorders>
              <w:bottom w:val="single" w:sz="8" w:color="70AD47"/>
              <w:right w:val="single" w:sz="8" w:color="70AD47"/>
            </w:tcBorders>
          </w:tcPr>
          <w:p>
            <w:pPr>
              <w:spacing w:after="0"/>
              <w:rPr>
                <w:sz w:val="18"/>
                <w:szCs w:val="18"/>
                <w:color w:val="auto"/>
              </w:rPr>
            </w:pPr>
          </w:p>
        </w:tc>
      </w:tr>
      <w:tr>
        <w:trPr>
          <w:trHeight w:val="219"/>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Prof. Ugur Sahin, M.D.</w:t>
            </w:r>
          </w:p>
        </w:tc>
        <w:tc>
          <w:tcPr>
            <w:tcW w:w="1480" w:type="dxa"/>
            <w:vAlign w:val="bottom"/>
            <w:tcBorders>
              <w:right w:val="single" w:sz="8" w:color="70AD47"/>
            </w:tcBorders>
          </w:tcPr>
          <w:p>
            <w:pPr>
              <w:jc w:val="right"/>
              <w:spacing w:after="0" w:line="219" w:lineRule="exact"/>
              <w:rPr>
                <w:sz w:val="20"/>
                <w:szCs w:val="20"/>
                <w:color w:val="auto"/>
              </w:rPr>
            </w:pPr>
            <w:r>
              <w:rPr>
                <w:rFonts w:ascii="Times New Roman" w:cs="Times New Roman" w:eastAsia="Times New Roman" w:hAnsi="Times New Roman"/>
                <w:sz w:val="16"/>
                <w:szCs w:val="16"/>
                <w:color w:val="auto"/>
              </w:rPr>
              <w:t>10/9/2019</w:t>
            </w:r>
            <w:r>
              <w:rPr>
                <w:rFonts w:ascii="Times New Roman" w:cs="Times New Roman" w:eastAsia="Times New Roman" w:hAnsi="Times New Roman"/>
                <w:sz w:val="21"/>
                <w:szCs w:val="21"/>
                <w:color w:val="auto"/>
                <w:vertAlign w:val="superscript"/>
              </w:rPr>
              <w:t>(2)</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4,374,963</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10/9/2023</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10/9/2029</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CEO Grant 2019</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2/13/2020</w:t>
            </w:r>
            <w:r>
              <w:rPr>
                <w:rFonts w:ascii="Times New Roman" w:cs="Times New Roman" w:eastAsia="Times New Roman" w:hAnsi="Times New Roman"/>
                <w:sz w:val="21"/>
                <w:szCs w:val="21"/>
                <w:color w:val="auto"/>
                <w:vertAlign w:val="superscript"/>
              </w:rPr>
              <w:t>(3)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97,420</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2/13/2024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2/13/2030</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5/12/2021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17,780</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19,997</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38,506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9"/>
                <w:szCs w:val="9"/>
                <w:color w:val="auto"/>
              </w:rPr>
              <w:t>(10)</w:t>
            </w:r>
          </w:p>
        </w:tc>
      </w:tr>
      <w:tr>
        <w:trPr>
          <w:trHeight w:val="219"/>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Jens Holstein</w:t>
            </w:r>
          </w:p>
        </w:tc>
        <w:tc>
          <w:tcPr>
            <w:tcW w:w="1480" w:type="dxa"/>
            <w:vAlign w:val="bottom"/>
            <w:tcBorders>
              <w:right w:val="single" w:sz="8" w:color="70AD47"/>
            </w:tcBorders>
          </w:tcPr>
          <w:p>
            <w:pPr>
              <w:jc w:val="right"/>
              <w:spacing w:after="0" w:line="219" w:lineRule="exact"/>
              <w:rPr>
                <w:sz w:val="20"/>
                <w:szCs w:val="20"/>
                <w:color w:val="auto"/>
              </w:rPr>
            </w:pPr>
            <w:r>
              <w:rPr>
                <w:rFonts w:ascii="Times New Roman" w:cs="Times New Roman" w:eastAsia="Times New Roman" w:hAnsi="Times New Roman"/>
                <w:sz w:val="16"/>
                <w:szCs w:val="16"/>
                <w:color w:val="auto"/>
              </w:rPr>
              <w:t>5/17/2021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169.08</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5/17/2025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5/17/2031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7/1/2021</w:t>
            </w:r>
            <w:r>
              <w:rPr>
                <w:rFonts w:ascii="Times New Roman" w:cs="Times New Roman" w:eastAsia="Times New Roman" w:hAnsi="Times New Roman"/>
                <w:sz w:val="21"/>
                <w:szCs w:val="21"/>
                <w:color w:val="auto"/>
                <w:vertAlign w:val="superscript"/>
              </w:rPr>
              <w:t>(8)</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20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(8)</w:t>
            </w:r>
          </w:p>
        </w:tc>
        <w:tc>
          <w:tcPr>
            <w:tcW w:w="132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7/1/2025</w:t>
            </w:r>
            <w:r>
              <w:rPr>
                <w:rFonts w:ascii="Times New Roman" w:cs="Times New Roman" w:eastAsia="Times New Roman" w:hAnsi="Times New Roman"/>
                <w:sz w:val="21"/>
                <w:szCs w:val="21"/>
                <w:color w:val="auto"/>
                <w:vertAlign w:val="superscript"/>
              </w:rPr>
              <w:t>(8)</w:t>
            </w:r>
          </w:p>
        </w:tc>
        <w:tc>
          <w:tcPr>
            <w:tcW w:w="134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0"/>
                <w:szCs w:val="10"/>
                <w:color w:val="auto"/>
              </w:rPr>
              <w:t>(8)</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Signing Bonus</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21"/>
                <w:szCs w:val="21"/>
                <w:color w:val="auto"/>
                <w:vertAlign w:val="superscript"/>
              </w:rPr>
              <w:t>(10)</w:t>
            </w:r>
          </w:p>
        </w:tc>
      </w:tr>
      <w:tr>
        <w:trPr>
          <w:trHeight w:val="206"/>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Sean Marett</w:t>
            </w:r>
          </w:p>
        </w:tc>
        <w:tc>
          <w:tcPr>
            <w:tcW w:w="14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11/15/2018</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11/15/2022</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11/15/2026</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ESOP 2018</w:t>
            </w:r>
          </w:p>
        </w:tc>
      </w:tr>
      <w:tr>
        <w:trPr>
          <w:trHeight w:val="229"/>
        </w:trPr>
        <w:tc>
          <w:tcPr>
            <w:tcW w:w="2600" w:type="dxa"/>
            <w:vAlign w:val="bottom"/>
            <w:tcBorders>
              <w:left w:val="single" w:sz="8" w:color="70AD47"/>
              <w:right w:val="single" w:sz="8" w:color="70AD47"/>
            </w:tcBorders>
          </w:tcPr>
          <w:p>
            <w:pPr>
              <w:spacing w:after="0"/>
              <w:rPr>
                <w:sz w:val="19"/>
                <w:szCs w:val="19"/>
                <w:color w:val="auto"/>
              </w:rPr>
            </w:pPr>
          </w:p>
        </w:tc>
        <w:tc>
          <w:tcPr>
            <w:tcW w:w="1480" w:type="dxa"/>
            <w:vAlign w:val="bottom"/>
            <w:tcBorders>
              <w:right w:val="single" w:sz="8" w:color="70AD47"/>
            </w:tcBorders>
          </w:tcPr>
          <w:p>
            <w:pPr>
              <w:jc w:val="right"/>
              <w:spacing w:after="0" w:line="229" w:lineRule="exact"/>
              <w:rPr>
                <w:sz w:val="20"/>
                <w:szCs w:val="20"/>
                <w:color w:val="auto"/>
              </w:rPr>
            </w:pPr>
            <w:r>
              <w:rPr>
                <w:rFonts w:ascii="Times New Roman" w:cs="Times New Roman" w:eastAsia="Times New Roman" w:hAnsi="Times New Roman"/>
                <w:sz w:val="16"/>
                <w:szCs w:val="16"/>
                <w:color w:val="auto"/>
              </w:rPr>
              <w:t>2/13/2020</w:t>
            </w:r>
            <w:r>
              <w:rPr>
                <w:rFonts w:ascii="Times New Roman" w:cs="Times New Roman" w:eastAsia="Times New Roman" w:hAnsi="Times New Roman"/>
                <w:sz w:val="21"/>
                <w:szCs w:val="21"/>
                <w:color w:val="auto"/>
                <w:vertAlign w:val="superscript"/>
              </w:rPr>
              <w:t>(3)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5/12/2021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31/05/2026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20/05/2027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9"/>
                <w:szCs w:val="9"/>
                <w:color w:val="auto"/>
              </w:rPr>
              <w:t>(10)</w:t>
            </w:r>
          </w:p>
        </w:tc>
      </w:tr>
      <w:tr>
        <w:trPr>
          <w:trHeight w:val="219"/>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Sierk Poetting, Ph.D.</w:t>
            </w:r>
          </w:p>
        </w:tc>
        <w:tc>
          <w:tcPr>
            <w:tcW w:w="1480" w:type="dxa"/>
            <w:vAlign w:val="bottom"/>
            <w:tcBorders>
              <w:right w:val="single" w:sz="8" w:color="70AD47"/>
            </w:tcBorders>
          </w:tcPr>
          <w:p>
            <w:pPr>
              <w:jc w:val="right"/>
              <w:spacing w:after="0" w:line="219" w:lineRule="exact"/>
              <w:rPr>
                <w:sz w:val="20"/>
                <w:szCs w:val="20"/>
                <w:color w:val="auto"/>
              </w:rPr>
            </w:pPr>
            <w:r>
              <w:rPr>
                <w:rFonts w:ascii="Times New Roman" w:cs="Times New Roman" w:eastAsia="Times New Roman" w:hAnsi="Times New Roman"/>
                <w:sz w:val="16"/>
                <w:szCs w:val="16"/>
                <w:color w:val="auto"/>
              </w:rPr>
              <w:t>2/13/2020</w:t>
            </w:r>
            <w:r>
              <w:rPr>
                <w:rFonts w:ascii="Times New Roman" w:cs="Times New Roman" w:eastAsia="Times New Roman" w:hAnsi="Times New Roman"/>
                <w:sz w:val="21"/>
                <w:szCs w:val="21"/>
                <w:color w:val="auto"/>
                <w:vertAlign w:val="superscript"/>
              </w:rPr>
              <w:t>(3)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38,968</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2/13/2024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2/13/2030</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5/12/2021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9"/>
                <w:szCs w:val="9"/>
                <w:color w:val="auto"/>
              </w:rPr>
              <w:t>(10)</w:t>
            </w:r>
          </w:p>
        </w:tc>
      </w:tr>
      <w:tr>
        <w:trPr>
          <w:trHeight w:val="219"/>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Ryan Richardson</w:t>
            </w:r>
          </w:p>
        </w:tc>
        <w:tc>
          <w:tcPr>
            <w:tcW w:w="1480" w:type="dxa"/>
            <w:vAlign w:val="bottom"/>
            <w:tcBorders>
              <w:right w:val="single" w:sz="8" w:color="70AD47"/>
            </w:tcBorders>
          </w:tcPr>
          <w:p>
            <w:pPr>
              <w:jc w:val="right"/>
              <w:spacing w:after="0" w:line="219" w:lineRule="exact"/>
              <w:rPr>
                <w:sz w:val="20"/>
                <w:szCs w:val="20"/>
                <w:color w:val="auto"/>
              </w:rPr>
            </w:pPr>
            <w:r>
              <w:rPr>
                <w:rFonts w:ascii="Times New Roman" w:cs="Times New Roman" w:eastAsia="Times New Roman" w:hAnsi="Times New Roman"/>
                <w:sz w:val="16"/>
                <w:szCs w:val="16"/>
                <w:color w:val="auto"/>
              </w:rPr>
              <w:t>2/13/2020</w:t>
            </w:r>
            <w:r>
              <w:rPr>
                <w:rFonts w:ascii="Times New Roman" w:cs="Times New Roman" w:eastAsia="Times New Roman" w:hAnsi="Times New Roman"/>
                <w:sz w:val="21"/>
                <w:szCs w:val="21"/>
                <w:color w:val="auto"/>
                <w:vertAlign w:val="superscript"/>
              </w:rPr>
              <w:t>(3)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33,772</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2/13/2024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2/13/2030</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5/12/2021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9"/>
                <w:szCs w:val="9"/>
                <w:color w:val="auto"/>
              </w:rPr>
              <w:t>(10)</w:t>
            </w:r>
          </w:p>
        </w:tc>
      </w:tr>
      <w:tr>
        <w:trPr>
          <w:trHeight w:val="302"/>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James Ryan, Ph.D.</w:t>
            </w:r>
            <w:r>
              <w:rPr>
                <w:rFonts w:ascii="Times New Roman" w:cs="Times New Roman" w:eastAsia="Times New Roman" w:hAnsi="Times New Roman"/>
                <w:sz w:val="9"/>
                <w:szCs w:val="9"/>
                <w:color w:val="auto"/>
              </w:rPr>
              <w:t>(7)</w:t>
            </w:r>
          </w:p>
        </w:tc>
        <w:tc>
          <w:tcPr>
            <w:tcW w:w="14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12/15/2020</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12/15/2024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 (EEP)</w:t>
            </w:r>
          </w:p>
        </w:tc>
      </w:tr>
      <w:tr>
        <w:trPr>
          <w:trHeight w:val="228"/>
        </w:trPr>
        <w:tc>
          <w:tcPr>
            <w:tcW w:w="2600" w:type="dxa"/>
            <w:vAlign w:val="bottom"/>
            <w:tcBorders>
              <w:left w:val="single" w:sz="8" w:color="70AD47"/>
              <w:right w:val="single" w:sz="8" w:color="70AD47"/>
            </w:tcBorders>
          </w:tcPr>
          <w:p>
            <w:pPr>
              <w:spacing w:after="0"/>
              <w:rPr>
                <w:sz w:val="19"/>
                <w:szCs w:val="19"/>
                <w:color w:val="auto"/>
              </w:rPr>
            </w:pPr>
          </w:p>
        </w:tc>
        <w:tc>
          <w:tcPr>
            <w:tcW w:w="14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12/10/2021</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12/10/2025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 (EEP)</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12/9/2022</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12/9/2026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 (EEP)</w:t>
            </w:r>
          </w:p>
        </w:tc>
      </w:tr>
      <w:tr>
        <w:trPr>
          <w:trHeight w:val="217"/>
        </w:trPr>
        <w:tc>
          <w:tcPr>
            <w:tcW w:w="2600" w:type="dxa"/>
            <w:vAlign w:val="bottom"/>
            <w:tcBorders>
              <w:left w:val="single" w:sz="8" w:color="70AD47"/>
              <w:bottom w:val="single" w:sz="8" w:color="70AD47"/>
              <w:right w:val="single" w:sz="8" w:color="70AD47"/>
            </w:tcBorders>
          </w:tcPr>
          <w:p>
            <w:pPr>
              <w:spacing w:after="0"/>
              <w:rPr>
                <w:sz w:val="18"/>
                <w:szCs w:val="18"/>
                <w:color w:val="auto"/>
              </w:rPr>
            </w:pPr>
          </w:p>
        </w:tc>
        <w:tc>
          <w:tcPr>
            <w:tcW w:w="14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12/8/2023</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12/8/2027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 (EEP)</w:t>
            </w:r>
          </w:p>
        </w:tc>
      </w:tr>
      <w:tr>
        <w:trPr>
          <w:trHeight w:val="220"/>
        </w:trPr>
        <w:tc>
          <w:tcPr>
            <w:tcW w:w="2600" w:type="dxa"/>
            <w:vAlign w:val="bottom"/>
            <w:tcBorders>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Prof. Özlem Türeci, M.D.</w:t>
            </w:r>
          </w:p>
        </w:tc>
        <w:tc>
          <w:tcPr>
            <w:tcW w:w="1480" w:type="dxa"/>
            <w:vAlign w:val="bottom"/>
            <w:tcBorders>
              <w:right w:val="single" w:sz="8" w:color="70AD47"/>
            </w:tcBorders>
          </w:tcPr>
          <w:p>
            <w:pPr>
              <w:jc w:val="right"/>
              <w:spacing w:after="0" w:line="220" w:lineRule="exact"/>
              <w:rPr>
                <w:sz w:val="20"/>
                <w:szCs w:val="20"/>
                <w:color w:val="auto"/>
              </w:rPr>
            </w:pPr>
            <w:r>
              <w:rPr>
                <w:rFonts w:ascii="Times New Roman" w:cs="Times New Roman" w:eastAsia="Times New Roman" w:hAnsi="Times New Roman"/>
                <w:sz w:val="16"/>
                <w:szCs w:val="16"/>
                <w:color w:val="auto"/>
              </w:rPr>
              <w:t>2/13/2020</w:t>
            </w:r>
            <w:r>
              <w:rPr>
                <w:rFonts w:ascii="Times New Roman" w:cs="Times New Roman" w:eastAsia="Times New Roman" w:hAnsi="Times New Roman"/>
                <w:sz w:val="21"/>
                <w:szCs w:val="21"/>
                <w:color w:val="auto"/>
                <w:vertAlign w:val="superscript"/>
              </w:rPr>
              <w:t>(3)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38,968</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2/13/2024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2/13/2030</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2020</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5/12/2021</w:t>
            </w:r>
            <w:r>
              <w:rPr>
                <w:rFonts w:ascii="Times New Roman" w:cs="Times New Roman" w:eastAsia="Times New Roman" w:hAnsi="Times New Roman"/>
                <w:sz w:val="21"/>
                <w:szCs w:val="21"/>
                <w:color w:val="auto"/>
                <w:vertAlign w:val="superscript"/>
              </w:rPr>
              <w:t>(4)</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5/12/2025</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5/12/2031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2021</w:t>
            </w:r>
            <w:r>
              <w:rPr>
                <w:rFonts w:ascii="Times New Roman" w:cs="Times New Roman" w:eastAsia="Times New Roman" w:hAnsi="Times New Roman"/>
                <w:sz w:val="9"/>
                <w:szCs w:val="9"/>
                <w:color w:val="1F497D"/>
              </w:rPr>
              <w:t>(10)</w:t>
            </w:r>
          </w:p>
        </w:tc>
      </w:tr>
      <w:tr>
        <w:trPr>
          <w:trHeight w:val="216"/>
        </w:trPr>
        <w:tc>
          <w:tcPr>
            <w:tcW w:w="2600" w:type="dxa"/>
            <w:vAlign w:val="bottom"/>
            <w:tcBorders>
              <w:left w:val="single" w:sz="8" w:color="70AD47"/>
              <w:right w:val="single" w:sz="8" w:color="70AD47"/>
            </w:tcBorders>
          </w:tcPr>
          <w:p>
            <w:pPr>
              <w:spacing w:after="0"/>
              <w:rPr>
                <w:sz w:val="18"/>
                <w:szCs w:val="18"/>
                <w:color w:val="auto"/>
              </w:rPr>
            </w:pPr>
          </w:p>
        </w:tc>
        <w:tc>
          <w:tcPr>
            <w:tcW w:w="1480" w:type="dxa"/>
            <w:vAlign w:val="bottom"/>
            <w:tcBorders>
              <w:right w:val="single" w:sz="8" w:color="70AD47"/>
            </w:tcBorders>
          </w:tcPr>
          <w:p>
            <w:pPr>
              <w:jc w:val="right"/>
              <w:spacing w:after="0" w:line="216" w:lineRule="exact"/>
              <w:rPr>
                <w:sz w:val="20"/>
                <w:szCs w:val="20"/>
                <w:color w:val="auto"/>
              </w:rPr>
            </w:pPr>
            <w:r>
              <w:rPr>
                <w:rFonts w:ascii="Times New Roman" w:cs="Times New Roman" w:eastAsia="Times New Roman" w:hAnsi="Times New Roman"/>
                <w:sz w:val="16"/>
                <w:szCs w:val="16"/>
                <w:color w:val="auto"/>
              </w:rPr>
              <w:t>5/31/2022</w:t>
            </w:r>
            <w:r>
              <w:rPr>
                <w:rFonts w:ascii="Times New Roman" w:cs="Times New Roman" w:eastAsia="Times New Roman" w:hAnsi="Times New Roman"/>
                <w:sz w:val="21"/>
                <w:szCs w:val="21"/>
                <w:color w:val="auto"/>
                <w:vertAlign w:val="superscript"/>
              </w:rPr>
              <w:t>(5)</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12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5/31/2026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5/31/2032</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2022</w:t>
            </w:r>
            <w:r>
              <w:rPr>
                <w:rFonts w:ascii="Times New Roman" w:cs="Times New Roman" w:eastAsia="Times New Roman" w:hAnsi="Times New Roman"/>
                <w:sz w:val="9"/>
                <w:szCs w:val="9"/>
                <w:color w:val="1F497D"/>
              </w:rPr>
              <w:t>(10)</w:t>
            </w:r>
          </w:p>
        </w:tc>
      </w:tr>
      <w:tr>
        <w:trPr>
          <w:trHeight w:val="205"/>
        </w:trPr>
        <w:tc>
          <w:tcPr>
            <w:tcW w:w="2600" w:type="dxa"/>
            <w:vAlign w:val="bottom"/>
            <w:tcBorders>
              <w:left w:val="single" w:sz="8" w:color="70AD47"/>
              <w:bottom w:val="single" w:sz="8" w:color="70AD47"/>
              <w:right w:val="single" w:sz="8" w:color="70AD47"/>
            </w:tcBorders>
          </w:tcPr>
          <w:p>
            <w:pPr>
              <w:spacing w:after="0"/>
              <w:rPr>
                <w:sz w:val="17"/>
                <w:szCs w:val="17"/>
                <w:color w:val="auto"/>
              </w:rPr>
            </w:pPr>
          </w:p>
        </w:tc>
        <w:tc>
          <w:tcPr>
            <w:tcW w:w="1480" w:type="dxa"/>
            <w:vAlign w:val="bottom"/>
            <w:tcBorders>
              <w:bottom w:val="single" w:sz="8" w:color="70AD47"/>
              <w:right w:val="single" w:sz="8" w:color="70AD47"/>
            </w:tcBorders>
          </w:tcPr>
          <w:p>
            <w:pPr>
              <w:jc w:val="right"/>
              <w:spacing w:after="0" w:line="205" w:lineRule="exact"/>
              <w:rPr>
                <w:sz w:val="20"/>
                <w:szCs w:val="20"/>
                <w:color w:val="auto"/>
              </w:rPr>
            </w:pPr>
            <w:r>
              <w:rPr>
                <w:rFonts w:ascii="Times New Roman" w:cs="Times New Roman" w:eastAsia="Times New Roman" w:hAnsi="Times New Roman"/>
                <w:sz w:val="16"/>
                <w:szCs w:val="16"/>
                <w:color w:val="auto"/>
              </w:rPr>
              <w:t>5/20/2023</w:t>
            </w:r>
            <w:r>
              <w:rPr>
                <w:rFonts w:ascii="Times New Roman" w:cs="Times New Roman" w:eastAsia="Times New Roman" w:hAnsi="Times New Roman"/>
                <w:sz w:val="21"/>
                <w:szCs w:val="21"/>
                <w:color w:val="auto"/>
                <w:vertAlign w:val="superscript"/>
              </w:rPr>
              <w:t>(6)</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2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5/20/2027</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5/20/2033</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LTI 2023</w:t>
            </w:r>
            <w:r>
              <w:rPr>
                <w:rFonts w:ascii="Times New Roman" w:cs="Times New Roman" w:eastAsia="Times New Roman" w:hAnsi="Times New Roman"/>
                <w:sz w:val="9"/>
                <w:szCs w:val="9"/>
                <w:color w:val="auto"/>
              </w:rPr>
              <w:t>(10)</w:t>
            </w:r>
          </w:p>
        </w:tc>
      </w:tr>
    </w:tbl>
    <w:p>
      <w:pPr>
        <w:spacing w:after="0" w:line="94" w:lineRule="exact"/>
        <w:rPr>
          <w:sz w:val="20"/>
          <w:szCs w:val="20"/>
          <w:color w:val="auto"/>
        </w:rPr>
      </w:pPr>
    </w:p>
    <w:p>
      <w:pPr>
        <w:ind w:left="240" w:hanging="234"/>
        <w:spacing w:after="0" w:line="226" w:lineRule="auto"/>
        <w:tabs>
          <w:tab w:leader="none" w:pos="284" w:val="left"/>
        </w:tabs>
        <w:numPr>
          <w:ilvl w:val="0"/>
          <w:numId w:val="1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18-for-1 stock split of our ordinary shares, which became effective on September 18, 2019 upon registration with the commercial register (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is reflected in share amounts granted in advance.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6" w:name="page187"/>
    <w:bookmarkEnd w:id="18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40" w:right="20" w:hanging="234"/>
        <w:spacing w:after="0" w:line="225" w:lineRule="auto"/>
        <w:tabs>
          <w:tab w:leader="none" w:pos="278"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Options vested in four equal installments on October 9 of 2020, 2021, 2022 and 2023. With the final installment vesting in 2023, the entire award became exercisable. As Ugur Sahin did not exercise in 2023, the options remain exercisable and can only be exercised during the exercise windows as defined by our ESOP.</w:t>
      </w:r>
    </w:p>
    <w:p>
      <w:pPr>
        <w:spacing w:after="0" w:line="28" w:lineRule="exact"/>
        <w:rPr>
          <w:rFonts w:ascii="Times New Roman" w:cs="Times New Roman" w:eastAsia="Times New Roman" w:hAnsi="Times New Roman"/>
          <w:sz w:val="19"/>
          <w:szCs w:val="19"/>
          <w:color w:val="auto"/>
          <w:vertAlign w:val="superscript"/>
        </w:rPr>
      </w:pPr>
    </w:p>
    <w:p>
      <w:pPr>
        <w:ind w:left="240" w:right="20" w:hanging="234"/>
        <w:spacing w:after="0" w:line="225" w:lineRule="auto"/>
        <w:tabs>
          <w:tab w:leader="none" w:pos="262"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Options vested in four equal installments on February 13 of 2021, 2022, 2023 and 2024, and are now exercisable following the expiry of the waiting period on February 13, 2024 and can only be exercised during the exercise windows as defined by our ESOP.</w:t>
      </w:r>
    </w:p>
    <w:p>
      <w:pPr>
        <w:spacing w:after="0" w:line="28" w:lineRule="exact"/>
        <w:rPr>
          <w:rFonts w:ascii="Times New Roman" w:cs="Times New Roman" w:eastAsia="Times New Roman" w:hAnsi="Times New Roman"/>
          <w:sz w:val="19"/>
          <w:szCs w:val="19"/>
          <w:color w:val="auto"/>
          <w:vertAlign w:val="superscript"/>
        </w:rPr>
      </w:pPr>
    </w:p>
    <w:p>
      <w:pPr>
        <w:jc w:val="both"/>
        <w:ind w:left="240" w:hanging="234"/>
        <w:spacing w:after="0" w:line="232" w:lineRule="auto"/>
        <w:tabs>
          <w:tab w:leader="none" w:pos="302"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Options were issued as phantom share options and vest in four equal installments on May 12 of 2022, 2023, 2024 and 2025 for all Management Board members except Jens Holstein, and in the case of Jens Holstein, vest in four equal installments on May 17 of 2022, 2023, 2024 and 2025. The options will not become exercisable before the expiry of the waiting period on May 12, 2025 and May 17, 2025, respectively, and can only be exercised during the exercise windows as defined by our ESOP.</w:t>
      </w:r>
    </w:p>
    <w:p>
      <w:pPr>
        <w:spacing w:after="0" w:line="29" w:lineRule="exact"/>
        <w:rPr>
          <w:rFonts w:ascii="Times New Roman" w:cs="Times New Roman" w:eastAsia="Times New Roman" w:hAnsi="Times New Roman"/>
          <w:sz w:val="19"/>
          <w:szCs w:val="19"/>
          <w:color w:val="auto"/>
          <w:vertAlign w:val="superscript"/>
        </w:rPr>
      </w:pPr>
    </w:p>
    <w:p>
      <w:pPr>
        <w:ind w:left="240" w:right="20" w:hanging="234"/>
        <w:spacing w:after="0" w:line="206" w:lineRule="auto"/>
        <w:tabs>
          <w:tab w:leader="none" w:pos="228" w:val="left"/>
        </w:tabs>
        <w:numPr>
          <w:ilvl w:val="0"/>
          <w:numId w:val="1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Options were issued as phantom share options and vest in four equal installments on May 31 of 2023, 2024, 2025 and 2026 for all Management Board members. The options will not become exercisable before the expiry of the waiting period on May 31, 2026 and can only be exercised during the exercise windows as defined by our ESOP.</w:t>
      </w:r>
    </w:p>
    <w:p>
      <w:pPr>
        <w:spacing w:after="0" w:line="28" w:lineRule="exact"/>
        <w:rPr>
          <w:rFonts w:ascii="Times New Roman" w:cs="Times New Roman" w:eastAsia="Times New Roman" w:hAnsi="Times New Roman"/>
          <w:sz w:val="22"/>
          <w:szCs w:val="22"/>
          <w:color w:val="auto"/>
          <w:vertAlign w:val="superscript"/>
        </w:rPr>
      </w:pPr>
    </w:p>
    <w:p>
      <w:pPr>
        <w:ind w:left="240" w:right="20" w:hanging="234"/>
        <w:spacing w:after="0" w:line="225" w:lineRule="auto"/>
        <w:tabs>
          <w:tab w:leader="none" w:pos="204"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Options vest in four equal installments on May 20 of 2024, 2025, 2026 and 2027. The options will not become exercisable before the expiry of the waiting period on May 20, 2027 and can only be exercised during the exercise windows as defined by our ESOP.</w:t>
      </w:r>
    </w:p>
    <w:p>
      <w:pPr>
        <w:spacing w:after="0" w:line="28" w:lineRule="exact"/>
        <w:rPr>
          <w:rFonts w:ascii="Times New Roman" w:cs="Times New Roman" w:eastAsia="Times New Roman" w:hAnsi="Times New Roman"/>
          <w:sz w:val="19"/>
          <w:szCs w:val="19"/>
          <w:color w:val="auto"/>
          <w:vertAlign w:val="superscript"/>
        </w:rPr>
      </w:pPr>
    </w:p>
    <w:p>
      <w:pPr>
        <w:jc w:val="both"/>
        <w:ind w:left="240" w:right="20" w:hanging="234"/>
        <w:spacing w:after="0" w:line="236" w:lineRule="auto"/>
        <w:tabs>
          <w:tab w:leader="none" w:pos="253"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James Ryan was not part of the Management Board at the time the 2023 LTI award was allocated, he did not receive any options under the ESOP. Prior to his appointment to the Management Board, RSUs were granted to him under the BioNTech 2020 Employee Equity Plan (EEP). RSUs issued under the LTI 2020 (EEP), LTI 2021 (EEP), LTI 2022 (EEP) and LTI 2023 (EEP) programs vest annually in equal installments over four years commencing in December 2020, December 2021, December 2022 and December 2023 respectively and will be settled after a waiting period of four years.</w:t>
      </w:r>
    </w:p>
    <w:p>
      <w:pPr>
        <w:spacing w:after="0" w:line="30" w:lineRule="exact"/>
        <w:rPr>
          <w:rFonts w:ascii="Times New Roman" w:cs="Times New Roman" w:eastAsia="Times New Roman" w:hAnsi="Times New Roman"/>
          <w:sz w:val="19"/>
          <w:szCs w:val="19"/>
          <w:color w:val="auto"/>
          <w:vertAlign w:val="superscript"/>
        </w:rPr>
      </w:pPr>
    </w:p>
    <w:p>
      <w:pPr>
        <w:jc w:val="both"/>
        <w:ind w:left="240" w:right="20" w:hanging="234"/>
        <w:spacing w:after="0"/>
        <w:tabs>
          <w:tab w:leader="none" w:pos="310" w:val="left"/>
        </w:tabs>
        <w:numPr>
          <w:ilvl w:val="0"/>
          <w:numId w:val="1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connection with Jens Holstein’s appointment to the Management Board as Chief Financial Officer (CFO) on July 1, 2021, the Supervisory Board granted him a one-time signing bonus of €800,000 in the form of 4,246 phantom shares. The phantom shares vest in four equal installments on July 1 of 2022, 2023, 2024 and June 30, 2025 but will only be settled in cash on July 1, 2025. The cash payment is subject to an effective settlement closing price cap. This means that the settlement closing price shall effectively be adjusted to ensure that the current price of an ADS as of the settlement date does not exceed 800% of the cash payment, which in respect of all phantom shares shall not exceed €6.4 million.</w:t>
      </w:r>
    </w:p>
    <w:p>
      <w:pPr>
        <w:sectPr>
          <w:pgSz w:w="11900" w:h="16840" w:orient="portrait"/>
          <w:cols w:equalWidth="0" w:num="1">
            <w:col w:w="10580"/>
          </w:cols>
          <w:pgMar w:left="660" w:top="557" w:right="660"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1F497D"/>
        </w:rPr>
        <w:t>(10)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1F497D"/>
        </w:rPr>
        <w:t>( 1 1 )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Indicates end of the respective waiting periods, additional restrictions with respect to exercise windows may apply.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Management Board Grant (Long-Term Incentive) in the respective years.</w:t>
      </w:r>
    </w:p>
    <w:p>
      <w:pPr>
        <w:spacing w:after="0" w:line="55" w:lineRule="exact"/>
        <w:rPr>
          <w:sz w:val="20"/>
          <w:szCs w:val="20"/>
          <w:color w:val="auto"/>
        </w:rPr>
      </w:pPr>
    </w:p>
    <w:p>
      <w:pPr>
        <w:jc w:val="both"/>
        <w:ind w:right="20" w:firstLine="60"/>
        <w:spacing w:after="0" w:line="257" w:lineRule="auto"/>
        <w:rPr>
          <w:sz w:val="20"/>
          <w:szCs w:val="20"/>
          <w:color w:val="auto"/>
        </w:rPr>
      </w:pPr>
      <w:r>
        <w:rPr>
          <w:rFonts w:ascii="Times New Roman" w:cs="Times New Roman" w:eastAsia="Times New Roman" w:hAnsi="Times New Roman"/>
          <w:sz w:val="14"/>
          <w:szCs w:val="14"/>
          <w:color w:val="auto"/>
        </w:rPr>
        <w:t>All options are subject to an effective exercise price cap. This means that the exercise price shall effectively be adjusted to ensure that the current price of an ADS as of the exercise does not exceed 800% of the exercise price. With respect to the ESOP 2018 Program and the CEO Grant 2019, the maximum economic benefit receivable in respect of any exercised option is capped at $240.00, with the effective exercise price being capped at a Euro amount equivalent to $30.00. With respect to the LTI 2020, the maximum economic benefit receivable in respect of any exercised option is capped at $246.24, with the effective exercise price being capped at a Euro amount equivalent to $30.78. With respect to the phantom share options issued under the LTI 2021 and 2022 as well as the options issued under the LTI 2023 programs, the maximum compensation that the Management Board members are entitled to receive under such programs, together with other compensation components received by each such board member in the respective grant year, shall not exceed €20.0 million for Ugur Sahin as Chief Executive Officer (CEO) and €10.0 million for all other Management Board members.</w:t>
      </w:r>
    </w:p>
    <w:p>
      <w:pPr>
        <w:spacing w:after="0" w:line="159" w:lineRule="exact"/>
        <w:rPr>
          <w:sz w:val="20"/>
          <w:szCs w:val="20"/>
          <w:color w:val="auto"/>
        </w:rPr>
      </w:pPr>
    </w:p>
    <w:p>
      <w:pPr>
        <w:sectPr>
          <w:pgSz w:w="11900" w:h="16840" w:orient="portrait"/>
          <w:cols w:equalWidth="0" w:num="2">
            <w:col w:w="220" w:space="20"/>
            <w:col w:w="10340"/>
          </w:cols>
          <w:pgMar w:left="660" w:top="557"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Share-Based Payment Arrangements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231F20"/>
        </w:rPr>
        <w:t>Management Board Grant (Long-Term Incentive)</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Our Management Board’s service agreements provide for long-term incentive compensation (Management Board Grant - LTI) through an annual grant of options to acquire BioNTech shares during their respective service periods.</w:t>
      </w:r>
    </w:p>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allocation of the number of issued options in 2020 occurred in February 2020. In May 2021 and May 2022, the Management Board received phantom options equivalent to the number of options the Management Board members would have been entitled to receive for 2021 and 2022. During 2023, options were granted in May 2023.</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For the awards allocated as of February 13, 2020; May 12, 2021; May 17, 2021; May 31, 2022 and May 20, 2023, the exercise pricesare $30.78 (€27.86); $185.23 (€167.63); $186.83 (€169.08); $152.10 (138)and $113.94 (€103.12) respectively (all amounts calculated as of December 31, 2023 using the foreign exchange rate as published by the German Central Bank (</w:t>
      </w:r>
      <w:r>
        <w:rPr>
          <w:rFonts w:ascii="Times New Roman" w:cs="Times New Roman" w:eastAsia="Times New Roman" w:hAnsi="Times New Roman"/>
          <w:sz w:val="16"/>
          <w:szCs w:val="16"/>
          <w:i w:val="1"/>
          <w:iCs w:val="1"/>
          <w:color w:val="auto"/>
        </w:rPr>
        <w:t>Deutsche Bundesbank</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All options are subject to an effective exercise price cap, which means that the exercise price shall be adjusted to ensure that the current price of an ADS as of the exercise date does not exceed 800% of the exercise price. With respect to the LTI 2020, the maximum economic benefit receivable in respect of any exercised option is capped at $246.24, with the effective exercise price being capped at a Euro amount equivalent to $30.78. With respect to the phantom share options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187" w:name="page188"/>
    <w:bookmarkEnd w:id="18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issued under the LTI 2021 and 2022 as well as the options issued under the LTI 2023 programs, the maximum compensation that the Management Board members are entitled to receive under such programs, together with other compensation components received by each such board member in the respective grant year, shall not exceed €20.0 million for Ugur Sahin as Chief Executive Officer (CEO) and €10.0 million for all other Management Board members.</w:t>
      </w:r>
    </w:p>
    <w:p>
      <w:pPr>
        <w:spacing w:after="0" w:line="16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The options vest annually in equal installments over four years commencing on the first anniversary of the allocation date and become exercisable four years after the allocation date. The vested options can only be exercised if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Following the expiry of the waiting period, option rights may be exercised during the exercise windows as set out in the ESOP agreement. The option rights can be exercised up to ten years after the allocation date. If they have not been exercised by that date, they will be forfeited without compensation.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231F20"/>
        </w:rPr>
        <w:t>Chief Executive Officer Grant</w:t>
      </w:r>
    </w:p>
    <w:p>
      <w:pPr>
        <w:spacing w:after="0" w:line="94"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231F20"/>
        </w:rPr>
        <w:t xml:space="preserve">In September 2019, we granted Ugur Sahin an option to purchase 4,374,963 of our ordinary shares, subject to his continuous employment with us. The exercise price per share of each option is $15.00 ( €13.57), being the public offering price from our initial public offering converted into Euros as of December 31, 2023, and which is subject to the effective exercise price cap and the maximum cap mechanism. Under the effective </w:t>
      </w:r>
      <w:r>
        <w:rPr>
          <w:rFonts w:ascii="Times New Roman" w:cs="Times New Roman" w:eastAsia="Times New Roman" w:hAnsi="Times New Roman"/>
          <w:sz w:val="14"/>
          <w:szCs w:val="14"/>
          <w:color w:val="000000"/>
        </w:rPr>
        <w:t>exercise price cap, the exercise price shall be adjusted to</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ensure that the current price of an ADS as of the exercise date does not exceed 800% of the exercise price. Under </w:t>
      </w:r>
      <w:r>
        <w:rPr>
          <w:rFonts w:ascii="Times New Roman" w:cs="Times New Roman" w:eastAsia="Times New Roman" w:hAnsi="Times New Roman"/>
          <w:sz w:val="14"/>
          <w:szCs w:val="14"/>
          <w:color w:val="231F20"/>
        </w:rPr>
        <w:t>the maximum cap mechanism,</w:t>
      </w:r>
      <w:r>
        <w:rPr>
          <w:rFonts w:ascii="Times New Roman" w:cs="Times New Roman" w:eastAsia="Times New Roman" w:hAnsi="Times New Roman"/>
          <w:sz w:val="14"/>
          <w:szCs w:val="14"/>
          <w:color w:val="000000"/>
        </w:rPr>
        <w:t xml:space="preserve"> the maximum economic benefit receivable in respect of any exercised option is capped at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240, with the effective exercise price being capped at a Euro amount equivalent to</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30.00</w:t>
      </w:r>
      <w:r>
        <w:rPr>
          <w:rFonts w:ascii="Times New Roman" w:cs="Times New Roman" w:eastAsia="Times New Roman" w:hAnsi="Times New Roman"/>
          <w:sz w:val="14"/>
          <w:szCs w:val="14"/>
          <w:color w:val="231F20"/>
        </w:rPr>
        <w:t>. Under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CEO Grant, the options vested annually in equal installments over four years commencing on the first anniversary of our initial public offering.</w:t>
      </w:r>
    </w:p>
    <w:p>
      <w:pPr>
        <w:spacing w:after="0" w:line="145"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The vested option rights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shares outstanding immediately following the initial public offering (other than shares owned by us), and (b) for each twelve -month period starting on the fifth or subsequent anniversary of the allocation date, 107% of the target share price applicable for the prior twelve- 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Following the expiry of the waiting period, option rights may be exercised during the exercise windows as defined by our ESOP. The option rights can be exercised up to ten years after the allocation date. If they have not been exercised by that date, they will be forfeited without compensation.</w:t>
      </w:r>
    </w:p>
    <w:p>
      <w:pPr>
        <w:spacing w:after="0" w:line="1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231F20"/>
        </w:rPr>
        <w:t>On October 9, 2023, with the final installment vesting, all 4,374,963 options became exercisable under the rules of the ESOP and the ESOP agreement. During the year ended December 31, 2023, no options were exercised.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231F20"/>
        </w:rPr>
        <w:t>Employee Stock Ownership Plan</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Based on an authorization of the general meeting on August 18, 2017, we established a share option program under which we granted selected employees options to receive our shares. The program is designed as an Employee Stock Ownership Plan, or ESOP. We offered participants a certain number of option rights by their explicit acceptance of an option rights agreement. The exercise of option rights in accordance with the agreement gives the participants the right to obtain shares against payment of the exercise price. With respect to the Management Board members serving at the time of allocation, the options are subject to the effective exercise price cap and maximum cap mechanisms. Under the </w:t>
      </w:r>
      <w:r>
        <w:rPr>
          <w:rFonts w:ascii="Times New Roman" w:cs="Times New Roman" w:eastAsia="Times New Roman" w:hAnsi="Times New Roman"/>
          <w:sz w:val="16"/>
          <w:szCs w:val="16"/>
          <w:color w:val="000000"/>
        </w:rPr>
        <w:t>exercise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8" w:name="page189"/>
    <w:bookmarkEnd w:id="18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price cap, the exercise price shall be adjusted to ensure that the current price of an ADS as of the exercise date does not exceed 800% of the exercise price. Under</w:t>
      </w:r>
      <w:r>
        <w:rPr>
          <w:rFonts w:ascii="Times New Roman" w:cs="Times New Roman" w:eastAsia="Times New Roman" w:hAnsi="Times New Roman"/>
          <w:sz w:val="14"/>
          <w:szCs w:val="14"/>
          <w:color w:val="231F20"/>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maximum cap mechanism, </w:t>
      </w:r>
      <w:r>
        <w:rPr>
          <w:rFonts w:ascii="Times New Roman" w:cs="Times New Roman" w:eastAsia="Times New Roman" w:hAnsi="Times New Roman"/>
          <w:sz w:val="14"/>
          <w:szCs w:val="14"/>
          <w:color w:val="000000"/>
        </w:rPr>
        <w:t>the maximum economic benefit receivable in respect of any exercised option, is capped at</w:t>
      </w:r>
      <w:r>
        <w:rPr>
          <w:rFonts w:ascii="Times New Roman" w:cs="Times New Roman" w:eastAsia="Times New Roman" w:hAnsi="Times New Roman"/>
          <w:sz w:val="14"/>
          <w:szCs w:val="14"/>
          <w:color w:val="231F20"/>
        </w:rPr>
        <w:t xml:space="preserve"> $240</w:t>
      </w:r>
      <w:r>
        <w:rPr>
          <w:rFonts w:ascii="Times New Roman" w:cs="Times New Roman" w:eastAsia="Times New Roman" w:hAnsi="Times New Roman"/>
          <w:sz w:val="14"/>
          <w:szCs w:val="14"/>
          <w:color w:val="000000"/>
        </w:rPr>
        <w:t>, with the effective exercise price being</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capped at </w:t>
      </w:r>
      <w:r>
        <w:rPr>
          <w:rFonts w:ascii="Times New Roman" w:cs="Times New Roman" w:eastAsia="Times New Roman" w:hAnsi="Times New Roman"/>
          <w:sz w:val="14"/>
          <w:szCs w:val="14"/>
          <w:color w:val="231F20"/>
        </w:rPr>
        <w:t>a Euro amount equivalent to $30.00. Under the ESOP, the option rights (other than Özlem Türeci’s, and Ryan Richardson’s options) fully vest after four years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and can be exercised if: (i) the waiting period of four years has elapsed; and (ii)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Following the expiry of the waiting period, option rights may be exercised within a period of four weeks from the date of the Annual General Meeting or the publication of the annual financial statements, the semi-annual report or our most recent quarterly report or interim report (exercise windows). The option rights can be exercised up to eight years after the allocation date. If they have not been exercised by that date, they will be forfeited without compensation.</w:t>
      </w:r>
    </w:p>
    <w:p>
      <w:pPr>
        <w:spacing w:after="0" w:line="14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By way of a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Furthermore,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1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September 2022, the Supervisory Board determined the ESOP settlement by the delivery of treasury shares (in the form of ADSs) equal to the net value of the exercised option rights after deduction of (i) the exercise price and (ii) the applicable wage taxes (including solidarity surcharge thereon and church tax, if applicable) and social security contributions resulting from such exercise. The settlement was applied during the exercise windows in 2022 and 2023.</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Out of the 5,152,410 option rights granted to our Management Board under the ESOP 2018 program 4,921,630 options were exercised during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The remaining 230,780 option rights were exercised by Sean Marett in May 2023. As of December 31, 2023, no further options issued to our</w:t>
      </w:r>
    </w:p>
    <w:p>
      <w:pPr>
        <w:spacing w:after="0"/>
        <w:rPr>
          <w:sz w:val="20"/>
          <w:szCs w:val="20"/>
          <w:color w:val="auto"/>
        </w:rPr>
      </w:pPr>
      <w:r>
        <w:rPr>
          <w:rFonts w:ascii="Times New Roman" w:cs="Times New Roman" w:eastAsia="Times New Roman" w:hAnsi="Times New Roman"/>
          <w:sz w:val="16"/>
          <w:szCs w:val="16"/>
          <w:color w:val="auto"/>
        </w:rPr>
        <w:t>Management Board members are outstanding.</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Board Practices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Two-Tiered Board Structure</w:t>
      </w:r>
    </w:p>
    <w:p>
      <w:pPr>
        <w:spacing w:after="0" w:line="8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color w:val="231F20"/>
        </w:rPr>
        <w:t>We are a European public company with limited liability (</w:t>
      </w:r>
      <w:r>
        <w:rPr>
          <w:rFonts w:ascii="Times New Roman" w:cs="Times New Roman" w:eastAsia="Times New Roman" w:hAnsi="Times New Roman"/>
          <w:sz w:val="16"/>
          <w:szCs w:val="16"/>
          <w:i w:val="1"/>
          <w:iCs w:val="1"/>
          <w:color w:val="231F20"/>
        </w:rPr>
        <w:t>Societas Europaea</w:t>
      </w:r>
      <w:r>
        <w:rPr>
          <w:rFonts w:ascii="Times New Roman" w:cs="Times New Roman" w:eastAsia="Times New Roman" w:hAnsi="Times New Roman"/>
          <w:sz w:val="16"/>
          <w:szCs w:val="16"/>
          <w:color w:val="231F20"/>
        </w:rPr>
        <w:t xml:space="preserve"> or SE) (also referred to as </w:t>
      </w:r>
      <w:r>
        <w:rPr>
          <w:rFonts w:ascii="Times New Roman" w:cs="Times New Roman" w:eastAsia="Times New Roman" w:hAnsi="Times New Roman"/>
          <w:sz w:val="16"/>
          <w:szCs w:val="16"/>
          <w:color w:val="000000"/>
        </w:rPr>
        <w:t>European</w:t>
      </w:r>
      <w:r>
        <w:rPr>
          <w:rFonts w:ascii="Times New Roman" w:cs="Times New Roman" w:eastAsia="Times New Roman" w:hAnsi="Times New Roman"/>
          <w:sz w:val="16"/>
          <w:szCs w:val="16"/>
          <w:color w:val="231F20"/>
        </w:rPr>
        <w:t xml:space="preserve"> stock </w:t>
      </w:r>
      <w:r>
        <w:rPr>
          <w:rFonts w:ascii="Times New Roman" w:cs="Times New Roman" w:eastAsia="Times New Roman" w:hAnsi="Times New Roman"/>
          <w:sz w:val="16"/>
          <w:szCs w:val="16"/>
          <w:color w:val="000000"/>
        </w:rPr>
        <w:t>corporation</w:t>
      </w:r>
      <w:r>
        <w:rPr>
          <w:rFonts w:ascii="Times New Roman" w:cs="Times New Roman" w:eastAsia="Times New Roman" w:hAnsi="Times New Roman"/>
          <w:sz w:val="16"/>
          <w:szCs w:val="16"/>
          <w:color w:val="231F20"/>
        </w:rPr>
        <w:t xml:space="preserve"> , and in the official terminology of the European legislation referred to as European public limited-liability company), having its seat in Germany. We have chosen to have a two-tiered SE structure. Hence, our corporate bodies are the Management Board (</w:t>
      </w:r>
      <w:r>
        <w:rPr>
          <w:rFonts w:ascii="Times New Roman" w:cs="Times New Roman" w:eastAsia="Times New Roman" w:hAnsi="Times New Roman"/>
          <w:sz w:val="16"/>
          <w:szCs w:val="16"/>
          <w:i w:val="1"/>
          <w:iCs w:val="1"/>
          <w:color w:val="231F20"/>
        </w:rPr>
        <w:t>Vorstand</w:t>
      </w:r>
      <w:r>
        <w:rPr>
          <w:rFonts w:ascii="Times New Roman" w:cs="Times New Roman" w:eastAsia="Times New Roman" w:hAnsi="Times New Roman"/>
          <w:sz w:val="16"/>
          <w:szCs w:val="16"/>
          <w:color w:val="231F20"/>
        </w:rPr>
        <w:t>), the Supervisory Board (</w:t>
      </w:r>
      <w:r>
        <w:rPr>
          <w:rFonts w:ascii="Times New Roman" w:cs="Times New Roman" w:eastAsia="Times New Roman" w:hAnsi="Times New Roman"/>
          <w:sz w:val="16"/>
          <w:szCs w:val="16"/>
          <w:i w:val="1"/>
          <w:iCs w:val="1"/>
          <w:color w:val="231F20"/>
        </w:rPr>
        <w:t>Aufsichtsrat</w:t>
      </w:r>
      <w:r>
        <w:rPr>
          <w:rFonts w:ascii="Times New Roman" w:cs="Times New Roman" w:eastAsia="Times New Roman" w:hAnsi="Times New Roman"/>
          <w:sz w:val="16"/>
          <w:szCs w:val="16"/>
          <w:color w:val="231F20"/>
        </w:rPr>
        <w:t xml:space="preserve">) and the </w:t>
      </w:r>
      <w:r>
        <w:rPr>
          <w:rFonts w:ascii="Times New Roman" w:cs="Times New Roman" w:eastAsia="Times New Roman" w:hAnsi="Times New Roman"/>
          <w:sz w:val="16"/>
          <w:szCs w:val="16"/>
          <w:color w:val="000000"/>
        </w:rPr>
        <w:t>shareholders’</w:t>
      </w:r>
      <w:r>
        <w:rPr>
          <w:rFonts w:ascii="Times New Roman" w:cs="Times New Roman" w:eastAsia="Times New Roman" w:hAnsi="Times New Roman"/>
          <w:sz w:val="16"/>
          <w:szCs w:val="16"/>
          <w:color w:val="231F20"/>
        </w:rPr>
        <w:t xml:space="preserve"> meeting (</w:t>
      </w:r>
      <w:r>
        <w:rPr>
          <w:rFonts w:ascii="Times New Roman" w:cs="Times New Roman" w:eastAsia="Times New Roman" w:hAnsi="Times New Roman"/>
          <w:sz w:val="16"/>
          <w:szCs w:val="16"/>
          <w:i w:val="1"/>
          <w:iCs w:val="1"/>
          <w:color w:val="231F20"/>
        </w:rPr>
        <w:t>Hauptversammlung</w:t>
      </w:r>
      <w:r>
        <w:rPr>
          <w:rFonts w:ascii="Times New Roman" w:cs="Times New Roman" w:eastAsia="Times New Roman" w:hAnsi="Times New Roman"/>
          <w:sz w:val="16"/>
          <w:szCs w:val="16"/>
          <w:color w:val="231F20"/>
        </w:rPr>
        <w:t>). Our Management and Supervisory Boards are entirely separate, and, as a rule, no individual may simultaneously be a member of both boards.</w:t>
      </w:r>
    </w:p>
    <w:p>
      <w:pPr>
        <w:spacing w:after="0" w:line="16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6"/>
          <w:szCs w:val="16"/>
          <w:color w:val="231F20"/>
        </w:rPr>
        <w:t xml:space="preserve">Our Management </w:t>
      </w:r>
      <w:r>
        <w:rPr>
          <w:rFonts w:ascii="Times New Roman" w:cs="Times New Roman" w:eastAsia="Times New Roman" w:hAnsi="Times New Roman"/>
          <w:sz w:val="16"/>
          <w:szCs w:val="16"/>
          <w:color w:val="000000"/>
        </w:rPr>
        <w:t>Board</w:t>
      </w:r>
      <w:r>
        <w:rPr>
          <w:rFonts w:ascii="Times New Roman" w:cs="Times New Roman" w:eastAsia="Times New Roman" w:hAnsi="Times New Roman"/>
          <w:sz w:val="16"/>
          <w:szCs w:val="16"/>
          <w:color w:val="231F20"/>
        </w:rPr>
        <w:t xml:space="preserve"> is responsible for the day-to-day management of our business in accordance with applicable laws,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and the Management Board’s internal rules of procedure (</w:t>
      </w:r>
      <w:r>
        <w:rPr>
          <w:rFonts w:ascii="Times New Roman" w:cs="Times New Roman" w:eastAsia="Times New Roman" w:hAnsi="Times New Roman"/>
          <w:sz w:val="16"/>
          <w:szCs w:val="16"/>
          <w:i w:val="1"/>
          <w:iCs w:val="1"/>
          <w:color w:val="231F20"/>
        </w:rPr>
        <w:t>Geschäftsordnung</w:t>
      </w:r>
      <w:r>
        <w:rPr>
          <w:rFonts w:ascii="Times New Roman" w:cs="Times New Roman" w:eastAsia="Times New Roman" w:hAnsi="Times New Roman"/>
          <w:sz w:val="16"/>
          <w:szCs w:val="16"/>
          <w:color w:val="231F20"/>
        </w:rPr>
        <w:t>). Our Management Board represents us in our dealings with third parties.</w:t>
      </w:r>
    </w:p>
    <w:p>
      <w:pPr>
        <w:spacing w:after="0" w:line="15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The </w:t>
      </w:r>
      <w:r>
        <w:rPr>
          <w:rFonts w:ascii="Times New Roman" w:cs="Times New Roman" w:eastAsia="Times New Roman" w:hAnsi="Times New Roman"/>
          <w:sz w:val="16"/>
          <w:szCs w:val="16"/>
          <w:color w:val="000000"/>
        </w:rPr>
        <w:t>principal</w:t>
      </w:r>
      <w:r>
        <w:rPr>
          <w:rFonts w:ascii="Times New Roman" w:cs="Times New Roman" w:eastAsia="Times New Roman" w:hAnsi="Times New Roman"/>
          <w:sz w:val="16"/>
          <w:szCs w:val="16"/>
          <w:color w:val="231F20"/>
        </w:rPr>
        <w:t xml:space="preserve"> function of our Supervisory Board is to supervise our Management Board. The Supervisory Board is also responsible for appointing and removing the members of our Management Board, representing us in connection with transactions between a current or former member of the Management </w:t>
      </w:r>
      <w:r>
        <w:rPr>
          <w:rFonts w:ascii="Times New Roman" w:cs="Times New Roman" w:eastAsia="Times New Roman" w:hAnsi="Times New Roman"/>
          <w:sz w:val="16"/>
          <w:szCs w:val="16"/>
          <w:color w:val="000000"/>
        </w:rPr>
        <w:t>Board</w:t>
      </w:r>
      <w:r>
        <w:rPr>
          <w:rFonts w:ascii="Times New Roman" w:cs="Times New Roman" w:eastAsia="Times New Roman" w:hAnsi="Times New Roman"/>
          <w:sz w:val="16"/>
          <w:szCs w:val="16"/>
          <w:color w:val="231F20"/>
        </w:rPr>
        <w:t xml:space="preserve"> and us, and granting approvals for certain significant matters.</w:t>
      </w:r>
    </w:p>
    <w:p>
      <w:pPr>
        <w:spacing w:after="0" w:line="162"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231F20"/>
        </w:rPr>
        <w:t xml:space="preserve">Our Management Board and our </w:t>
      </w:r>
      <w:r>
        <w:rPr>
          <w:rFonts w:ascii="Times New Roman" w:cs="Times New Roman" w:eastAsia="Times New Roman" w:hAnsi="Times New Roman"/>
          <w:sz w:val="16"/>
          <w:szCs w:val="16"/>
          <w:color w:val="000000"/>
        </w:rPr>
        <w:t>Supervisory</w:t>
      </w:r>
      <w:r>
        <w:rPr>
          <w:rFonts w:ascii="Times New Roman" w:cs="Times New Roman" w:eastAsia="Times New Roman" w:hAnsi="Times New Roman"/>
          <w:sz w:val="16"/>
          <w:szCs w:val="16"/>
          <w:color w:val="231F20"/>
        </w:rPr>
        <w:t xml:space="preserve"> Board are solely responsible for and manage their own areas of competency (</w:t>
      </w:r>
      <w:r>
        <w:rPr>
          <w:rFonts w:ascii="Times New Roman" w:cs="Times New Roman" w:eastAsia="Times New Roman" w:hAnsi="Times New Roman"/>
          <w:sz w:val="16"/>
          <w:szCs w:val="16"/>
          <w:i w:val="1"/>
          <w:iCs w:val="1"/>
          <w:color w:val="231F20"/>
        </w:rPr>
        <w:t>Kompetenztrennung</w:t>
      </w:r>
      <w:r>
        <w:rPr>
          <w:rFonts w:ascii="Times New Roman" w:cs="Times New Roman" w:eastAsia="Times New Roman" w:hAnsi="Times New Roman"/>
          <w:sz w:val="16"/>
          <w:szCs w:val="16"/>
          <w:color w:val="231F20"/>
        </w:rPr>
        <w:t>); therefore, neither board may make decisions that, pursuant to applicable law, our Articles of Association or the internal rules of procedure are the responsibility of the other board. Members of both boards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9" w:name="page190"/>
    <w:bookmarkEnd w:id="18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231F20"/>
        </w:rPr>
        <w:t>owe a duty of loyalty and care to us. In carrying out their duties, they are required to exercise the standard of care of a prudent and diligent</w:t>
      </w:r>
      <w:r>
        <w:rPr>
          <w:rFonts w:ascii="Times New Roman" w:cs="Times New Roman" w:eastAsia="Times New Roman" w:hAnsi="Times New Roman"/>
          <w:sz w:val="16"/>
          <w:szCs w:val="16"/>
          <w:color w:val="000000"/>
        </w:rPr>
        <w:t>businessperson</w:t>
      </w:r>
      <w:r>
        <w:rPr>
          <w:rFonts w:ascii="Times New Roman" w:cs="Times New Roman" w:eastAsia="Times New Roman" w:hAnsi="Times New Roman"/>
          <w:sz w:val="16"/>
          <w:szCs w:val="16"/>
          <w:color w:val="231F20"/>
        </w:rPr>
        <w:t xml:space="preserve">. If they fail to observe the appropriate standard of care, </w:t>
      </w:r>
      <w:r>
        <w:rPr>
          <w:rFonts w:ascii="Times New Roman" w:cs="Times New Roman" w:eastAsia="Times New Roman" w:hAnsi="Times New Roman"/>
          <w:sz w:val="16"/>
          <w:szCs w:val="16"/>
          <w:color w:val="000000"/>
        </w:rPr>
        <w:t>they</w:t>
      </w:r>
      <w:r>
        <w:rPr>
          <w:rFonts w:ascii="Times New Roman" w:cs="Times New Roman" w:eastAsia="Times New Roman" w:hAnsi="Times New Roman"/>
          <w:sz w:val="16"/>
          <w:szCs w:val="16"/>
          <w:color w:val="231F20"/>
        </w:rPr>
        <w:t xml:space="preserve"> may become liable to us.</w:t>
      </w:r>
    </w:p>
    <w:p>
      <w:pPr>
        <w:spacing w:after="0" w:line="155"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231F20"/>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appropriate and effective internal control system and risk management system with regard to the scope of business activities and the risk situation of the Company.</w:t>
      </w:r>
    </w:p>
    <w:p>
      <w:pPr>
        <w:spacing w:after="0" w:line="167" w:lineRule="exact"/>
        <w:rPr>
          <w:sz w:val="20"/>
          <w:szCs w:val="20"/>
          <w:color w:val="auto"/>
        </w:rPr>
      </w:pPr>
    </w:p>
    <w:p>
      <w:pPr>
        <w:jc w:val="both"/>
        <w:ind w:right="60"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Our Supervisory Board has comprehensive monitoring responsibilities. To ensure that our Supervisory Board can carry </w:t>
      </w:r>
      <w:r>
        <w:rPr>
          <w:rFonts w:ascii="Times New Roman" w:cs="Times New Roman" w:eastAsia="Times New Roman" w:hAnsi="Times New Roman"/>
          <w:sz w:val="16"/>
          <w:szCs w:val="16"/>
          <w:color w:val="000000"/>
        </w:rPr>
        <w:t>out</w:t>
      </w:r>
      <w:r>
        <w:rPr>
          <w:rFonts w:ascii="Times New Roman" w:cs="Times New Roman" w:eastAsia="Times New Roman" w:hAnsi="Times New Roman"/>
          <w:sz w:val="16"/>
          <w:szCs w:val="16"/>
          <w:color w:val="231F20"/>
        </w:rPr>
        <w:t xml:space="preserve">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w:t>
      </w:r>
      <w:r>
        <w:rPr>
          <w:rFonts w:ascii="Times New Roman" w:cs="Times New Roman" w:eastAsia="Times New Roman" w:hAnsi="Times New Roman"/>
          <w:sz w:val="16"/>
          <w:szCs w:val="16"/>
          <w:color w:val="000000"/>
        </w:rPr>
        <w:t xml:space="preserve">Management </w:t>
      </w:r>
      <w:r>
        <w:rPr>
          <w:rFonts w:ascii="Times New Roman" w:cs="Times New Roman" w:eastAsia="Times New Roman" w:hAnsi="Times New Roman"/>
          <w:sz w:val="16"/>
          <w:szCs w:val="16"/>
          <w:color w:val="231F20"/>
        </w:rPr>
        <w:t>Board on all matters regarding the Company, our legal and business relations with affiliated companies and any business transactions and matters at such</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affiliated companies that may have a significant impact on our position at any time.</w:t>
      </w:r>
    </w:p>
    <w:p>
      <w:pPr>
        <w:spacing w:after="0" w:line="169"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231F20"/>
        </w:rPr>
        <w:t>Under German law, our shareholders have, as a general rule, no direct recourse against the members of our Management Board or the members of our Supervisory Board in the event that they are believed to have breached their duty of loyalty and care to us. Apart from when we are unable to fulfill our third party obligations, tortious conduct to board members or other special circumstances, only we have the right to claim damages against the members of our two boards.</w:t>
      </w:r>
    </w:p>
    <w:p>
      <w:pPr>
        <w:spacing w:after="0" w:line="164" w:lineRule="exact"/>
        <w:rPr>
          <w:sz w:val="20"/>
          <w:szCs w:val="20"/>
          <w:color w:val="auto"/>
        </w:rPr>
      </w:pPr>
    </w:p>
    <w:p>
      <w:pPr>
        <w:jc w:val="both"/>
        <w:ind w:right="40" w:firstLine="384"/>
        <w:spacing w:after="0" w:line="299" w:lineRule="auto"/>
        <w:rPr>
          <w:sz w:val="20"/>
          <w:szCs w:val="20"/>
          <w:color w:val="auto"/>
        </w:rPr>
      </w:pPr>
      <w:r>
        <w:rPr>
          <w:rFonts w:ascii="Times New Roman" w:cs="Times New Roman" w:eastAsia="Times New Roman" w:hAnsi="Times New Roman"/>
          <w:sz w:val="14"/>
          <w:szCs w:val="14"/>
          <w:color w:val="231F20"/>
        </w:rPr>
        <w:t>We may waive these claims to damages or settle these claims only if at least three years have passed since a claim associated with</w:t>
      </w:r>
      <w:r>
        <w:rPr>
          <w:rFonts w:ascii="Times New Roman" w:cs="Times New Roman" w:eastAsia="Times New Roman" w:hAnsi="Times New Roman"/>
          <w:sz w:val="14"/>
          <w:szCs w:val="14"/>
          <w:color w:val="000000"/>
        </w:rPr>
        <w:t>any</w:t>
      </w:r>
      <w:r>
        <w:rPr>
          <w:rFonts w:ascii="Times New Roman" w:cs="Times New Roman" w:eastAsia="Times New Roman" w:hAnsi="Times New Roman"/>
          <w:sz w:val="14"/>
          <w:szCs w:val="14"/>
          <w:color w:val="231F20"/>
        </w:rPr>
        <w:t xml:space="preserve"> violation of a duty has arisen and only if our shareholders approve the waiver or settlement at a shareholders’ meeting with a simple majority of the votes cast, provided that no shareholders who in the aggregate hold one-tenth or more of our share capital oppose the waiver or settlement and have their opposition formally recorded in the meeting’s minutes.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Supervisory Board</w:t>
      </w:r>
    </w:p>
    <w:p>
      <w:pPr>
        <w:spacing w:after="0" w:line="82" w:lineRule="exact"/>
        <w:rPr>
          <w:sz w:val="20"/>
          <w:szCs w:val="20"/>
          <w:color w:val="auto"/>
        </w:rPr>
      </w:pPr>
    </w:p>
    <w:p>
      <w:pPr>
        <w:jc w:val="both"/>
        <w:ind w:right="60" w:firstLine="384"/>
        <w:spacing w:after="0" w:line="259" w:lineRule="auto"/>
        <w:rPr>
          <w:sz w:val="20"/>
          <w:szCs w:val="20"/>
          <w:color w:val="auto"/>
        </w:rPr>
      </w:pPr>
      <w:r>
        <w:rPr>
          <w:rFonts w:ascii="Times New Roman" w:cs="Times New Roman" w:eastAsia="Times New Roman" w:hAnsi="Times New Roman"/>
          <w:sz w:val="16"/>
          <w:szCs w:val="16"/>
          <w:color w:val="231F20"/>
        </w:rPr>
        <w:t>German law requires that the Supervisory Board consists of at least three members, while a company’s articles of association may stipulate a certain higher number. Our Supervisory Board currently consists of six members.</w:t>
      </w:r>
    </w:p>
    <w:p>
      <w:pPr>
        <w:spacing w:after="0" w:line="155" w:lineRule="exact"/>
        <w:rPr>
          <w:sz w:val="20"/>
          <w:szCs w:val="20"/>
          <w:color w:val="auto"/>
        </w:rPr>
      </w:pPr>
    </w:p>
    <w:p>
      <w:pPr>
        <w:jc w:val="both"/>
        <w:ind w:right="40" w:firstLine="384"/>
        <w:spacing w:after="0" w:line="237" w:lineRule="auto"/>
        <w:rPr>
          <w:sz w:val="20"/>
          <w:szCs w:val="20"/>
          <w:color w:val="auto"/>
        </w:rPr>
      </w:pPr>
      <w:r>
        <w:rPr>
          <w:rFonts w:ascii="Times New Roman" w:cs="Times New Roman" w:eastAsia="Times New Roman" w:hAnsi="Times New Roman"/>
          <w:sz w:val="16"/>
          <w:szCs w:val="16"/>
          <w:color w:val="231F20"/>
        </w:rPr>
        <w:t>As we are not subject to co-determination, the members of our Supervisory Board are all elected by the shareholders’ meeting in accordance with the provisions of the SE Regulation and the German Stock Corporation Act (</w:t>
      </w:r>
      <w:r>
        <w:rPr>
          <w:rFonts w:ascii="Times New Roman" w:cs="Times New Roman" w:eastAsia="Times New Roman" w:hAnsi="Times New Roman"/>
          <w:sz w:val="16"/>
          <w:szCs w:val="16"/>
          <w:i w:val="1"/>
          <w:iCs w:val="1"/>
          <w:color w:val="231F20"/>
        </w:rPr>
        <w:t>Aktiengesetz</w:t>
      </w:r>
      <w:r>
        <w:rPr>
          <w:rFonts w:ascii="Times New Roman" w:cs="Times New Roman" w:eastAsia="Times New Roman" w:hAnsi="Times New Roman"/>
          <w:sz w:val="16"/>
          <w:szCs w:val="16"/>
          <w:color w:val="231F20"/>
        </w:rPr>
        <w:t xml:space="preserve">). German law does not require the majority of our Supervisory Board members to be independent and neither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xml:space="preserve">) nor the rules of procedure for our Supervisory Board provide otherwise. As per our Supervisory Board’s assessment, an appropriate number of shareholder representatives on the Supervisory Board (i.e. the entire Supervisory Board) are independent if the Supervisory Board has two independent members. The Supervisory Board considers Helmut Jeggle and Michael Motschmann to be independent irrespective of the fact that they will soon have been members of the Supervisory Board for a period of more than 14 years. </w:t>
      </w:r>
      <w:r>
        <w:rPr>
          <w:rFonts w:ascii="Times New Roman" w:cs="Times New Roman" w:eastAsia="Times New Roman" w:hAnsi="Times New Roman"/>
          <w:sz w:val="16"/>
          <w:szCs w:val="16"/>
          <w:color w:val="000000"/>
        </w:rPr>
        <w:t>As stated in the declaration to the</w:t>
      </w:r>
      <w:r>
        <w:rPr>
          <w:rFonts w:ascii="Times New Roman" w:cs="Times New Roman" w:eastAsia="Times New Roman" w:hAnsi="Times New Roman"/>
          <w:sz w:val="16"/>
          <w:szCs w:val="16"/>
          <w:color w:val="231F20"/>
        </w:rPr>
        <w:t xml:space="preserve"> German Corporate Governance Code, or the Corporate Governance Code, (</w:t>
      </w:r>
      <w:r>
        <w:rPr>
          <w:rFonts w:ascii="Times New Roman" w:cs="Times New Roman" w:eastAsia="Times New Roman" w:hAnsi="Times New Roman"/>
          <w:sz w:val="16"/>
          <w:szCs w:val="16"/>
          <w:i w:val="1"/>
          <w:iCs w:val="1"/>
          <w:color w:val="231F20"/>
        </w:rPr>
        <w:t>Entsprechenserklärung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published by the Company on February 27, 2024 pursuant to Section 161 para. 1 of the German Stock</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Corporation Act (</w:t>
      </w:r>
      <w:r>
        <w:rPr>
          <w:rFonts w:ascii="Times New Roman" w:cs="Times New Roman" w:eastAsia="Times New Roman" w:hAnsi="Times New Roman"/>
          <w:sz w:val="16"/>
          <w:szCs w:val="16"/>
          <w:i w:val="1"/>
          <w:iCs w:val="1"/>
          <w:color w:val="000000"/>
        </w:rPr>
        <w:t>Aktiengesetz</w:t>
      </w:r>
      <w:r>
        <w:rPr>
          <w:rFonts w:ascii="Times New Roman" w:cs="Times New Roman" w:eastAsia="Times New Roman" w:hAnsi="Times New Roman"/>
          <w:sz w:val="16"/>
          <w:szCs w:val="16"/>
          <w:color w:val="000000"/>
        </w:rPr>
        <w:t xml:space="preserve"> ), which in accordance with the </w:t>
      </w:r>
      <w:r>
        <w:rPr>
          <w:rFonts w:ascii="Times New Roman" w:cs="Times New Roman" w:eastAsia="Times New Roman" w:hAnsi="Times New Roman"/>
          <w:sz w:val="16"/>
          <w:szCs w:val="16"/>
          <w:color w:val="231F20"/>
        </w:rPr>
        <w:t>Corporate Governance Code</w:t>
      </w:r>
      <w:r>
        <w:rPr>
          <w:rFonts w:ascii="Times New Roman" w:cs="Times New Roman" w:eastAsia="Times New Roman" w:hAnsi="Times New Roman"/>
          <w:sz w:val="16"/>
          <w:szCs w:val="16"/>
          <w:color w:val="000000"/>
        </w:rPr>
        <w:t xml:space="preserve"> is issued in connection with the Declaration pursuant to Section 315d in conjunction with Section 289f of the German Commercial Code (HGB), the length of membership does not give rise to any fears of material conflicts of interest on the part of the members of the Supervisory Board and therefore does not stand in the way of their independence. </w:t>
      </w:r>
      <w:r>
        <w:rPr>
          <w:rFonts w:ascii="Times New Roman" w:cs="Times New Roman" w:eastAsia="Times New Roman" w:hAnsi="Times New Roman"/>
          <w:sz w:val="16"/>
          <w:szCs w:val="16"/>
          <w:color w:val="231F20"/>
        </w:rPr>
        <w:t>However, the rules of procedure for our Supervisory Board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 xml:space="preserve">provide that the Supervisory Board should have an independent member with expertise in </w:t>
      </w:r>
      <w:r>
        <w:rPr>
          <w:rFonts w:ascii="Times New Roman" w:cs="Times New Roman" w:eastAsia="Times New Roman" w:hAnsi="Times New Roman"/>
          <w:sz w:val="16"/>
          <w:szCs w:val="16"/>
          <w:color w:val="000000"/>
        </w:rPr>
        <w:t>the</w:t>
      </w:r>
      <w:r>
        <w:rPr>
          <w:rFonts w:ascii="Times New Roman" w:cs="Times New Roman" w:eastAsia="Times New Roman" w:hAnsi="Times New Roman"/>
          <w:sz w:val="16"/>
          <w:szCs w:val="16"/>
          <w:color w:val="231F20"/>
        </w:rPr>
        <w:t xml:space="preserve"> field of accounting, internal control processes and auditing. Ulrich Wandschneider, Anja Morawietz, </w:t>
      </w:r>
      <w:r>
        <w:rPr>
          <w:rFonts w:ascii="Times New Roman" w:cs="Times New Roman" w:eastAsia="Times New Roman" w:hAnsi="Times New Roman"/>
          <w:sz w:val="16"/>
          <w:szCs w:val="16"/>
          <w:color w:val="000000"/>
        </w:rPr>
        <w:t>Michael Motschmann</w:t>
      </w:r>
      <w:r>
        <w:rPr>
          <w:rFonts w:ascii="Times New Roman" w:cs="Times New Roman" w:eastAsia="Times New Roman" w:hAnsi="Times New Roman"/>
          <w:sz w:val="16"/>
          <w:szCs w:val="16"/>
          <w:color w:val="231F20"/>
        </w:rPr>
        <w:t xml:space="preserve"> and Rudolf Staudigl fulfill this role.</w:t>
      </w:r>
    </w:p>
    <w:p>
      <w:pPr>
        <w:spacing w:after="0" w:line="17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Under European law, a member of a supervisory board of an SE may be elected for a maximum term to be specified in the articles of association, which must not </w:t>
      </w:r>
      <w:r>
        <w:rPr>
          <w:rFonts w:ascii="Times New Roman" w:cs="Times New Roman" w:eastAsia="Times New Roman" w:hAnsi="Times New Roman"/>
          <w:sz w:val="16"/>
          <w:szCs w:val="16"/>
          <w:color w:val="000000"/>
        </w:rPr>
        <w:t xml:space="preserve">exceed </w:t>
      </w:r>
      <w:r>
        <w:rPr>
          <w:rFonts w:ascii="Times New Roman" w:cs="Times New Roman" w:eastAsia="Times New Roman" w:hAnsi="Times New Roman"/>
          <w:sz w:val="16"/>
          <w:szCs w:val="16"/>
          <w:color w:val="231F20"/>
        </w:rPr>
        <w:t>six years. Re-election, including repeated re- election, is permissible. The shareholders’ meeting may specify a term of office for individual members or all of the</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 xml:space="preserve">members of our Supervisory Board which is shorter than the standard term of office and, subject to statutory limits, may set different start and end dates for the terms of members of our Supervisory Board. Our Articles of </w:t>
      </w:r>
      <w:r>
        <w:rPr>
          <w:rFonts w:ascii="Times New Roman" w:cs="Times New Roman" w:eastAsia="Times New Roman" w:hAnsi="Times New Roman"/>
          <w:sz w:val="16"/>
          <w:szCs w:val="16"/>
          <w:color w:val="000000"/>
        </w:rPr>
        <w:t>Association</w:t>
      </w:r>
      <w:r>
        <w:rPr>
          <w:rFonts w:ascii="Times New Roman" w:cs="Times New Roman" w:eastAsia="Times New Roman" w:hAnsi="Times New Roman"/>
          <w:sz w:val="16"/>
          <w:szCs w:val="16"/>
          <w:color w:val="231F20"/>
        </w:rPr>
        <w:t xml:space="preserve"> provide for a term of approximately five years, depending on the date of the annual general shareholders’ meeting in the year in which the term of the relevant member is to expire.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190" w:name="page191"/>
    <w:bookmarkEnd w:id="19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The shareholders’ meeting may, at the same time as it elects the members of the Supervisory Board, elect one or more </w:t>
      </w:r>
      <w:r>
        <w:rPr>
          <w:rFonts w:ascii="Times New Roman" w:cs="Times New Roman" w:eastAsia="Times New Roman" w:hAnsi="Times New Roman"/>
          <w:sz w:val="16"/>
          <w:szCs w:val="16"/>
          <w:color w:val="000000"/>
        </w:rPr>
        <w:t>substitute</w:t>
      </w:r>
      <w:r>
        <w:rPr>
          <w:rFonts w:ascii="Times New Roman" w:cs="Times New Roman" w:eastAsia="Times New Roman" w:hAnsi="Times New Roman"/>
          <w:sz w:val="16"/>
          <w:szCs w:val="16"/>
          <w:color w:val="231F20"/>
        </w:rPr>
        <w:t xml:space="preserve"> members. The substitute members replace members who cease to be members of our Supervisory Board and take their place for the remainder of their </w:t>
      </w:r>
      <w:r>
        <w:rPr>
          <w:rFonts w:ascii="Times New Roman" w:cs="Times New Roman" w:eastAsia="Times New Roman" w:hAnsi="Times New Roman"/>
          <w:sz w:val="16"/>
          <w:szCs w:val="16"/>
          <w:color w:val="000000"/>
        </w:rPr>
        <w:t>respective</w:t>
      </w:r>
      <w:r>
        <w:rPr>
          <w:rFonts w:ascii="Times New Roman" w:cs="Times New Roman" w:eastAsia="Times New Roman" w:hAnsi="Times New Roman"/>
          <w:sz w:val="16"/>
          <w:szCs w:val="16"/>
          <w:color w:val="231F20"/>
        </w:rPr>
        <w:t xml:space="preserve"> terms of office. Currently, no substitute members have been elected or have been proposed to be elected.</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Members of our Supervisory Board may be dismissed at any time during their term of office by a resolution of the</w:t>
      </w:r>
      <w:r>
        <w:rPr>
          <w:rFonts w:ascii="Times New Roman" w:cs="Times New Roman" w:eastAsia="Times New Roman" w:hAnsi="Times New Roman"/>
          <w:sz w:val="16"/>
          <w:szCs w:val="16"/>
          <w:color w:val="000000"/>
        </w:rPr>
        <w:t>shareholders’ meeting</w:t>
      </w:r>
      <w:r>
        <w:rPr>
          <w:rFonts w:ascii="Times New Roman" w:cs="Times New Roman" w:eastAsia="Times New Roman" w:hAnsi="Times New Roman"/>
          <w:sz w:val="16"/>
          <w:szCs w:val="16"/>
          <w:color w:val="231F20"/>
        </w:rPr>
        <w:t xml:space="preserve"> adopted by at least a simple majority of the votes cast. In addition, any member of our Supervisory Board may resign at any time by giving one month’s written notice – or, in the event of cause, giving written notice with immediate effect – of his or her resignation to the Management Board.</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Our Supervisory Board elects a chairperson and a deputy chairperson from its members. The deputy chairperson exercises the chairperson’s rights and obligations whenever the chairperson is unable to do so. The members of our Supervisory Board have elected Helmut Jeggle as chairperson and Ulrich </w:t>
      </w:r>
      <w:r>
        <w:rPr>
          <w:rFonts w:ascii="Times New Roman" w:cs="Times New Roman" w:eastAsia="Times New Roman" w:hAnsi="Times New Roman"/>
          <w:sz w:val="16"/>
          <w:szCs w:val="16"/>
          <w:color w:val="000000"/>
        </w:rPr>
        <w:t>Wandschneider as</w:t>
      </w:r>
      <w:r>
        <w:rPr>
          <w:rFonts w:ascii="Times New Roman" w:cs="Times New Roman" w:eastAsia="Times New Roman" w:hAnsi="Times New Roman"/>
          <w:sz w:val="16"/>
          <w:szCs w:val="16"/>
          <w:color w:val="231F20"/>
        </w:rPr>
        <w:t xml:space="preserve"> deputy </w:t>
      </w:r>
      <w:r>
        <w:rPr>
          <w:rFonts w:ascii="Times New Roman" w:cs="Times New Roman" w:eastAsia="Times New Roman" w:hAnsi="Times New Roman"/>
          <w:sz w:val="16"/>
          <w:szCs w:val="16"/>
          <w:color w:val="000000"/>
        </w:rPr>
        <w:t>chairperson</w:t>
      </w:r>
      <w:r>
        <w:rPr>
          <w:rFonts w:ascii="Times New Roman" w:cs="Times New Roman" w:eastAsia="Times New Roman" w:hAnsi="Times New Roman"/>
          <w:sz w:val="16"/>
          <w:szCs w:val="16"/>
          <w:color w:val="231F20"/>
        </w:rPr>
        <w:t>, each for the term of their respective membership on our Supervisory Board.</w:t>
      </w:r>
    </w:p>
    <w:p>
      <w:pPr>
        <w:spacing w:after="0" w:line="16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 xml:space="preserve">The Supervisory </w:t>
      </w:r>
      <w:r>
        <w:rPr>
          <w:rFonts w:ascii="Times New Roman" w:cs="Times New Roman" w:eastAsia="Times New Roman" w:hAnsi="Times New Roman"/>
          <w:sz w:val="16"/>
          <w:szCs w:val="16"/>
          <w:color w:val="000000"/>
        </w:rPr>
        <w:t>Board</w:t>
      </w:r>
      <w:r>
        <w:rPr>
          <w:rFonts w:ascii="Times New Roman" w:cs="Times New Roman" w:eastAsia="Times New Roman" w:hAnsi="Times New Roman"/>
          <w:sz w:val="16"/>
          <w:szCs w:val="16"/>
          <w:color w:val="231F20"/>
        </w:rPr>
        <w:t xml:space="preserve"> meets at least twice each calendar half-year. Our Articles of Association provide </w:t>
      </w:r>
      <w:r>
        <w:rPr>
          <w:rFonts w:ascii="Times New Roman" w:cs="Times New Roman" w:eastAsia="Times New Roman" w:hAnsi="Times New Roman"/>
          <w:sz w:val="16"/>
          <w:szCs w:val="16"/>
          <w:color w:val="000000"/>
        </w:rPr>
        <w:t>that</w:t>
      </w:r>
      <w:r>
        <w:rPr>
          <w:rFonts w:ascii="Times New Roman" w:cs="Times New Roman" w:eastAsia="Times New Roman" w:hAnsi="Times New Roman"/>
          <w:sz w:val="16"/>
          <w:szCs w:val="16"/>
          <w:color w:val="231F20"/>
        </w:rPr>
        <w:t xml:space="preserve"> a quorum of the Supervisory Board members is present if at least three of its members participate in the vote. </w:t>
      </w:r>
      <w:r>
        <w:rPr>
          <w:rFonts w:ascii="Times New Roman" w:cs="Times New Roman" w:eastAsia="Times New Roman" w:hAnsi="Times New Roman"/>
          <w:sz w:val="16"/>
          <w:szCs w:val="16"/>
          <w:color w:val="000000"/>
        </w:rPr>
        <w:t>Members</w:t>
      </w:r>
      <w:r>
        <w:rPr>
          <w:rFonts w:ascii="Times New Roman" w:cs="Times New Roman" w:eastAsia="Times New Roman" w:hAnsi="Times New Roman"/>
          <w:sz w:val="16"/>
          <w:szCs w:val="16"/>
          <w:color w:val="231F20"/>
        </w:rPr>
        <w:t xml:space="preserve"> of our Supervisory Board are deemed present if they attend the meeting via telephone or other (electronic) means of communication (including via video conference) or submit their written vote through another member. Additionally, </w:t>
      </w:r>
      <w:r>
        <w:rPr>
          <w:rFonts w:ascii="Times New Roman" w:cs="Times New Roman" w:eastAsia="Times New Roman" w:hAnsi="Times New Roman"/>
          <w:sz w:val="16"/>
          <w:szCs w:val="16"/>
          <w:color w:val="000000"/>
        </w:rPr>
        <w:t>our</w:t>
      </w:r>
      <w:r>
        <w:rPr>
          <w:rFonts w:ascii="Times New Roman" w:cs="Times New Roman" w:eastAsia="Times New Roman" w:hAnsi="Times New Roman"/>
          <w:sz w:val="16"/>
          <w:szCs w:val="16"/>
          <w:color w:val="231F20"/>
        </w:rPr>
        <w:t xml:space="preserve"> Articles of Association allow for resolutions to be taken via telephone or other (electronic) means of communications (including via video conference).</w:t>
      </w:r>
    </w:p>
    <w:p>
      <w:pPr>
        <w:spacing w:after="0" w:line="16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Resolutions of our Supervisory Board are passed by the vote of a simple majority of the votes cast unless otherwise required by law, our</w:t>
      </w:r>
      <w:r>
        <w:rPr>
          <w:rFonts w:ascii="Times New Roman" w:cs="Times New Roman" w:eastAsia="Times New Roman" w:hAnsi="Times New Roman"/>
          <w:sz w:val="16"/>
          <w:szCs w:val="16"/>
          <w:color w:val="000000"/>
        </w:rPr>
        <w:t>Articles</w:t>
      </w:r>
      <w:r>
        <w:rPr>
          <w:rFonts w:ascii="Times New Roman" w:cs="Times New Roman" w:eastAsia="Times New Roman" w:hAnsi="Times New Roman"/>
          <w:sz w:val="16"/>
          <w:szCs w:val="16"/>
          <w:color w:val="231F20"/>
        </w:rPr>
        <w:t xml:space="preserve"> of Association or the rules of procedure of our Supervisory Board. In the 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w:t>
      </w:r>
    </w:p>
    <w:p>
      <w:pPr>
        <w:spacing w:after="0" w:line="71" w:lineRule="exact"/>
        <w:rPr>
          <w:sz w:val="20"/>
          <w:szCs w:val="20"/>
          <w:color w:val="auto"/>
        </w:rPr>
      </w:pPr>
    </w:p>
    <w:p>
      <w:pPr>
        <w:ind w:left="720" w:hanging="234"/>
        <w:spacing w:after="0"/>
        <w:tabs>
          <w:tab w:leader="none" w:pos="7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certain large transactions;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or holding any interest in businesses (except wholly owned subsidiaries) or disposing of shares in businesses (except for a sale of JPT);</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issuing shares from authorized capital, unless the shares are issued pursuant to a redemption of stock appreciation rights;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treasury shares in return for valuable consideration.</w:t>
      </w:r>
    </w:p>
    <w:p>
      <w:pPr>
        <w:spacing w:after="0" w:line="17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Each member of the Supervisory Board shall disclose any conflicts of interest to the Supervisory Board, especially those that may arise from providing advice or holding any offices or board positions at customers, suppliers, creditors or other third parties. Material conflicts of interest that are not merely temporary and that are specific to a particular Supervisory Board member shall result in this particular member leaving office. Our Supervisory Board also puts in place adequate measures to limit, prevent or resolve conflicts of interest in accordance with applicable legal requirements and the Company’s Conflicts of Interest Policy.</w:t>
      </w:r>
    </w:p>
    <w:p>
      <w:pPr>
        <w:spacing w:after="0" w:line="167"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Our Supervisory Board conducted a self-assessment for the year ended December 31, 2023. It covered all key aspects of the Supervisory Board</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s work, including its committees, its composition, its competence profile, its main topics and its relationship with the Management Board. The results of the self-assessment have been evaluated and will subsequently be presented to the Supervisory Board. Based on the self-assessment, the Supervisory Board believes that it, its committees and the Management Board continue to operate at a professional and cooperative level. No fundamental need for change was identified.</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Supervisory Board Practices</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1" w:name="page192"/>
    <w:bookmarkEnd w:id="19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231F20"/>
        </w:rPr>
        <w:t>passing of resolutions on individual agenda items after a due assessment of the circumstances. Our Supervisory Board may designate further types of actions as requiring its approval.</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of any such independent experts that are retained by the Supervisory Board or any of its committees.</w:t>
      </w:r>
    </w:p>
    <w:p>
      <w:pPr>
        <w:spacing w:after="0" w:line="165"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231F20"/>
        </w:rPr>
        <w:t>Pursuant to Section 107 para. 3 of the German Stock Corporation Act (</w:t>
      </w:r>
      <w:r>
        <w:rPr>
          <w:rFonts w:ascii="Times New Roman" w:cs="Times New Roman" w:eastAsia="Times New Roman" w:hAnsi="Times New Roman"/>
          <w:sz w:val="16"/>
          <w:szCs w:val="16"/>
          <w:i w:val="1"/>
          <w:iCs w:val="1"/>
          <w:color w:val="231F20"/>
        </w:rPr>
        <w:t>Aktiengesetz</w:t>
      </w:r>
      <w:r>
        <w:rPr>
          <w:rFonts w:ascii="Times New Roman" w:cs="Times New Roman" w:eastAsia="Times New Roman" w:hAnsi="Times New Roman"/>
          <w:sz w:val="16"/>
          <w:szCs w:val="16"/>
          <w:color w:val="231F20"/>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The Supervisory Board has established an Audit Committee, a Compensation, Nominating, Governance Committee and a Capital Markets and Product Committee by resolution. The Product Committee was established as of October 1, 2023. Set forth in the table below are the members of the respective committees during the </w:t>
      </w:r>
      <w:r>
        <w:rPr>
          <w:rFonts w:ascii="Times New Roman" w:cs="Times New Roman" w:eastAsia="Times New Roman" w:hAnsi="Times New Roman"/>
          <w:sz w:val="16"/>
          <w:szCs w:val="16"/>
          <w:color w:val="000000"/>
        </w:rPr>
        <w:t>year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ended December 31, 2023</w:t>
      </w:r>
      <w:r>
        <w:rPr>
          <w:rFonts w:ascii="Times New Roman" w:cs="Times New Roman" w:eastAsia="Times New Roman" w:hAnsi="Times New Roman"/>
          <w:sz w:val="16"/>
          <w:szCs w:val="16"/>
          <w:color w:val="231F20"/>
        </w:rPr>
        <w: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740" w:type="dxa"/>
            <w:vAlign w:val="bottom"/>
            <w:tcBorders>
              <w:top w:val="single" w:sz="8" w:color="70AD47"/>
              <w:left w:val="single" w:sz="8" w:color="70AD47"/>
              <w:bottom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 of Committee</w:t>
            </w:r>
          </w:p>
        </w:tc>
        <w:tc>
          <w:tcPr>
            <w:tcW w:w="5840" w:type="dxa"/>
            <w:vAlign w:val="bottom"/>
            <w:tcBorders>
              <w:top w:val="single" w:sz="8" w:color="70AD47"/>
              <w:bottom w:val="single" w:sz="8" w:color="70AD47"/>
              <w:right w:val="single" w:sz="8" w:color="70AD47"/>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Members</w:t>
            </w:r>
          </w:p>
        </w:tc>
      </w:tr>
      <w:tr>
        <w:trPr>
          <w:trHeight w:val="172"/>
        </w:trPr>
        <w:tc>
          <w:tcPr>
            <w:tcW w:w="4740" w:type="dxa"/>
            <w:vAlign w:val="bottom"/>
            <w:tcBorders>
              <w:left w:val="single" w:sz="8" w:color="70AD47"/>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Audit Committee</w:t>
            </w:r>
          </w:p>
        </w:tc>
        <w:tc>
          <w:tcPr>
            <w:tcW w:w="5840" w:type="dxa"/>
            <w:vAlign w:val="bottom"/>
            <w:tcBorders>
              <w:right w:val="single" w:sz="8" w:color="70AD47"/>
            </w:tcBorders>
          </w:tcPr>
          <w:p>
            <w:pPr>
              <w:ind w:left="520"/>
              <w:spacing w:after="0" w:line="172" w:lineRule="exact"/>
              <w:rPr>
                <w:sz w:val="20"/>
                <w:szCs w:val="20"/>
                <w:color w:val="auto"/>
              </w:rPr>
            </w:pPr>
            <w:r>
              <w:rPr>
                <w:rFonts w:ascii="Times New Roman" w:cs="Times New Roman" w:eastAsia="Times New Roman" w:hAnsi="Times New Roman"/>
                <w:sz w:val="16"/>
                <w:szCs w:val="16"/>
                <w:color w:val="auto"/>
              </w:rPr>
              <w:t>Prof. Anja Morawietz, Ph.D. (Chair), Prof. Rudolf Staudigl, Ph.D and Ulrich</w:t>
            </w:r>
          </w:p>
        </w:tc>
      </w:tr>
      <w:tr>
        <w:trPr>
          <w:trHeight w:val="203"/>
        </w:trPr>
        <w:tc>
          <w:tcPr>
            <w:tcW w:w="4740" w:type="dxa"/>
            <w:vAlign w:val="bottom"/>
            <w:tcBorders>
              <w:left w:val="single" w:sz="8" w:color="70AD47"/>
            </w:tcBorders>
          </w:tcPr>
          <w:p>
            <w:pPr>
              <w:spacing w:after="0"/>
              <w:rPr>
                <w:sz w:val="17"/>
                <w:szCs w:val="17"/>
                <w:color w:val="auto"/>
              </w:rPr>
            </w:pPr>
          </w:p>
        </w:tc>
        <w:tc>
          <w:tcPr>
            <w:tcW w:w="5840" w:type="dxa"/>
            <w:vAlign w:val="bottom"/>
            <w:tcBorders>
              <w:right w:val="single" w:sz="8" w:color="70AD47"/>
            </w:tcBorders>
          </w:tcPr>
          <w:p>
            <w:pPr>
              <w:ind w:left="520"/>
              <w:spacing w:after="0"/>
              <w:rPr>
                <w:sz w:val="20"/>
                <w:szCs w:val="20"/>
                <w:color w:val="auto"/>
              </w:rPr>
            </w:pPr>
            <w:r>
              <w:rPr>
                <w:rFonts w:ascii="Times New Roman" w:cs="Times New Roman" w:eastAsia="Times New Roman" w:hAnsi="Times New Roman"/>
                <w:sz w:val="16"/>
                <w:szCs w:val="16"/>
                <w:color w:val="auto"/>
              </w:rPr>
              <w:t>Wandschneider, Ph.D.</w:t>
            </w:r>
          </w:p>
        </w:tc>
      </w:tr>
      <w:tr>
        <w:trPr>
          <w:trHeight w:val="181"/>
        </w:trPr>
        <w:tc>
          <w:tcPr>
            <w:tcW w:w="4740" w:type="dxa"/>
            <w:vAlign w:val="bottom"/>
            <w:tcBorders>
              <w:left w:val="single" w:sz="8" w:color="70AD47"/>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Compensation, Nominating and Corporate Governance Committee</w:t>
            </w:r>
          </w:p>
        </w:tc>
        <w:tc>
          <w:tcPr>
            <w:tcW w:w="5840" w:type="dxa"/>
            <w:vAlign w:val="bottom"/>
            <w:tcBorders>
              <w:right w:val="single" w:sz="8" w:color="70AD47"/>
            </w:tcBorders>
          </w:tcPr>
          <w:p>
            <w:pPr>
              <w:ind w:left="520"/>
              <w:spacing w:after="0" w:line="181" w:lineRule="exact"/>
              <w:rPr>
                <w:sz w:val="20"/>
                <w:szCs w:val="20"/>
                <w:color w:val="auto"/>
              </w:rPr>
            </w:pPr>
            <w:r>
              <w:rPr>
                <w:rFonts w:ascii="Times New Roman" w:cs="Times New Roman" w:eastAsia="Times New Roman" w:hAnsi="Times New Roman"/>
                <w:sz w:val="16"/>
                <w:szCs w:val="16"/>
                <w:color w:val="231F20"/>
              </w:rPr>
              <w:t>Prof. Rudolf Staudigl, Ph.D. (Chair), Baroness Nicola Blackwood (since May 25,</w:t>
            </w:r>
          </w:p>
        </w:tc>
      </w:tr>
      <w:tr>
        <w:trPr>
          <w:trHeight w:val="203"/>
        </w:trPr>
        <w:tc>
          <w:tcPr>
            <w:tcW w:w="4740" w:type="dxa"/>
            <w:vAlign w:val="bottom"/>
            <w:tcBorders>
              <w:left w:val="single" w:sz="8" w:color="70AD47"/>
            </w:tcBorders>
          </w:tcPr>
          <w:p>
            <w:pPr>
              <w:spacing w:after="0"/>
              <w:rPr>
                <w:sz w:val="17"/>
                <w:szCs w:val="17"/>
                <w:color w:val="auto"/>
              </w:rPr>
            </w:pPr>
          </w:p>
        </w:tc>
        <w:tc>
          <w:tcPr>
            <w:tcW w:w="5840" w:type="dxa"/>
            <w:vAlign w:val="bottom"/>
            <w:tcBorders>
              <w:right w:val="single" w:sz="8" w:color="70AD47"/>
            </w:tcBorders>
          </w:tcPr>
          <w:p>
            <w:pPr>
              <w:ind w:left="520"/>
              <w:spacing w:after="0"/>
              <w:rPr>
                <w:sz w:val="20"/>
                <w:szCs w:val="20"/>
                <w:color w:val="auto"/>
              </w:rPr>
            </w:pPr>
            <w:r>
              <w:rPr>
                <w:rFonts w:ascii="Times New Roman" w:cs="Times New Roman" w:eastAsia="Times New Roman" w:hAnsi="Times New Roman"/>
                <w:sz w:val="16"/>
                <w:szCs w:val="16"/>
                <w:color w:val="231F20"/>
                <w:w w:val="98"/>
              </w:rPr>
              <w:t>2023), Prof. Christoph Huber, M.D (until May 25, 2023) and Michael Motschmann.</w:t>
            </w:r>
          </w:p>
        </w:tc>
      </w:tr>
      <w:tr>
        <w:trPr>
          <w:trHeight w:val="216"/>
        </w:trPr>
        <w:tc>
          <w:tcPr>
            <w:tcW w:w="4740" w:type="dxa"/>
            <w:vAlign w:val="bottom"/>
            <w:tcBorders>
              <w:left w:val="single" w:sz="8" w:color="70AD47"/>
            </w:tcBorders>
          </w:tcPr>
          <w:p>
            <w:pPr>
              <w:ind w:left="40"/>
              <w:spacing w:after="0"/>
              <w:rPr>
                <w:sz w:val="20"/>
                <w:szCs w:val="20"/>
                <w:color w:val="auto"/>
              </w:rPr>
            </w:pPr>
            <w:r>
              <w:rPr>
                <w:rFonts w:ascii="Times New Roman" w:cs="Times New Roman" w:eastAsia="Times New Roman" w:hAnsi="Times New Roman"/>
                <w:sz w:val="16"/>
                <w:szCs w:val="16"/>
                <w:color w:val="auto"/>
              </w:rPr>
              <w:t>Capital Markets Committee</w:t>
            </w:r>
          </w:p>
        </w:tc>
        <w:tc>
          <w:tcPr>
            <w:tcW w:w="5840" w:type="dxa"/>
            <w:vAlign w:val="bottom"/>
            <w:tcBorders>
              <w:right w:val="single" w:sz="8" w:color="70AD47"/>
            </w:tcBorders>
          </w:tcPr>
          <w:p>
            <w:pPr>
              <w:ind w:left="520"/>
              <w:spacing w:after="0"/>
              <w:rPr>
                <w:sz w:val="20"/>
                <w:szCs w:val="20"/>
                <w:color w:val="auto"/>
              </w:rPr>
            </w:pPr>
            <w:r>
              <w:rPr>
                <w:rFonts w:ascii="Times New Roman" w:cs="Times New Roman" w:eastAsia="Times New Roman" w:hAnsi="Times New Roman"/>
                <w:sz w:val="16"/>
                <w:szCs w:val="16"/>
                <w:color w:val="231F20"/>
              </w:rPr>
              <w:t>Helmut Jeggle (Chair), Prof. Anja Morawietz, Ph.D. and Michael Motschmann</w:t>
            </w:r>
          </w:p>
        </w:tc>
      </w:tr>
      <w:tr>
        <w:trPr>
          <w:trHeight w:val="181"/>
        </w:trPr>
        <w:tc>
          <w:tcPr>
            <w:tcW w:w="4740" w:type="dxa"/>
            <w:vAlign w:val="bottom"/>
            <w:tcBorders>
              <w:left w:val="single" w:sz="8" w:color="70AD47"/>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Product Committee (est. October 1, 2023)</w:t>
            </w:r>
          </w:p>
        </w:tc>
        <w:tc>
          <w:tcPr>
            <w:tcW w:w="5840" w:type="dxa"/>
            <w:vAlign w:val="bottom"/>
            <w:tcBorders>
              <w:right w:val="single" w:sz="8" w:color="70AD47"/>
            </w:tcBorders>
          </w:tcPr>
          <w:p>
            <w:pPr>
              <w:ind w:left="520"/>
              <w:spacing w:after="0" w:line="181" w:lineRule="exact"/>
              <w:rPr>
                <w:sz w:val="20"/>
                <w:szCs w:val="20"/>
                <w:color w:val="auto"/>
              </w:rPr>
            </w:pPr>
            <w:r>
              <w:rPr>
                <w:rFonts w:ascii="Times New Roman" w:cs="Times New Roman" w:eastAsia="Times New Roman" w:hAnsi="Times New Roman"/>
                <w:sz w:val="16"/>
                <w:szCs w:val="16"/>
                <w:color w:val="231F20"/>
              </w:rPr>
              <w:t>Ulrich Wandschneider, Ph.D. (Chair), Baroness Nicola Blackwood and Helmut</w:t>
            </w:r>
          </w:p>
        </w:tc>
      </w:tr>
      <w:tr>
        <w:trPr>
          <w:trHeight w:val="204"/>
        </w:trPr>
        <w:tc>
          <w:tcPr>
            <w:tcW w:w="4740" w:type="dxa"/>
            <w:vAlign w:val="bottom"/>
            <w:tcBorders>
              <w:left w:val="single" w:sz="8" w:color="70AD47"/>
              <w:bottom w:val="single" w:sz="8" w:color="70AD47"/>
            </w:tcBorders>
          </w:tcPr>
          <w:p>
            <w:pPr>
              <w:spacing w:after="0"/>
              <w:rPr>
                <w:sz w:val="17"/>
                <w:szCs w:val="17"/>
                <w:color w:val="auto"/>
              </w:rPr>
            </w:pPr>
          </w:p>
        </w:tc>
        <w:tc>
          <w:tcPr>
            <w:tcW w:w="5840" w:type="dxa"/>
            <w:vAlign w:val="bottom"/>
            <w:tcBorders>
              <w:bottom w:val="single" w:sz="8" w:color="70AD47"/>
              <w:right w:val="single" w:sz="8" w:color="70AD47"/>
            </w:tcBorders>
          </w:tcPr>
          <w:p>
            <w:pPr>
              <w:ind w:left="520"/>
              <w:spacing w:after="0"/>
              <w:rPr>
                <w:sz w:val="20"/>
                <w:szCs w:val="20"/>
                <w:color w:val="auto"/>
              </w:rPr>
            </w:pPr>
            <w:r>
              <w:rPr>
                <w:rFonts w:ascii="Times New Roman" w:cs="Times New Roman" w:eastAsia="Times New Roman" w:hAnsi="Times New Roman"/>
                <w:sz w:val="16"/>
                <w:szCs w:val="16"/>
                <w:color w:val="231F20"/>
              </w:rPr>
              <w:t>Jeggle</w:t>
            </w:r>
          </w:p>
        </w:tc>
      </w:tr>
    </w:tbl>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Audit Committee</w:t>
      </w:r>
    </w:p>
    <w:p>
      <w:pPr>
        <w:spacing w:after="0" w:line="8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Our Audit Committee for the year ended December 31, 2023 consisted of Anja Morawietz. (Chair), Rudolf Staudigl and Ulrich Wandschneider. The Audit Committee assists the Supervisory 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 qualifications and independence, the performance of the independent auditor and the effective functioning of our internal audit functions, and, subject to certain limitations, adopts and implements pertinent decisions on behalf of the Supervisory Board. The Audit Committee’s duties and responsibilities to carry out its purpose, include, among others:</w:t>
      </w:r>
    </w:p>
    <w:p>
      <w:pPr>
        <w:spacing w:after="0" w:line="77" w:lineRule="exact"/>
        <w:rPr>
          <w:sz w:val="20"/>
          <w:szCs w:val="20"/>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 recommendation to the Supervisory Board with respect to the proposal for the appointment of the auditors;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the commissioning of the audit engagement, as well as the compensation, retention and oversight of the independent auditor;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qualifications, independence and quality of performance of the independent auditor;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pre-approving the audit and non-audit services to be performed by the independent auditor;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the independent auditor and management the annual audit plan, as well as critical accounting policies and practices to be used;</w:t>
      </w:r>
    </w:p>
    <w:p>
      <w:pPr>
        <w:spacing w:after="0" w:line="103" w:lineRule="exact"/>
        <w:rPr>
          <w:rFonts w:ascii="Times New Roman" w:cs="Times New Roman" w:eastAsia="Times New Roman" w:hAnsi="Times New Roman"/>
          <w:sz w:val="14"/>
          <w:szCs w:val="14"/>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and determining additional areas of audit focus, as appropriate;</w:t>
      </w:r>
    </w:p>
    <w:p>
      <w:pPr>
        <w:spacing w:after="0" w:line="92" w:lineRule="exact"/>
        <w:rPr>
          <w:rFonts w:ascii="Times New Roman" w:cs="Times New Roman" w:eastAsia="Times New Roman" w:hAnsi="Times New Roman"/>
          <w:sz w:val="16"/>
          <w:szCs w:val="16"/>
          <w:color w:val="auto"/>
        </w:rPr>
      </w:pPr>
    </w:p>
    <w:p>
      <w:pPr>
        <w:ind w:left="720" w:right="20" w:hanging="234"/>
        <w:spacing w:after="0" w:line="259" w:lineRule="auto"/>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independent auditor and management the adequacy and effectiveness of our internal accounting controls and critical accounting policies;</w:t>
      </w:r>
    </w:p>
    <w:p>
      <w:pPr>
        <w:spacing w:after="0" w:line="59"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independent auditor and management the results of our annual audit;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2" w:name="page193"/>
    <w:bookmarkEnd w:id="19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non-financial reporting;</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effectiveness of the compliance management system;</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independent auditor and management any quarterly or annual earnings announcements;</w:t>
      </w:r>
    </w:p>
    <w:p>
      <w:pPr>
        <w:spacing w:after="0" w:line="92" w:lineRule="exact"/>
        <w:rPr>
          <w:rFonts w:ascii="Times New Roman" w:cs="Times New Roman" w:eastAsia="Times New Roman" w:hAnsi="Times New Roman"/>
          <w:sz w:val="16"/>
          <w:szCs w:val="16"/>
          <w:color w:val="auto"/>
        </w:rPr>
      </w:pPr>
    </w:p>
    <w:p>
      <w:pPr>
        <w:ind w:left="720" w:right="20" w:hanging="234"/>
        <w:spacing w:after="0" w:line="244" w:lineRule="auto"/>
        <w:tabs>
          <w:tab w:leader="none" w:pos="7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any related party transactions and reviewing and monitoring potential conflict of interest situations on an ongoing basis for compliance with our policies and procedures; and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procedures for the receipt, retention and treatment of complaints received regarding accounting, internal accounting controls or auditing matters.</w:t>
      </w:r>
    </w:p>
    <w:p>
      <w:pPr>
        <w:spacing w:after="0" w:line="199"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w:t>
      </w:r>
    </w:p>
    <w:p>
      <w:pPr>
        <w:spacing w:after="0" w:line="167"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231F20"/>
        </w:rPr>
        <w:t>All members of the Audit Committee qualify as “independent directors” as such term is defined in Rule 10A-3 under the Exchange Act and Nasdaq Rule 5605. Additionally, our Supervisory Board has determined that each of Anja Morawietz, Rudolf Staudigl and Ulrich Wandschneider qualifies as “audit committee financial expert” as that term is defined under the Exchange Act. In addition, Anja Morawietz as Chair of the Audit Committee, Rudolf Staudigl and Ulrich Wandschneider have the special knowledge and experience required by the German Corporate Governance Code in the field of accounting and expertise in the field of auditing.</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Compensation, Nominating and Corporate Governance Committee</w:t>
      </w:r>
    </w:p>
    <w:p>
      <w:pPr>
        <w:spacing w:after="0" w:line="8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Our Compensation, Nominating and Corporate Governance Committee for the </w:t>
      </w:r>
      <w:r>
        <w:rPr>
          <w:rFonts w:ascii="Times New Roman" w:cs="Times New Roman" w:eastAsia="Times New Roman" w:hAnsi="Times New Roman"/>
          <w:sz w:val="16"/>
          <w:szCs w:val="16"/>
          <w:color w:val="000000"/>
        </w:rPr>
        <w:t>year ended December 31, 2023</w:t>
      </w:r>
      <w:r>
        <w:rPr>
          <w:rFonts w:ascii="Times New Roman" w:cs="Times New Roman" w:eastAsia="Times New Roman" w:hAnsi="Times New Roman"/>
          <w:sz w:val="16"/>
          <w:szCs w:val="16"/>
          <w:color w:val="231F20"/>
        </w:rPr>
        <w:t xml:space="preserve"> consisted of Rudolf Staudigl (Chair), Nicola Blackwood (since May 25, 2023), Christoph Huber (until May 25, 2023) and Michael Motschmann. The Compensation, Nominating and Corporate Governance Committee’s duties and responsibilities to carry out its purpose include, among others:</w:t>
      </w:r>
    </w:p>
    <w:p>
      <w:pPr>
        <w:spacing w:after="0" w:line="68" w:lineRule="exact"/>
        <w:rPr>
          <w:sz w:val="20"/>
          <w:szCs w:val="20"/>
          <w:color w:val="auto"/>
        </w:rPr>
      </w:pPr>
    </w:p>
    <w:p>
      <w:pPr>
        <w:ind w:left="720" w:hanging="234"/>
        <w:spacing w:after="0"/>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and discussing with management policies relating to the remuneration of the members of our Management Board;</w:t>
      </w:r>
    </w:p>
    <w:p>
      <w:pPr>
        <w:spacing w:after="0" w:line="80" w:lineRule="exact"/>
        <w:rPr>
          <w:rFonts w:ascii="Times New Roman" w:cs="Times New Roman" w:eastAsia="Times New Roman" w:hAnsi="Times New Roman"/>
          <w:sz w:val="16"/>
          <w:szCs w:val="16"/>
          <w:color w:val="auto"/>
        </w:rPr>
      </w:pPr>
    </w:p>
    <w:p>
      <w:pPr>
        <w:jc w:val="both"/>
        <w:ind w:left="720" w:right="20" w:hanging="234"/>
        <w:spacing w:after="0" w:line="234" w:lineRule="auto"/>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equity-based compensation plans and arrangements and making recommendations to the Supervisory Board regarding such plans;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with identifying and recruiting candidates to fill positions on the Management Board and the Supervisory Board;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any corporate governance issue that arises and developing appropriate recommendations for the Supervisory Board;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Supervisory Board and reporting on its performance and effectiveness.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Capital Markets Committee</w:t>
      </w:r>
    </w:p>
    <w:p>
      <w:pPr>
        <w:spacing w:after="0" w:line="8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Our Capital Markets Committee for the </w:t>
      </w:r>
      <w:r>
        <w:rPr>
          <w:rFonts w:ascii="Times New Roman" w:cs="Times New Roman" w:eastAsia="Times New Roman" w:hAnsi="Times New Roman"/>
          <w:sz w:val="16"/>
          <w:szCs w:val="16"/>
          <w:color w:val="000000"/>
        </w:rPr>
        <w:t>year ended December 31, 2023</w:t>
      </w:r>
      <w:r>
        <w:rPr>
          <w:rFonts w:ascii="Times New Roman" w:cs="Times New Roman" w:eastAsia="Times New Roman" w:hAnsi="Times New Roman"/>
          <w:sz w:val="16"/>
          <w:szCs w:val="16"/>
          <w:color w:val="231F20"/>
        </w:rPr>
        <w:t xml:space="preserve"> consisted of Helmut Jeggle (Chair), Anja Morawietz and Michael Motschmann. The Capital Markets Committee advises and makes recommendations to the Supervisory Board on issues in connection with capital measures and takeover, merger and acquisition activities. Its responsibilities include the following tasks:</w:t>
      </w:r>
    </w:p>
    <w:p>
      <w:pPr>
        <w:spacing w:after="0" w:line="68" w:lineRule="exact"/>
        <w:rPr>
          <w:sz w:val="20"/>
          <w:szCs w:val="20"/>
          <w:color w:val="auto"/>
        </w:rPr>
      </w:pPr>
    </w:p>
    <w:p>
      <w:pPr>
        <w:ind w:left="720" w:right="20" w:hanging="234"/>
        <w:spacing w:after="0" w:line="244" w:lineRule="auto"/>
        <w:tabs>
          <w:tab w:leader="none" w:pos="7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activities of the Company relating to its capital structure and capital raising, including preparation for and implementation of public offerings and share issuances; and</w:t>
      </w:r>
    </w:p>
    <w:p>
      <w:pPr>
        <w:spacing w:after="0" w:line="58"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activities of the Company relating to takeovers, mergers and acquisitions activities.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3" w:name="page194"/>
    <w:bookmarkEnd w:id="19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Product Committee</w:t>
      </w:r>
    </w:p>
    <w:p>
      <w:pPr>
        <w:spacing w:after="0" w:line="8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Following the discussions in the Supervisory Board and related workshops with members of the Management Board during 2023, our Product Committee was established as of October 1, 2023 and consists of Ulrich Wandschneider (Chair), Nicola Blackwood and Helmut Jeggle. The Product Committee advises and makes recommendations to the Supervisory Board with respect to our strategy and investment in research and development programs and product launch preparations including commercialization. Its responsibilities include the following tasks:</w:t>
      </w:r>
    </w:p>
    <w:p>
      <w:pPr>
        <w:spacing w:after="0" w:line="71" w:lineRule="exact"/>
        <w:rPr>
          <w:sz w:val="20"/>
          <w:szCs w:val="20"/>
          <w:color w:val="auto"/>
        </w:rPr>
      </w:pPr>
    </w:p>
    <w:p>
      <w:pPr>
        <w:ind w:left="720" w:hanging="234"/>
        <w:spacing w:after="0"/>
        <w:tabs>
          <w:tab w:leader="none" w:pos="7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on strategy, execution and communication regarding relevant go-to-market efforts;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activities relating to a) product development, b) launch plans and c) it´s execution;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on market potential for products in clinical development.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Management Board</w:t>
      </w:r>
    </w:p>
    <w:p>
      <w:pPr>
        <w:spacing w:after="0" w:line="82" w:lineRule="exact"/>
        <w:rPr>
          <w:sz w:val="20"/>
          <w:szCs w:val="20"/>
          <w:color w:val="auto"/>
        </w:rPr>
      </w:pPr>
    </w:p>
    <w:p>
      <w:pPr>
        <w:jc w:val="both"/>
        <w:ind w:right="20" w:firstLine="384"/>
        <w:spacing w:after="0" w:line="331" w:lineRule="auto"/>
        <w:rPr>
          <w:sz w:val="20"/>
          <w:szCs w:val="20"/>
          <w:color w:val="auto"/>
        </w:rPr>
      </w:pPr>
      <w:r>
        <w:rPr>
          <w:rFonts w:ascii="Times New Roman" w:cs="Times New Roman" w:eastAsia="Times New Roman" w:hAnsi="Times New Roman"/>
          <w:sz w:val="14"/>
          <w:szCs w:val="14"/>
          <w:color w:val="231F20"/>
        </w:rPr>
        <w:t>Our Supervisory Board determines the exact number of members of our Management Board, which must consist of at least two members. Pursuant to the Articles, the Supervisory Board may also appoint a chairperson or a spokesman of the Management Board. Ugur Sahin has been appointed the chair of the Management Board.</w:t>
      </w:r>
    </w:p>
    <w:p>
      <w:pPr>
        <w:spacing w:after="0" w:line="10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The members of our Management Board are appointed by our Supervisory Board for a term of up to five years.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16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The members of our Management Board conduct the daily business of the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A member of the management board of an SE governed by German law may not deal with or vote on matters relating to proposals, arrangements or contractual agreements between himself or herself and the Company, and a member of our Management Board may be liable to us if he or she has a material interest in any contractual agreement between the Company and a third party which is not disclosed to and approved by our Supervisory Board.</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 decide on, among others:</w:t>
      </w:r>
    </w:p>
    <w:p>
      <w:pPr>
        <w:spacing w:after="0" w:line="68" w:lineRule="exact"/>
        <w:rPr>
          <w:sz w:val="20"/>
          <w:szCs w:val="20"/>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budget plan for the following year, which is to be presented by the Management Board to the Supervisory Board by December 10 of each year;</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presentation of the Company’s financial statements and consolidated financial statements and reviews of operations of the Company and the Group;</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to the Supervisory Board;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measures and transactions that require the Supervisory Board’s approval;</w:t>
      </w:r>
    </w:p>
    <w:p>
      <w:pPr>
        <w:spacing w:after="0" w:line="80" w:lineRule="exact"/>
        <w:rPr>
          <w:rFonts w:ascii="Times New Roman" w:cs="Times New Roman" w:eastAsia="Times New Roman" w:hAnsi="Times New Roman"/>
          <w:sz w:val="16"/>
          <w:szCs w:val="16"/>
          <w:color w:val="auto"/>
        </w:rPr>
      </w:pPr>
    </w:p>
    <w:p>
      <w:pPr>
        <w:jc w:val="both"/>
        <w:ind w:left="720" w:hanging="234"/>
        <w:spacing w:after="0" w:line="234" w:lineRule="auto"/>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measures and transactions that are of fundamental importance or involve an extraordinary economic risk to us, including without limitation, establishing new lines of business or discontinuing existing ones, acquisitions or sales of material business assets, material interests, holdings and investments and material contracts or transactions;</w:t>
      </w:r>
    </w:p>
    <w:p>
      <w:pPr>
        <w:spacing w:after="0" w:line="6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the Company’s shareholders’ meetings and proposals for resolutions by the Company’s shareholders’ general meetings;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appointment and termination of key managers in the Group.</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4" w:name="page195"/>
    <w:bookmarkEnd w:id="19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Code of Conduct and Conflicts of Interest Policy</w:t>
      </w:r>
    </w:p>
    <w:p>
      <w:pPr>
        <w:spacing w:after="0" w:line="8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https://www.biontech.de. The information and other content appearing on our website are not incorporated by reference into this Annual Report and our website address is included in this report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173"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employees, an actual, potential or perceived conflict of interest must be disclosed when it first arises.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169"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In addition, we have implemented compliance policies that describe the compliance management systems that have been implemented for us and our subsidiaries. Our compliance policies are designed to ensure 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Employees</w:t>
      </w:r>
    </w:p>
    <w:p>
      <w:pPr>
        <w:spacing w:after="0" w:line="8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 xml:space="preserve">As </w:t>
      </w:r>
      <w:r>
        <w:rPr>
          <w:rFonts w:ascii="Times New Roman" w:cs="Times New Roman" w:eastAsia="Times New Roman" w:hAnsi="Times New Roman"/>
          <w:sz w:val="16"/>
          <w:szCs w:val="16"/>
          <w:color w:val="000000"/>
        </w:rPr>
        <w:t>of December 31, 2023, we had 6,133 full-time equivalent employees working for us, of whom 1,168 hold a doctoral degree or higher. The following tables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provides an overview of employee full-time equivalent broken down by function and by the regions European, North America, Asia and Africa.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Borders>
              <w:right w:val="single" w:sz="8" w:color="70AD47"/>
            </w:tcBorders>
          </w:tcPr>
          <w:p>
            <w:pPr>
              <w:spacing w:after="0"/>
              <w:rPr>
                <w:sz w:val="16"/>
                <w:szCs w:val="16"/>
                <w:color w:val="auto"/>
              </w:rPr>
            </w:pPr>
          </w:p>
        </w:tc>
        <w:tc>
          <w:tcPr>
            <w:tcW w:w="1440" w:type="dxa"/>
            <w:vAlign w:val="bottom"/>
            <w:tcBorders>
              <w:right w:val="single" w:sz="8" w:color="70AD47"/>
            </w:tcBorders>
            <w:shd w:val="clear" w:color="auto" w:fill="C6E0B4"/>
          </w:tcPr>
          <w:p>
            <w:pPr>
              <w:spacing w:after="0"/>
              <w:rPr>
                <w:sz w:val="16"/>
                <w:szCs w:val="16"/>
                <w:color w:val="auto"/>
              </w:rPr>
            </w:pPr>
          </w:p>
        </w:tc>
        <w:tc>
          <w:tcPr>
            <w:tcW w:w="14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Scientific</w:t>
            </w:r>
          </w:p>
        </w:tc>
        <w:tc>
          <w:tcPr>
            <w:tcW w:w="1340" w:type="dxa"/>
            <w:vAlign w:val="bottom"/>
            <w:tcBorders>
              <w:right w:val="single" w:sz="8" w:color="70AD47"/>
            </w:tcBorders>
            <w:shd w:val="clear" w:color="auto" w:fill="C6E0B4"/>
          </w:tcPr>
          <w:p>
            <w:pPr>
              <w:spacing w:after="0"/>
              <w:rPr>
                <w:sz w:val="16"/>
                <w:szCs w:val="16"/>
                <w:color w:val="auto"/>
              </w:rPr>
            </w:pPr>
          </w:p>
        </w:tc>
        <w:tc>
          <w:tcPr>
            <w:tcW w:w="1120" w:type="dxa"/>
            <w:vAlign w:val="bottom"/>
            <w:tcBorders>
              <w:right w:val="single" w:sz="8" w:color="70AD47"/>
            </w:tcBorders>
            <w:shd w:val="clear" w:color="auto" w:fill="C6E0B4"/>
          </w:tcPr>
          <w:p>
            <w:pPr>
              <w:spacing w:after="0"/>
              <w:rPr>
                <w:sz w:val="16"/>
                <w:szCs w:val="16"/>
                <w:color w:val="auto"/>
              </w:rPr>
            </w:pPr>
          </w:p>
        </w:tc>
        <w:tc>
          <w:tcPr>
            <w:tcW w:w="1340" w:type="dxa"/>
            <w:vAlign w:val="bottom"/>
            <w:tcBorders>
              <w:right w:val="single" w:sz="8" w:color="70AD47"/>
            </w:tcBorders>
            <w:shd w:val="clear" w:color="auto" w:fill="C6E0B4"/>
          </w:tcPr>
          <w:p>
            <w:pPr>
              <w:spacing w:after="0"/>
              <w:rPr>
                <w:sz w:val="16"/>
                <w:szCs w:val="16"/>
                <w:color w:val="auto"/>
              </w:rPr>
            </w:pPr>
          </w:p>
        </w:tc>
        <w:tc>
          <w:tcPr>
            <w:tcW w:w="1560" w:type="dxa"/>
            <w:vAlign w:val="bottom"/>
            <w:tcBorders>
              <w:right w:val="single" w:sz="8" w:color="70AD47"/>
            </w:tcBorders>
            <w:shd w:val="clear" w:color="auto" w:fill="C6E0B4"/>
          </w:tcPr>
          <w:p>
            <w:pPr>
              <w:spacing w:after="0"/>
              <w:rPr>
                <w:sz w:val="16"/>
                <w:szCs w:val="16"/>
                <w:color w:val="auto"/>
              </w:rPr>
            </w:pPr>
          </w:p>
        </w:tc>
        <w:tc>
          <w:tcPr>
            <w:tcW w:w="620" w:type="dxa"/>
            <w:vAlign w:val="bottom"/>
            <w:tcBorders>
              <w:right w:val="single" w:sz="8" w:color="70AD47"/>
            </w:tcBorders>
            <w:shd w:val="clear" w:color="auto" w:fill="C6E0B4"/>
          </w:tcPr>
          <w:p>
            <w:pPr>
              <w:spacing w:after="0"/>
              <w:rPr>
                <w:sz w:val="16"/>
                <w:szCs w:val="16"/>
                <w:color w:val="auto"/>
              </w:rPr>
            </w:pPr>
          </w:p>
        </w:tc>
      </w:tr>
      <w:tr>
        <w:trPr>
          <w:trHeight w:val="168"/>
        </w:trPr>
        <w:tc>
          <w:tcPr>
            <w:tcW w:w="1740" w:type="dxa"/>
            <w:vAlign w:val="bottom"/>
            <w:tcBorders>
              <w:right w:val="single" w:sz="8" w:color="70AD47"/>
            </w:tcBorders>
          </w:tcPr>
          <w:p>
            <w:pPr>
              <w:spacing w:after="0"/>
              <w:rPr>
                <w:sz w:val="14"/>
                <w:szCs w:val="14"/>
                <w:color w:val="auto"/>
              </w:rPr>
            </w:pPr>
          </w:p>
        </w:tc>
        <w:tc>
          <w:tcPr>
            <w:tcW w:w="144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Clinical Research &amp;</w:t>
            </w:r>
          </w:p>
        </w:tc>
        <w:tc>
          <w:tcPr>
            <w:tcW w:w="142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Research &amp;</w:t>
            </w:r>
          </w:p>
        </w:tc>
        <w:tc>
          <w:tcPr>
            <w:tcW w:w="1340" w:type="dxa"/>
            <w:vAlign w:val="bottom"/>
            <w:tcBorders>
              <w:right w:val="single" w:sz="8" w:color="70AD47"/>
            </w:tcBorders>
            <w:shd w:val="clear" w:color="auto" w:fill="C6E0B4"/>
          </w:tcPr>
          <w:p>
            <w:pPr>
              <w:spacing w:after="0"/>
              <w:rPr>
                <w:sz w:val="14"/>
                <w:szCs w:val="14"/>
                <w:color w:val="auto"/>
              </w:rPr>
            </w:pPr>
          </w:p>
        </w:tc>
        <w:tc>
          <w:tcPr>
            <w:tcW w:w="1120" w:type="dxa"/>
            <w:vAlign w:val="bottom"/>
            <w:tcBorders>
              <w:right w:val="single" w:sz="8" w:color="70AD47"/>
            </w:tcBorders>
            <w:shd w:val="clear" w:color="auto" w:fill="C6E0B4"/>
          </w:tcPr>
          <w:p>
            <w:pPr>
              <w:spacing w:after="0"/>
              <w:rPr>
                <w:sz w:val="14"/>
                <w:szCs w:val="14"/>
                <w:color w:val="auto"/>
              </w:rPr>
            </w:pPr>
          </w:p>
        </w:tc>
        <w:tc>
          <w:tcPr>
            <w:tcW w:w="134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Supporting</w:t>
            </w:r>
          </w:p>
        </w:tc>
        <w:tc>
          <w:tcPr>
            <w:tcW w:w="156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Commercial &amp;</w:t>
            </w:r>
          </w:p>
        </w:tc>
        <w:tc>
          <w:tcPr>
            <w:tcW w:w="620" w:type="dxa"/>
            <w:vAlign w:val="bottom"/>
            <w:tcBorders>
              <w:right w:val="single" w:sz="8" w:color="70AD47"/>
            </w:tcBorders>
            <w:shd w:val="clear" w:color="auto" w:fill="C6E0B4"/>
          </w:tcPr>
          <w:p>
            <w:pPr>
              <w:spacing w:after="0"/>
              <w:rPr>
                <w:sz w:val="14"/>
                <w:szCs w:val="14"/>
                <w:color w:val="auto"/>
              </w:rPr>
            </w:pPr>
          </w:p>
        </w:tc>
      </w:tr>
      <w:tr>
        <w:trPr>
          <w:trHeight w:val="206"/>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Full-time equivalents</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1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Quality</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Functions</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Business Development</w:t>
            </w:r>
          </w:p>
        </w:tc>
        <w:tc>
          <w:tcPr>
            <w:tcW w:w="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5,299</w:t>
            </w:r>
          </w:p>
        </w:tc>
      </w:tr>
      <w:tr>
        <w:trPr>
          <w:trHeight w:val="216"/>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660</w:t>
            </w:r>
          </w:p>
        </w:tc>
      </w:tr>
      <w:tr>
        <w:trPr>
          <w:trHeight w:val="216"/>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Asia</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r>
      <w:tr>
        <w:trPr>
          <w:trHeight w:val="217"/>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Africa</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1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r>
      <w:tr>
        <w:trPr>
          <w:trHeight w:val="170"/>
        </w:trPr>
        <w:tc>
          <w:tcPr>
            <w:tcW w:w="174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w w:val="99"/>
              </w:rPr>
              <w:t>Total as of December 31,</w:t>
            </w:r>
          </w:p>
        </w:tc>
        <w:tc>
          <w:tcPr>
            <w:tcW w:w="1440" w:type="dxa"/>
            <w:vAlign w:val="bottom"/>
            <w:tcBorders>
              <w:right w:val="single" w:sz="8" w:color="70AD47"/>
            </w:tcBorders>
            <w:shd w:val="clear" w:color="auto" w:fill="C6E0B4"/>
          </w:tcPr>
          <w:p>
            <w:pPr>
              <w:spacing w:after="0"/>
              <w:rPr>
                <w:sz w:val="14"/>
                <w:szCs w:val="14"/>
                <w:color w:val="auto"/>
              </w:rPr>
            </w:pPr>
          </w:p>
        </w:tc>
        <w:tc>
          <w:tcPr>
            <w:tcW w:w="1420" w:type="dxa"/>
            <w:vAlign w:val="bottom"/>
            <w:tcBorders>
              <w:right w:val="single" w:sz="8" w:color="70AD47"/>
            </w:tcBorders>
            <w:shd w:val="clear" w:color="auto" w:fill="C6E0B4"/>
          </w:tcPr>
          <w:p>
            <w:pPr>
              <w:spacing w:after="0"/>
              <w:rPr>
                <w:sz w:val="14"/>
                <w:szCs w:val="14"/>
                <w:color w:val="auto"/>
              </w:rPr>
            </w:pPr>
          </w:p>
        </w:tc>
        <w:tc>
          <w:tcPr>
            <w:tcW w:w="1340" w:type="dxa"/>
            <w:vAlign w:val="bottom"/>
            <w:tcBorders>
              <w:right w:val="single" w:sz="8" w:color="70AD47"/>
            </w:tcBorders>
            <w:shd w:val="clear" w:color="auto" w:fill="C6E0B4"/>
          </w:tcPr>
          <w:p>
            <w:pPr>
              <w:spacing w:after="0"/>
              <w:rPr>
                <w:sz w:val="14"/>
                <w:szCs w:val="14"/>
                <w:color w:val="auto"/>
              </w:rPr>
            </w:pPr>
          </w:p>
        </w:tc>
        <w:tc>
          <w:tcPr>
            <w:tcW w:w="1120" w:type="dxa"/>
            <w:vAlign w:val="bottom"/>
            <w:tcBorders>
              <w:right w:val="single" w:sz="8" w:color="70AD47"/>
            </w:tcBorders>
            <w:shd w:val="clear" w:color="auto" w:fill="C6E0B4"/>
          </w:tcPr>
          <w:p>
            <w:pPr>
              <w:spacing w:after="0"/>
              <w:rPr>
                <w:sz w:val="14"/>
                <w:szCs w:val="14"/>
                <w:color w:val="auto"/>
              </w:rPr>
            </w:pPr>
          </w:p>
        </w:tc>
        <w:tc>
          <w:tcPr>
            <w:tcW w:w="1340" w:type="dxa"/>
            <w:vAlign w:val="bottom"/>
            <w:tcBorders>
              <w:right w:val="single" w:sz="8" w:color="70AD47"/>
            </w:tcBorders>
            <w:shd w:val="clear" w:color="auto" w:fill="C6E0B4"/>
          </w:tcPr>
          <w:p>
            <w:pPr>
              <w:spacing w:after="0"/>
              <w:rPr>
                <w:sz w:val="14"/>
                <w:szCs w:val="14"/>
                <w:color w:val="auto"/>
              </w:rPr>
            </w:pPr>
          </w:p>
        </w:tc>
        <w:tc>
          <w:tcPr>
            <w:tcW w:w="1560" w:type="dxa"/>
            <w:vAlign w:val="bottom"/>
            <w:tcBorders>
              <w:right w:val="single" w:sz="8" w:color="70AD47"/>
            </w:tcBorders>
            <w:shd w:val="clear" w:color="auto" w:fill="C6E0B4"/>
          </w:tcPr>
          <w:p>
            <w:pPr>
              <w:spacing w:after="0"/>
              <w:rPr>
                <w:sz w:val="14"/>
                <w:szCs w:val="14"/>
                <w:color w:val="auto"/>
              </w:rPr>
            </w:pPr>
          </w:p>
        </w:tc>
        <w:tc>
          <w:tcPr>
            <w:tcW w:w="620" w:type="dxa"/>
            <w:vAlign w:val="bottom"/>
            <w:tcBorders>
              <w:right w:val="single" w:sz="8" w:color="70AD47"/>
            </w:tcBorders>
            <w:shd w:val="clear" w:color="auto" w:fill="C6E0B4"/>
          </w:tcPr>
          <w:p>
            <w:pPr>
              <w:spacing w:after="0"/>
              <w:rPr>
                <w:sz w:val="14"/>
                <w:szCs w:val="14"/>
                <w:color w:val="auto"/>
              </w:rPr>
            </w:pPr>
          </w:p>
        </w:tc>
      </w:tr>
      <w:tr>
        <w:trPr>
          <w:trHeight w:val="206"/>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576</w:t>
            </w:r>
          </w:p>
        </w:tc>
        <w:tc>
          <w:tcPr>
            <w:tcW w:w="14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11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13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1,365</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6,133</w:t>
            </w:r>
          </w:p>
        </w:tc>
      </w:tr>
      <w:tr>
        <w:trPr>
          <w:trHeight w:val="207"/>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4,093</w:t>
            </w:r>
          </w:p>
        </w:tc>
      </w:tr>
      <w:tr>
        <w:trPr>
          <w:trHeight w:val="216"/>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432</w:t>
            </w:r>
          </w:p>
        </w:tc>
      </w:tr>
      <w:tr>
        <w:trPr>
          <w:trHeight w:val="217"/>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Asia</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r>
      <w:tr>
        <w:trPr>
          <w:trHeight w:val="170"/>
        </w:trPr>
        <w:tc>
          <w:tcPr>
            <w:tcW w:w="174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w w:val="99"/>
              </w:rPr>
              <w:t>Total as of December 31,</w:t>
            </w:r>
          </w:p>
        </w:tc>
        <w:tc>
          <w:tcPr>
            <w:tcW w:w="1440" w:type="dxa"/>
            <w:vAlign w:val="bottom"/>
            <w:tcBorders>
              <w:right w:val="single" w:sz="8" w:color="70AD47"/>
            </w:tcBorders>
          </w:tcPr>
          <w:p>
            <w:pPr>
              <w:spacing w:after="0"/>
              <w:rPr>
                <w:sz w:val="14"/>
                <w:szCs w:val="14"/>
                <w:color w:val="auto"/>
              </w:rPr>
            </w:pPr>
          </w:p>
        </w:tc>
        <w:tc>
          <w:tcPr>
            <w:tcW w:w="14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1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560" w:type="dxa"/>
            <w:vAlign w:val="bottom"/>
            <w:tcBorders>
              <w:right w:val="single" w:sz="8" w:color="70AD47"/>
            </w:tcBorders>
          </w:tcPr>
          <w:p>
            <w:pPr>
              <w:spacing w:after="0"/>
              <w:rPr>
                <w:sz w:val="14"/>
                <w:szCs w:val="14"/>
                <w:color w:val="auto"/>
              </w:rPr>
            </w:pPr>
          </w:p>
        </w:tc>
        <w:tc>
          <w:tcPr>
            <w:tcW w:w="620" w:type="dxa"/>
            <w:vAlign w:val="bottom"/>
            <w:tcBorders>
              <w:right w:val="single" w:sz="8" w:color="70AD47"/>
            </w:tcBorders>
          </w:tcPr>
          <w:p>
            <w:pPr>
              <w:spacing w:after="0"/>
              <w:rPr>
                <w:sz w:val="14"/>
                <w:szCs w:val="14"/>
                <w:color w:val="auto"/>
              </w:rPr>
            </w:pPr>
          </w:p>
        </w:tc>
      </w:tr>
      <w:tr>
        <w:trPr>
          <w:trHeight w:val="206"/>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14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1,458</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1,300</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384</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4,530</w:t>
            </w:r>
          </w:p>
        </w:tc>
      </w:tr>
      <w:tr>
        <w:trPr>
          <w:trHeight w:val="207"/>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2,846</w:t>
            </w:r>
          </w:p>
        </w:tc>
      </w:tr>
      <w:tr>
        <w:trPr>
          <w:trHeight w:val="216"/>
        </w:trPr>
        <w:tc>
          <w:tcPr>
            <w:tcW w:w="17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r>
      <w:tr>
        <w:trPr>
          <w:trHeight w:val="217"/>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Asia</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170"/>
        </w:trPr>
        <w:tc>
          <w:tcPr>
            <w:tcW w:w="174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w w:val="99"/>
              </w:rPr>
              <w:t>Total as of December 31,</w:t>
            </w:r>
          </w:p>
        </w:tc>
        <w:tc>
          <w:tcPr>
            <w:tcW w:w="1440" w:type="dxa"/>
            <w:vAlign w:val="bottom"/>
            <w:tcBorders>
              <w:right w:val="single" w:sz="8" w:color="70AD47"/>
            </w:tcBorders>
          </w:tcPr>
          <w:p>
            <w:pPr>
              <w:spacing w:after="0"/>
              <w:rPr>
                <w:sz w:val="14"/>
                <w:szCs w:val="14"/>
                <w:color w:val="auto"/>
              </w:rPr>
            </w:pPr>
          </w:p>
        </w:tc>
        <w:tc>
          <w:tcPr>
            <w:tcW w:w="14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120" w:type="dxa"/>
            <w:vAlign w:val="bottom"/>
            <w:tcBorders>
              <w:right w:val="single" w:sz="8" w:color="70AD47"/>
            </w:tcBorders>
          </w:tcPr>
          <w:p>
            <w:pPr>
              <w:spacing w:after="0"/>
              <w:rPr>
                <w:sz w:val="14"/>
                <w:szCs w:val="14"/>
                <w:color w:val="auto"/>
              </w:rPr>
            </w:pPr>
          </w:p>
        </w:tc>
        <w:tc>
          <w:tcPr>
            <w:tcW w:w="1340" w:type="dxa"/>
            <w:vAlign w:val="bottom"/>
            <w:tcBorders>
              <w:right w:val="single" w:sz="8" w:color="70AD47"/>
            </w:tcBorders>
          </w:tcPr>
          <w:p>
            <w:pPr>
              <w:spacing w:after="0"/>
              <w:rPr>
                <w:sz w:val="14"/>
                <w:szCs w:val="14"/>
                <w:color w:val="auto"/>
              </w:rPr>
            </w:pPr>
          </w:p>
        </w:tc>
        <w:tc>
          <w:tcPr>
            <w:tcW w:w="1560" w:type="dxa"/>
            <w:vAlign w:val="bottom"/>
            <w:tcBorders>
              <w:right w:val="single" w:sz="8" w:color="70AD47"/>
            </w:tcBorders>
          </w:tcPr>
          <w:p>
            <w:pPr>
              <w:spacing w:after="0"/>
              <w:rPr>
                <w:sz w:val="14"/>
                <w:szCs w:val="14"/>
                <w:color w:val="auto"/>
              </w:rPr>
            </w:pPr>
          </w:p>
        </w:tc>
        <w:tc>
          <w:tcPr>
            <w:tcW w:w="620" w:type="dxa"/>
            <w:vAlign w:val="bottom"/>
            <w:tcBorders>
              <w:right w:val="single" w:sz="8" w:color="70AD47"/>
            </w:tcBorders>
          </w:tcPr>
          <w:p>
            <w:pPr>
              <w:spacing w:after="0"/>
              <w:rPr>
                <w:sz w:val="14"/>
                <w:szCs w:val="14"/>
                <w:color w:val="auto"/>
              </w:rPr>
            </w:pPr>
          </w:p>
        </w:tc>
      </w:tr>
      <w:tr>
        <w:trPr>
          <w:trHeight w:val="206"/>
        </w:trPr>
        <w:tc>
          <w:tcPr>
            <w:tcW w:w="17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4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1,015</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c>
          <w:tcPr>
            <w:tcW w:w="13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551</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3,082</w:t>
            </w:r>
          </w:p>
        </w:tc>
      </w:tr>
    </w:tbl>
    <w:p>
      <w:pPr>
        <w:spacing w:after="0" w:line="251"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None of our employees has engaged in any labor strikes. We apply the collective labor agreements of the chemical industry and related industries at our Marburg site. We have works councils at our Idar-Oberstein, Mainz, Marburg, Munich and Berlin (JPT Peptide Technologies GmbH) sites as well as a group works council (</w:t>
      </w:r>
      <w:r>
        <w:rPr>
          <w:rFonts w:ascii="Times New Roman" w:cs="Times New Roman" w:eastAsia="Times New Roman" w:hAnsi="Times New Roman"/>
          <w:sz w:val="16"/>
          <w:szCs w:val="16"/>
          <w:i w:val="1"/>
          <w:iCs w:val="1"/>
          <w:color w:val="auto"/>
        </w:rPr>
        <w:t>Konzernbetriebsrat</w:t>
      </w:r>
      <w:r>
        <w:rPr>
          <w:rFonts w:ascii="Times New Roman" w:cs="Times New Roman" w:eastAsia="Times New Roman" w:hAnsi="Times New Roman"/>
          <w:sz w:val="16"/>
          <w:szCs w:val="16"/>
          <w:color w:val="auto"/>
        </w:rPr>
        <w:t>). Further, we maintain a couple of works agreements (</w:t>
      </w:r>
      <w:r>
        <w:rPr>
          <w:rFonts w:ascii="Times New Roman" w:cs="Times New Roman" w:eastAsia="Times New Roman" w:hAnsi="Times New Roman"/>
          <w:sz w:val="16"/>
          <w:szCs w:val="16"/>
          <w:i w:val="1"/>
          <w:iCs w:val="1"/>
          <w:color w:val="auto"/>
        </w:rPr>
        <w:t>Betriebsvereinbarungen</w:t>
      </w:r>
      <w:r>
        <w:rPr>
          <w:rFonts w:ascii="Times New Roman" w:cs="Times New Roman" w:eastAsia="Times New Roman" w:hAnsi="Times New Roman"/>
          <w:sz w:val="16"/>
          <w:szCs w:val="16"/>
          <w:color w:val="auto"/>
        </w:rPr>
        <w:t>) and group works agreements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5" w:name="page196"/>
    <w:bookmarkEnd w:id="19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Konzernbetriebsvereinbarungen</w:t>
      </w:r>
      <w:r>
        <w:rPr>
          <w:rFonts w:ascii="Times New Roman" w:cs="Times New Roman" w:eastAsia="Times New Roman" w:hAnsi="Times New Roman"/>
          <w:sz w:val="14"/>
          <w:szCs w:val="14"/>
          <w:color w:val="auto"/>
        </w:rPr>
        <w:t>) with respect to certain topics at our Idar-Oberstein, Mainz, Marburg and Berlin (JPT Peptide Technologies GmbH) sites or the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consider our relationship with our employees to be positive and have not experienced any major labor disputes.</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 Share Ownership</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share ownership information with respect to Management Board and Supervisory Board members is presented in Item 7 below.</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 Disclosure of a Registrant’s Action to Recover Erroneously Awarded Compensation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Major Shareholders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color w:val="231F20"/>
        </w:rPr>
        <w:t>following</w:t>
      </w:r>
      <w:r>
        <w:rPr>
          <w:rFonts w:ascii="Times New Roman" w:cs="Times New Roman" w:eastAsia="Times New Roman" w:hAnsi="Times New Roman"/>
          <w:sz w:val="16"/>
          <w:szCs w:val="16"/>
          <w:color w:val="auto"/>
        </w:rPr>
        <w:t xml:space="preserve"> table presents information, as of December 31, 2023 regarding the beneficial ownership of our ordinary shares for:</w:t>
      </w:r>
    </w:p>
    <w:p>
      <w:pPr>
        <w:spacing w:after="0" w:line="92" w:lineRule="exact"/>
        <w:rPr>
          <w:sz w:val="20"/>
          <w:szCs w:val="20"/>
          <w:color w:val="auto"/>
        </w:rPr>
      </w:pPr>
    </w:p>
    <w:p>
      <w:pPr>
        <w:ind w:left="720" w:hanging="234"/>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own beneficially 5% or more of our outstanding shares;</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 of our Supervisory Board;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 of our Management Board; and</w:t>
      </w:r>
    </w:p>
    <w:p>
      <w:pPr>
        <w:spacing w:after="0" w:line="80"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members of our Supervisory Board and Management Board as a group.</w:t>
      </w:r>
    </w:p>
    <w:p>
      <w:pPr>
        <w:spacing w:after="0" w:line="17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 xml:space="preserve">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w:t>
      </w:r>
      <w:r>
        <w:rPr>
          <w:rFonts w:ascii="Times New Roman" w:cs="Times New Roman" w:eastAsia="Times New Roman" w:hAnsi="Times New Roman"/>
          <w:sz w:val="16"/>
          <w:szCs w:val="16"/>
          <w:color w:val="000000"/>
        </w:rPr>
        <w:t>of December 31, 2023 t</w:t>
      </w:r>
      <w:r>
        <w:rPr>
          <w:rFonts w:ascii="Times New Roman" w:cs="Times New Roman" w:eastAsia="Times New Roman" w:hAnsi="Times New Roman"/>
          <w:sz w:val="16"/>
          <w:szCs w:val="16"/>
          <w:color w:val="231F20"/>
        </w:rPr>
        <w:t>hrough the exercise of any option, warrant or other right. Except as otherwise indicated, and subject to applicable community property laws, the persons named in the table have sole voting and investment power with respect to all ordinary shares held by that person. All of our ordinary shares and ADSs representing our ordinary shares vote on an equal basis.</w:t>
      </w:r>
    </w:p>
    <w:p>
      <w:pPr>
        <w:spacing w:after="0" w:line="173"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The </w:t>
      </w:r>
      <w:r>
        <w:rPr>
          <w:rFonts w:ascii="Times New Roman" w:cs="Times New Roman" w:eastAsia="Times New Roman" w:hAnsi="Times New Roman"/>
          <w:sz w:val="16"/>
          <w:szCs w:val="16"/>
          <w:color w:val="000000"/>
        </w:rPr>
        <w:t>percentage of outstanding ordinary shares is computed on the basis of 237,725,735 ordinary shares outstanding as ofDecember 31, 2023. This amount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excludes 10,826,465 shares held in treasury. Amounts presented in this section include ordinary shares held in the form of ADSs. Unless otherwise indicated, the address for each beneficial owner is An der Goldgrube 12, 55131 Mainz,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6" w:name="page197"/>
    <w:bookmarkEnd w:id="19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right w:val="single" w:sz="8" w:color="70AD47"/>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780" w:type="dxa"/>
            <w:vAlign w:val="bottom"/>
            <w:tcBorders>
              <w:right w:val="single" w:sz="8" w:color="70AD47"/>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60" w:type="dxa"/>
            <w:vAlign w:val="bottom"/>
            <w:tcBorders>
              <w:right w:val="single" w:sz="8" w:color="70AD47"/>
            </w:tcBorders>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Percentage Beneficially</w:t>
            </w:r>
          </w:p>
        </w:tc>
        <w:tc>
          <w:tcPr>
            <w:tcW w:w="0" w:type="dxa"/>
            <w:vAlign w:val="bottom"/>
          </w:tcPr>
          <w:p>
            <w:pPr>
              <w:spacing w:after="0"/>
              <w:rPr>
                <w:sz w:val="1"/>
                <w:szCs w:val="1"/>
                <w:color w:val="auto"/>
              </w:rPr>
            </w:pPr>
          </w:p>
        </w:tc>
      </w:tr>
      <w:tr>
        <w:trPr>
          <w:trHeight w:val="121"/>
        </w:trPr>
        <w:tc>
          <w:tcPr>
            <w:tcW w:w="7040" w:type="dxa"/>
            <w:vAlign w:val="bottom"/>
            <w:tcBorders>
              <w:right w:val="single" w:sz="8" w:color="70AD47"/>
            </w:tcBorders>
            <w:vMerge w:val="continue"/>
          </w:tcPr>
          <w:p>
            <w:pPr>
              <w:spacing w:after="0"/>
              <w:rPr>
                <w:sz w:val="10"/>
                <w:szCs w:val="10"/>
                <w:color w:val="auto"/>
              </w:rPr>
            </w:pPr>
          </w:p>
        </w:tc>
        <w:tc>
          <w:tcPr>
            <w:tcW w:w="1780" w:type="dxa"/>
            <w:vAlign w:val="bottom"/>
            <w:tcBorders>
              <w:right w:val="single" w:sz="8" w:color="70AD47"/>
            </w:tcBorders>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50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60" w:type="dxa"/>
            <w:vAlign w:val="bottom"/>
            <w:tcBorders>
              <w:right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040" w:type="dxa"/>
            <w:vAlign w:val="bottom"/>
            <w:tcBorders>
              <w:bottom w:val="single" w:sz="8" w:color="70AD47"/>
              <w:right w:val="single" w:sz="8" w:color="70AD47"/>
            </w:tcBorders>
          </w:tcPr>
          <w:p>
            <w:pPr>
              <w:spacing w:after="0"/>
              <w:rPr>
                <w:sz w:val="7"/>
                <w:szCs w:val="7"/>
                <w:color w:val="auto"/>
              </w:rPr>
            </w:pPr>
          </w:p>
        </w:tc>
        <w:tc>
          <w:tcPr>
            <w:tcW w:w="1780" w:type="dxa"/>
            <w:vAlign w:val="bottom"/>
            <w:tcBorders>
              <w:bottom w:val="single" w:sz="8" w:color="70AD47"/>
              <w:right w:val="single" w:sz="8" w:color="70AD47"/>
            </w:tcBorders>
            <w:vMerge w:val="continue"/>
          </w:tcPr>
          <w:p>
            <w:pPr>
              <w:spacing w:after="0"/>
              <w:rPr>
                <w:sz w:val="7"/>
                <w:szCs w:val="7"/>
                <w:color w:val="auto"/>
              </w:rPr>
            </w:pPr>
          </w:p>
        </w:tc>
        <w:tc>
          <w:tcPr>
            <w:tcW w:w="1500" w:type="dxa"/>
            <w:vAlign w:val="bottom"/>
            <w:tcBorders>
              <w:bottom w:val="single" w:sz="8" w:color="70AD47"/>
            </w:tcBorders>
            <w:vMerge w:val="continue"/>
          </w:tcPr>
          <w:p>
            <w:pPr>
              <w:spacing w:after="0"/>
              <w:rPr>
                <w:sz w:val="7"/>
                <w:szCs w:val="7"/>
                <w:color w:val="auto"/>
              </w:rPr>
            </w:pPr>
          </w:p>
        </w:tc>
        <w:tc>
          <w:tcPr>
            <w:tcW w:w="26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435"/>
        </w:trPr>
        <w:tc>
          <w:tcPr>
            <w:tcW w:w="70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5% shareholders</w:t>
            </w:r>
          </w:p>
        </w:tc>
        <w:tc>
          <w:tcPr>
            <w:tcW w:w="1780" w:type="dxa"/>
            <w:vAlign w:val="bottom"/>
            <w:tcBorders>
              <w:right w:val="single" w:sz="8" w:color="70AD47"/>
            </w:tcBorders>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40" w:type="dxa"/>
            <w:vAlign w:val="bottom"/>
            <w:tcBorders>
              <w:right w:val="single" w:sz="8" w:color="70AD47"/>
            </w:tcBorders>
          </w:tcPr>
          <w:p>
            <w:pPr>
              <w:ind w:left="120"/>
              <w:spacing w:after="0" w:line="229" w:lineRule="exact"/>
              <w:rPr>
                <w:sz w:val="20"/>
                <w:szCs w:val="20"/>
                <w:color w:val="auto"/>
              </w:rPr>
            </w:pPr>
            <w:r>
              <w:rPr>
                <w:rFonts w:ascii="Times New Roman" w:cs="Times New Roman" w:eastAsia="Times New Roman" w:hAnsi="Times New Roman"/>
                <w:sz w:val="16"/>
                <w:szCs w:val="16"/>
                <w:color w:val="auto"/>
              </w:rPr>
              <w:t>AT Impf GmbH</w:t>
            </w:r>
            <w:r>
              <w:rPr>
                <w:rFonts w:ascii="Times New Roman" w:cs="Times New Roman" w:eastAsia="Times New Roman" w:hAnsi="Times New Roman"/>
                <w:sz w:val="21"/>
                <w:szCs w:val="21"/>
                <w:color w:val="auto"/>
                <w:vertAlign w:val="superscript"/>
              </w:rPr>
              <w:t>(1)</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104,049,145</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040" w:type="dxa"/>
            <w:vAlign w:val="bottom"/>
            <w:tcBorders>
              <w:bottom w:val="single" w:sz="8" w:color="70AD47"/>
              <w:right w:val="single" w:sz="8" w:color="70AD47"/>
            </w:tcBorders>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Medine GmbH </w:t>
            </w:r>
            <w:r>
              <w:rPr>
                <w:rFonts w:ascii="Times New Roman" w:cs="Times New Roman" w:eastAsia="Times New Roman" w:hAnsi="Times New Roman"/>
                <w:sz w:val="21"/>
                <w:szCs w:val="21"/>
                <w:color w:val="auto"/>
                <w:vertAlign w:val="superscript"/>
              </w:rPr>
              <w:t>(2)</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40,439,542</w:t>
            </w:r>
          </w:p>
        </w:tc>
        <w:tc>
          <w:tcPr>
            <w:tcW w:w="1500" w:type="dxa"/>
            <w:vAlign w:val="bottom"/>
            <w:tcBorders>
              <w:bottom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5% shareholders, as a group</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144,488,687</w:t>
            </w:r>
          </w:p>
        </w:tc>
        <w:tc>
          <w:tcPr>
            <w:tcW w:w="1500" w:type="dxa"/>
            <w:vAlign w:val="bottom"/>
            <w:tcBorders>
              <w:bottom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60.8</w:t>
            </w:r>
          </w:p>
        </w:tc>
        <w:tc>
          <w:tcPr>
            <w:tcW w:w="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70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Members of the Supervisory Board and the Management Board</w:t>
            </w:r>
          </w:p>
        </w:tc>
        <w:tc>
          <w:tcPr>
            <w:tcW w:w="1780" w:type="dxa"/>
            <w:vAlign w:val="bottom"/>
            <w:tcBorders>
              <w:right w:val="single" w:sz="8" w:color="70AD47"/>
            </w:tcBorders>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Prof. Ugur Sahin, M.D. </w:t>
            </w:r>
            <w:r>
              <w:rPr>
                <w:rFonts w:ascii="Times New Roman" w:cs="Times New Roman" w:eastAsia="Times New Roman" w:hAnsi="Times New Roman"/>
                <w:sz w:val="9"/>
                <w:szCs w:val="9"/>
                <w:color w:val="auto"/>
              </w:rPr>
              <w:t>(3)</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41,295,728</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7040" w:type="dxa"/>
            <w:vAlign w:val="bottom"/>
            <w:tcBorders>
              <w:right w:val="single" w:sz="8" w:color="70AD47"/>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Jens Holstein</w:t>
            </w:r>
          </w:p>
        </w:tc>
        <w:tc>
          <w:tcPr>
            <w:tcW w:w="17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500" w:type="dxa"/>
            <w:vAlign w:val="bottom"/>
          </w:tcPr>
          <w:p>
            <w:pPr>
              <w:spacing w:after="0"/>
              <w:rPr>
                <w:sz w:val="12"/>
                <w:szCs w:val="12"/>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74"/>
        </w:trPr>
        <w:tc>
          <w:tcPr>
            <w:tcW w:w="7040" w:type="dxa"/>
            <w:vAlign w:val="bottom"/>
            <w:tcBorders>
              <w:right w:val="single" w:sz="8" w:color="70AD47"/>
            </w:tcBorders>
            <w:vMerge w:val="continue"/>
          </w:tcPr>
          <w:p>
            <w:pPr>
              <w:spacing w:after="0"/>
              <w:rPr>
                <w:sz w:val="6"/>
                <w:szCs w:val="6"/>
                <w:color w:val="auto"/>
              </w:rPr>
            </w:pPr>
          </w:p>
        </w:tc>
        <w:tc>
          <w:tcPr>
            <w:tcW w:w="1780" w:type="dxa"/>
            <w:vAlign w:val="bottom"/>
            <w:tcBorders>
              <w:right w:val="single" w:sz="8" w:color="70AD47"/>
            </w:tcBorders>
            <w:vMerge w:val="continue"/>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Borders>
              <w:right w:val="single" w:sz="8" w:color="70AD47"/>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040" w:type="dxa"/>
            <w:vAlign w:val="bottom"/>
            <w:tcBorders>
              <w:right w:val="single" w:sz="8" w:color="70AD47"/>
            </w:tcBorders>
          </w:tcPr>
          <w:p>
            <w:pPr>
              <w:ind w:left="120"/>
              <w:spacing w:after="0" w:line="229" w:lineRule="exact"/>
              <w:rPr>
                <w:sz w:val="20"/>
                <w:szCs w:val="20"/>
                <w:color w:val="auto"/>
              </w:rPr>
            </w:pPr>
            <w:r>
              <w:rPr>
                <w:rFonts w:ascii="Times New Roman" w:cs="Times New Roman" w:eastAsia="Times New Roman" w:hAnsi="Times New Roman"/>
                <w:sz w:val="16"/>
                <w:szCs w:val="16"/>
                <w:color w:val="auto"/>
              </w:rPr>
              <w:t xml:space="preserve">Sean Marett </w:t>
            </w:r>
            <w:r>
              <w:rPr>
                <w:rFonts w:ascii="Times New Roman" w:cs="Times New Roman" w:eastAsia="Times New Roman" w:hAnsi="Times New Roman"/>
                <w:sz w:val="21"/>
                <w:szCs w:val="21"/>
                <w:color w:val="auto"/>
                <w:vertAlign w:val="superscript"/>
              </w:rPr>
              <w:t>(4)</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815,263</w:t>
            </w:r>
          </w:p>
        </w:tc>
        <w:tc>
          <w:tcPr>
            <w:tcW w:w="1500" w:type="dxa"/>
            <w:vAlign w:val="bottom"/>
          </w:tcPr>
          <w:p>
            <w:pPr>
              <w:spacing w:after="0"/>
              <w:rPr>
                <w:sz w:val="19"/>
                <w:szCs w:val="19"/>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03"/>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Sierk Poetting, Ph.D.</w:t>
            </w:r>
            <w:r>
              <w:rPr>
                <w:rFonts w:ascii="Times New Roman" w:cs="Times New Roman" w:eastAsia="Times New Roman" w:hAnsi="Times New Roman"/>
                <w:sz w:val="9"/>
                <w:szCs w:val="9"/>
                <w:color w:val="auto"/>
              </w:rPr>
              <w:t>(5)</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754,784</w:t>
            </w:r>
          </w:p>
        </w:tc>
        <w:tc>
          <w:tcPr>
            <w:tcW w:w="1500" w:type="dxa"/>
            <w:vAlign w:val="bottom"/>
          </w:tcPr>
          <w:p>
            <w:pPr>
              <w:spacing w:after="0"/>
              <w:rPr>
                <w:sz w:val="17"/>
                <w:szCs w:val="17"/>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16"/>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Ryan Richardson</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500" w:type="dxa"/>
            <w:vAlign w:val="bottom"/>
          </w:tcPr>
          <w:p>
            <w:pPr>
              <w:spacing w:after="0"/>
              <w:rPr>
                <w:sz w:val="18"/>
                <w:szCs w:val="18"/>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16"/>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James Ryan, Ph.D.</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Prof. Özlem Türeci, M.D.</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913,247</w:t>
            </w:r>
          </w:p>
        </w:tc>
        <w:tc>
          <w:tcPr>
            <w:tcW w:w="1500" w:type="dxa"/>
            <w:vAlign w:val="bottom"/>
          </w:tcPr>
          <w:p>
            <w:pPr>
              <w:spacing w:after="0"/>
              <w:rPr>
                <w:sz w:val="18"/>
                <w:szCs w:val="18"/>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29"/>
        </w:trPr>
        <w:tc>
          <w:tcPr>
            <w:tcW w:w="7040" w:type="dxa"/>
            <w:vAlign w:val="bottom"/>
            <w:tcBorders>
              <w:right w:val="single" w:sz="8" w:color="70AD47"/>
            </w:tcBorders>
          </w:tcPr>
          <w:p>
            <w:pPr>
              <w:ind w:left="120"/>
              <w:spacing w:after="0" w:line="229" w:lineRule="exact"/>
              <w:rPr>
                <w:sz w:val="20"/>
                <w:szCs w:val="20"/>
                <w:color w:val="auto"/>
              </w:rPr>
            </w:pPr>
            <w:r>
              <w:rPr>
                <w:rFonts w:ascii="Times New Roman" w:cs="Times New Roman" w:eastAsia="Times New Roman" w:hAnsi="Times New Roman"/>
                <w:sz w:val="16"/>
                <w:szCs w:val="16"/>
                <w:color w:val="auto"/>
              </w:rPr>
              <w:t xml:space="preserve">Helmut Jeggle </w:t>
            </w:r>
            <w:r>
              <w:rPr>
                <w:rFonts w:ascii="Times New Roman" w:cs="Times New Roman" w:eastAsia="Times New Roman" w:hAnsi="Times New Roman"/>
                <w:sz w:val="21"/>
                <w:szCs w:val="21"/>
                <w:color w:val="auto"/>
                <w:vertAlign w:val="superscript"/>
              </w:rPr>
              <w:t>(6)</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1,525,967</w:t>
            </w:r>
          </w:p>
        </w:tc>
        <w:tc>
          <w:tcPr>
            <w:tcW w:w="1500" w:type="dxa"/>
            <w:vAlign w:val="bottom"/>
          </w:tcPr>
          <w:p>
            <w:pPr>
              <w:spacing w:after="0"/>
              <w:rPr>
                <w:sz w:val="19"/>
                <w:szCs w:val="19"/>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16"/>
        </w:trPr>
        <w:tc>
          <w:tcPr>
            <w:tcW w:w="7040" w:type="dxa"/>
            <w:vAlign w:val="bottom"/>
            <w:tcBorders>
              <w:right w:val="single" w:sz="8" w:color="70AD47"/>
            </w:tcBorders>
          </w:tcPr>
          <w:p>
            <w:pPr>
              <w:ind w:left="120"/>
              <w:spacing w:after="0" w:line="216" w:lineRule="exact"/>
              <w:rPr>
                <w:sz w:val="20"/>
                <w:szCs w:val="20"/>
                <w:color w:val="auto"/>
              </w:rPr>
            </w:pPr>
            <w:r>
              <w:rPr>
                <w:rFonts w:ascii="Times New Roman" w:cs="Times New Roman" w:eastAsia="Times New Roman" w:hAnsi="Times New Roman"/>
                <w:sz w:val="16"/>
                <w:szCs w:val="16"/>
                <w:color w:val="auto"/>
              </w:rPr>
              <w:t>Ulrich Wandschneider, Ph.D.</w:t>
            </w:r>
            <w:r>
              <w:rPr>
                <w:rFonts w:ascii="Times New Roman" w:cs="Times New Roman" w:eastAsia="Times New Roman" w:hAnsi="Times New Roman"/>
                <w:sz w:val="21"/>
                <w:szCs w:val="21"/>
                <w:color w:val="auto"/>
                <w:vertAlign w:val="superscript"/>
              </w:rPr>
              <w:t>(7)</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500" w:type="dxa"/>
            <w:vAlign w:val="bottom"/>
          </w:tcPr>
          <w:p>
            <w:pPr>
              <w:spacing w:after="0"/>
              <w:rPr>
                <w:sz w:val="18"/>
                <w:szCs w:val="18"/>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03"/>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Baroness Nicola Blackwood</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7040" w:type="dxa"/>
            <w:vAlign w:val="bottom"/>
            <w:tcBorders>
              <w:right w:val="single" w:sz="8" w:color="70AD47"/>
            </w:tcBorders>
          </w:tcPr>
          <w:p>
            <w:pPr>
              <w:ind w:left="120"/>
              <w:spacing w:after="0" w:line="229" w:lineRule="exact"/>
              <w:rPr>
                <w:sz w:val="20"/>
                <w:szCs w:val="20"/>
                <w:color w:val="auto"/>
              </w:rPr>
            </w:pPr>
            <w:r>
              <w:rPr>
                <w:rFonts w:ascii="Times New Roman" w:cs="Times New Roman" w:eastAsia="Times New Roman" w:hAnsi="Times New Roman"/>
                <w:sz w:val="16"/>
                <w:szCs w:val="16"/>
                <w:color w:val="auto"/>
              </w:rPr>
              <w:t>Prof. Anja Morawietz, Ph.D.</w:t>
            </w:r>
            <w:r>
              <w:rPr>
                <w:rFonts w:ascii="Times New Roman" w:cs="Times New Roman" w:eastAsia="Times New Roman" w:hAnsi="Times New Roman"/>
                <w:sz w:val="21"/>
                <w:szCs w:val="21"/>
                <w:color w:val="auto"/>
                <w:vertAlign w:val="superscript"/>
              </w:rPr>
              <w:t>(8)</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500" w:type="dxa"/>
            <w:vAlign w:val="bottom"/>
          </w:tcPr>
          <w:p>
            <w:pPr>
              <w:spacing w:after="0"/>
              <w:rPr>
                <w:sz w:val="19"/>
                <w:szCs w:val="19"/>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03"/>
        </w:trPr>
        <w:tc>
          <w:tcPr>
            <w:tcW w:w="70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Michael Motschmann</w:t>
            </w:r>
          </w:p>
        </w:tc>
        <w:tc>
          <w:tcPr>
            <w:tcW w:w="1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0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Prof. Rudolf Staudigl, Ph.D.</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500" w:type="dxa"/>
            <w:vAlign w:val="bottom"/>
            <w:tcBorders>
              <w:bottom w:val="single" w:sz="8" w:color="70AD47"/>
            </w:tcBorders>
          </w:tcPr>
          <w:p>
            <w:pPr>
              <w:spacing w:after="0"/>
              <w:rPr>
                <w:sz w:val="18"/>
                <w:szCs w:val="18"/>
                <w:color w:val="auto"/>
              </w:rPr>
            </w:pPr>
          </w:p>
        </w:tc>
        <w:tc>
          <w:tcPr>
            <w:tcW w:w="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08"/>
        </w:trPr>
        <w:tc>
          <w:tcPr>
            <w:tcW w:w="7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members of our Supervisory Board and Management Board, as a group</w:t>
            </w:r>
          </w:p>
        </w:tc>
        <w:tc>
          <w:tcPr>
            <w:tcW w:w="1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45,323,424</w:t>
            </w:r>
          </w:p>
        </w:tc>
        <w:tc>
          <w:tcPr>
            <w:tcW w:w="1500" w:type="dxa"/>
            <w:vAlign w:val="bottom"/>
            <w:tcBorders>
              <w:bottom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19.1</w:t>
            </w:r>
          </w:p>
        </w:tc>
        <w:tc>
          <w:tcPr>
            <w:tcW w:w="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240" w:right="40" w:hanging="234"/>
        <w:spacing w:after="0"/>
        <w:tabs>
          <w:tab w:leader="none" w:pos="26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Information herein is based upon a Schedule 13G/A jointly filed with the SEC on February 7, 2024 by ATHOS KG, AT Impf GmbH and Thomas Maier. Consists of 104,049,145 ordinary shares held by AT Impf GmbH. The sole member of AT Impf GmbH is ATHOS KG, and, as a result, ATHOS KG is deemed to be the beneficial owner of the securities held by AT Impf GmbH. ATHOS KG via AT Impf GmbH has de facto control over BioNTech based on its substantial shareholding, which practically enables it to exercise the majority of voting rights to pass resolutions at our Annual General Meeting, or AGM. As of December 31, 2023 Thomas Maier is a general partner (Komplementär) of ATHOS KG and may be deemed to be beneficial owners of the securities held by AT Impf KG. Mr. Maier disclaims beneficial ownership of such shares except to the extent of their pecuniary interest therein.</w:t>
      </w:r>
    </w:p>
    <w:p>
      <w:pPr>
        <w:spacing w:after="0" w:line="193" w:lineRule="exact"/>
        <w:rPr>
          <w:rFonts w:ascii="Times New Roman" w:cs="Times New Roman" w:eastAsia="Times New Roman" w:hAnsi="Times New Roman"/>
          <w:sz w:val="19"/>
          <w:szCs w:val="19"/>
          <w:color w:val="auto"/>
          <w:vertAlign w:val="superscript"/>
        </w:rPr>
      </w:pPr>
    </w:p>
    <w:p>
      <w:pPr>
        <w:jc w:val="both"/>
        <w:ind w:left="240" w:hanging="234"/>
        <w:spacing w:after="0"/>
        <w:tabs>
          <w:tab w:leader="none" w:pos="252"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Information herein is based upon a Schedule 13G/A jointly filed with the SEC on February 14, 2024 by Medine GmbH and Ugur Sahin. The sole shareholder of Medine GmbH is Ugur Sahin, and, as a result, Ugur Sahin is deemed to be the beneficial owner of the securities held by Medine GmbH. Consists of 40,439,542 ordinary shares held by Medine GmbH, 1,328,152 of which are held for the benefit of a former colleague pursuant to a trust arrangement. Pursuant to this arrangement, Medine GmbH retains voting power, but not dispositive power, over such shares for so long as such shares are held in trust and accordingly Medine GmbH and Ugur Sahin each may be deemed beneficially to own such shares.</w:t>
      </w:r>
    </w:p>
    <w:p>
      <w:pPr>
        <w:spacing w:after="0" w:line="159" w:lineRule="exact"/>
        <w:rPr>
          <w:rFonts w:ascii="Times New Roman" w:cs="Times New Roman" w:eastAsia="Times New Roman" w:hAnsi="Times New Roman"/>
          <w:sz w:val="19"/>
          <w:szCs w:val="19"/>
          <w:color w:val="auto"/>
          <w:vertAlign w:val="superscript"/>
        </w:rPr>
      </w:pPr>
    </w:p>
    <w:p>
      <w:pPr>
        <w:ind w:left="220" w:hanging="214"/>
        <w:spacing w:after="0" w:line="237" w:lineRule="auto"/>
        <w:tabs>
          <w:tab w:leader="none" w:pos="22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the shares described in note 2 above, plus 856,186 ordinary shares held directly by Ugur Sahin. He is the sole shareholder of Medine GmbH.</w:t>
      </w:r>
    </w:p>
    <w:p>
      <w:pPr>
        <w:spacing w:after="0" w:line="44" w:lineRule="exact"/>
        <w:rPr>
          <w:rFonts w:ascii="Times New Roman" w:cs="Times New Roman" w:eastAsia="Times New Roman" w:hAnsi="Times New Roman"/>
          <w:sz w:val="19"/>
          <w:szCs w:val="19"/>
          <w:color w:val="auto"/>
          <w:vertAlign w:val="superscript"/>
        </w:rPr>
      </w:pPr>
    </w:p>
    <w:p>
      <w:pPr>
        <w:ind w:left="260" w:hanging="254"/>
        <w:spacing w:after="0" w:line="189" w:lineRule="auto"/>
        <w:tabs>
          <w:tab w:leader="none" w:pos="26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705,936 ordinary shares held by RLG GmbH (Sean Marett is the sole shareholder of RLG GmbH), (b) 109,327 ordinary shares held directly by Sean Marett.</w:t>
      </w:r>
    </w:p>
    <w:p>
      <w:pPr>
        <w:spacing w:after="0" w:line="44" w:lineRule="exact"/>
        <w:rPr>
          <w:rFonts w:ascii="Times New Roman" w:cs="Times New Roman" w:eastAsia="Times New Roman" w:hAnsi="Times New Roman"/>
          <w:sz w:val="19"/>
          <w:szCs w:val="19"/>
          <w:color w:val="auto"/>
          <w:vertAlign w:val="superscript"/>
        </w:rPr>
      </w:pPr>
    </w:p>
    <w:p>
      <w:pPr>
        <w:jc w:val="both"/>
        <w:ind w:left="240" w:right="40" w:hanging="234"/>
        <w:spacing w:after="0" w:line="225" w:lineRule="auto"/>
        <w:tabs>
          <w:tab w:leader="none" w:pos="228"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606,025 ordinary shares held by Tofino GmbH (Sierk Poetting is sole shareholder of Tofino GmbH), (b) 148,759 ordinary shares held directly by Sierk Poetting and (c) 1,638 ordinary shares held by immediate family members of Mr. Poetting. Mr. Poetting disclaims beneficial ownership of the 1,638 ordinary shares held by immediate family members except to the extent of his pecuniary interest therein.</w:t>
      </w:r>
    </w:p>
    <w:p>
      <w:pPr>
        <w:spacing w:after="0" w:line="1" w:lineRule="exact"/>
        <w:rPr>
          <w:rFonts w:ascii="Times New Roman" w:cs="Times New Roman" w:eastAsia="Times New Roman" w:hAnsi="Times New Roman"/>
          <w:sz w:val="19"/>
          <w:szCs w:val="19"/>
          <w:color w:val="auto"/>
          <w:vertAlign w:val="superscript"/>
        </w:rPr>
      </w:pPr>
    </w:p>
    <w:p>
      <w:pPr>
        <w:ind w:left="300" w:hanging="294"/>
        <w:spacing w:after="0" w:line="237" w:lineRule="auto"/>
        <w:tabs>
          <w:tab w:leader="none" w:pos="30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332,316 ordinary shares held directly by Helmut Jeggle and (b) 1,193,651 ordinary shares held by Salvia GmbH.</w:t>
      </w:r>
    </w:p>
    <w:p>
      <w:pPr>
        <w:spacing w:after="0" w:line="44" w:lineRule="exact"/>
        <w:rPr>
          <w:rFonts w:ascii="Times New Roman" w:cs="Times New Roman" w:eastAsia="Times New Roman" w:hAnsi="Times New Roman"/>
          <w:sz w:val="19"/>
          <w:szCs w:val="19"/>
          <w:color w:val="auto"/>
          <w:vertAlign w:val="superscript"/>
        </w:rPr>
      </w:pPr>
    </w:p>
    <w:p>
      <w:pPr>
        <w:ind w:left="260" w:hanging="254"/>
        <w:spacing w:after="0" w:line="189" w:lineRule="auto"/>
        <w:tabs>
          <w:tab w:leader="none" w:pos="26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1,480 ordinary shares held by beebusy Capital GmbH. Ulrich Wandschneider is sole shareholder of beebusy Capital GmbH.</w:t>
      </w:r>
    </w:p>
    <w:p>
      <w:pPr>
        <w:spacing w:after="0" w:line="56" w:lineRule="exact"/>
        <w:rPr>
          <w:rFonts w:ascii="Times New Roman" w:cs="Times New Roman" w:eastAsia="Times New Roman" w:hAnsi="Times New Roman"/>
          <w:sz w:val="19"/>
          <w:szCs w:val="19"/>
          <w:color w:val="auto"/>
          <w:vertAlign w:val="superscript"/>
        </w:rPr>
      </w:pPr>
    </w:p>
    <w:p>
      <w:pPr>
        <w:ind w:left="280" w:hanging="274"/>
        <w:spacing w:after="0" w:line="189" w:lineRule="auto"/>
        <w:tabs>
          <w:tab w:leader="none" w:pos="28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200 ordinary shares held directly by Anja Morawietz and (b) 40 ordinary shares held by immediate family members of Anja Morawietz.</w:t>
      </w:r>
    </w:p>
    <w:p>
      <w:pPr>
        <w:spacing w:after="0" w:line="44" w:lineRule="exact"/>
        <w:rPr>
          <w:rFonts w:ascii="Times New Roman" w:cs="Times New Roman" w:eastAsia="Times New Roman" w:hAnsi="Times New Roman"/>
          <w:sz w:val="19"/>
          <w:szCs w:val="19"/>
          <w:color w:val="auto"/>
          <w:vertAlign w:val="superscript"/>
        </w:rPr>
      </w:pPr>
    </w:p>
    <w:p>
      <w:pPr>
        <w:ind w:left="220" w:hanging="214"/>
        <w:spacing w:after="0" w:line="189" w:lineRule="auto"/>
        <w:tabs>
          <w:tab w:leader="none" w:pos="220" w:val="left"/>
        </w:tabs>
        <w:numPr>
          <w:ilvl w:val="0"/>
          <w:numId w:val="1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7" w:name="page198"/>
    <w:bookmarkEnd w:id="19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231F20"/>
        </w:rPr>
        <w:t>Holdings by U.S. Shareholders</w:t>
      </w:r>
    </w:p>
    <w:p>
      <w:pPr>
        <w:spacing w:after="0" w:line="94"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231F20"/>
        </w:rPr>
        <w:t>Our share capital consists of ordinary shares, some of which are traded in the United States by means of American Depositary Shares (ADSs), each representing one ordinary share. Our depositary, The Bank of New York Mellon, is the holder of the ordinary shares underlying the ADSs. Based on the limited information available to us and the depositary, we generally cannot determine with certainty the number of U.S. shareholders or how many shares such shareholders own.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Related Party Transactions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color w:val="231F20"/>
        </w:rPr>
        <w:t>Item 18.</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Interests of Experts and Counsel</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Consolidated Statements and Other Financial Information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color w:val="231F20"/>
        </w:rPr>
        <w:t>Item 18.</w:t>
      </w:r>
    </w:p>
    <w:p>
      <w:pPr>
        <w:spacing w:after="0" w:line="186"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6"/>
          <w:szCs w:val="16"/>
          <w:b w:val="1"/>
          <w:bCs w:val="1"/>
          <w:color w:val="auto"/>
        </w:rPr>
        <w:t>B. Significant Changes</w:t>
      </w:r>
    </w:p>
    <w:p>
      <w:pPr>
        <w:spacing w:after="0" w:line="82"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Offer and Listing Details</w:t>
      </w:r>
    </w:p>
    <w:p>
      <w:pPr>
        <w:spacing w:after="0" w:line="82" w:lineRule="exact"/>
        <w:rPr>
          <w:sz w:val="20"/>
          <w:szCs w:val="20"/>
          <w:color w:val="auto"/>
        </w:rPr>
      </w:pPr>
    </w:p>
    <w:p>
      <w:pPr>
        <w:jc w:val="both"/>
        <w:ind w:firstLine="336"/>
        <w:spacing w:after="0" w:line="259" w:lineRule="auto"/>
        <w:rPr>
          <w:sz w:val="20"/>
          <w:szCs w:val="20"/>
          <w:color w:val="auto"/>
        </w:rPr>
      </w:pPr>
      <w:r>
        <w:rPr>
          <w:rFonts w:ascii="Times New Roman" w:cs="Times New Roman" w:eastAsia="Times New Roman" w:hAnsi="Times New Roman"/>
          <w:sz w:val="16"/>
          <w:szCs w:val="16"/>
          <w:color w:val="auto"/>
        </w:rPr>
        <w:t>ADSs representing our ordinary shares have been listed on the Nasdaq Global Select Market under the symbol “BNTX” since October 10, 2019. Prior to that date, there was no public trading market for our ADSs.</w:t>
      </w:r>
    </w:p>
    <w:p>
      <w:pPr>
        <w:spacing w:after="0" w:line="24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6"/>
          <w:szCs w:val="16"/>
          <w:b w:val="1"/>
          <w:bCs w:val="1"/>
          <w:color w:val="auto"/>
        </w:rPr>
        <w:t>B. Plan of Distribution</w:t>
      </w:r>
    </w:p>
    <w:p>
      <w:pPr>
        <w:spacing w:after="0" w:line="82"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Markets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ADSs representing our ordinary shares have been listed on the Nasdaq Global Select Market under the symbol “BNTX” since October 10, 2019.</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Selling Shareholders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 Dilution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 Expenses of the Issue</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A. Share Capital</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98" w:name="page199"/>
    <w:bookmarkEnd w:id="19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Memorandum and Articles of Association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80"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231F20"/>
        </w:rPr>
        <w:t xml:space="preserve">We were </w:t>
      </w:r>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color w:val="231F20"/>
        </w:rPr>
        <w:t xml:space="preserve"> as a German stock corporation (</w:t>
      </w:r>
      <w:r>
        <w:rPr>
          <w:rFonts w:ascii="Times New Roman" w:cs="Times New Roman" w:eastAsia="Times New Roman" w:hAnsi="Times New Roman"/>
          <w:sz w:val="16"/>
          <w:szCs w:val="16"/>
          <w:i w:val="1"/>
          <w:iCs w:val="1"/>
          <w:color w:val="231F20"/>
        </w:rPr>
        <w:t>Aktiengesellschaft</w:t>
      </w:r>
      <w:r>
        <w:rPr>
          <w:rFonts w:ascii="Times New Roman" w:cs="Times New Roman" w:eastAsia="Times New Roman" w:hAnsi="Times New Roman"/>
          <w:sz w:val="16"/>
          <w:szCs w:val="16"/>
          <w:color w:val="231F20"/>
        </w:rPr>
        <w:t xml:space="preserve">) with the legal name Petersberg 91. V AG under the </w:t>
      </w:r>
      <w:r>
        <w:rPr>
          <w:rFonts w:ascii="Times New Roman" w:cs="Times New Roman" w:eastAsia="Times New Roman" w:hAnsi="Times New Roman"/>
          <w:sz w:val="16"/>
          <w:szCs w:val="16"/>
          <w:color w:val="000000"/>
        </w:rPr>
        <w:t>laws</w:t>
      </w:r>
      <w:r>
        <w:rPr>
          <w:rFonts w:ascii="Times New Roman" w:cs="Times New Roman" w:eastAsia="Times New Roman" w:hAnsi="Times New Roman"/>
          <w:sz w:val="16"/>
          <w:szCs w:val="16"/>
          <w:color w:val="231F20"/>
        </w:rPr>
        <w:t xml:space="preserve"> of the Federal Republic of Germany on June 2, 2008. We changed our name to </w:t>
      </w:r>
      <w:r>
        <w:rPr>
          <w:rFonts w:ascii="Times New Roman" w:cs="Times New Roman" w:eastAsia="Times New Roman" w:hAnsi="Times New Roman"/>
          <w:sz w:val="16"/>
          <w:szCs w:val="16"/>
          <w:color w:val="000000"/>
        </w:rPr>
        <w:t>BioNTech</w:t>
      </w:r>
      <w:r>
        <w:rPr>
          <w:rFonts w:ascii="Times New Roman" w:cs="Times New Roman" w:eastAsia="Times New Roman" w:hAnsi="Times New Roman"/>
          <w:sz w:val="16"/>
          <w:szCs w:val="16"/>
          <w:color w:val="231F20"/>
        </w:rPr>
        <w:t xml:space="preserve"> AG on December 11, 2008. Effective as of March 8, </w:t>
      </w:r>
      <w:r>
        <w:rPr>
          <w:rFonts w:ascii="Times New Roman" w:cs="Times New Roman" w:eastAsia="Times New Roman" w:hAnsi="Times New Roman"/>
          <w:sz w:val="16"/>
          <w:szCs w:val="16"/>
          <w:color w:val="000000"/>
        </w:rPr>
        <w:t>2019</w:t>
      </w:r>
      <w:r>
        <w:rPr>
          <w:rFonts w:ascii="Times New Roman" w:cs="Times New Roman" w:eastAsia="Times New Roman" w:hAnsi="Times New Roman"/>
          <w:sz w:val="16"/>
          <w:szCs w:val="16"/>
          <w:color w:val="231F20"/>
        </w:rPr>
        <w:t>, the date on which the change of legal form and company was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 of the local court (</w:t>
      </w:r>
      <w:r>
        <w:rPr>
          <w:rFonts w:ascii="Times New Roman" w:cs="Times New Roman" w:eastAsia="Times New Roman" w:hAnsi="Times New Roman"/>
          <w:sz w:val="16"/>
          <w:szCs w:val="16"/>
          <w:i w:val="1"/>
          <w:iCs w:val="1"/>
          <w:color w:val="231F20"/>
        </w:rPr>
        <w:t>Amtsgericht</w:t>
      </w:r>
      <w:r>
        <w:rPr>
          <w:rFonts w:ascii="Times New Roman" w:cs="Times New Roman" w:eastAsia="Times New Roman" w:hAnsi="Times New Roman"/>
          <w:sz w:val="16"/>
          <w:szCs w:val="16"/>
          <w:color w:val="231F20"/>
        </w:rPr>
        <w:t xml:space="preserve">) of Mainz, Germany, we converted to a </w:t>
      </w:r>
      <w:r>
        <w:rPr>
          <w:rFonts w:ascii="Times New Roman" w:cs="Times New Roman" w:eastAsia="Times New Roman" w:hAnsi="Times New Roman"/>
          <w:sz w:val="16"/>
          <w:szCs w:val="16"/>
          <w:i w:val="1"/>
          <w:iCs w:val="1"/>
          <w:color w:val="231F20"/>
        </w:rPr>
        <w:t>Societas Europaea</w:t>
      </w:r>
      <w:r>
        <w:rPr>
          <w:rFonts w:ascii="Times New Roman" w:cs="Times New Roman" w:eastAsia="Times New Roman" w:hAnsi="Times New Roman"/>
          <w:sz w:val="16"/>
          <w:szCs w:val="16"/>
          <w:color w:val="231F20"/>
        </w:rPr>
        <w:t xml:space="preserve">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Times New Roman" w:cs="Times New Roman" w:eastAsia="Times New Roman" w:hAnsi="Times New Roman"/>
          <w:sz w:val="16"/>
          <w:szCs w:val="16"/>
          <w:i w:val="1"/>
          <w:iCs w:val="1"/>
          <w:color w:val="231F20"/>
        </w:rPr>
        <w:t>Gesetz zur Ausführung der Verordnung (EG) NR. 2157/2001 des Rates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vom 8. Oktober 2001 über das Statut der Europäischen Gesellschaft (SE) (SE-Ausführungsgesetz—SEAG)</w:t>
      </w:r>
      <w:r>
        <w:rPr>
          <w:rFonts w:ascii="Times New Roman" w:cs="Times New Roman" w:eastAsia="Times New Roman" w:hAnsi="Times New Roman"/>
          <w:sz w:val="16"/>
          <w:szCs w:val="16"/>
          <w:color w:val="231F20"/>
        </w:rPr>
        <w:t>) and the German Stock Corporation Act (</w:t>
      </w:r>
      <w:r>
        <w:rPr>
          <w:rFonts w:ascii="Times New Roman" w:cs="Times New Roman" w:eastAsia="Times New Roman" w:hAnsi="Times New Roman"/>
          <w:sz w:val="16"/>
          <w:szCs w:val="16"/>
          <w:i w:val="1"/>
          <w:iCs w:val="1"/>
          <w:color w:val="231F20"/>
        </w:rPr>
        <w:t>Aktiengesetz</w:t>
      </w:r>
      <w:r>
        <w:rPr>
          <w:rFonts w:ascii="Times New Roman" w:cs="Times New Roman" w:eastAsia="Times New Roman" w:hAnsi="Times New Roman"/>
          <w:sz w:val="16"/>
          <w:szCs w:val="16"/>
          <w:color w:val="231F20"/>
        </w:rPr>
        <w:t>), in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each case as amended.</w:t>
      </w:r>
    </w:p>
    <w:p>
      <w:pPr>
        <w:spacing w:after="0" w:line="173" w:lineRule="exact"/>
        <w:rPr>
          <w:sz w:val="20"/>
          <w:szCs w:val="20"/>
          <w:color w:val="auto"/>
        </w:rPr>
      </w:pPr>
    </w:p>
    <w:p>
      <w:pPr>
        <w:jc w:val="both"/>
        <w:ind w:firstLine="384"/>
        <w:spacing w:after="0" w:line="244" w:lineRule="auto"/>
        <w:rPr>
          <w:sz w:val="20"/>
          <w:szCs w:val="20"/>
          <w:color w:val="auto"/>
        </w:rPr>
      </w:pPr>
      <w:r>
        <w:rPr>
          <w:rFonts w:ascii="Times New Roman" w:cs="Times New Roman" w:eastAsia="Times New Roman" w:hAnsi="Times New Roman"/>
          <w:sz w:val="16"/>
          <w:szCs w:val="16"/>
          <w:color w:val="231F20"/>
        </w:rPr>
        <w:t xml:space="preserve">We </w:t>
      </w:r>
      <w:r>
        <w:rPr>
          <w:rFonts w:ascii="Times New Roman" w:cs="Times New Roman" w:eastAsia="Times New Roman" w:hAnsi="Times New Roman"/>
          <w:sz w:val="16"/>
          <w:szCs w:val="16"/>
          <w:color w:val="000000"/>
        </w:rPr>
        <w:t>are</w:t>
      </w:r>
      <w:r>
        <w:rPr>
          <w:rFonts w:ascii="Times New Roman" w:cs="Times New Roman" w:eastAsia="Times New Roman" w:hAnsi="Times New Roman"/>
          <w:sz w:val="16"/>
          <w:szCs w:val="16"/>
          <w:color w:val="231F20"/>
        </w:rPr>
        <w:t xml:space="preserve">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of the local court (</w:t>
      </w:r>
      <w:r>
        <w:rPr>
          <w:rFonts w:ascii="Times New Roman" w:cs="Times New Roman" w:eastAsia="Times New Roman" w:hAnsi="Times New Roman"/>
          <w:sz w:val="16"/>
          <w:szCs w:val="16"/>
          <w:i w:val="1"/>
          <w:iCs w:val="1"/>
          <w:color w:val="231F20"/>
        </w:rPr>
        <w:t>Amtsgericht</w:t>
      </w:r>
      <w:r>
        <w:rPr>
          <w:rFonts w:ascii="Times New Roman" w:cs="Times New Roman" w:eastAsia="Times New Roman" w:hAnsi="Times New Roman"/>
          <w:sz w:val="16"/>
          <w:szCs w:val="16"/>
          <w:color w:val="231F20"/>
        </w:rPr>
        <w:t xml:space="preserve">) in Mainz, Germany, under number HRB 48720. Our statutory seat is in Mainz, Germany, and our registered office is An der Goldgrube 12, 55131 Mainz, Germany. Copies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are publicly available from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at the local court of Mainz, Germany, electronically at www.unternehmensregister.de and as an exhibit to this Annual Report.</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Share Capital</w:t>
      </w:r>
    </w:p>
    <w:p>
      <w:pPr>
        <w:spacing w:after="0" w:line="80"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231F20"/>
        </w:rPr>
        <w:t>We have share capital registered in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in the amount of € 248,552,200, which is divided into 248,552,200 registered shares (</w:t>
      </w:r>
      <w:r>
        <w:rPr>
          <w:rFonts w:ascii="Times New Roman" w:cs="Times New Roman" w:eastAsia="Times New Roman" w:hAnsi="Times New Roman"/>
          <w:sz w:val="16"/>
          <w:szCs w:val="16"/>
          <w:i w:val="1"/>
          <w:iCs w:val="1"/>
          <w:color w:val="231F20"/>
        </w:rPr>
        <w:t>Namensaktien</w:t>
      </w:r>
      <w:r>
        <w:rPr>
          <w:rFonts w:ascii="Times New Roman" w:cs="Times New Roman" w:eastAsia="Times New Roman" w:hAnsi="Times New Roman"/>
          <w:sz w:val="16"/>
          <w:szCs w:val="16"/>
          <w:color w:val="231F20"/>
        </w:rPr>
        <w:t xml:space="preserve"> ). All shares are shares with no par value (</w:t>
      </w:r>
      <w:r>
        <w:rPr>
          <w:rFonts w:ascii="Times New Roman" w:cs="Times New Roman" w:eastAsia="Times New Roman" w:hAnsi="Times New Roman"/>
          <w:sz w:val="16"/>
          <w:szCs w:val="16"/>
          <w:i w:val="1"/>
          <w:iCs w:val="1"/>
          <w:color w:val="231F20"/>
        </w:rPr>
        <w:t>Stückaktien ohne Nennbetrag</w:t>
      </w:r>
      <w:r>
        <w:rPr>
          <w:rFonts w:ascii="Times New Roman" w:cs="Times New Roman" w:eastAsia="Times New Roman" w:hAnsi="Times New Roman"/>
          <w:sz w:val="16"/>
          <w:szCs w:val="16"/>
          <w:color w:val="231F20"/>
        </w:rPr>
        <w:t>) with a notional amount attributable to each ordinary share of €1.00. Each issued ordinary share is fully paid.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Form, Certification and Transferability of Shares</w:t>
      </w:r>
    </w:p>
    <w:p>
      <w:pPr>
        <w:spacing w:after="0" w:line="8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Our shares are freely transferable under German law.</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Changes in Our Share Capital During the Last Three Financial Years</w:t>
      </w:r>
    </w:p>
    <w:p>
      <w:pPr>
        <w:spacing w:after="0" w:line="80" w:lineRule="exact"/>
        <w:rPr>
          <w:sz w:val="20"/>
          <w:szCs w:val="20"/>
          <w:color w:val="auto"/>
        </w:rPr>
      </w:pPr>
    </w:p>
    <w:p>
      <w:pPr>
        <w:ind w:right="20" w:firstLine="384"/>
        <w:spacing w:after="0" w:line="262" w:lineRule="auto"/>
        <w:rPr>
          <w:sz w:val="20"/>
          <w:szCs w:val="20"/>
          <w:color w:val="auto"/>
        </w:rPr>
      </w:pPr>
      <w:r>
        <w:rPr>
          <w:rFonts w:ascii="Times New Roman" w:cs="Times New Roman" w:eastAsia="Times New Roman" w:hAnsi="Times New Roman"/>
          <w:sz w:val="16"/>
          <w:szCs w:val="16"/>
          <w:color w:val="231F20"/>
        </w:rPr>
        <w:t>Our share capital as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amounts to €248,552,200, including an amount of €10,826,465 relating to 10,826,465 ordinary shares held in treasury as of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Since January 1, 2021, our share capital has changed as follows:</w:t>
      </w:r>
    </w:p>
    <w:p>
      <w:pPr>
        <w:spacing w:after="0" w:line="54" w:lineRule="exact"/>
        <w:rPr>
          <w:sz w:val="20"/>
          <w:szCs w:val="20"/>
          <w:color w:val="auto"/>
        </w:rPr>
      </w:pPr>
    </w:p>
    <w:p>
      <w:pPr>
        <w:ind w:left="720" w:hanging="234"/>
        <w:spacing w:after="0"/>
        <w:tabs>
          <w:tab w:leader="none" w:pos="720" w:val="left"/>
        </w:tabs>
        <w:numPr>
          <w:ilvl w:val="0"/>
          <w:numId w:val="1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On March 24, 2022, our share capital as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was increased by issuing 497,727 shares; and</w:t>
      </w:r>
    </w:p>
    <w:p>
      <w:pPr>
        <w:spacing w:after="0" w:line="92" w:lineRule="exact"/>
        <w:rPr>
          <w:rFonts w:ascii="Times New Roman" w:cs="Times New Roman" w:eastAsia="Times New Roman" w:hAnsi="Times New Roman"/>
          <w:sz w:val="16"/>
          <w:szCs w:val="16"/>
          <w:color w:val="231F20"/>
        </w:rPr>
      </w:pPr>
    </w:p>
    <w:p>
      <w:pPr>
        <w:ind w:left="720" w:hanging="234"/>
        <w:spacing w:after="0"/>
        <w:tabs>
          <w:tab w:leader="none" w:pos="720" w:val="left"/>
        </w:tabs>
        <w:numPr>
          <w:ilvl w:val="0"/>
          <w:numId w:val="1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On May 20, 2022, our share capital as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was increased by issuing 1,744,392 shares.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Anti-takeover Provisions of Our Charter Documents</w:t>
      </w:r>
    </w:p>
    <w:p>
      <w:pPr>
        <w:spacing w:after="0" w:line="80" w:lineRule="exact"/>
        <w:rPr>
          <w:sz w:val="20"/>
          <w:szCs w:val="20"/>
          <w:color w:val="auto"/>
        </w:rPr>
      </w:pPr>
    </w:p>
    <w:p>
      <w:pPr>
        <w:jc w:val="both"/>
        <w:ind w:right="20" w:firstLine="384"/>
        <w:spacing w:after="0" w:line="284" w:lineRule="auto"/>
        <w:rPr>
          <w:sz w:val="20"/>
          <w:szCs w:val="20"/>
          <w:color w:val="auto"/>
        </w:rPr>
      </w:pPr>
      <w:r>
        <w:rPr>
          <w:rFonts w:ascii="Times New Roman" w:cs="Times New Roman" w:eastAsia="Times New Roman" w:hAnsi="Times New Roman"/>
          <w:sz w:val="14"/>
          <w:szCs w:val="14"/>
          <w:color w:val="231F20"/>
        </w:rPr>
        <w:t>Our Articles of Association (</w:t>
      </w:r>
      <w:r>
        <w:rPr>
          <w:rFonts w:ascii="Times New Roman" w:cs="Times New Roman" w:eastAsia="Times New Roman" w:hAnsi="Times New Roman"/>
          <w:sz w:val="14"/>
          <w:szCs w:val="14"/>
          <w:i w:val="1"/>
          <w:iCs w:val="1"/>
          <w:color w:val="231F20"/>
        </w:rPr>
        <w:t>Satzung</w:t>
      </w:r>
      <w:r>
        <w:rPr>
          <w:rFonts w:ascii="Times New Roman" w:cs="Times New Roman" w:eastAsia="Times New Roman" w:hAnsi="Times New Roman"/>
          <w:sz w:val="14"/>
          <w:szCs w:val="14"/>
          <w:color w:val="231F20"/>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9" w:name="page200"/>
    <w:bookmarkEnd w:id="19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Future Changes to the Share Capital</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Authorized Capital</w:t>
      </w:r>
    </w:p>
    <w:p>
      <w:pPr>
        <w:spacing w:after="0" w:line="94" w:lineRule="exact"/>
        <w:rPr>
          <w:sz w:val="20"/>
          <w:szCs w:val="20"/>
          <w:color w:val="auto"/>
        </w:rPr>
      </w:pPr>
    </w:p>
    <w:p>
      <w:pPr>
        <w:jc w:val="both"/>
        <w:ind w:firstLine="384"/>
        <w:spacing w:after="0"/>
        <w:rPr>
          <w:sz w:val="20"/>
          <w:szCs w:val="20"/>
          <w:color w:val="auto"/>
        </w:rPr>
      </w:pPr>
      <w:r>
        <w:rPr>
          <w:rFonts w:ascii="Times New Roman" w:cs="Times New Roman" w:eastAsia="Times New Roman" w:hAnsi="Times New Roman"/>
          <w:sz w:val="16"/>
          <w:szCs w:val="16"/>
          <w:color w:val="231F20"/>
        </w:rPr>
        <w:t>Under the relevant law, the general meeting of a European stock corporation (</w:t>
      </w:r>
      <w:r>
        <w:rPr>
          <w:rFonts w:ascii="Times New Roman" w:cs="Times New Roman" w:eastAsia="Times New Roman" w:hAnsi="Times New Roman"/>
          <w:sz w:val="16"/>
          <w:szCs w:val="16"/>
          <w:i w:val="1"/>
          <w:iCs w:val="1"/>
          <w:color w:val="231F20"/>
        </w:rPr>
        <w:t>Societas Europaea</w:t>
      </w:r>
      <w:r>
        <w:rPr>
          <w:rFonts w:ascii="Times New Roman" w:cs="Times New Roman" w:eastAsia="Times New Roman" w:hAnsi="Times New Roman"/>
          <w:sz w:val="16"/>
          <w:szCs w:val="16"/>
          <w:color w:val="231F20"/>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and may extend for a period of no more than five years thereafter. Under § 4(5)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the Management Board is authorized to increase our share capital, on one or more occasions, by a total of up to €122,657,313 by issuing, on one or more occasions, up to 122,657,313 new, registered shares with no par value (</w:t>
      </w:r>
      <w:r>
        <w:rPr>
          <w:rFonts w:ascii="Times New Roman" w:cs="Times New Roman" w:eastAsia="Times New Roman" w:hAnsi="Times New Roman"/>
          <w:sz w:val="16"/>
          <w:szCs w:val="16"/>
          <w:i w:val="1"/>
          <w:iCs w:val="1"/>
          <w:color w:val="231F20"/>
        </w:rPr>
        <w:t>Genehmigtes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Kapital</w:t>
      </w:r>
      <w:r>
        <w:rPr>
          <w:rFonts w:ascii="Times New Roman" w:cs="Times New Roman" w:eastAsia="Times New Roman" w:hAnsi="Times New Roman"/>
          <w:sz w:val="16"/>
          <w:szCs w:val="16"/>
          <w:color w:val="231F20"/>
        </w:rPr>
        <w:t>), in each case with consent of the Supervisory Board. This authorization expires on June 21, 2026.</w:t>
      </w:r>
    </w:p>
    <w:p>
      <w:pPr>
        <w:spacing w:after="0" w:line="17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Any new shares issued from the authorized capital will participate in the profits starting with the financial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Conditional Capital</w:t>
      </w:r>
    </w:p>
    <w:p>
      <w:pPr>
        <w:spacing w:after="0" w:line="94"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231F20"/>
        </w:rPr>
        <w:t>Pursuant to § 4(6)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our share capital is conditionally increased by €16,212,917 through issuance of new, registered shares with no par value (</w:t>
      </w:r>
      <w:r>
        <w:rPr>
          <w:rFonts w:ascii="Times New Roman" w:cs="Times New Roman" w:eastAsia="Times New Roman" w:hAnsi="Times New Roman"/>
          <w:sz w:val="16"/>
          <w:szCs w:val="16"/>
          <w:i w:val="1"/>
          <w:iCs w:val="1"/>
          <w:color w:val="231F20"/>
        </w:rPr>
        <w:t>Bedingtes Kapital ESOP 2017/2019</w:t>
      </w:r>
      <w:r>
        <w:rPr>
          <w:rFonts w:ascii="Times New Roman" w:cs="Times New Roman" w:eastAsia="Times New Roman" w:hAnsi="Times New Roman"/>
          <w:sz w:val="16"/>
          <w:szCs w:val="16"/>
          <w:color w:val="231F20"/>
        </w:rPr>
        <w:t>). The conditional capital may only be used to issue shares to the holders of option rights granted under our ESOP to members of our Management Board and to certain of our employees.</w:t>
      </w:r>
    </w:p>
    <w:p>
      <w:pPr>
        <w:spacing w:after="0" w:line="16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The conditional capital increase will only be implemented to the extent that stock options under our ESOP are exercised and such stock options are not serviced by our providing treasury shares or through cash payments. Any new shares issued under the conditional capital pursuant to § 4(6)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67" w:lineRule="exact"/>
        <w:rPr>
          <w:sz w:val="20"/>
          <w:szCs w:val="20"/>
          <w:color w:val="auto"/>
        </w:rPr>
      </w:pPr>
    </w:p>
    <w:p>
      <w:pPr>
        <w:jc w:val="both"/>
        <w:ind w:firstLine="384"/>
        <w:spacing w:after="0"/>
        <w:rPr>
          <w:sz w:val="20"/>
          <w:szCs w:val="20"/>
          <w:color w:val="auto"/>
        </w:rPr>
      </w:pPr>
      <w:r>
        <w:rPr>
          <w:rFonts w:ascii="Times New Roman" w:cs="Times New Roman" w:eastAsia="Times New Roman" w:hAnsi="Times New Roman"/>
          <w:sz w:val="16"/>
          <w:szCs w:val="16"/>
          <w:color w:val="231F20"/>
        </w:rPr>
        <w:t>Pursuant to § 4(7)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our share capital is conditionally increased by €85,754,868 through issuance of new, registered shares with no par value (</w:t>
      </w:r>
      <w:r>
        <w:rPr>
          <w:rFonts w:ascii="Times New Roman" w:cs="Times New Roman" w:eastAsia="Times New Roman" w:hAnsi="Times New Roman"/>
          <w:sz w:val="16"/>
          <w:szCs w:val="16"/>
          <w:i w:val="1"/>
          <w:iCs w:val="1"/>
          <w:color w:val="231F20"/>
        </w:rPr>
        <w:t>Bedingtes Kapital WSV 2019</w:t>
      </w:r>
      <w:r>
        <w:rPr>
          <w:rFonts w:ascii="Times New Roman" w:cs="Times New Roman" w:eastAsia="Times New Roman" w:hAnsi="Times New Roman"/>
          <w:sz w:val="16"/>
          <w:szCs w:val="16"/>
          <w:color w:val="231F20"/>
        </w:rPr>
        <w:t>). The conditional capital may only be used to issue shares to the holders or creditors of option rights or conversion rights or those under an obligation to convert under warrant- 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17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162"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231F20"/>
        </w:rPr>
        <w:t>Pursuant to § 4(8)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xml:space="preserve">), our share capital is conditionally increased by </w:t>
      </w:r>
      <w:r>
        <w:rPr>
          <w:rFonts w:ascii="Times New Roman" w:cs="Times New Roman" w:eastAsia="Times New Roman" w:hAnsi="Times New Roman"/>
          <w:sz w:val="16"/>
          <w:szCs w:val="16"/>
          <w:color w:val="000000"/>
        </w:rPr>
        <w:t>€8,418,091 th</w:t>
      </w:r>
      <w:r>
        <w:rPr>
          <w:rFonts w:ascii="Times New Roman" w:cs="Times New Roman" w:eastAsia="Times New Roman" w:hAnsi="Times New Roman"/>
          <w:sz w:val="16"/>
          <w:szCs w:val="16"/>
          <w:color w:val="231F20"/>
        </w:rPr>
        <w:t>rough issuance of new, registered shares with no par value (</w:t>
      </w:r>
      <w:r>
        <w:rPr>
          <w:rFonts w:ascii="Times New Roman" w:cs="Times New Roman" w:eastAsia="Times New Roman" w:hAnsi="Times New Roman"/>
          <w:sz w:val="16"/>
          <w:szCs w:val="16"/>
          <w:i w:val="1"/>
          <w:iCs w:val="1"/>
          <w:color w:val="231F20"/>
        </w:rPr>
        <w:t>Bedingtes Kapital ESOP 2021</w:t>
      </w:r>
      <w:r>
        <w:rPr>
          <w:rFonts w:ascii="Times New Roman" w:cs="Times New Roman" w:eastAsia="Times New Roman" w:hAnsi="Times New Roman"/>
          <w:sz w:val="16"/>
          <w:szCs w:val="16"/>
          <w:color w:val="231F20"/>
        </w:rPr>
        <w:t>). The conditional capital serves exclusively to grant rights to the holders of stock options issued by the Company in accordance with the authorization granted by the Annual General Meeting on June 22, 2021 under agenda item 6 letter d) (the “Authorization 2021”).</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The conditional capital increase will only be implemented to the extent that stock options under our ESOP are exercised by the holders of the stock options issued by the Company on the basis of Authorization 2021 and such stock options are not settled by the Company with treasury shares or through cash payments. Any new shares issued under the conditional capital pursuant to § 4(8)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shall participate in profits from the beginning of the preceding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0" w:name="page201"/>
    <w:bookmarkEnd w:id="20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Preemptive Rights</w:t>
      </w:r>
    </w:p>
    <w:p>
      <w:pPr>
        <w:spacing w:after="0" w:line="9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6"/>
          <w:szCs w:val="16"/>
          <w:i w:val="1"/>
          <w:iCs w:val="1"/>
          <w:color w:val="231F20"/>
        </w:rPr>
        <w:t>mittelbares Bezugsrecht</w:t>
      </w:r>
      <w:r>
        <w:rPr>
          <w:rFonts w:ascii="Times New Roman" w:cs="Times New Roman" w:eastAsia="Times New Roman" w:hAnsi="Times New Roman"/>
          <w:sz w:val="16"/>
          <w:szCs w:val="16"/>
          <w:color w:val="231F20"/>
        </w:rPr>
        <w:t>).</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 xml:space="preserve">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w:t>
      </w:r>
      <w:r>
        <w:rPr>
          <w:rFonts w:ascii="Times New Roman" w:cs="Times New Roman" w:eastAsia="Times New Roman" w:hAnsi="Times New Roman"/>
          <w:sz w:val="16"/>
          <w:szCs w:val="16"/>
          <w:i w:val="1"/>
          <w:iCs w:val="1"/>
          <w:color w:val="231F20"/>
        </w:rPr>
        <w:t>i.e.,</w:t>
      </w:r>
      <w:r>
        <w:rPr>
          <w:rFonts w:ascii="Times New Roman" w:cs="Times New Roman" w:eastAsia="Times New Roman" w:hAnsi="Times New Roman"/>
          <w:sz w:val="16"/>
          <w:szCs w:val="16"/>
          <w:color w:val="231F20"/>
        </w:rPr>
        <w:t xml:space="preserv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cs="Times New Roman" w:eastAsia="Times New Roman" w:hAnsi="Times New Roman"/>
          <w:sz w:val="16"/>
          <w:szCs w:val="16"/>
          <w:i w:val="1"/>
          <w:iCs w:val="1"/>
          <w:color w:val="231F20"/>
        </w:rPr>
        <w:t>BGH</w:t>
      </w:r>
      <w:r>
        <w:rPr>
          <w:rFonts w:ascii="Times New Roman" w:cs="Times New Roman" w:eastAsia="Times New Roman" w:hAnsi="Times New Roman"/>
          <w:sz w:val="16"/>
          <w:szCs w:val="16"/>
          <w:color w:val="231F20"/>
        </w:rPr>
        <w:t>). The German Federal Court of Justice (</w:t>
      </w:r>
      <w:r>
        <w:rPr>
          <w:rFonts w:ascii="Times New Roman" w:cs="Times New Roman" w:eastAsia="Times New Roman" w:hAnsi="Times New Roman"/>
          <w:sz w:val="16"/>
          <w:szCs w:val="16"/>
          <w:i w:val="1"/>
          <w:iCs w:val="1"/>
          <w:color w:val="231F20"/>
        </w:rPr>
        <w:t>BGH</w:t>
      </w:r>
      <w:r>
        <w:rPr>
          <w:rFonts w:ascii="Times New Roman" w:cs="Times New Roman" w:eastAsia="Times New Roman" w:hAnsi="Times New Roman"/>
          <w:sz w:val="16"/>
          <w:szCs w:val="16"/>
          <w:color w:val="231F20"/>
        </w:rPr>
        <w:t>)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68"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231F20"/>
        </w:rPr>
        <w:t>Accordingly, under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the Management Board may, with the consent of the Supervisory Board, exclude such preemptive rights in a capital increase from the authorized capital in the following circumstances:</w:t>
      </w:r>
    </w:p>
    <w:p>
      <w:pPr>
        <w:spacing w:after="0" w:line="56" w:lineRule="exact"/>
        <w:rPr>
          <w:sz w:val="20"/>
          <w:szCs w:val="20"/>
          <w:color w:val="auto"/>
        </w:rPr>
      </w:pPr>
    </w:p>
    <w:p>
      <w:pPr>
        <w:ind w:left="720" w:hanging="234"/>
        <w:spacing w:after="0"/>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exclude fractional amounts from the subscription right;</w:t>
      </w:r>
    </w:p>
    <w:p>
      <w:pPr>
        <w:spacing w:after="0" w:line="92" w:lineRule="exact"/>
        <w:rPr>
          <w:rFonts w:ascii="Times New Roman" w:cs="Times New Roman" w:eastAsia="Times New Roman" w:hAnsi="Times New Roman"/>
          <w:sz w:val="16"/>
          <w:szCs w:val="16"/>
          <w:color w:val="231F20"/>
        </w:rPr>
      </w:pPr>
    </w:p>
    <w:p>
      <w:pPr>
        <w:jc w:val="both"/>
        <w:ind w:left="720" w:hanging="234"/>
        <w:spacing w:after="0" w:line="276" w:lineRule="auto"/>
        <w:tabs>
          <w:tab w:leader="none" w:pos="720" w:val="left"/>
        </w:tabs>
        <w:numPr>
          <w:ilvl w:val="0"/>
          <w:numId w:val="15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235" w:lineRule="exact"/>
        <w:rPr>
          <w:rFonts w:ascii="Times New Roman" w:cs="Times New Roman" w:eastAsia="Times New Roman" w:hAnsi="Times New Roman"/>
          <w:sz w:val="14"/>
          <w:szCs w:val="14"/>
          <w:color w:val="231F20"/>
        </w:rPr>
      </w:pPr>
    </w:p>
    <w:p>
      <w:pPr>
        <w:ind w:left="720" w:right="20" w:hanging="234"/>
        <w:spacing w:after="0" w:line="259" w:lineRule="auto"/>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59" w:lineRule="exact"/>
        <w:rPr>
          <w:rFonts w:ascii="Times New Roman" w:cs="Times New Roman" w:eastAsia="Times New Roman" w:hAnsi="Times New Roman"/>
          <w:sz w:val="16"/>
          <w:szCs w:val="16"/>
          <w:color w:val="231F20"/>
        </w:rPr>
      </w:pPr>
    </w:p>
    <w:p>
      <w:pPr>
        <w:jc w:val="both"/>
        <w:ind w:left="720" w:right="20" w:hanging="234"/>
        <w:spacing w:after="0" w:line="247" w:lineRule="auto"/>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68" w:lineRule="exact"/>
        <w:rPr>
          <w:rFonts w:ascii="Times New Roman" w:cs="Times New Roman" w:eastAsia="Times New Roman" w:hAnsi="Times New Roman"/>
          <w:sz w:val="16"/>
          <w:szCs w:val="16"/>
          <w:color w:val="231F20"/>
        </w:rPr>
      </w:pPr>
    </w:p>
    <w:p>
      <w:pPr>
        <w:ind w:left="720" w:right="20" w:hanging="234"/>
        <w:spacing w:after="0" w:line="259" w:lineRule="auto"/>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implement an election dividend by which shareholders are given the option to contribute their dividend entitlements (either in whole or part) as a contribution in kind against issuance of our new shares;</w:t>
      </w:r>
    </w:p>
    <w:p>
      <w:pPr>
        <w:spacing w:after="0" w:line="59" w:lineRule="exact"/>
        <w:rPr>
          <w:rFonts w:ascii="Times New Roman" w:cs="Times New Roman" w:eastAsia="Times New Roman" w:hAnsi="Times New Roman"/>
          <w:sz w:val="16"/>
          <w:szCs w:val="16"/>
          <w:color w:val="231F20"/>
        </w:rPr>
      </w:pPr>
    </w:p>
    <w:p>
      <w:pPr>
        <w:jc w:val="both"/>
        <w:ind w:left="720" w:hanging="234"/>
        <w:spacing w:after="0" w:line="239" w:lineRule="auto"/>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capital increases, in each case if excluding subscription rights, according to the assessment by the Management Board,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the assessment by the Management Board, does not exceed the extent necessary for a successful placement and in any case does not exceed 10% of either the latest available closing price at the time when the issue price is fixed or the volume-weighted average price over a period of up to five trading days ending on the day on which the issue price is so fixed;</w:t>
      </w:r>
    </w:p>
    <w:p>
      <w:pPr>
        <w:spacing w:after="0" w:line="77" w:lineRule="exact"/>
        <w:rPr>
          <w:rFonts w:ascii="Times New Roman" w:cs="Times New Roman" w:eastAsia="Times New Roman" w:hAnsi="Times New Roman"/>
          <w:sz w:val="16"/>
          <w:szCs w:val="16"/>
          <w:color w:val="231F20"/>
        </w:rPr>
      </w:pPr>
    </w:p>
    <w:p>
      <w:pPr>
        <w:ind w:left="720" w:right="20" w:hanging="234"/>
        <w:spacing w:after="0" w:line="259" w:lineRule="auto"/>
        <w:tabs>
          <w:tab w:leader="none" w:pos="720" w:val="left"/>
        </w:tabs>
        <w:numPr>
          <w:ilvl w:val="0"/>
          <w:numId w:val="1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case shares are to be issued to a member of our Management Board or to another person who is employed by us or one of our affiliates and a minimum holding period of at least one year and the obligation to transfer back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1" w:name="page202"/>
    <w:bookmarkEnd w:id="20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231F20"/>
        </w:rPr>
        <w:t>the shares in the event that the beneficiary is not employed by us or one of our affiliated companies for the entire duration of the holding period or any other agreed period is agreed upon. Additional restrictions with regard to the shares issued may be agreed upon; and</w:t>
      </w:r>
    </w:p>
    <w:p>
      <w:pPr>
        <w:spacing w:after="0" w:line="59" w:lineRule="exact"/>
        <w:rPr>
          <w:sz w:val="20"/>
          <w:szCs w:val="20"/>
          <w:color w:val="auto"/>
        </w:rPr>
      </w:pPr>
    </w:p>
    <w:p>
      <w:pPr>
        <w:ind w:left="720" w:right="20" w:hanging="234"/>
        <w:spacing w:after="0" w:line="259" w:lineRule="auto"/>
        <w:tabs>
          <w:tab w:leader="none" w:pos="720" w:val="left"/>
        </w:tabs>
        <w:numPr>
          <w:ilvl w:val="0"/>
          <w:numId w:val="1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The total number of new shares issued from the authorized capital and under exclusion of subscription rights pursuant to bullets one through three and six above may not exceed 20% of the share capital, either at the time that the amendment to the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resolved upon by the general meeting of June 26, 2020, came into effect or, if lower, at the time of utilization of the authorization.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Corporate Purpose of our Company</w:t>
      </w:r>
    </w:p>
    <w:p>
      <w:pPr>
        <w:spacing w:after="0" w:line="80"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231F20"/>
        </w:rPr>
        <w:t>Our business objective, as described in § 2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is to research and develop, as well as the manufacture and marketing of immunological and RNA-based drugs and test methods for the diagnosis, prevention and treatment of cancer, infectious diseases and other serious diseases.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Shareholders’ Meetings and Voting Rights</w:t>
      </w:r>
    </w:p>
    <w:p>
      <w:pPr>
        <w:spacing w:after="0" w:line="80" w:lineRule="exact"/>
        <w:rPr>
          <w:sz w:val="20"/>
          <w:szCs w:val="20"/>
          <w:color w:val="auto"/>
        </w:rPr>
      </w:pPr>
    </w:p>
    <w:p>
      <w:pPr>
        <w:jc w:val="both"/>
        <w:ind w:right="20" w:firstLine="384"/>
        <w:spacing w:after="0"/>
        <w:rPr>
          <w:sz w:val="20"/>
          <w:szCs w:val="20"/>
          <w:color w:val="auto"/>
        </w:rPr>
      </w:pPr>
      <w:r>
        <w:rPr>
          <w:rFonts w:ascii="Times New Roman" w:cs="Times New Roman" w:eastAsia="Times New Roman" w:hAnsi="Times New Roman"/>
          <w:sz w:val="16"/>
          <w:szCs w:val="16"/>
          <w:color w:val="231F20"/>
        </w:rPr>
        <w:t>Pursuant to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cs="Times New Roman" w:eastAsia="Times New Roman" w:hAnsi="Times New Roman"/>
          <w:sz w:val="16"/>
          <w:szCs w:val="16"/>
          <w:i w:val="1"/>
          <w:iCs w:val="1"/>
          <w:color w:val="231F20"/>
        </w:rPr>
        <w:t>Bundesanzeiger</w:t>
      </w:r>
      <w:r>
        <w:rPr>
          <w:rFonts w:ascii="Times New Roman" w:cs="Times New Roman" w:eastAsia="Times New Roman" w:hAnsi="Times New Roman"/>
          <w:sz w:val="16"/>
          <w:szCs w:val="16"/>
          <w:color w:val="231F20"/>
        </w:rPr>
        <w:t>) or via mail or email, in each case generally at least 30 days before the meeting.</w:t>
      </w:r>
    </w:p>
    <w:p>
      <w:pPr>
        <w:spacing w:after="0" w:line="17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 xml:space="preserve">Shareholders may participate and vote in the shareholders’ meeting if they are registered as a shareholder with the Company’s share register. A shareholder who wishes to attend the shareholders’ meeting—either in person or by proxy, which may also be appointed by us ( </w:t>
      </w:r>
      <w:r>
        <w:rPr>
          <w:rFonts w:ascii="Times New Roman" w:cs="Times New Roman" w:eastAsia="Times New Roman" w:hAnsi="Times New Roman"/>
          <w:sz w:val="16"/>
          <w:szCs w:val="16"/>
          <w:i w:val="1"/>
          <w:iCs w:val="1"/>
          <w:color w:val="231F20"/>
        </w:rPr>
        <w:t>Stimmrechtsvertreter</w:t>
      </w:r>
      <w:r>
        <w:rPr>
          <w:rFonts w:ascii="Times New Roman" w:cs="Times New Roman" w:eastAsia="Times New Roman" w:hAnsi="Times New Roman"/>
          <w:sz w:val="16"/>
          <w:szCs w:val="16"/>
          <w:color w:val="231F20"/>
        </w:rPr>
        <w:t>)—must register for the meeting, which registration must occur no later than six days before the meeting (or at a later date, if so determined by our Management Board).</w:t>
      </w:r>
    </w:p>
    <w:p>
      <w:pPr>
        <w:spacing w:after="0" w:line="162" w:lineRule="exact"/>
        <w:rPr>
          <w:sz w:val="20"/>
          <w:szCs w:val="20"/>
          <w:color w:val="auto"/>
        </w:rPr>
      </w:pPr>
    </w:p>
    <w:p>
      <w:pPr>
        <w:jc w:val="both"/>
        <w:ind w:right="20" w:firstLine="384"/>
        <w:spacing w:after="0" w:line="290" w:lineRule="auto"/>
        <w:rPr>
          <w:sz w:val="20"/>
          <w:szCs w:val="20"/>
          <w:color w:val="auto"/>
        </w:rPr>
      </w:pPr>
      <w:r>
        <w:rPr>
          <w:rFonts w:ascii="Times New Roman" w:cs="Times New Roman" w:eastAsia="Times New Roman" w:hAnsi="Times New Roman"/>
          <w:sz w:val="14"/>
          <w:szCs w:val="14"/>
          <w:color w:val="231F20"/>
        </w:rPr>
        <w:t>Each share carries one vote at a shareholders’ meeting. Resolutions are, in accordance with our Articles of Association (</w:t>
      </w:r>
      <w:r>
        <w:rPr>
          <w:rFonts w:ascii="Times New Roman" w:cs="Times New Roman" w:eastAsia="Times New Roman" w:hAnsi="Times New Roman"/>
          <w:sz w:val="14"/>
          <w:szCs w:val="14"/>
          <w:i w:val="1"/>
          <w:iCs w:val="1"/>
          <w:color w:val="231F20"/>
        </w:rPr>
        <w:t>Satzung</w:t>
      </w:r>
      <w:r>
        <w:rPr>
          <w:rFonts w:ascii="Times New Roman" w:cs="Times New Roman" w:eastAsia="Times New Roman" w:hAnsi="Times New Roman"/>
          <w:sz w:val="14"/>
          <w:szCs w:val="14"/>
          <w:color w:val="231F20"/>
        </w:rPr>
        <w:t>), generally taken by simple majority of the votes cast. However, under applicable German and European law, a number of resolutions must be passed by either a three-quarter majority of the votes cast or a three -quarter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Claims against Directors and Shareholders’ Derivative Actions</w:t>
      </w:r>
    </w:p>
    <w:p>
      <w:pPr>
        <w:spacing w:after="0" w:line="8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6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2" w:name="page203"/>
    <w:bookmarkEnd w:id="20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231F20"/>
        </w:rPr>
        <w:t>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6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231F20"/>
        </w:rPr>
        <w:t>If the company is unable to fulfill its third-party obligations, the company’s creditors may pursue the company’s damage claims against members of the Management Board for certain wrongdoings.</w:t>
      </w:r>
    </w:p>
    <w:p>
      <w:pPr>
        <w:spacing w:after="0" w:line="155"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231F20"/>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Dividend Rights</w:t>
      </w:r>
    </w:p>
    <w:p>
      <w:pPr>
        <w:spacing w:after="0" w:line="82"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231F20"/>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16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6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Authorization to Purchase and Sell Our Own Shares</w:t>
      </w:r>
    </w:p>
    <w:p>
      <w:pPr>
        <w:spacing w:after="0" w:line="82"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231F20"/>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Squeeze-Out of Minority Shareholders</w:t>
      </w:r>
    </w:p>
    <w:p>
      <w:pPr>
        <w:spacing w:after="0" w:line="8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6"/>
          <w:szCs w:val="16"/>
          <w:i w:val="1"/>
          <w:iCs w:val="1"/>
          <w:color w:val="231F20"/>
        </w:rPr>
        <w:t>Ausschluss von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Minderheitsaktionären</w:t>
      </w:r>
      <w:r>
        <w:rPr>
          <w:rFonts w:ascii="Times New Roman" w:cs="Times New Roman" w:eastAsia="Times New Roman" w:hAnsi="Times New Roman"/>
          <w:sz w:val="16"/>
          <w:szCs w:val="16"/>
          <w:color w:val="231F20"/>
        </w:rPr>
        <w:t>). This amount must take into account the full value of the company at the time of the resolution, which is generally determined using the future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earnings value method (</w:t>
      </w:r>
      <w:r>
        <w:rPr>
          <w:rFonts w:ascii="Times New Roman" w:cs="Times New Roman" w:eastAsia="Times New Roman" w:hAnsi="Times New Roman"/>
          <w:sz w:val="16"/>
          <w:szCs w:val="16"/>
          <w:i w:val="1"/>
          <w:iCs w:val="1"/>
          <w:color w:val="231F20"/>
        </w:rPr>
        <w:t>Ertragswertmethode</w:t>
      </w:r>
      <w:r>
        <w:rPr>
          <w:rFonts w:ascii="Times New Roman" w:cs="Times New Roman" w:eastAsia="Times New Roman" w:hAnsi="Times New Roman"/>
          <w:sz w:val="16"/>
          <w:szCs w:val="16"/>
          <w:color w:val="231F20"/>
        </w:rPr>
        <w: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A squeeze-out in the context of a merger (</w:t>
      </w:r>
      <w:r>
        <w:rPr>
          <w:rFonts w:ascii="Times New Roman" w:cs="Times New Roman" w:eastAsia="Times New Roman" w:hAnsi="Times New Roman"/>
          <w:sz w:val="16"/>
          <w:szCs w:val="16"/>
          <w:i w:val="1"/>
          <w:iCs w:val="1"/>
          <w:color w:val="231F20"/>
        </w:rPr>
        <w:t>umwandlungsrechtlicher Squeeze-Out</w:t>
      </w:r>
      <w:r>
        <w:rPr>
          <w:rFonts w:ascii="Times New Roman" w:cs="Times New Roman" w:eastAsia="Times New Roman" w:hAnsi="Times New Roman"/>
          <w:sz w:val="16"/>
          <w:szCs w:val="16"/>
          <w:color w:val="231F20"/>
        </w:rPr>
        <w:t>) only requires a majority shareholder to hold at least 90% of the share capital.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03" w:name="page204"/>
    <w:bookmarkEnd w:id="20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Liquidation Rights</w:t>
      </w:r>
    </w:p>
    <w:p>
      <w:pPr>
        <w:spacing w:after="0" w:line="8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C. Material Contracts</w:t>
      </w:r>
    </w:p>
    <w:p>
      <w:pPr>
        <w:spacing w:after="0" w:line="82"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Except as otherwise disclosed in this Annual Report (including the exhibits thereto), we are not currently, and have not been in the last two years, party to any material contract, other than contracts entered into in the ordinary course of our business.</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Exchange Controls</w:t>
      </w:r>
    </w:p>
    <w:p>
      <w:pPr>
        <w:spacing w:after="0" w:line="8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There are currently no legal restrictions in the Federal Republic of Germany on international capital movements and foreign exchange transactions, except in limited embargo circumstances (</w:t>
      </w:r>
      <w:r>
        <w:rPr>
          <w:rFonts w:ascii="Times New Roman" w:cs="Times New Roman" w:eastAsia="Times New Roman" w:hAnsi="Times New Roman"/>
          <w:sz w:val="16"/>
          <w:szCs w:val="16"/>
          <w:i w:val="1"/>
          <w:iCs w:val="1"/>
          <w:color w:val="auto"/>
        </w:rPr>
        <w:t>Teilembargo</w:t>
      </w:r>
      <w:r>
        <w:rPr>
          <w:rFonts w:ascii="Times New Roman" w:cs="Times New Roman" w:eastAsia="Times New Roman" w:hAnsi="Times New Roman"/>
          <w:sz w:val="16"/>
          <w:szCs w:val="16"/>
          <w:color w:val="auto"/>
        </w:rPr>
        <w:t>) relating to certain areas, entities or persons as a result of applicable resolutions adopted by the United Nations and the European Union. Restrictions currently exist with respect to, among others, Armenia, Azerbaijan, Belarus, Bosnia, Burundi, D.R. Congo, Central African Republic, China, Guatemala, Guinea, Guinea-Bissau, Haiti, Iran, Iraq, Lebanon, Libya, Mali, Moldova and the Transnistria region, Myanmar, Nicaragua, Niger, North Korea, Russia, Somalia, South Sudan, Sudan, Syria, Tunisia, Türkiye, Ukraine, Venezuela, Yemen and Zimbabwe.</w:t>
      </w:r>
    </w:p>
    <w:p>
      <w:pPr>
        <w:spacing w:after="0" w:line="169"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Times New Roman" w:cs="Times New Roman" w:eastAsia="Times New Roman" w:hAnsi="Times New Roman"/>
          <w:sz w:val="16"/>
          <w:szCs w:val="16"/>
          <w:i w:val="1"/>
          <w:iCs w:val="1"/>
          <w:color w:val="auto"/>
        </w:rPr>
        <w:t>Deutsche Bundesbank</w:t>
      </w:r>
      <w:r>
        <w:rPr>
          <w:rFonts w:ascii="Times New Roman" w:cs="Times New Roman" w:eastAsia="Times New Roman" w:hAnsi="Times New Roman"/>
          <w:sz w:val="16"/>
          <w:szCs w:val="16"/>
          <w:color w:val="auto"/>
        </w:rPr>
        <w:t>) (i) any payment received from, or made to, a non-resident corporation or individual that exceeds €12,500 (or the equivalent in a foreign currency) and (ii) (with the exception of individuals residing in the Federal Republic of Germany) in case the sum of claims against, or liabilities payable to, non-resident corporations or individuals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2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 Taxation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German Taxation</w:t>
      </w:r>
    </w:p>
    <w:p>
      <w:pPr>
        <w:spacing w:after="0" w:line="82"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231F20"/>
        </w:rPr>
        <w:t>The following discussion addresses certain German tax consequences of acquiring, owning or disposing of the ADSs. With the exception of “—Taxation of Holders Tax Resident in Germany” below, which provides an overview of dividend taxation and of capital gains taxation with respect to holders that are residents of Germany, this discussion applies only to U.S. treaty beneficiaries (defined below) that acquire the ADSs representing our ordinary shares.</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This discussion is based on domestic German tax laws, including, but not limited to, circulars issued by German tax authorities, which, e.g., are not binding on the German courts, and the Treaty (defined below) . It is based upon tax laws in effect at the time of filing of this report. These laws are subject to change, possibly with retroactive effect. For example, certain member states of the European Union are considering introducing a financial transaction tax (</w:t>
      </w:r>
      <w:r>
        <w:rPr>
          <w:rFonts w:ascii="Times New Roman" w:cs="Times New Roman" w:eastAsia="Times New Roman" w:hAnsi="Times New Roman"/>
          <w:sz w:val="16"/>
          <w:szCs w:val="16"/>
          <w:i w:val="1"/>
          <w:iCs w:val="1"/>
          <w:color w:val="231F20"/>
        </w:rPr>
        <w:t>Finanztransaktionssteuer</w:t>
      </w:r>
      <w:r>
        <w:rPr>
          <w:rFonts w:ascii="Times New Roman" w:cs="Times New Roman" w:eastAsia="Times New Roman" w:hAnsi="Times New Roman"/>
          <w:sz w:val="16"/>
          <w:szCs w:val="16"/>
          <w:color w:val="231F20"/>
        </w:rPr>
        <w:t>) which, if introduced, may also be applicable on sales and/or transfer of ADSs. In addition, in Germany, for example, there are currently ongoing discussions on an increase of the top tax rate, which may also have an effect on the German tax consequences of acquiring, owning and disposing of the ADSs. There is no assurance that German tax authorities will not challenge one or more of the tax consequences described in this section.</w:t>
      </w:r>
    </w:p>
    <w:p>
      <w:pPr>
        <w:spacing w:after="0" w:line="173"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4" w:name="page205"/>
    <w:bookmarkEnd w:id="20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4"/>
          <w:szCs w:val="14"/>
          <w:color w:val="231F20"/>
        </w:rPr>
        <w:t>The tax information presented in this report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cs="Times New Roman" w:eastAsia="Times New Roman" w:hAnsi="Times New Roman"/>
          <w:sz w:val="14"/>
          <w:szCs w:val="14"/>
          <w:i w:val="1"/>
          <w:iCs w:val="1"/>
          <w:color w:val="231F20"/>
        </w:rPr>
        <w:t>Kapitalertragsteuer</w:t>
      </w:r>
      <w:r>
        <w:rPr>
          <w:rFonts w:ascii="Times New Roman" w:cs="Times New Roman" w:eastAsia="Times New Roman" w:hAnsi="Times New Roman"/>
          <w:sz w:val="14"/>
          <w:szCs w:val="14"/>
          <w:color w:val="231F20"/>
        </w:rPr>
        <w:t>) withheld. Only an individual tax consultation can appropriately account for the particular tax situation of each investor.</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General</w:t>
      </w:r>
    </w:p>
    <w:p>
      <w:pPr>
        <w:spacing w:after="0" w:line="94"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231F20"/>
        </w:rPr>
        <w:t>Based on the circular issued by the German Federal Ministry of Finance (</w:t>
      </w:r>
      <w:r>
        <w:rPr>
          <w:rFonts w:ascii="Times New Roman" w:cs="Times New Roman" w:eastAsia="Times New Roman" w:hAnsi="Times New Roman"/>
          <w:sz w:val="16"/>
          <w:szCs w:val="16"/>
          <w:i w:val="1"/>
          <w:iCs w:val="1"/>
          <w:color w:val="231F20"/>
        </w:rPr>
        <w:t>BMF-Schreiben</w:t>
      </w:r>
      <w:r>
        <w:rPr>
          <w:rFonts w:ascii="Times New Roman" w:cs="Times New Roman" w:eastAsia="Times New Roman" w:hAnsi="Times New Roman"/>
          <w:sz w:val="16"/>
          <w:szCs w:val="16"/>
          <w:color w:val="231F20"/>
        </w:rPr>
        <w:t>), dated May 24, 2013, reference number IV C 1- S2204/12/10003, as amended by the circular dated December 18, 2018 (reference number IV C 1 – S 2204/12/10003), in respect of the taxation of American Depositary Receipts, or ADRs, on domestic shares, or the ADR Tax Circular, for German tax purposes, the ADSs should, in light of the ADR Tax Circular,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w:t>
      </w:r>
      <w:r>
        <w:rPr>
          <w:rFonts w:ascii="Times New Roman" w:cs="Times New Roman" w:eastAsia="Times New Roman" w:hAnsi="Times New Roman"/>
          <w:sz w:val="16"/>
          <w:szCs w:val="16"/>
          <w:i w:val="1"/>
          <w:iCs w:val="1"/>
          <w:color w:val="231F20"/>
        </w:rPr>
        <w:t>i.e</w:t>
      </w:r>
      <w:r>
        <w:rPr>
          <w:rFonts w:ascii="Times New Roman" w:cs="Times New Roman" w:eastAsia="Times New Roman" w:hAnsi="Times New Roman"/>
          <w:sz w:val="16"/>
          <w:szCs w:val="16"/>
          <w:color w:val="231F20"/>
        </w:rPr>
        <w:t>.,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e.g.,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Taxation of Holders Not Tax Resident in Germany</w:t>
      </w:r>
    </w:p>
    <w:p>
      <w:pPr>
        <w:spacing w:after="0" w:line="96"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231F20"/>
        </w:rPr>
        <w:t xml:space="preserve">The following discussion describes selected German tax consequences of acquiring the ADSs, owning the ADSs and disposing of the ADSs to a holder that is a U.S. treaty beneficiary.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of 1989, as amended by the Protocol as of June 4, 2008 ( </w:t>
      </w:r>
      <w:r>
        <w:rPr>
          <w:rFonts w:ascii="Times New Roman" w:cs="Times New Roman" w:eastAsia="Times New Roman" w:hAnsi="Times New Roman"/>
          <w:sz w:val="14"/>
          <w:szCs w:val="14"/>
          <w:i w:val="1"/>
          <w:iCs w:val="1"/>
          <w:color w:val="231F20"/>
        </w:rPr>
        <w:t>Abkommen zwischen der Bundesrepublik Deutschland und den Vereinigten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Staaten von Amerika zur Vermeidung der Doppelbesteuerung und zur Verhinderung der Steuerverkürzung auf dem Gebiet der Steuern vom Einkommen und vom Vermögen und einiger anderer Steuern in der Fassung vom 4. Juni 2008</w:t>
      </w:r>
      <w:r>
        <w:rPr>
          <w:rFonts w:ascii="Times New Roman" w:cs="Times New Roman" w:eastAsia="Times New Roman" w:hAnsi="Times New Roman"/>
          <w:sz w:val="14"/>
          <w:szCs w:val="14"/>
          <w:color w:val="231F20"/>
        </w:rPr>
        <w:t>), hereinafter referred to as the “Treaty,” who is eligible for relevant benefits under the Treaty.</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A holder will be a U.S. treaty beneficiary entitled to full Treaty benefits in respect of the ADSs if it is, inter alia:</w:t>
      </w:r>
    </w:p>
    <w:p>
      <w:pPr>
        <w:spacing w:after="0" w:line="92" w:lineRule="exact"/>
        <w:rPr>
          <w:sz w:val="20"/>
          <w:szCs w:val="20"/>
          <w:color w:val="auto"/>
        </w:rPr>
      </w:pPr>
    </w:p>
    <w:p>
      <w:pPr>
        <w:ind w:left="720" w:hanging="234"/>
        <w:spacing w:after="0"/>
        <w:tabs>
          <w:tab w:leader="none" w:pos="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beneficial owner of the ADSs (and the dividends paid with respect thereto);</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U.S. tax resident corporation or individual;</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also a resident of Germany for German tax purposes; and</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subject to the limitation on benefits (i.e., anti-treaty shopping) article of the Treaty that applies in limited circumstances.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Special rules apply to pension funds and certain other tax-exempt investors.</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General Rules for the Taxation of Holders Not Tax Resident in Germany</w:t>
      </w:r>
    </w:p>
    <w:p>
      <w:pPr>
        <w:spacing w:after="0" w:line="80" w:lineRule="exact"/>
        <w:rPr>
          <w:sz w:val="20"/>
          <w:szCs w:val="20"/>
          <w:color w:val="auto"/>
        </w:rPr>
      </w:pPr>
    </w:p>
    <w:p>
      <w:pPr>
        <w:jc w:val="both"/>
        <w:ind w:right="40" w:firstLine="384"/>
        <w:spacing w:after="0" w:line="248" w:lineRule="auto"/>
        <w:rPr>
          <w:sz w:val="20"/>
          <w:szCs w:val="20"/>
          <w:color w:val="auto"/>
        </w:rPr>
      </w:pPr>
      <w:r>
        <w:rPr>
          <w:rFonts w:ascii="Times New Roman" w:cs="Times New Roman" w:eastAsia="Times New Roman" w:hAnsi="Times New Roman"/>
          <w:sz w:val="16"/>
          <w:szCs w:val="16"/>
          <w:color w:val="231F20"/>
        </w:rPr>
        <w:t>Non-German resident holders of ADSs are subject to German taxation with respect to German source income (</w:t>
      </w:r>
      <w:r>
        <w:rPr>
          <w:rFonts w:ascii="Times New Roman" w:cs="Times New Roman" w:eastAsia="Times New Roman" w:hAnsi="Times New Roman"/>
          <w:sz w:val="16"/>
          <w:szCs w:val="16"/>
          <w:i w:val="1"/>
          <w:iCs w:val="1"/>
          <w:color w:val="231F20"/>
        </w:rPr>
        <w:t>beschränkte Steuerpflicht</w:t>
      </w:r>
      <w:r>
        <w:rPr>
          <w:rFonts w:ascii="Times New Roman" w:cs="Times New Roman" w:eastAsia="Times New Roman" w:hAnsi="Times New Roman"/>
          <w:sz w:val="16"/>
          <w:szCs w:val="16"/>
          <w:color w:val="231F20"/>
        </w:rPr>
        <w:t>). According to the ADR Tax Circular, income from the shares should be attributed to the holder of the ADSs for German tax purposes. As a consequence, income from the ADSs should be treated as German source income.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5" w:name="page206"/>
    <w:bookmarkEnd w:id="20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German Withholding Taxation of Dividends of the U.S. Treaty Beneficiaries of the ADSs</w:t>
      </w:r>
    </w:p>
    <w:p>
      <w:pPr>
        <w:spacing w:after="0" w:line="96" w:lineRule="exact"/>
        <w:rPr>
          <w:sz w:val="20"/>
          <w:szCs w:val="20"/>
          <w:color w:val="auto"/>
        </w:rPr>
      </w:pPr>
    </w:p>
    <w:p>
      <w:pPr>
        <w:jc w:val="both"/>
        <w:ind w:firstLine="384"/>
        <w:spacing w:after="0" w:line="274" w:lineRule="auto"/>
        <w:rPr>
          <w:sz w:val="20"/>
          <w:szCs w:val="20"/>
          <w:color w:val="auto"/>
        </w:rPr>
      </w:pPr>
      <w:r>
        <w:rPr>
          <w:rFonts w:ascii="Times New Roman" w:cs="Times New Roman" w:eastAsia="Times New Roman" w:hAnsi="Times New Roman"/>
          <w:sz w:val="14"/>
          <w:szCs w:val="14"/>
          <w:color w:val="231F20"/>
        </w:rPr>
        <w:t xml:space="preserve">Generally, the full amount of a dividend distributed by BioNTech to a non -German resident holder, which does not maintain a permanent establishment or other taxable presence in Germany, is subject to (final) German withholding tax at an aggregate rate of 26.375%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that amount consists of 25% on dividends distributed plus solidarity surcharge of 5.5% on the amount of the withholding tax). The basis for the withholding tax is generally the dividend approved for distribution by our general shareholder’s meeting. German withholding tax is withheld and remitted to the German tax authorities by (i) the disbursing agent (</w:t>
      </w:r>
      <w:r>
        <w:rPr>
          <w:rFonts w:ascii="Times New Roman" w:cs="Times New Roman" w:eastAsia="Times New Roman" w:hAnsi="Times New Roman"/>
          <w:sz w:val="14"/>
          <w:szCs w:val="14"/>
          <w:i w:val="1"/>
          <w:iCs w:val="1"/>
          <w:color w:val="231F20"/>
        </w:rPr>
        <w:t>i.e.</w:t>
      </w:r>
      <w:r>
        <w:rPr>
          <w:rFonts w:ascii="Times New Roman" w:cs="Times New Roman" w:eastAsia="Times New Roman" w:hAnsi="Times New Roman"/>
          <w:sz w:val="14"/>
          <w:szCs w:val="14"/>
          <w:color w:val="231F20"/>
        </w:rPr>
        <w:t xml:space="preserve">, the German credit institution, financial services institution, securities trading enterprise or securities trading bank (each as defined in the German Banking Act ( </w:t>
      </w:r>
      <w:r>
        <w:rPr>
          <w:rFonts w:ascii="Times New Roman" w:cs="Times New Roman" w:eastAsia="Times New Roman" w:hAnsi="Times New Roman"/>
          <w:sz w:val="14"/>
          <w:szCs w:val="14"/>
          <w:i w:val="1"/>
          <w:iCs w:val="1"/>
          <w:color w:val="231F20"/>
        </w:rPr>
        <w:t>Kreditwesengesetz</w:t>
      </w:r>
      <w:r>
        <w:rPr>
          <w:rFonts w:ascii="Times New Roman" w:cs="Times New Roman" w:eastAsia="Times New Roman" w:hAnsi="Times New Roman"/>
          <w:sz w:val="14"/>
          <w:szCs w:val="14"/>
          <w:color w:val="231F20"/>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Times New Roman" w:cs="Times New Roman" w:eastAsia="Times New Roman" w:hAnsi="Times New Roman"/>
          <w:sz w:val="14"/>
          <w:szCs w:val="14"/>
          <w:i w:val="1"/>
          <w:iCs w:val="1"/>
          <w:color w:val="231F20"/>
        </w:rPr>
        <w:t>Wertpapiersammelbank</w:t>
      </w:r>
      <w:r>
        <w:rPr>
          <w:rFonts w:ascii="Times New Roman" w:cs="Times New Roman" w:eastAsia="Times New Roman" w:hAnsi="Times New Roman"/>
          <w:sz w:val="14"/>
          <w:szCs w:val="14"/>
          <w:color w:val="231F20"/>
        </w:rPr>
        <w:t xml:space="preserve">) in terms of the German Depositary Act ( </w:t>
      </w:r>
      <w:r>
        <w:rPr>
          <w:rFonts w:ascii="Times New Roman" w:cs="Times New Roman" w:eastAsia="Times New Roman" w:hAnsi="Times New Roman"/>
          <w:sz w:val="14"/>
          <w:szCs w:val="14"/>
          <w:i w:val="1"/>
          <w:iCs w:val="1"/>
          <w:color w:val="231F20"/>
        </w:rPr>
        <w:t>Depotgesetz</w:t>
      </w:r>
      <w:r>
        <w:rPr>
          <w:rFonts w:ascii="Times New Roman" w:cs="Times New Roman" w:eastAsia="Times New Roman" w:hAnsi="Times New Roman"/>
          <w:sz w:val="14"/>
          <w:szCs w:val="14"/>
          <w:color w:val="231F20"/>
        </w:rPr>
        <w:t xml:space="preserve">)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Dividend payments, to the extent funded from BioNTech’s tax-recognized contribution account ( </w:t>
      </w:r>
      <w:r>
        <w:rPr>
          <w:rFonts w:ascii="Times New Roman" w:cs="Times New Roman" w:eastAsia="Times New Roman" w:hAnsi="Times New Roman"/>
          <w:sz w:val="14"/>
          <w:szCs w:val="14"/>
          <w:i w:val="1"/>
          <w:iCs w:val="1"/>
          <w:color w:val="231F20"/>
        </w:rPr>
        <w:t>steuerliches Einlagekonto</w:t>
      </w:r>
      <w:r>
        <w:rPr>
          <w:rFonts w:ascii="Times New Roman" w:cs="Times New Roman" w:eastAsia="Times New Roman" w:hAnsi="Times New Roman"/>
          <w:sz w:val="14"/>
          <w:szCs w:val="14"/>
          <w:color w:val="231F20"/>
        </w:rPr>
        <w:t>), subject to certain prerequisites, do not form part of the taxable dividend income but should lower the holder’s acquisition costs for the ADSs.</w:t>
      </w:r>
    </w:p>
    <w:p>
      <w:pPr>
        <w:spacing w:after="0" w:line="331"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231F20"/>
        </w:rPr>
        <w:t>Pursuant to the Treaty, the German withholding tax may generally not exceed (i) 15% of the gross amount of the dividends received by a U.S. treaty beneficiary other than a company holding ADSs which represent 10% 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A U.S. treaty beneficiary other than a company holding ADSs which represent 10% or more of the voting shares in BioNTech is entitled to a partial refund from the German tax authorities in the amount of 11.375% of the gross dividend (of 100). As a result, the U.S. treaty beneficiary ultimately receives a total of 85 (85% of the declared dividend) following the refund of the excess withholding. However, it should be noted that there is uncertainty as to how the German tax authorities will apply the refund process to dividends on the ADSs with respect to non-German resident holders. Further, such refund is subject to the German anti-avoidance treaty shopping rule (as described below in “—Withholding Tax Refund for U.S. Treaty Beneficiaries”).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German Withholding Taxation of Capital Gains of the U.S. Treaty Beneficiaries of the ADSs</w:t>
      </w:r>
    </w:p>
    <w:p>
      <w:pPr>
        <w:spacing w:after="0" w:line="96" w:lineRule="exact"/>
        <w:rPr>
          <w:sz w:val="20"/>
          <w:szCs w:val="20"/>
          <w:color w:val="auto"/>
        </w:rPr>
      </w:pPr>
    </w:p>
    <w:p>
      <w:pPr>
        <w:jc w:val="both"/>
        <w:ind w:right="40" w:firstLine="384"/>
        <w:spacing w:after="0" w:line="241" w:lineRule="auto"/>
        <w:rPr>
          <w:sz w:val="20"/>
          <w:szCs w:val="20"/>
          <w:color w:val="auto"/>
        </w:rPr>
      </w:pPr>
      <w:r>
        <w:rPr>
          <w:rFonts w:ascii="Times New Roman" w:cs="Times New Roman" w:eastAsia="Times New Roman" w:hAnsi="Times New Roman"/>
          <w:sz w:val="16"/>
          <w:szCs w:val="16"/>
          <w:color w:val="231F20"/>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Qualifying Participation. A Qualifying Participation exists if a holder at any time during the five years preceding the disposition, directly or indirectly, owned at least 1% of BioNTech’s share capital, irrespective of whether through the ADSs or shares of BioNTech. If such holder had acquired the ADSs without consideration, the previous owner’s holding period and quota would be taken into account.</w:t>
      </w:r>
    </w:p>
    <w:p>
      <w:pPr>
        <w:spacing w:after="0" w:line="169"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Pursuant to the Treaty, capital gains from the disposal of a Qualifying Participation realized by a U.S. treaty beneficiary are, however, generally exempt from German taxation. Pursuant to the Treaty, U.S. treaty beneficiaries are not subject to German tax in relation to capital gains from the disposal of a Qualifying Participation even under the circumstances described in the preceding paragraph and therefore should not be subject to German taxation on capital gains from the disposition of the ADSs.</w:t>
      </w:r>
    </w:p>
    <w:p>
      <w:pPr>
        <w:spacing w:after="0" w:line="167"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231F20"/>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6" w:name="page207"/>
    <w:bookmarkEnd w:id="20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taxation in Germany under German statutory law or on an applicable income tax treaty permitting Germany to tax such capital gains.</w:t>
      </w:r>
    </w:p>
    <w:p>
      <w:pPr>
        <w:spacing w:after="0" w:line="188"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231F20"/>
        </w:rPr>
        <w:t>However, a circular issued by the German Federal Ministry of Finance, dated January 18, 2016, reference number IV C 1 -S2252/08/10004 :017, as most recently amended by circular dated September 16, 2019, reference number IV C 1-S2252/08/10004 :027,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 Withholding Tax Refund for U.S. Treaty Beneficiaries.” A refund of taxes withheld on capital gains from the disposition of the ADSs which do not qualify as Qualifying Participations may also be claimed based on German statutory domestic law.</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Withholding Tax Refund for U.S. Treaty Beneficiaries</w:t>
      </w:r>
    </w:p>
    <w:p>
      <w:pPr>
        <w:spacing w:after="0" w:line="96" w:lineRule="exact"/>
        <w:rPr>
          <w:sz w:val="20"/>
          <w:szCs w:val="20"/>
          <w:color w:val="auto"/>
        </w:rPr>
      </w:pPr>
    </w:p>
    <w:p>
      <w:pPr>
        <w:jc w:val="both"/>
        <w:ind w:right="40" w:firstLine="384"/>
        <w:spacing w:after="0" w:line="281" w:lineRule="auto"/>
        <w:rPr>
          <w:sz w:val="20"/>
          <w:szCs w:val="20"/>
          <w:color w:val="auto"/>
        </w:rPr>
      </w:pPr>
      <w:r>
        <w:rPr>
          <w:rFonts w:ascii="Times New Roman" w:cs="Times New Roman" w:eastAsia="Times New Roman" w:hAnsi="Times New Roman"/>
          <w:sz w:val="14"/>
          <w:szCs w:val="14"/>
          <w:color w:val="231F20"/>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w:t>
      </w:r>
    </w:p>
    <w:p>
      <w:pPr>
        <w:spacing w:after="0" w:line="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Kapitalertragsteuer</w:t>
      </w:r>
      <w:r>
        <w:rPr>
          <w:rFonts w:ascii="Times New Roman" w:cs="Times New Roman" w:eastAsia="Times New Roman" w:hAnsi="Times New Roman"/>
          <w:sz w:val="16"/>
          <w:szCs w:val="16"/>
          <w:color w:val="231F20"/>
        </w:rPr>
        <w:t xml:space="preserve">) on dividends that exceeds the applicable Treaty rate and (ii) the full amount of German withholding tax </w:t>
      </w:r>
      <w:r>
        <w:rPr>
          <w:rFonts w:ascii="Times New Roman" w:cs="Times New Roman" w:eastAsia="Times New Roman" w:hAnsi="Times New Roman"/>
          <w:sz w:val="16"/>
          <w:szCs w:val="16"/>
          <w:i w:val="1"/>
          <w:iCs w:val="1"/>
          <w:color w:val="231F20"/>
        </w:rPr>
        <w:t>Kapitalertragsteuer</w:t>
      </w:r>
      <w:r>
        <w:rPr>
          <w:rFonts w:ascii="Times New Roman" w:cs="Times New Roman" w:eastAsia="Times New Roman" w:hAnsi="Times New Roman"/>
          <w:sz w:val="16"/>
          <w:szCs w:val="16"/>
          <w:color w:val="231F20"/>
        </w:rPr>
        <w:t xml:space="preserve">() on capital gains from the disposition of ADSs. The application for such claim is generally to be filed with the Federal Central Office of Taxation ( </w:t>
      </w:r>
      <w:r>
        <w:rPr>
          <w:rFonts w:ascii="Times New Roman" w:cs="Times New Roman" w:eastAsia="Times New Roman" w:hAnsi="Times New Roman"/>
          <w:sz w:val="16"/>
          <w:szCs w:val="16"/>
          <w:i w:val="1"/>
          <w:iCs w:val="1"/>
          <w:color w:val="231F20"/>
        </w:rPr>
        <w:t>Bundeszentralamt für Steuern</w:t>
      </w:r>
      <w:r>
        <w:rPr>
          <w:rFonts w:ascii="Times New Roman" w:cs="Times New Roman" w:eastAsia="Times New Roman" w:hAnsi="Times New Roman"/>
          <w:sz w:val="16"/>
          <w:szCs w:val="16"/>
          <w:color w:val="231F20"/>
        </w:rPr>
        <w:t>) within four years after the end of the calendar year in which the capital gains or dividends have been received (</w:t>
      </w:r>
      <w:r>
        <w:rPr>
          <w:rFonts w:ascii="Times New Roman" w:cs="Times New Roman" w:eastAsia="Times New Roman" w:hAnsi="Times New Roman"/>
          <w:sz w:val="16"/>
          <w:szCs w:val="16"/>
          <w:i w:val="1"/>
          <w:iCs w:val="1"/>
          <w:color w:val="231F20"/>
        </w:rPr>
        <w:t>bezogen</w:t>
      </w:r>
      <w:r>
        <w:rPr>
          <w:rFonts w:ascii="Times New Roman" w:cs="Times New Roman" w:eastAsia="Times New Roman" w:hAnsi="Times New Roman"/>
          <w:sz w:val="16"/>
          <w:szCs w:val="16"/>
          <w:color w:val="231F20"/>
        </w:rPr>
        <w:t>).</w:t>
      </w:r>
    </w:p>
    <w:p>
      <w:pPr>
        <w:spacing w:after="0" w:line="169"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231F20"/>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Times New Roman" w:cs="Times New Roman" w:eastAsia="Times New Roman" w:hAnsi="Times New Roman"/>
          <w:sz w:val="16"/>
          <w:szCs w:val="16"/>
          <w:i w:val="1"/>
          <w:iCs w:val="1"/>
          <w:color w:val="231F20"/>
        </w:rPr>
        <w:t>Zufluss</w:t>
      </w:r>
      <w:r>
        <w:rPr>
          <w:rFonts w:ascii="Times New Roman" w:cs="Times New Roman" w:eastAsia="Times New Roman" w:hAnsi="Times New Roman"/>
          <w:sz w:val="16"/>
          <w:szCs w:val="16"/>
          <w:color w:val="231F20"/>
        </w:rPr>
        <w:t>) of the dividends.</w:t>
      </w:r>
    </w:p>
    <w:p>
      <w:pPr>
        <w:spacing w:after="0" w:line="176"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231F20"/>
        </w:rPr>
        <w:t xml:space="preserve">In general, as previously discussed, investors should note that it is unclear how the German tax administration will apply the refund process to dividends on the ADSs. Further, such refund is subject to the German anti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 </w:t>
      </w:r>
      <w:r>
        <w:rPr>
          <w:rFonts w:ascii="Times New Roman" w:cs="Times New Roman" w:eastAsia="Times New Roman" w:hAnsi="Times New Roman"/>
          <w:sz w:val="16"/>
          <w:szCs w:val="16"/>
          <w:i w:val="1"/>
          <w:iCs w:val="1"/>
          <w:color w:val="231F20"/>
        </w:rPr>
        <w:t>Investmentsteuergesetz</w:t>
      </w:r>
      <w:r>
        <w:rPr>
          <w:rFonts w:ascii="Times New Roman" w:cs="Times New Roman" w:eastAsia="Times New Roman" w:hAnsi="Times New Roman"/>
          <w:sz w:val="16"/>
          <w:szCs w:val="16"/>
          <w:color w:val="231F20"/>
        </w:rPr>
        <w:t>). Whether or not and to which extent the anti-treaty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07" w:name="page208"/>
    <w:bookmarkEnd w:id="20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Due to the legal structure of the ADSs, only limited guidance from the German tax authorities exists on the practical application of the refund process with respect to the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6"/>
          <w:szCs w:val="16"/>
          <w:i w:val="1"/>
          <w:iCs w:val="1"/>
          <w:color w:val="231F20"/>
        </w:rPr>
        <w:t>Datenträgerverfahren</w:t>
      </w:r>
      <w:r>
        <w:rPr>
          <w:rFonts w:ascii="Times New Roman" w:cs="Times New Roman" w:eastAsia="Times New Roman" w:hAnsi="Times New Roman"/>
          <w:sz w:val="16"/>
          <w:szCs w:val="16"/>
          <w:color w:val="231F20"/>
        </w:rPr>
        <w:t>) for claims for reimbursement based on ADRs has been suspended temporarily by the tax authorities.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Taxation of Holders Tax Resident in Germany</w:t>
      </w:r>
    </w:p>
    <w:p>
      <w:pPr>
        <w:spacing w:after="0" w:line="96" w:lineRule="exact"/>
        <w:rPr>
          <w:sz w:val="20"/>
          <w:szCs w:val="20"/>
          <w:color w:val="auto"/>
        </w:rPr>
      </w:pPr>
    </w:p>
    <w:p>
      <w:pPr>
        <w:jc w:val="both"/>
        <w:ind w:right="20" w:firstLine="384"/>
        <w:spacing w:after="0" w:line="281" w:lineRule="auto"/>
        <w:rPr>
          <w:sz w:val="20"/>
          <w:szCs w:val="20"/>
          <w:color w:val="auto"/>
        </w:rPr>
      </w:pPr>
      <w:r>
        <w:rPr>
          <w:rFonts w:ascii="Times New Roman" w:cs="Times New Roman" w:eastAsia="Times New Roman" w:hAnsi="Times New Roman"/>
          <w:sz w:val="14"/>
          <w:szCs w:val="14"/>
          <w:color w:val="231F20"/>
        </w:rPr>
        <w:t xml:space="preserve">This subsection provides an overview of dividend taxation and of capital gains taxation with regard to the general principles applicable to ADS holders that are tax resident in Germany. A holder is a German tax resident if, in case of an individual, he or she maintains a domicile ( </w:t>
      </w:r>
      <w:r>
        <w:rPr>
          <w:rFonts w:ascii="Times New Roman" w:cs="Times New Roman" w:eastAsia="Times New Roman" w:hAnsi="Times New Roman"/>
          <w:sz w:val="14"/>
          <w:szCs w:val="14"/>
          <w:i w:val="1"/>
          <w:iCs w:val="1"/>
          <w:color w:val="231F20"/>
        </w:rPr>
        <w:t>Wohnsitz</w:t>
      </w:r>
      <w:r>
        <w:rPr>
          <w:rFonts w:ascii="Times New Roman" w:cs="Times New Roman" w:eastAsia="Times New Roman" w:hAnsi="Times New Roman"/>
          <w:sz w:val="14"/>
          <w:szCs w:val="14"/>
          <w:color w:val="231F20"/>
        </w:rPr>
        <w:t>) or a usual residence (</w:t>
      </w:r>
      <w:r>
        <w:rPr>
          <w:rFonts w:ascii="Times New Roman" w:cs="Times New Roman" w:eastAsia="Times New Roman" w:hAnsi="Times New Roman"/>
          <w:sz w:val="14"/>
          <w:szCs w:val="14"/>
          <w:i w:val="1"/>
          <w:iCs w:val="1"/>
          <w:color w:val="231F20"/>
        </w:rPr>
        <w:t>gewöhnlicher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Aufenthalt</w:t>
      </w:r>
      <w:r>
        <w:rPr>
          <w:rFonts w:ascii="Times New Roman" w:cs="Times New Roman" w:eastAsia="Times New Roman" w:hAnsi="Times New Roman"/>
          <w:sz w:val="16"/>
          <w:szCs w:val="16"/>
          <w:color w:val="231F20"/>
        </w:rPr>
        <w:t>) in Germany or if, in case of a corporation, it has its place of management</w:t>
      </w:r>
      <w:r>
        <w:rPr>
          <w:rFonts w:ascii="Times New Roman" w:cs="Times New Roman" w:eastAsia="Times New Roman" w:hAnsi="Times New Roman"/>
          <w:sz w:val="16"/>
          <w:szCs w:val="16"/>
          <w:i w:val="1"/>
          <w:iCs w:val="1"/>
          <w:color w:val="231F20"/>
        </w:rPr>
        <w:t xml:space="preserve"> Geschäftsleitung</w:t>
      </w:r>
      <w:r>
        <w:rPr>
          <w:rFonts w:ascii="Times New Roman" w:cs="Times New Roman" w:eastAsia="Times New Roman" w:hAnsi="Times New Roman"/>
          <w:sz w:val="16"/>
          <w:szCs w:val="16"/>
          <w:color w:val="231F20"/>
        </w:rPr>
        <w:t>() or registered seat (</w:t>
      </w:r>
      <w:r>
        <w:rPr>
          <w:rFonts w:ascii="Times New Roman" w:cs="Times New Roman" w:eastAsia="Times New Roman" w:hAnsi="Times New Roman"/>
          <w:sz w:val="16"/>
          <w:szCs w:val="16"/>
          <w:i w:val="1"/>
          <w:iCs w:val="1"/>
          <w:color w:val="231F20"/>
        </w:rPr>
        <w:t>Sitz</w:t>
      </w:r>
      <w:r>
        <w:rPr>
          <w:rFonts w:ascii="Times New Roman" w:cs="Times New Roman" w:eastAsia="Times New Roman" w:hAnsi="Times New Roman"/>
          <w:sz w:val="16"/>
          <w:szCs w:val="16"/>
          <w:color w:val="231F20"/>
        </w:rPr>
        <w:t>) in Germany.</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The German dividend and capital gains taxation rules applicable to German tax residents require a distinction between ADSs held as private assets (</w:t>
      </w:r>
      <w:r>
        <w:rPr>
          <w:rFonts w:ascii="Times New Roman" w:cs="Times New Roman" w:eastAsia="Times New Roman" w:hAnsi="Times New Roman"/>
          <w:sz w:val="16"/>
          <w:szCs w:val="16"/>
          <w:i w:val="1"/>
          <w:iCs w:val="1"/>
          <w:color w:val="231F20"/>
        </w:rPr>
        <w:t>Privatvermögen</w:t>
      </w:r>
      <w:r>
        <w:rPr>
          <w:rFonts w:ascii="Times New Roman" w:cs="Times New Roman" w:eastAsia="Times New Roman" w:hAnsi="Times New Roman"/>
          <w:sz w:val="16"/>
          <w:szCs w:val="16"/>
          <w:color w:val="231F20"/>
        </w:rPr>
        <w:t>) and ADSs held as business assets (</w:t>
      </w:r>
      <w:r>
        <w:rPr>
          <w:rFonts w:ascii="Times New Roman" w:cs="Times New Roman" w:eastAsia="Times New Roman" w:hAnsi="Times New Roman"/>
          <w:sz w:val="16"/>
          <w:szCs w:val="16"/>
          <w:i w:val="1"/>
          <w:iCs w:val="1"/>
          <w:color w:val="231F20"/>
        </w:rPr>
        <w:t>Betriebsvermögen</w:t>
      </w:r>
      <w:r>
        <w:rPr>
          <w:rFonts w:ascii="Times New Roman" w:cs="Times New Roman" w:eastAsia="Times New Roman" w:hAnsi="Times New Roman"/>
          <w:sz w:val="16"/>
          <w:szCs w:val="16"/>
          <w:color w:val="231F20"/>
        </w:rPr>
        <w:t>).</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ADSs as Private Assets (Privatvermögen)</w:t>
      </w:r>
    </w:p>
    <w:p>
      <w:pPr>
        <w:spacing w:after="0" w:line="96" w:lineRule="exact"/>
        <w:rPr>
          <w:sz w:val="20"/>
          <w:szCs w:val="20"/>
          <w:color w:val="auto"/>
        </w:rPr>
      </w:pPr>
    </w:p>
    <w:p>
      <w:pPr>
        <w:jc w:val="both"/>
        <w:ind w:firstLine="384"/>
        <w:spacing w:after="0" w:line="246" w:lineRule="auto"/>
        <w:rPr>
          <w:sz w:val="20"/>
          <w:szCs w:val="20"/>
          <w:color w:val="auto"/>
        </w:rPr>
      </w:pPr>
      <w:r>
        <w:rPr>
          <w:rFonts w:ascii="Times New Roman" w:cs="Times New Roman" w:eastAsia="Times New Roman" w:hAnsi="Times New Roman"/>
          <w:sz w:val="16"/>
          <w:szCs w:val="16"/>
          <w:color w:val="231F20"/>
        </w:rPr>
        <w:t>If the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cs="Times New Roman" w:eastAsia="Times New Roman" w:hAnsi="Times New Roman"/>
          <w:sz w:val="16"/>
          <w:szCs w:val="16"/>
          <w:i w:val="1"/>
          <w:iCs w:val="1"/>
          <w:color w:val="231F20"/>
        </w:rPr>
        <w:t>Abgeltungsteuer</w:t>
      </w:r>
      <w:r>
        <w:rPr>
          <w:rFonts w:ascii="Times New Roman" w:cs="Times New Roman" w:eastAsia="Times New Roman" w:hAnsi="Times New Roman"/>
          <w:sz w:val="16"/>
          <w:szCs w:val="16"/>
          <w:color w:val="231F20"/>
        </w:rPr>
        <w:t>) (plus a 5.5% solidarity</w:t>
      </w:r>
    </w:p>
    <w:p>
      <w:pPr>
        <w:spacing w:after="0" w:line="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6"/>
          <w:szCs w:val="16"/>
          <w:color w:val="231F20"/>
        </w:rPr>
        <w:t>surcharge (</w:t>
      </w:r>
      <w:r>
        <w:rPr>
          <w:rFonts w:ascii="Times New Roman" w:cs="Times New Roman" w:eastAsia="Times New Roman" w:hAnsi="Times New Roman"/>
          <w:sz w:val="16"/>
          <w:szCs w:val="16"/>
          <w:i w:val="1"/>
          <w:iCs w:val="1"/>
          <w:color w:val="231F20"/>
        </w:rPr>
        <w:t>Solidaritätszuschlag</w:t>
      </w:r>
      <w:r>
        <w:rPr>
          <w:rFonts w:ascii="Times New Roman" w:cs="Times New Roman" w:eastAsia="Times New Roman" w:hAnsi="Times New Roman"/>
          <w:sz w:val="16"/>
          <w:szCs w:val="16"/>
          <w:color w:val="231F20"/>
        </w:rPr>
        <w:t xml:space="preserve">) thereon, resulting in an aggregate rate of 26.375%), which is levied in the form of withholding tax </w:t>
      </w:r>
      <w:r>
        <w:rPr>
          <w:rFonts w:ascii="Times New Roman" w:cs="Times New Roman" w:eastAsia="Times New Roman" w:hAnsi="Times New Roman"/>
          <w:sz w:val="16"/>
          <w:szCs w:val="16"/>
          <w:i w:val="1"/>
          <w:iCs w:val="1"/>
          <w:color w:val="231F20"/>
        </w:rPr>
        <w:t>Kapitalertragsteuer</w:t>
      </w:r>
      <w:r>
        <w:rPr>
          <w:rFonts w:ascii="Times New Roman" w:cs="Times New Roman" w:eastAsia="Times New Roman" w:hAnsi="Times New Roman"/>
          <w:sz w:val="16"/>
          <w:szCs w:val="16"/>
          <w:color w:val="231F20"/>
        </w:rPr>
        <w:t>(). In other words, once deducted, the holder’s income tax liability on the dividends will be settled. Dividend payments to the extent funded from BioNTech’s tax-recognized contribution account (</w:t>
      </w:r>
      <w:r>
        <w:rPr>
          <w:rFonts w:ascii="Times New Roman" w:cs="Times New Roman" w:eastAsia="Times New Roman" w:hAnsi="Times New Roman"/>
          <w:sz w:val="16"/>
          <w:szCs w:val="16"/>
          <w:i w:val="1"/>
          <w:iCs w:val="1"/>
          <w:color w:val="231F20"/>
        </w:rPr>
        <w:t>steuerliches Einlagekonto</w:t>
      </w:r>
      <w:r>
        <w:rPr>
          <w:rFonts w:ascii="Times New Roman" w:cs="Times New Roman" w:eastAsia="Times New Roman" w:hAnsi="Times New Roman"/>
          <w:sz w:val="16"/>
          <w:szCs w:val="16"/>
          <w:color w:val="231F20"/>
        </w:rPr>
        <w:t>), subject to certain prerequisites, do not form part of the taxable dividend income but should lower the holder’s acquisition costs for the ADSs.</w:t>
      </w:r>
    </w:p>
    <w:p>
      <w:pPr>
        <w:spacing w:after="0" w:line="171"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231F20"/>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€ 1,602 for a married couple and a registered civil union (</w:t>
      </w:r>
      <w:r>
        <w:rPr>
          <w:rFonts w:ascii="Times New Roman" w:cs="Times New Roman" w:eastAsia="Times New Roman" w:hAnsi="Times New Roman"/>
          <w:sz w:val="16"/>
          <w:szCs w:val="16"/>
          <w:i w:val="1"/>
          <w:iCs w:val="1"/>
          <w:color w:val="231F20"/>
        </w:rPr>
        <w:t>eingetragene Lebenspartnerschaft</w:t>
      </w:r>
      <w:r>
        <w:rPr>
          <w:rFonts w:ascii="Times New Roman" w:cs="Times New Roman" w:eastAsia="Times New Roman" w:hAnsi="Times New Roman"/>
          <w:sz w:val="16"/>
          <w:szCs w:val="16"/>
          <w:color w:val="231F20"/>
        </w:rPr>
        <w:t>) filing taxes jointly. These amounts increase from 2023 onwards to a saver's allowance of € 1,000 for an individual or €2,000 for a married couple and a registered civil union (</w:t>
      </w:r>
      <w:r>
        <w:rPr>
          <w:rFonts w:ascii="Times New Roman" w:cs="Times New Roman" w:eastAsia="Times New Roman" w:hAnsi="Times New Roman"/>
          <w:sz w:val="16"/>
          <w:szCs w:val="16"/>
          <w:i w:val="1"/>
          <w:iCs w:val="1"/>
          <w:color w:val="231F20"/>
        </w:rPr>
        <w:t>eingetragene Lebendspartnerschaft</w:t>
      </w:r>
      <w:r>
        <w:rPr>
          <w:rFonts w:ascii="Times New Roman" w:cs="Times New Roman" w:eastAsia="Times New Roman" w:hAnsi="Times New Roman"/>
          <w:sz w:val="16"/>
          <w:szCs w:val="16"/>
          <w:color w:val="231F20"/>
        </w:rPr>
        <w:t>) filing taxes jointly. The deduction of expenses related to the investment income (including dividends or gains with respect to ADSs) is generally not possible for private investors.</w:t>
      </w:r>
    </w:p>
    <w:p>
      <w:pPr>
        <w:spacing w:after="0" w:line="171"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231F20"/>
        </w:rPr>
        <w:t xml:space="preserve">Losses resulting from the disposal of ADSs can only be offset against capital gains from the sale of any shares </w:t>
      </w:r>
      <w:r>
        <w:rPr>
          <w:rFonts w:ascii="Times New Roman" w:cs="Times New Roman" w:eastAsia="Times New Roman" w:hAnsi="Times New Roman"/>
          <w:sz w:val="16"/>
          <w:szCs w:val="16"/>
          <w:i w:val="1"/>
          <w:iCs w:val="1"/>
          <w:color w:val="231F20"/>
        </w:rPr>
        <w:t>Aktien</w:t>
      </w:r>
      <w:r>
        <w:rPr>
          <w:rFonts w:ascii="Times New Roman" w:cs="Times New Roman" w:eastAsia="Times New Roman" w:hAnsi="Times New Roman"/>
          <w:sz w:val="16"/>
          <w:szCs w:val="16"/>
          <w:color w:val="231F20"/>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6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Since 2021, the basis for the calculation of the solidarity surcharge (</w:t>
      </w:r>
      <w:r>
        <w:rPr>
          <w:rFonts w:ascii="Times New Roman" w:cs="Times New Roman" w:eastAsia="Times New Roman" w:hAnsi="Times New Roman"/>
          <w:sz w:val="16"/>
          <w:szCs w:val="16"/>
          <w:i w:val="1"/>
          <w:iCs w:val="1"/>
          <w:color w:val="auto"/>
        </w:rPr>
        <w:t>Solidaritätszuschlag</w:t>
      </w:r>
      <w:r>
        <w:rPr>
          <w:rFonts w:ascii="Times New Roman" w:cs="Times New Roman" w:eastAsia="Times New Roman" w:hAnsi="Times New Roman"/>
          <w:sz w:val="16"/>
          <w:szCs w:val="16"/>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7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Church tax generally has to be withheld, if applicable, based on an automatic data access procedure, unless the holder of ADSs has filed a blocking notice (</w:t>
      </w:r>
      <w:r>
        <w:rPr>
          <w:rFonts w:ascii="Times New Roman" w:cs="Times New Roman" w:eastAsia="Times New Roman" w:hAnsi="Times New Roman"/>
          <w:sz w:val="16"/>
          <w:szCs w:val="16"/>
          <w:i w:val="1"/>
          <w:iCs w:val="1"/>
          <w:color w:val="231F20"/>
        </w:rPr>
        <w:t>Sperrvermerk</w:t>
      </w:r>
      <w:r>
        <w:rPr>
          <w:rFonts w:ascii="Times New Roman" w:cs="Times New Roman" w:eastAsia="Times New Roman" w:hAnsi="Times New Roman"/>
          <w:sz w:val="16"/>
          <w:szCs w:val="16"/>
          <w:color w:val="231F20"/>
        </w:rPr>
        <w:t>) with the Federal Central Tax Office. Where church tax is not levied by way of withholding, it is determined by means of income tax assessment.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8" w:name="page209"/>
    <w:bookmarkEnd w:id="20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ADSs as Business Assets (Betriebsvermögen)</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 xml:space="preserve">In case the ADSs are held as business assets, the taxation depends on the legal form of the holder </w:t>
      </w:r>
      <w:r>
        <w:rPr>
          <w:rFonts w:ascii="Times New Roman" w:cs="Times New Roman" w:eastAsia="Times New Roman" w:hAnsi="Times New Roman"/>
          <w:sz w:val="16"/>
          <w:szCs w:val="16"/>
          <w:i w:val="1"/>
          <w:iCs w:val="1"/>
          <w:color w:val="231F20"/>
        </w:rPr>
        <w:t>i</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.e.</w:t>
      </w:r>
      <w:r>
        <w:rPr>
          <w:rFonts w:ascii="Times New Roman" w:cs="Times New Roman" w:eastAsia="Times New Roman" w:hAnsi="Times New Roman"/>
          <w:sz w:val="16"/>
          <w:szCs w:val="16"/>
          <w:color w:val="231F20"/>
        </w:rPr>
        <w:t>, whether the holder is a corporation or an individual).</w:t>
      </w:r>
    </w:p>
    <w:p>
      <w:pPr>
        <w:spacing w:after="0" w:line="190" w:lineRule="exact"/>
        <w:rPr>
          <w:sz w:val="20"/>
          <w:szCs w:val="20"/>
          <w:color w:val="auto"/>
        </w:rPr>
      </w:pPr>
    </w:p>
    <w:p>
      <w:pPr>
        <w:jc w:val="both"/>
        <w:ind w:right="20" w:firstLine="384"/>
        <w:spacing w:after="0" w:line="237" w:lineRule="auto"/>
        <w:rPr>
          <w:sz w:val="20"/>
          <w:szCs w:val="20"/>
          <w:color w:val="auto"/>
        </w:rPr>
      </w:pPr>
      <w:r>
        <w:rPr>
          <w:rFonts w:ascii="Times New Roman" w:cs="Times New Roman" w:eastAsia="Times New Roman" w:hAnsi="Times New Roman"/>
          <w:sz w:val="16"/>
          <w:szCs w:val="16"/>
          <w:color w:val="231F20"/>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ADSs for at least one uninterrupted year until receipt (</w:t>
      </w:r>
      <w:r>
        <w:rPr>
          <w:rFonts w:ascii="Times New Roman" w:cs="Times New Roman" w:eastAsia="Times New Roman" w:hAnsi="Times New Roman"/>
          <w:sz w:val="16"/>
          <w:szCs w:val="16"/>
          <w:i w:val="1"/>
          <w:iCs w:val="1"/>
          <w:color w:val="231F20"/>
        </w:rPr>
        <w:t>Zufluss</w:t>
      </w:r>
      <w:r>
        <w:rPr>
          <w:rFonts w:ascii="Times New Roman" w:cs="Times New Roman" w:eastAsia="Times New Roman" w:hAnsi="Times New Roman"/>
          <w:sz w:val="16"/>
          <w:szCs w:val="16"/>
          <w:color w:val="231F20"/>
        </w:rPr>
        <w:t>) of the dividends.</w:t>
      </w:r>
    </w:p>
    <w:p>
      <w:pPr>
        <w:spacing w:after="0" w:line="169"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231F20"/>
        </w:rPr>
        <w:t>To the extent the amount withheld exceeds the income tax liability, the withholding tax will be refunded, provided that certain requirements are met (including the aforementioned requirements).</w:t>
      </w:r>
    </w:p>
    <w:p>
      <w:pPr>
        <w:spacing w:after="0" w:line="153" w:lineRule="exact"/>
        <w:rPr>
          <w:sz w:val="20"/>
          <w:szCs w:val="20"/>
          <w:color w:val="auto"/>
        </w:rPr>
      </w:pPr>
    </w:p>
    <w:p>
      <w:pPr>
        <w:jc w:val="both"/>
        <w:ind w:right="20" w:firstLine="384"/>
        <w:spacing w:after="0" w:line="262" w:lineRule="auto"/>
        <w:rPr>
          <w:sz w:val="20"/>
          <w:szCs w:val="20"/>
          <w:color w:val="auto"/>
        </w:rPr>
      </w:pPr>
      <w:r>
        <w:rPr>
          <w:rFonts w:ascii="Times New Roman" w:cs="Times New Roman" w:eastAsia="Times New Roman" w:hAnsi="Times New Roman"/>
          <w:sz w:val="16"/>
          <w:szCs w:val="16"/>
          <w:color w:val="231F20"/>
        </w:rPr>
        <w:t>Special rules apply to credit institutions (</w:t>
      </w:r>
      <w:r>
        <w:rPr>
          <w:rFonts w:ascii="Times New Roman" w:cs="Times New Roman" w:eastAsia="Times New Roman" w:hAnsi="Times New Roman"/>
          <w:sz w:val="16"/>
          <w:szCs w:val="16"/>
          <w:i w:val="1"/>
          <w:iCs w:val="1"/>
          <w:color w:val="231F20"/>
        </w:rPr>
        <w:t>Kreditinstitute</w:t>
      </w:r>
      <w:r>
        <w:rPr>
          <w:rFonts w:ascii="Times New Roman" w:cs="Times New Roman" w:eastAsia="Times New Roman" w:hAnsi="Times New Roman"/>
          <w:sz w:val="16"/>
          <w:szCs w:val="16"/>
          <w:color w:val="231F20"/>
        </w:rPr>
        <w:t>), financial services institutions (</w:t>
      </w:r>
      <w:r>
        <w:rPr>
          <w:rFonts w:ascii="Times New Roman" w:cs="Times New Roman" w:eastAsia="Times New Roman" w:hAnsi="Times New Roman"/>
          <w:sz w:val="16"/>
          <w:szCs w:val="16"/>
          <w:i w:val="1"/>
          <w:iCs w:val="1"/>
          <w:color w:val="231F20"/>
        </w:rPr>
        <w:t>Finanzdienstleistungsinstitute</w:t>
      </w:r>
      <w:r>
        <w:rPr>
          <w:rFonts w:ascii="Times New Roman" w:cs="Times New Roman" w:eastAsia="Times New Roman" w:hAnsi="Times New Roman"/>
          <w:sz w:val="16"/>
          <w:szCs w:val="16"/>
          <w:color w:val="231F20"/>
        </w:rPr>
        <w:t>), financial enterprises (</w:t>
      </w:r>
      <w:r>
        <w:rPr>
          <w:rFonts w:ascii="Times New Roman" w:cs="Times New Roman" w:eastAsia="Times New Roman" w:hAnsi="Times New Roman"/>
          <w:sz w:val="16"/>
          <w:szCs w:val="16"/>
          <w:i w:val="1"/>
          <w:iCs w:val="1"/>
          <w:color w:val="231F20"/>
        </w:rPr>
        <w:t>Finanzunternehmen</w:t>
      </w:r>
      <w:r>
        <w:rPr>
          <w:rFonts w:ascii="Times New Roman" w:cs="Times New Roman" w:eastAsia="Times New Roman" w:hAnsi="Times New Roman"/>
          <w:sz w:val="16"/>
          <w:szCs w:val="16"/>
          <w:color w:val="231F20"/>
        </w:rPr>
        <w:t>), life insurance and health insurance companies, and pension funds.</w:t>
      </w:r>
    </w:p>
    <w:p>
      <w:pPr>
        <w:spacing w:after="0" w:line="152"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231F20"/>
        </w:rPr>
        <w:t>In principle, dividends that a corporation receives from German or foreign corporations are subject to corporate income tax (and solidarity surcharge thereon) at a rate of 15.825% and also subject to trade tax of between 7.0% and 19.0%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Times New Roman" w:cs="Times New Roman" w:eastAsia="Times New Roman" w:hAnsi="Times New Roman"/>
          <w:sz w:val="16"/>
          <w:szCs w:val="16"/>
          <w:i w:val="1"/>
          <w:iCs w:val="1"/>
          <w:color w:val="231F20"/>
        </w:rPr>
        <w:t>Grundkapital oder Stammkapital</w:t>
      </w:r>
      <w:r>
        <w:rPr>
          <w:rFonts w:ascii="Times New Roman" w:cs="Times New Roman" w:eastAsia="Times New Roman" w:hAnsi="Times New Roman"/>
          <w:sz w:val="16"/>
          <w:szCs w:val="16"/>
          <w:color w:val="231F20"/>
        </w:rPr>
        <w:t xml:space="preserve">) of BioNTech at the beginning of the calendar year, or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 </w:t>
      </w:r>
      <w:r>
        <w:rPr>
          <w:rFonts w:ascii="Times New Roman" w:cs="Times New Roman" w:eastAsia="Times New Roman" w:hAnsi="Times New Roman"/>
          <w:sz w:val="16"/>
          <w:szCs w:val="16"/>
          <w:i w:val="1"/>
          <w:iCs w:val="1"/>
          <w:color w:val="231F20"/>
        </w:rPr>
        <w:t>Mitunternehmerschaften</w:t>
      </w:r>
      <w:r>
        <w:rPr>
          <w:rFonts w:ascii="Times New Roman" w:cs="Times New Roman" w:eastAsia="Times New Roman" w:hAnsi="Times New Roman"/>
          <w:sz w:val="16"/>
          <w:szCs w:val="16"/>
          <w:color w:val="231F20"/>
        </w:rPr>
        <w:t>), are attributable to the respective partner only on a pro rata basis at the ratio of its entitlement to the profits of the partnership.</w:t>
      </w:r>
    </w:p>
    <w:p>
      <w:pPr>
        <w:spacing w:after="0" w:line="17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Capital gains and dividend income of a German tax resident corporation are generally subject to German trade taxof between 7.0% and 19.0%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ADSs are generally not tax deductible for corporate income tax and trade tax purposes.</w:t>
      </w:r>
    </w:p>
    <w:p>
      <w:pPr>
        <w:spacing w:after="0" w:line="169"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231F20"/>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9" w:name="page210"/>
    <w:bookmarkEnd w:id="20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231F20"/>
        </w:rPr>
        <w:t>income tax purposes. Since 2021, the basis for the calculation of the solidarity surcharge (</w:t>
      </w:r>
      <w:r>
        <w:rPr>
          <w:rFonts w:ascii="Times New Roman" w:cs="Times New Roman" w:eastAsia="Times New Roman" w:hAnsi="Times New Roman"/>
          <w:sz w:val="16"/>
          <w:szCs w:val="16"/>
          <w:i w:val="1"/>
          <w:iCs w:val="1"/>
          <w:color w:val="231F20"/>
        </w:rPr>
        <w:t>Solidaritätszuschlag</w:t>
      </w:r>
      <w:r>
        <w:rPr>
          <w:rFonts w:ascii="Times New Roman" w:cs="Times New Roman" w:eastAsia="Times New Roman" w:hAnsi="Times New Roman"/>
          <w:sz w:val="16"/>
          <w:szCs w:val="16"/>
          <w:color w:val="231F20"/>
        </w:rPr>
        <w:t xml:space="preserve">) has been reduced for certain individual persons being subject to tax assessments (other than withholding taxes), and in certain cases, the solidarity surcharge has been abolished, subject to the limitations described above in “—ADSs as Private Assets ( </w:t>
      </w:r>
      <w:r>
        <w:rPr>
          <w:rFonts w:ascii="Times New Roman" w:cs="Times New Roman" w:eastAsia="Times New Roman" w:hAnsi="Times New Roman"/>
          <w:sz w:val="16"/>
          <w:szCs w:val="16"/>
          <w:i w:val="1"/>
          <w:iCs w:val="1"/>
          <w:color w:val="231F20"/>
        </w:rPr>
        <w:t>Privatvermögen</w:t>
      </w:r>
      <w:r>
        <w:rPr>
          <w:rFonts w:ascii="Times New Roman" w:cs="Times New Roman" w:eastAsia="Times New Roman" w:hAnsi="Times New Roman"/>
          <w:sz w:val="16"/>
          <w:szCs w:val="16"/>
          <w:color w:val="231F20"/>
        </w:rPr>
        <w:t xml:space="preserve"> )”.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German Inheritance and Gift Tax (Erbschaft- und Schenkungsteuer)</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The transfer of ADSs to another person by inheritance or gift generally should be subject to German inheritance and gift tax only if:</w:t>
      </w:r>
    </w:p>
    <w:p>
      <w:pPr>
        <w:spacing w:after="0" w:line="92" w:lineRule="exact"/>
        <w:rPr>
          <w:sz w:val="20"/>
          <w:szCs w:val="20"/>
          <w:color w:val="auto"/>
        </w:rPr>
      </w:pPr>
    </w:p>
    <w:p>
      <w:pPr>
        <w:jc w:val="both"/>
        <w:ind w:left="760" w:right="40" w:hanging="274"/>
        <w:spacing w:after="0" w:line="239" w:lineRule="auto"/>
        <w:tabs>
          <w:tab w:leader="none" w:pos="873" w:val="left"/>
        </w:tabs>
        <w:numPr>
          <w:ilvl w:val="0"/>
          <w:numId w:val="1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77" w:lineRule="exact"/>
        <w:rPr>
          <w:rFonts w:ascii="Times New Roman" w:cs="Times New Roman" w:eastAsia="Times New Roman" w:hAnsi="Times New Roman"/>
          <w:sz w:val="16"/>
          <w:szCs w:val="16"/>
          <w:color w:val="231F20"/>
        </w:rPr>
      </w:pPr>
    </w:p>
    <w:p>
      <w:pPr>
        <w:ind w:left="760" w:right="60" w:hanging="274"/>
        <w:spacing w:after="0" w:line="259" w:lineRule="auto"/>
        <w:tabs>
          <w:tab w:leader="none" w:pos="889" w:val="left"/>
        </w:tabs>
        <w:numPr>
          <w:ilvl w:val="0"/>
          <w:numId w:val="1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at the time of the transfer, the ADSs are held by the decedent or donor as business assets forming part of a permanent establishment in Germany or for which a permanent representative in Germany has been appointed; or</w:t>
      </w:r>
    </w:p>
    <w:p>
      <w:pPr>
        <w:spacing w:after="0" w:line="59" w:lineRule="exact"/>
        <w:rPr>
          <w:rFonts w:ascii="Times New Roman" w:cs="Times New Roman" w:eastAsia="Times New Roman" w:hAnsi="Times New Roman"/>
          <w:sz w:val="16"/>
          <w:szCs w:val="16"/>
          <w:color w:val="231F20"/>
        </w:rPr>
      </w:pPr>
    </w:p>
    <w:p>
      <w:pPr>
        <w:ind w:left="760" w:right="20" w:hanging="274"/>
        <w:spacing w:after="0" w:line="259" w:lineRule="auto"/>
        <w:tabs>
          <w:tab w:leader="none" w:pos="886" w:val="left"/>
        </w:tabs>
        <w:numPr>
          <w:ilvl w:val="0"/>
          <w:numId w:val="1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55"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The Agreement between the Federal Republic of Germany and the United States of America for the avoidance of double taxation with respect to taxes on inheritances and gifts as of December 21, 2000 (</w:t>
      </w:r>
      <w:r>
        <w:rPr>
          <w:rFonts w:ascii="Times New Roman" w:cs="Times New Roman" w:eastAsia="Times New Roman" w:hAnsi="Times New Roman"/>
          <w:sz w:val="16"/>
          <w:szCs w:val="16"/>
          <w:i w:val="1"/>
          <w:iCs w:val="1"/>
          <w:color w:val="231F20"/>
        </w:rPr>
        <w:t>Abkommen zwischen der Bundesrepublik Deutschland und den Vereinigten Staaten von Amerika zur Vermeidung der</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Doppelbesteuerung auf dem Gebiet der Nachlass-, Erbschaft- und Schenkungssteuern in der Fassung vom 21. Dezember 2000</w:t>
      </w:r>
      <w:r>
        <w:rPr>
          <w:rFonts w:ascii="Times New Roman" w:cs="Times New Roman" w:eastAsia="Times New Roman" w:hAnsi="Times New Roman"/>
          <w:sz w:val="16"/>
          <w:szCs w:val="16"/>
          <w:color w:val="231F20"/>
        </w:rPr>
        <w:t>), hereinafter referred to as the “United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States-Germany Inheritance and Gifts Tax Treaty,” provides that the German inheritance tax or gift tax can, with certain restrictions, only be levied in the cases of (i) and (ii) above. Special provisions apply to certain German citizens living outside of Germany and former German citizens.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Other Taxes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No German transfer tax, value-added tax, stamp duty or similar taxes are assessed on dividend payments.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Material United States Federal Income Tax Considerations</w:t>
      </w:r>
    </w:p>
    <w:p>
      <w:pPr>
        <w:spacing w:after="0" w:line="8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For purposes of this discussion, a “U.S. Holder” is a beneficial owner of our ADSs that, for U.S. federal income tax purposes, is:</w:t>
      </w:r>
    </w:p>
    <w:p>
      <w:pPr>
        <w:spacing w:after="0" w:line="92" w:lineRule="exact"/>
        <w:rPr>
          <w:sz w:val="20"/>
          <w:szCs w:val="20"/>
          <w:color w:val="auto"/>
        </w:rPr>
      </w:pPr>
    </w:p>
    <w:p>
      <w:pPr>
        <w:ind w:left="720" w:hanging="234"/>
        <w:spacing w:after="0"/>
        <w:tabs>
          <w:tab w:leader="none" w:pos="7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92" w:lineRule="exact"/>
        <w:rPr>
          <w:rFonts w:ascii="Times New Roman" w:cs="Times New Roman" w:eastAsia="Times New Roman" w:hAnsi="Times New Roman"/>
          <w:sz w:val="16"/>
          <w:szCs w:val="16"/>
          <w:color w:val="auto"/>
        </w:rPr>
      </w:pPr>
    </w:p>
    <w:p>
      <w:pPr>
        <w:ind w:left="720" w:hanging="234"/>
        <w:spacing w:after="0"/>
        <w:tabs>
          <w:tab w:leader="none" w:pos="7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domestic corporation (or other entity taxable as a corporation);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10" w:name="page211"/>
    <w:bookmarkEnd w:id="21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234"/>
        <w:spacing w:after="0"/>
        <w:tabs>
          <w:tab w:leader="none" w:pos="7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92" w:lineRule="exact"/>
        <w:rPr>
          <w:rFonts w:ascii="Times New Roman" w:cs="Times New Roman" w:eastAsia="Times New Roman" w:hAnsi="Times New Roman"/>
          <w:sz w:val="16"/>
          <w:szCs w:val="16"/>
          <w:color w:val="auto"/>
        </w:rPr>
      </w:pPr>
    </w:p>
    <w:p>
      <w:pPr>
        <w:jc w:val="both"/>
        <w:ind w:left="720" w:right="20" w:hanging="234"/>
        <w:spacing w:after="0" w:line="247" w:lineRule="auto"/>
        <w:tabs>
          <w:tab w:leader="none" w:pos="7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 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169"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231F20"/>
        </w:rPr>
        <w:t>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3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231F20"/>
        </w:rPr>
        <w:t>In general, and taking into account the earlier assumptions, for U.S. federal income and German tax purposes, a holder of ADSs will be treated as the owner of the shares represented by those ADSs. Exchanges of shares for ADSs, and ADSs for shares, generally will not be subject to U.S. federal income or to German tax.</w:t>
      </w:r>
    </w:p>
    <w:p>
      <w:pPr>
        <w:spacing w:after="0" w:line="151"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231F20"/>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Dividends</w:t>
      </w:r>
    </w:p>
    <w:p>
      <w:pPr>
        <w:spacing w:after="0" w:line="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4"/>
          <w:szCs w:val="14"/>
          <w:color w:val="231F20"/>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 -term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40"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231F20"/>
        </w:rPr>
        <w:t>A U.S. Holder must include any German tax withheld as part of the gross dividend payment, as described above under “—German Taxation—General Rules for the Taxation of Holders Not Tax Resident in Germany,”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70"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231F20"/>
        </w:rPr>
        <w:t>To the extent a distribution with respect to ADSs exceeds our current or accumulated earnings and profits, as determined under U.S. federal income tax principles, the distribution will be treated, first, as a tax-free return of the U.S. Holder’s investment, up to the holder’s adjusted tax basis in its ADSs, and, thereafter, as capital gain, which is subject to the tax treatment described below in “—Gain on Sale, Exchange or Other Taxable Disposition.”</w:t>
      </w:r>
    </w:p>
    <w:p>
      <w:pPr>
        <w:spacing w:after="0" w:line="16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231F20"/>
        </w:rPr>
        <w:t>Subject to certain limitations, the German tax withheld in accordance with the Treaty and paid over to the German taxing authority will be creditable or deductible against a U.S. Holder’s U.S. federal income tax liability. To the extent 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1" w:name="page212"/>
    <w:bookmarkEnd w:id="21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231F20"/>
        </w:rPr>
        <w:t>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Gain On Sale, Exchange or Other Taxable Disposition</w:t>
      </w:r>
    </w:p>
    <w:p>
      <w:pPr>
        <w:spacing w:after="0" w:line="96"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 -term capital gains of non- 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Passive Foreign Investment Company Considerations</w:t>
      </w:r>
    </w:p>
    <w:p>
      <w:pPr>
        <w:spacing w:after="0" w:line="192"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We believe that we were a PFIC for our 2023 taxable year. Because the determination of our PFIC status is made annually based on the factual tests described below, however, we cannot estimate with certainty at this stage whether or not we are likely to be treated as a PFIC in the current taxable year or any future taxable years. In particular, the total value of our asset test generally will be calculated taking into account the market price of our ADSs or ordinary shares. This value has fluctuated considerably in the past, and may fluctuate considerably in the future. Even if we determine that we are not a PFIC for a taxable year, there can be no assurance that the IRS will agree with our conclusion regarding our PFIC status.</w:t>
      </w:r>
    </w:p>
    <w:p>
      <w:pPr>
        <w:spacing w:after="0" w:line="16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We are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 are treated as passive assets regardless of the fact that they may not produce any income.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170"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231F20"/>
        </w:rPr>
        <w:t>If we are classified as a PFIC in any taxable year, a U.S. Holder will be subject to special rules with respect to distributions on and sales, exchanges and other dispositions of the ADSs. In addition, a U.S. Holder that holds the ADSs at any time during a taxable year in which we are classified as a PFIC generally will continue to have to treat such ADSs as ADSs in a PFIC, even if we no longer satisfy the income and asset tests described above, unless the U.S. Holder elects to recognize gain, which will be taxed under the excess distribution rules described below as if such ADSs had been sold on the last day of the last taxable year for which we were a PFIC.</w:t>
      </w:r>
    </w:p>
    <w:p>
      <w:pPr>
        <w:spacing w:after="0" w:line="137"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231F20"/>
        </w:rPr>
        <w:t>Certain elections by a U.S. Holder, described below, generally alleviate some of the adverse consequences of the excess distribution rules and would result in an alternative treatment of the ADSs, as described below.</w:t>
      </w:r>
    </w:p>
    <w:p>
      <w:pPr>
        <w:spacing w:after="0" w:line="155"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231F20"/>
        </w:rPr>
        <w:t>A U.S. Holder of PFIC shares must generally file an annual information return on IRS Form 8621 (Information Return by a Shareholder of a Passive Foreign Investment Company or Qualified Electing Fund) and will make any of the elections described below such Form attached to a timely filed U.S. federal income tax return (including available extensions). The failure to file IRS Form 8621 could result in an extension of the statute of limitations with respect to U.S. federal income tax.</w:t>
      </w:r>
    </w:p>
    <w:p>
      <w:pPr>
        <w:spacing w:after="0" w:line="129" w:lineRule="exact"/>
        <w:rPr>
          <w:sz w:val="20"/>
          <w:szCs w:val="20"/>
          <w:color w:val="auto"/>
        </w:rPr>
      </w:pPr>
    </w:p>
    <w:p>
      <w:pPr>
        <w:jc w:val="both"/>
        <w:ind w:right="20" w:firstLine="384"/>
        <w:spacing w:after="0"/>
        <w:rPr>
          <w:sz w:val="20"/>
          <w:szCs w:val="20"/>
          <w:color w:val="auto"/>
        </w:rPr>
      </w:pPr>
      <w:r>
        <w:rPr>
          <w:rFonts w:ascii="Times New Roman" w:cs="Times New Roman" w:eastAsia="Times New Roman" w:hAnsi="Times New Roman"/>
          <w:sz w:val="16"/>
          <w:szCs w:val="16"/>
          <w:i w:val="1"/>
          <w:iCs w:val="1"/>
          <w:color w:val="231F20"/>
        </w:rPr>
        <w:t>Excess Distribution Rules</w:t>
      </w:r>
      <w:r>
        <w:rPr>
          <w:rFonts w:ascii="Times New Roman" w:cs="Times New Roman" w:eastAsia="Times New Roman" w:hAnsi="Times New Roman"/>
          <w:sz w:val="16"/>
          <w:szCs w:val="16"/>
          <w:color w:val="231F20"/>
        </w:rPr>
        <w:t>. If we are a PFIC with respect to a U.S. Holder, then unless such U.S. Holder makes one of the elections described below, a special tax</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regime will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 (ii) any gain realized on the sale or other disposition of the ADSs. Under this regime, any excess distribution and realized gain is treated as ordinary income and is subject to tax as if (a) the excess distribution or gain had been realized ratably over the U.S. Holder’s holding period, (b) the amount deemed realized in each year had been subject to tax in each year of that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2" w:name="page213"/>
    <w:bookmarkEnd w:id="21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231F20"/>
        </w:rPr>
        <w:t>holding period at the highest marginal rate for such year (other than income allocated to the current period or any taxable period before we became a PFIC, which is subject to tax at the U.S. Holder’s regular ordinary income rate for the current year and is not subject to the interest charge discussed below), and (c) the interest charge generally applicable to underpayments of tax had been imposed on the taxes deemed to have been payable in those years. If we are a PFIC, this tax treatment for U.S. Holders applies also to indirect distributions and gains deemed realized by U.S. Holders in respect of stock of any of our subsidiaries determined to be PFICs. In addition, dividend distributions do not qualify for the lower rates of taxation applicable to long-term capital gains discussed above under “—Taxation of Dividends.”</w:t>
      </w:r>
    </w:p>
    <w:p>
      <w:pPr>
        <w:spacing w:after="0" w:line="138" w:lineRule="exact"/>
        <w:rPr>
          <w:sz w:val="20"/>
          <w:szCs w:val="20"/>
          <w:color w:val="auto"/>
        </w:rPr>
      </w:pPr>
    </w:p>
    <w:p>
      <w:pPr>
        <w:jc w:val="both"/>
        <w:ind w:right="40" w:firstLine="384"/>
        <w:spacing w:after="0" w:line="238" w:lineRule="auto"/>
        <w:rPr>
          <w:sz w:val="20"/>
          <w:szCs w:val="20"/>
          <w:color w:val="auto"/>
        </w:rPr>
      </w:pPr>
      <w:r>
        <w:rPr>
          <w:rFonts w:ascii="Times New Roman" w:cs="Times New Roman" w:eastAsia="Times New Roman" w:hAnsi="Times New Roman"/>
          <w:sz w:val="16"/>
          <w:szCs w:val="16"/>
          <w:i w:val="1"/>
          <w:iCs w:val="1"/>
          <w:color w:val="231F20"/>
        </w:rPr>
        <w:t xml:space="preserve">Elective Alternative Treatment </w:t>
      </w:r>
      <w:r>
        <w:rPr>
          <w:rFonts w:ascii="Times New Roman" w:cs="Times New Roman" w:eastAsia="Times New Roman" w:hAnsi="Times New Roman"/>
          <w:sz w:val="16"/>
          <w:szCs w:val="16"/>
          <w:color w:val="231F20"/>
        </w:rPr>
        <w:t>. If we are a PFIC, the rules above do not apply to a U.S. Holder that makes an election to treat ADSs as stock of a “qualified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electing fund” or QEF. We intend to provide to U.S. Holders the required information to make a valid QEF election and expect to provide that information after April 15, 2024 and before October 15, 2024 on our corporate website. As a result, a U.S. Holder is expected to be able to make the QEF election with respect to its ADSs with an extension to file its U.S. federal income tax return. A U.S. Holder that makes a QEF election is required to include in income its pro rata share of our ordinary earnings and net capital gain as ordinary income and long-term capital gain, respectively, subject to a separate election to defer payment of taxes, which deferral is subject to an interest charge. A U.S. Holder makes a QEF election generally by attaching a completed IRS Form 8621 to a timely filed United States federal income tax return for the year beginning with which the QEF election is to be effective (taking into account any extensions) . A QEF election can be revoked only with the consent of the IRS. We intend to annually provide or make available the information required for a U.S. Holder to make a valid QEF election.</w:t>
      </w:r>
    </w:p>
    <w:p>
      <w:pPr>
        <w:spacing w:after="0" w:line="175" w:lineRule="exact"/>
        <w:rPr>
          <w:sz w:val="20"/>
          <w:szCs w:val="20"/>
          <w:color w:val="auto"/>
        </w:rPr>
      </w:pPr>
    </w:p>
    <w:p>
      <w:pPr>
        <w:jc w:val="both"/>
        <w:ind w:right="40" w:firstLine="384"/>
        <w:spacing w:after="0" w:line="239" w:lineRule="auto"/>
        <w:rPr>
          <w:sz w:val="20"/>
          <w:szCs w:val="20"/>
          <w:color w:val="auto"/>
        </w:rPr>
      </w:pPr>
      <w:r>
        <w:rPr>
          <w:rFonts w:ascii="Times New Roman" w:cs="Times New Roman" w:eastAsia="Times New Roman" w:hAnsi="Times New Roman"/>
          <w:sz w:val="16"/>
          <w:szCs w:val="16"/>
          <w:color w:val="231F20"/>
        </w:rPr>
        <w:t xml:space="preserve">The rules above also do not apply to a U.S. Holder that makes a “mark-to-market” election with respect to the ADSs. This election is available with respect to the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ADSs generally will be considered regularly traded during any calendar year during which they are traded, other than in </w:t>
      </w:r>
      <w:r>
        <w:rPr>
          <w:rFonts w:ascii="Times New Roman" w:cs="Times New Roman" w:eastAsia="Times New Roman" w:hAnsi="Times New Roman"/>
          <w:sz w:val="16"/>
          <w:szCs w:val="16"/>
          <w:i w:val="1"/>
          <w:iCs w:val="1"/>
          <w:color w:val="231F20"/>
        </w:rPr>
        <w:t>de minimis</w:t>
      </w:r>
      <w:r>
        <w:rPr>
          <w:rFonts w:ascii="Times New Roman" w:cs="Times New Roman" w:eastAsia="Times New Roman" w:hAnsi="Times New Roman"/>
          <w:sz w:val="16"/>
          <w:szCs w:val="16"/>
          <w:color w:val="231F20"/>
        </w:rPr>
        <w:t xml:space="preserve"> quantities, on at least 15 days during each calendar quarter. Any trades that have as their principal purpose meeting this requirement will be disregarded. Our ADSs will be marketable stock as long as they remain listed on the Nasdaq Global Select Market and are traded regularly.</w:t>
      </w:r>
    </w:p>
    <w:p>
      <w:pPr>
        <w:spacing w:after="0" w:line="173"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231F20"/>
        </w:rPr>
        <w:t>A U.S. Holder that makes a valid mark-to -market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 market gains with respect to such ADSs included by the U.S. Holder under the election for prior taxable years. The U.S. Holder’s basis in such ADSs will be adjusted to reflect the amounts included or deducted pursuant to the election. Amounts included in income pursuant to a mark- to-market election, as well as gain on the sale, exchange or other taxable disposition of such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w:t>
      </w:r>
    </w:p>
    <w:p>
      <w:pPr>
        <w:spacing w:after="0" w:line="327"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are a PFIC for any year in which the U.S. Holder owns the ADSs but before a mark-to-market election is made, the interest charge rules described above applies to any mark-to-market gain recognized in the year the election is made.</w:t>
      </w:r>
    </w:p>
    <w:p>
      <w:pPr>
        <w:spacing w:after="0" w:line="163"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231F20"/>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Medicare Tax</w:t>
      </w:r>
    </w:p>
    <w:p>
      <w:pPr>
        <w:spacing w:after="0" w:line="9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231F20"/>
        </w:rPr>
        <w:t>Non -corporate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13" w:name="page214"/>
    <w:bookmarkEnd w:id="21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encouraged to consult its tax advisors regarding the applicability of this Medicare tax to its income and gains in respect of any investment in ADSs.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Information Reporting with Respect to Foreign Financial Assets</w:t>
      </w:r>
    </w:p>
    <w:p>
      <w:pPr>
        <w:spacing w:after="0" w:line="96" w:lineRule="exact"/>
        <w:rPr>
          <w:sz w:val="20"/>
          <w:szCs w:val="20"/>
          <w:color w:val="auto"/>
        </w:rPr>
      </w:pPr>
    </w:p>
    <w:p>
      <w:pPr>
        <w:jc w:val="both"/>
        <w:ind w:right="20" w:firstLine="384"/>
        <w:spacing w:after="0" w:line="289" w:lineRule="auto"/>
        <w:rPr>
          <w:sz w:val="20"/>
          <w:szCs w:val="20"/>
          <w:color w:val="auto"/>
        </w:rPr>
      </w:pPr>
      <w:r>
        <w:rPr>
          <w:rFonts w:ascii="Times New Roman" w:cs="Times New Roman" w:eastAsia="Times New Roman" w:hAnsi="Times New Roman"/>
          <w:sz w:val="14"/>
          <w:szCs w:val="14"/>
          <w:color w:val="231F20"/>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3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Information Reporting and Backup Withholding</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67"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231F20"/>
        </w:rPr>
        <w:t>Backup withholding is not an additional tax. A U.S. Holder generally may obtain a refund of any amounts withheld under the backup withholding rules that exceed the U.S. Holder’s income tax liability by filing a refund claim with the IRS.</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F. Dividends and Paying Agents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G. Statement by Experts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H. Documents on Display</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6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We also make available on our website, free of charge, our Annual Report and the text of our reports on Form 6- K, including any amendments to these reports, as well as certain other SEC filings, as soon as reasonably practicable after they are electronically filed with or furnished to the SEC. Our website address is www.biontech.de. The information contained on our website is not incorporated by reference in this Annual Report and our website address is included in this Annual Report as an inactive textual reference only.</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4" w:name="page215"/>
    <w:bookmarkEnd w:id="21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 Subsidiary Information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231F20"/>
        </w:rPr>
        <w:t>We are exposed to various risks in relation to financial instruments, including counterparty risk and currency risk. Our risk management is coordinated by our Management Board. We do not engage in the trading of financial assets for speculative purposes. The most significant financial risks to which we are exposed include the risks discussed below.</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Counterparty Risk</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order to mitigate default risks within our asset m</w:t>
      </w:r>
      <w:r>
        <w:rPr>
          <w:rFonts w:ascii="Times New Roman" w:cs="Times New Roman" w:eastAsia="Times New Roman" w:hAnsi="Times New Roman"/>
          <w:sz w:val="16"/>
          <w:szCs w:val="16"/>
          <w:color w:val="231F20"/>
        </w:rPr>
        <w:t>anagement portfolio, we diversify our cash investments among various counterparties and instruments that have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an investment grade rating. Transactions are carried out within the limits approved by the treasury committee.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Foreign Currency Risk</w:t>
      </w:r>
    </w:p>
    <w:p>
      <w:pPr>
        <w:spacing w:after="0" w:line="96" w:lineRule="exact"/>
        <w:rPr>
          <w:sz w:val="20"/>
          <w:szCs w:val="20"/>
          <w:color w:val="auto"/>
        </w:rPr>
      </w:pPr>
    </w:p>
    <w:p>
      <w:pPr>
        <w:jc w:val="both"/>
        <w:ind w:right="20" w:firstLine="384"/>
        <w:spacing w:after="0" w:line="276" w:lineRule="auto"/>
        <w:rPr>
          <w:sz w:val="20"/>
          <w:szCs w:val="20"/>
          <w:color w:val="auto"/>
        </w:rPr>
      </w:pPr>
      <w:r>
        <w:rPr>
          <w:rFonts w:ascii="Times New Roman" w:cs="Times New Roman" w:eastAsia="Times New Roman" w:hAnsi="Times New Roman"/>
          <w:sz w:val="14"/>
          <w:szCs w:val="14"/>
          <w:color w:val="231F20"/>
        </w:rPr>
        <w:t xml:space="preserve">We publish our consolidated financial statements in Euro. Revenue and expenses incurred in U.S. dollars will be translated into Euro when they are reported in our consolidated financial statements. We are subject to currency risks, as our income and expenditures are denominated in Euro and the U.S. dollar. As such, we are exposed to exchange rate fluctuations between these currencies. Cash inflows denominated in U.S. dollar mainly result </w:t>
      </w:r>
      <w:r>
        <w:rPr>
          <w:rFonts w:ascii="Times New Roman" w:cs="Times New Roman" w:eastAsia="Times New Roman" w:hAnsi="Times New Roman"/>
          <w:sz w:val="14"/>
          <w:szCs w:val="14"/>
          <w:color w:val="000000"/>
        </w:rPr>
        <w:t>from generating proceeds under our collaboration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agreements. Our commercial revenues are primarily collaboration revenues from earnings based on our partners’ gross profit, which is shared under the respective collaboration agreements and represents payments we receive in U.S. dollar. Cash outflows dominated in U.S. dollar mainly result from amounts spent on research and development activities and license obligations as well as expanding our global footprint further. With the aim of preserving capital, surplus liquidity is mainly invested in domestic currency investments as exchange rate fluctuations can reduce the value of our financial positions. We limit the effects of the identified risks by means of a coordinated and </w:t>
      </w:r>
      <w:r>
        <w:rPr>
          <w:rFonts w:ascii="Times New Roman" w:cs="Times New Roman" w:eastAsia="Times New Roman" w:hAnsi="Times New Roman"/>
          <w:sz w:val="14"/>
          <w:szCs w:val="14"/>
          <w:color w:val="231F20"/>
        </w:rPr>
        <w:t>consistently</w:t>
      </w:r>
      <w:r>
        <w:rPr>
          <w:rFonts w:ascii="Times New Roman" w:cs="Times New Roman" w:eastAsia="Times New Roman" w:hAnsi="Times New Roman"/>
          <w:sz w:val="14"/>
          <w:szCs w:val="14"/>
          <w:color w:val="000000"/>
        </w:rPr>
        <w:t xml:space="preserve"> implemented risk strategy. Besides applying natural hedging relationships where possible, foreign exchange forward contracts are concluded, as a matter of principle, as instruments to </w:t>
      </w:r>
      <w:r>
        <w:rPr>
          <w:rFonts w:ascii="Times New Roman" w:cs="Times New Roman" w:eastAsia="Times New Roman" w:hAnsi="Times New Roman"/>
          <w:sz w:val="14"/>
          <w:szCs w:val="14"/>
          <w:color w:val="231F20"/>
        </w:rPr>
        <w:t>mitigate foreign currency exchange risk associated with foreign currency-denominated payments</w:t>
      </w:r>
      <w:r>
        <w:rPr>
          <w:rFonts w:ascii="Times New Roman" w:cs="Times New Roman" w:eastAsia="Times New Roman" w:hAnsi="Times New Roman"/>
          <w:sz w:val="14"/>
          <w:szCs w:val="14"/>
          <w:color w:val="000000"/>
        </w:rPr>
        <w:t>.</w:t>
      </w:r>
    </w:p>
    <w:p>
      <w:pPr>
        <w:spacing w:after="0" w:line="33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For further disclosures relating to foreign exchange forward contracts, see Note 12 to our consolidated financial statements included elsewhere in this Annual Report.</w:t>
      </w:r>
    </w:p>
    <w:p>
      <w:pPr>
        <w:spacing w:after="0" w:line="155"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Notwithstanding our efforts to mitigate some foreign currency exchange risks, there can be no assurance that our hedging activities will adequately protect us against the risks associated with foreign currency fluctuations. We believe the counterparties to our foreign currency forward contracts are creditworthy multinational commercial banks. While we believe the risk of counterparty nonperformance is not material, a sustained decline in the financial stability of financial institutions as a result of disruption in the financial markets could affect our ability to secure creditworthy counterparties for our foreign currency hedging programs. </w:t>
      </w:r>
      <w:r>
        <w:rPr>
          <w:rFonts w:ascii="Times New Roman" w:cs="Times New Roman" w:eastAsia="Times New Roman" w:hAnsi="Times New Roman"/>
          <w:sz w:val="16"/>
          <w:szCs w:val="16"/>
          <w:color w:val="000000"/>
        </w:rPr>
        <w:t>Therefore,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developments on the financial markets are continuously monitored to enable us to respond to exceptional events at short notice.</w:t>
      </w:r>
    </w:p>
    <w:p>
      <w:pPr>
        <w:spacing w:after="0" w:line="16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231F20"/>
        </w:rPr>
        <w:t>As a result, any substantial future appreciation or decline of the U.S. dollar against the Euro could have a material effect on our revenue and profitability. As an example, if the U.S. dollar weakens by 5% against the Euro, financial assets and liabilities denominated in U.S. dollar as of December 31, 2023 would have an effect of €39.2 million on our profit before tax.</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 xml:space="preserve">For additional information about our quantitative and qualitative market risks, see Note </w:t>
      </w:r>
      <w:r>
        <w:rPr>
          <w:rFonts w:ascii="Times New Roman" w:cs="Times New Roman" w:eastAsia="Times New Roman" w:hAnsi="Times New Roman"/>
          <w:sz w:val="16"/>
          <w:szCs w:val="16"/>
          <w:color w:val="000000"/>
        </w:rPr>
        <w:t>12</w:t>
      </w:r>
      <w:r>
        <w:rPr>
          <w:rFonts w:ascii="Times New Roman" w:cs="Times New Roman" w:eastAsia="Times New Roman" w:hAnsi="Times New Roman"/>
          <w:sz w:val="16"/>
          <w:szCs w:val="16"/>
          <w:color w:val="231F20"/>
        </w:rPr>
        <w:t xml:space="preserve"> to the consolidated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176" w:lineRule="exact"/>
        <w:rPr>
          <w:sz w:val="20"/>
          <w:szCs w:val="20"/>
          <w:color w:val="auto"/>
        </w:rPr>
      </w:pPr>
    </w:p>
    <w:p>
      <w:pPr>
        <w:jc w:val="right"/>
        <w:ind w:right="9280"/>
        <w:spacing w:after="0"/>
        <w:rPr>
          <w:sz w:val="20"/>
          <w:szCs w:val="20"/>
          <w:color w:val="auto"/>
        </w:rPr>
      </w:pPr>
      <w:r>
        <w:rPr>
          <w:rFonts w:ascii="Times New Roman" w:cs="Times New Roman" w:eastAsia="Times New Roman" w:hAnsi="Times New Roman"/>
          <w:sz w:val="16"/>
          <w:szCs w:val="16"/>
          <w:b w:val="1"/>
          <w:bCs w:val="1"/>
          <w:color w:val="auto"/>
        </w:rPr>
        <w:t>A. Debt Securities</w:t>
      </w:r>
    </w:p>
    <w:p>
      <w:pPr>
        <w:spacing w:after="0" w:line="82"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5" w:name="page216"/>
    <w:bookmarkEnd w:id="21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B. Warrants and Rights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jc w:val="right"/>
        <w:ind w:right="3880"/>
        <w:spacing w:after="0"/>
        <w:rPr>
          <w:sz w:val="20"/>
          <w:szCs w:val="20"/>
          <w:color w:val="auto"/>
        </w:rPr>
      </w:pPr>
      <w:r>
        <w:rPr>
          <w:rFonts w:ascii="Times New Roman" w:cs="Times New Roman" w:eastAsia="Times New Roman" w:hAnsi="Times New Roman"/>
          <w:sz w:val="14"/>
          <w:szCs w:val="14"/>
          <w:b w:val="1"/>
          <w:bCs w:val="1"/>
          <w:color w:val="auto"/>
        </w:rPr>
        <w:t>C. Other Securities</w:t>
      </w:r>
    </w:p>
    <w:p>
      <w:pPr>
        <w:spacing w:after="0" w:line="105"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 American Depositary Shares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Fees and Expenses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231F20"/>
        </w:rPr>
        <w:t>Persons depositing or withdrawing shares or ADS holders must pay:</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$.05 (or less) per ADS</w:t>
      </w:r>
    </w:p>
    <w:p>
      <w:pPr>
        <w:spacing w:after="0" w:line="236" w:lineRule="exact"/>
        <w:rPr>
          <w:sz w:val="20"/>
          <w:szCs w:val="20"/>
          <w:color w:val="auto"/>
        </w:rPr>
      </w:pPr>
    </w:p>
    <w:p>
      <w:pPr>
        <w:jc w:val="both"/>
        <w:ind w:left="400" w:right="20"/>
        <w:spacing w:after="0" w:line="234" w:lineRule="auto"/>
        <w:rPr>
          <w:sz w:val="20"/>
          <w:szCs w:val="20"/>
          <w:color w:val="auto"/>
        </w:rPr>
      </w:pPr>
      <w:r>
        <w:rPr>
          <w:rFonts w:ascii="Times New Roman" w:cs="Times New Roman" w:eastAsia="Times New Roman" w:hAnsi="Times New Roman"/>
          <w:sz w:val="16"/>
          <w:szCs w:val="16"/>
          <w:color w:val="231F20"/>
        </w:rPr>
        <w:t>A fee equivalent to the fee that would be payable if securities distributed to an ADS holder had been shares and the shares had been deposited for issuance of ADSs</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$.05 (or less) per ADS per calendar year</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Registration or transfer fees</w:t>
      </w:r>
    </w:p>
    <w:p>
      <w:pPr>
        <w:spacing w:after="0" w:line="3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231F20"/>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0" w:right="20"/>
        <w:spacing w:after="0" w:line="234" w:lineRule="auto"/>
        <w:rPr>
          <w:sz w:val="20"/>
          <w:szCs w:val="20"/>
          <w:color w:val="auto"/>
        </w:rPr>
      </w:pPr>
      <w:r>
        <w:rPr>
          <w:rFonts w:ascii="Times New Roman" w:cs="Times New Roman" w:eastAsia="Times New Roman" w:hAnsi="Times New Roman"/>
          <w:sz w:val="16"/>
          <w:szCs w:val="16"/>
          <w:color w:val="231F20"/>
        </w:rPr>
        <w:t>Taxes and other governmental charges the depositary or the custodian has to pay on any ADSs or shares underlying ADSs, such as stock transfer taxes, stamp duty or withholding taxes</w:t>
      </w:r>
    </w:p>
    <w:p>
      <w:pPr>
        <w:spacing w:after="0" w:line="14" w:lineRule="exact"/>
        <w:rPr>
          <w:sz w:val="20"/>
          <w:szCs w:val="20"/>
          <w:color w:val="auto"/>
        </w:rPr>
      </w:pPr>
    </w:p>
    <w:p>
      <w:pPr>
        <w:jc w:val="both"/>
        <w:ind w:left="400"/>
        <w:spacing w:after="0" w:line="244" w:lineRule="auto"/>
        <w:rPr>
          <w:sz w:val="20"/>
          <w:szCs w:val="20"/>
          <w:color w:val="auto"/>
        </w:rPr>
      </w:pPr>
      <w:r>
        <w:rPr>
          <w:rFonts w:ascii="Times New Roman" w:cs="Times New Roman" w:eastAsia="Times New Roman" w:hAnsi="Times New Roman"/>
          <w:sz w:val="16"/>
          <w:szCs w:val="16"/>
          <w:color w:val="231F20"/>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For:</w:t>
      </w:r>
    </w:p>
    <w:p>
      <w:pPr>
        <w:spacing w:after="0" w:line="22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231F20"/>
        </w:rPr>
        <w:t>Issuance of ADSs, including issuances resulting from a distribution of shares or rights or other property</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231F20"/>
        </w:rPr>
        <w:t>Cancellation of ADSs for the purpose of withdrawal, including if the deposit agreement terminates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Any cash distribution to ADS holders</w:t>
      </w:r>
    </w:p>
    <w:p>
      <w:pPr>
        <w:spacing w:after="0" w:line="23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231F20"/>
        </w:rPr>
        <w:t>Distribution of securities distributed to holders of deposited securities (including rights) that are distributed by the depositary to ADS 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Depositary services</w:t>
      </w:r>
    </w:p>
    <w:p>
      <w:pPr>
        <w:spacing w:after="0" w:line="23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6"/>
          <w:szCs w:val="16"/>
          <w:color w:val="231F20"/>
        </w:rPr>
        <w:t>Transfer and registration of shares on our share register to or from the name of the depositary or its agent when an ADS holder deposits or withdraws shares</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231F20"/>
        </w:rPr>
        <w:t>Cable and facsimile transmissions (when expressly provided in the deposit agreement)</w:t>
      </w:r>
    </w:p>
    <w:p>
      <w:pPr>
        <w:spacing w:after="0" w:line="155" w:lineRule="exact"/>
        <w:rPr>
          <w:sz w:val="20"/>
          <w:szCs w:val="20"/>
          <w:color w:val="auto"/>
        </w:rPr>
      </w:pPr>
    </w:p>
    <w:p>
      <w:pPr>
        <w:ind w:right="2160"/>
        <w:spacing w:after="0" w:line="322" w:lineRule="auto"/>
        <w:rPr>
          <w:sz w:val="20"/>
          <w:szCs w:val="20"/>
          <w:color w:val="auto"/>
        </w:rPr>
      </w:pPr>
      <w:r>
        <w:rPr>
          <w:rFonts w:ascii="Times New Roman" w:cs="Times New Roman" w:eastAsia="Times New Roman" w:hAnsi="Times New Roman"/>
          <w:sz w:val="16"/>
          <w:szCs w:val="16"/>
          <w:color w:val="231F20"/>
        </w:rPr>
        <w:t>Converting foreign currency to U.S. dollars As necessary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As necessary</w:t>
      </w:r>
    </w:p>
    <w:p>
      <w:pPr>
        <w:spacing w:after="0" w:line="390" w:lineRule="exact"/>
        <w:rPr>
          <w:sz w:val="20"/>
          <w:szCs w:val="20"/>
          <w:color w:val="auto"/>
        </w:rPr>
      </w:pPr>
    </w:p>
    <w:p>
      <w:pPr>
        <w:sectPr>
          <w:pgSz w:w="11900" w:h="16840" w:orient="portrait"/>
          <w:cols w:equalWidth="0" w:num="2">
            <w:col w:w="5260" w:space="420"/>
            <w:col w:w="4880"/>
          </w:cols>
          <w:pgMar w:left="660" w:top="557" w:right="680" w:bottom="1440" w:gutter="0" w:footer="0" w:header="0"/>
        </w:sectPr>
      </w:pPr>
    </w:p>
    <w:p>
      <w:pPr>
        <w:spacing w:after="0" w:line="8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 -entry system accounts of participants acting for them. The depositary may collect any of its fees by deduction from any cash distribution payable (or by selling a portion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216" w:name="page217"/>
    <w:bookmarkEnd w:id="21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231F20"/>
        </w:rPr>
        <w:t>securities or other property distributable) to ADS holders that are obligated to pay those fees. The depositary may generally refuse to provide fee-attracting services until its fees for those services are paid.</w:t>
      </w:r>
    </w:p>
    <w:p>
      <w:pPr>
        <w:spacing w:after="0" w:line="1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231F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231F20"/>
        </w:rPr>
        <w:t>Payment of Taxes</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ADS holders will be responsible for any taxes or other governmental charges payable on their ADSs or on the deposited securities represented by any of their ADSs. The depositary may refuse to register any transfer of ADS holders ADSs or allow him or her to </w:t>
      </w:r>
      <w:r>
        <w:rPr>
          <w:rFonts w:ascii="Times New Roman" w:cs="Times New Roman" w:eastAsia="Times New Roman" w:hAnsi="Times New Roman"/>
          <w:sz w:val="16"/>
          <w:szCs w:val="16"/>
          <w:color w:val="000000"/>
        </w:rPr>
        <w:t>withdraw</w:t>
      </w:r>
      <w:r>
        <w:rPr>
          <w:rFonts w:ascii="Times New Roman" w:cs="Times New Roman" w:eastAsia="Times New Roman" w:hAnsi="Times New Roman"/>
          <w:sz w:val="16"/>
          <w:szCs w:val="16"/>
          <w:color w:val="231F20"/>
        </w:rPr>
        <w:t xml:space="preserve"> the deposited securities represented by his or her ADSs until those taxes or other charges are paid. It may apply payments owed to you or sell deposited securities represented by his or her ADSs to pay any taxes owed and you will remain liable for any deficiency. If the depositary sells deposited securities, if appropriate, it will reduce the number of ADSs to reflect the sale and pay to ADS holders any proceeds, or send to ADS holders any property, remaining after it has paid the taxes.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82"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As required by Rule 13a- 15 under the Exchange Act, management, including our Chief Executive Officer (CEO) and our Chief Financial Officer (CFO), has performed an evaluation of the effectiveness of our disclosure controls and procedures.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w:t>
      </w:r>
    </w:p>
    <w:p>
      <w:pPr>
        <w:spacing w:after="0" w:line="170"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auto"/>
        </w:rPr>
        <w:t>Based on the foregoing, our CEO and CFO have concluded that, as of the end of the period covered by this annual report, our disclosure controls and procedures were effective in ensuring that the information required to be disclosed by us in the reports that we file or submit under the Exchange Act is recorded, processed, summarized and reported within the time periods specified in by the SEC’s rules and forms, and that the information required to be disclosed by us in the reports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7" w:name="page218"/>
    <w:bookmarkEnd w:id="21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we file or submit under the Exchange Act is accumulated and communicated to our management to allow timely decisions regarding required disclosure.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82"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Exchange Act Rules 13a-15(f). Our internal control over financial reporting is a process designed by or under the supervision of the Chief Financial Officer, to provide reasonable assurance regarding the reliability of financial reporting and the preparation of our financial statements for external reporting purposes in accordance with International Financial Reporting Standards as issued by the IASB.</w:t>
      </w:r>
    </w:p>
    <w:p>
      <w:pPr>
        <w:spacing w:after="0" w:line="167"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The relevant controls may become inadequate due to changes in circumstances or the degree of compliance with the underlying policies or procedures may deteriorate.</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management assessed the effectiveness of the Company’s internal control over financial reporting as of December 31, 2023. In making this assessment, it used the criteria set forth by the Committee of Sponsoring Organizations of the Treadway Commission in “Internal Control - Integrated Framework (2013)”.</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Based on this assessment, our management has determined that the Company’s internal control over financial reporting as of December 31, 2023 is effective.</w:t>
      </w:r>
    </w:p>
    <w:p>
      <w:pPr>
        <w:spacing w:after="0" w:line="188" w:lineRule="exact"/>
        <w:rPr>
          <w:sz w:val="20"/>
          <w:szCs w:val="20"/>
          <w:color w:val="auto"/>
        </w:rPr>
      </w:pPr>
    </w:p>
    <w:p>
      <w:pPr>
        <w:jc w:val="both"/>
        <w:ind w:right="40" w:firstLine="384"/>
        <w:spacing w:after="0" w:line="234" w:lineRule="auto"/>
        <w:rPr>
          <w:sz w:val="20"/>
          <w:szCs w:val="20"/>
          <w:color w:val="auto"/>
        </w:rPr>
      </w:pPr>
      <w:r>
        <w:rPr>
          <w:rFonts w:ascii="Times New Roman" w:cs="Times New Roman" w:eastAsia="Times New Roman" w:hAnsi="Times New Roman"/>
          <w:sz w:val="16"/>
          <w:szCs w:val="16"/>
          <w:color w:val="auto"/>
        </w:rPr>
        <w:t>As permitted by the SEC, the Company has elected to exclude an assessment of the internal controls of acquisitions made during the year ended December 31, 2023, namely the acquisition of InstaDeep. InstaDeep’s impact on our revenue and profit for the period has been immaterial (</w:t>
      </w:r>
      <w:r>
        <w:rPr>
          <w:rFonts w:ascii="Times New Roman" w:cs="Times New Roman" w:eastAsia="Times New Roman" w:hAnsi="Times New Roman"/>
          <w:sz w:val="16"/>
          <w:szCs w:val="16"/>
          <w:color w:val="231F20"/>
        </w:rPr>
        <w:t>see Note</w:t>
      </w:r>
      <w:r>
        <w:rPr>
          <w:rFonts w:ascii="Times New Roman" w:cs="Times New Roman" w:eastAsia="Times New Roman" w:hAnsi="Times New Roman"/>
          <w:sz w:val="16"/>
          <w:szCs w:val="16"/>
          <w:color w:val="auto"/>
        </w:rPr>
        <w:t xml:space="preserve"> 5 </w:t>
      </w:r>
      <w:r>
        <w:rPr>
          <w:rFonts w:ascii="Times New Roman" w:cs="Times New Roman" w:eastAsia="Times New Roman" w:hAnsi="Times New Roman"/>
          <w:sz w:val="16"/>
          <w:szCs w:val="16"/>
          <w:color w:val="231F20"/>
        </w:rPr>
        <w:t>to the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statements</w:t>
      </w:r>
      <w:r>
        <w:rPr>
          <w:rFonts w:ascii="Times New Roman" w:cs="Times New Roman" w:eastAsia="Times New Roman" w:hAnsi="Times New Roman"/>
          <w:sz w:val="16"/>
          <w:szCs w:val="16"/>
          <w:color w:val="000000"/>
        </w:rPr>
        <w:t>).</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82"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The effectiveness of our internal control over financial reporting as of December 31, 2023 has been audited by EY GmbH &amp; Co. KG Wirtschaftsprüfungsgesellschaft, an independent registered public accounting firm. Their report is included on page F-2. EY GmbH &amp; Co. KG Wirtschaftsprüfungsgesellschaft is a member of the Chamber of Public Accountants (</w:t>
      </w:r>
      <w:r>
        <w:rPr>
          <w:rFonts w:ascii="Times New Roman" w:cs="Times New Roman" w:eastAsia="Times New Roman" w:hAnsi="Times New Roman"/>
          <w:sz w:val="16"/>
          <w:szCs w:val="16"/>
          <w:i w:val="1"/>
          <w:iCs w:val="1"/>
          <w:color w:val="auto"/>
        </w:rPr>
        <w:t>Wirtschaftsprüferkammer</w:t>
      </w:r>
      <w:r>
        <w:rPr>
          <w:rFonts w:ascii="Times New Roman" w:cs="Times New Roman" w:eastAsia="Times New Roman" w:hAnsi="Times New Roman"/>
          <w:sz w:val="16"/>
          <w:szCs w:val="16"/>
          <w:color w:val="auto"/>
        </w:rPr>
        <w:t>), Berlin, Germany.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Changes in Control over Financial Reporting</w:t>
      </w:r>
    </w:p>
    <w:p>
      <w:pPr>
        <w:spacing w:after="0" w:line="8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During the period covered by this report a new ERP System was implemented. The internal controls over financial reporting (as defined in Rule 13a-15(f) and 15d-15(f) under the Securities and Exchange Act of 1934) were reviewed and updated to cover all risk inherent with the change. The new control set was assessed as part of the overall management assessment and determined as effective as of December 31,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82"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231F20"/>
        </w:rPr>
        <w:t>Our Audit Committee for the year ended December 31, 2023 consisted of Anja Morawietz. (Chair), Rudolf Staudigl and Ulrich Wandschneider. All members of the Audit Committee qualify as “independent directors” as such term is defined in Rule 10A-3 under the Exchange Act and Nasdaq Rule 5605. Additionally, our Supervisory Board has determined that each of Anja Morawietz, Rudolf Staudigl and Ulrich Wandschneider qualifies as “audit committee financial expert” as that term is defined under the Exchange Act.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https://www.biontech.de. The information and other content appearing on our website are not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18" w:name="page219"/>
    <w:bookmarkEnd w:id="21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part of this Annual Report and our website address is included in this Annual Report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82"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EY GmbH &amp; Co. KG Wirtschaftsprüfungsgesellschaft, or EY, has served as our independent registered public accounting firm for the years ended December 31, 2023, December 31, 2022, December 31, 2021 for which audited financial statements appear in this Annual Report.</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sets out the aggregate fees for professional audit services and other services rendered by EY in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360" w:type="dxa"/>
            <w:vAlign w:val="bottom"/>
            <w:gridSpan w:val="2"/>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6"/>
              </w:rPr>
              <w:t>Years ended</w:t>
            </w:r>
          </w:p>
        </w:tc>
        <w:tc>
          <w:tcPr>
            <w:tcW w:w="740" w:type="dxa"/>
            <w:vAlign w:val="bottom"/>
          </w:tcPr>
          <w:p>
            <w:pPr>
              <w:spacing w:after="0"/>
              <w:rPr>
                <w:sz w:val="16"/>
                <w:szCs w:val="16"/>
                <w:color w:val="auto"/>
              </w:rPr>
            </w:pPr>
          </w:p>
        </w:tc>
      </w:tr>
      <w:tr>
        <w:trPr>
          <w:trHeight w:val="206"/>
        </w:trPr>
        <w:tc>
          <w:tcPr>
            <w:tcW w:w="7480" w:type="dxa"/>
            <w:vAlign w:val="bottom"/>
          </w:tcPr>
          <w:p>
            <w:pPr>
              <w:spacing w:after="0"/>
              <w:rPr>
                <w:sz w:val="17"/>
                <w:szCs w:val="17"/>
                <w:color w:val="auto"/>
              </w:rPr>
            </w:pPr>
          </w:p>
        </w:tc>
        <w:tc>
          <w:tcPr>
            <w:tcW w:w="236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740" w:type="dxa"/>
            <w:vAlign w:val="bottom"/>
          </w:tcPr>
          <w:p>
            <w:pPr>
              <w:spacing w:after="0"/>
              <w:rPr>
                <w:sz w:val="17"/>
                <w:szCs w:val="17"/>
                <w:color w:val="auto"/>
              </w:rPr>
            </w:pPr>
          </w:p>
        </w:tc>
      </w:tr>
      <w:tr>
        <w:trPr>
          <w:trHeight w:val="216"/>
        </w:trPr>
        <w:tc>
          <w:tcPr>
            <w:tcW w:w="74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Borders>
              <w:bottom w:val="single" w:sz="8" w:color="70AD47"/>
            </w:tcBorders>
          </w:tcPr>
          <w:p>
            <w:pPr>
              <w:spacing w:after="0"/>
              <w:rPr>
                <w:sz w:val="18"/>
                <w:szCs w:val="18"/>
                <w:color w:val="auto"/>
              </w:rPr>
            </w:pPr>
          </w:p>
        </w:tc>
        <w:tc>
          <w:tcPr>
            <w:tcW w:w="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74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Audit fees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20" w:type="dxa"/>
            <w:vAlign w:val="bottom"/>
          </w:tcPr>
          <w:p>
            <w:pPr>
              <w:spacing w:after="0"/>
              <w:rPr>
                <w:sz w:val="18"/>
                <w:szCs w:val="18"/>
                <w:color w:val="auto"/>
              </w:rPr>
            </w:pPr>
          </w:p>
        </w:tc>
        <w:tc>
          <w:tcPr>
            <w:tcW w:w="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74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20" w:type="dxa"/>
            <w:vAlign w:val="bottom"/>
          </w:tcPr>
          <w:p>
            <w:pPr>
              <w:spacing w:after="0"/>
              <w:rPr>
                <w:sz w:val="18"/>
                <w:szCs w:val="18"/>
                <w:color w:val="auto"/>
              </w:rPr>
            </w:pPr>
          </w:p>
        </w:tc>
        <w:tc>
          <w:tcPr>
            <w:tcW w:w="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74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20" w:type="dxa"/>
            <w:vAlign w:val="bottom"/>
          </w:tcPr>
          <w:p>
            <w:pPr>
              <w:spacing w:after="0"/>
              <w:rPr>
                <w:sz w:val="18"/>
                <w:szCs w:val="18"/>
                <w:color w:val="auto"/>
              </w:rPr>
            </w:pPr>
          </w:p>
        </w:tc>
        <w:tc>
          <w:tcPr>
            <w:tcW w:w="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7"/>
        </w:trPr>
        <w:tc>
          <w:tcPr>
            <w:tcW w:w="74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70AD47"/>
            </w:tcBorders>
          </w:tcPr>
          <w:p>
            <w:pPr>
              <w:spacing w:after="0"/>
              <w:rPr>
                <w:sz w:val="18"/>
                <w:szCs w:val="18"/>
                <w:color w:val="auto"/>
              </w:rPr>
            </w:pPr>
          </w:p>
        </w:tc>
        <w:tc>
          <w:tcPr>
            <w:tcW w:w="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74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fees for professional audit services and other services</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20" w:type="dxa"/>
            <w:vAlign w:val="bottom"/>
            <w:tcBorders>
              <w:bottom w:val="single" w:sz="8" w:color="70AD47"/>
            </w:tcBorders>
          </w:tcPr>
          <w:p>
            <w:pPr>
              <w:spacing w:after="0"/>
              <w:rPr>
                <w:sz w:val="18"/>
                <w:szCs w:val="18"/>
                <w:color w:val="auto"/>
              </w:rPr>
            </w:pPr>
          </w:p>
        </w:tc>
        <w:tc>
          <w:tcPr>
            <w:tcW w:w="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r>
    </w:tbl>
    <w:p>
      <w:pPr>
        <w:spacing w:after="0" w:line="251"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the year ended December 31, 2023, audit fees related to professional services associated with the integrated audit of our consolidated financial statements and our internal control over financial reporting as set out in this Annual Report, professional services associated with interim reviews, audit fees related to the remuneration report and professional services related to our statutory and regulatory filings for our subsidiaries. In the year ended December 31, 2022, audit fees related to professional services associated with the integrated audit of our consolidated financial statements and our internal control over financial reporting as set out in this Annual Report, professional services associated with interim reviews, audit fees related to the remuneration report and professional services related to our statutory and regulatory filings for our subsidiaries.</w:t>
      </w:r>
    </w:p>
    <w:p>
      <w:pPr>
        <w:spacing w:after="0" w:line="1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the year ended December 31, 2023, audit -related fees were attributable to assurance and related services including attest related services and accounting consultations. In the year ended December 31, 2022, audit-related fees were attributable to assurance and related services including attest related services and accounting consultations.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the year ended December 31, 2023, tax service fees were billed for services in conjunction with transactions, especially with our financing and deal transactions. In the year ended December 31, 2022, tax service fees billed for services in conjunction with transactions, especially with our financing and deal transactions.</w:t>
      </w:r>
    </w:p>
    <w:p>
      <w:pPr>
        <w:spacing w:after="0" w:line="164"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In the year ended December 31, 2023, other fees were comprised of fees for services for consultancy services around management compensation. In the year ended December 31, 2022 other fees were comprised of fees for services for grant applications and consultancy services around management compensation.</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Audit Committee evaluates the qualifications, independence and performance of the independent auditor as well as pre-approves and reviews the audit and non-audit services to be performed by the independent auditor. The external audit plan and fees for professional audit services and other services rendered by EY for the years ended December 31, 2023 and 2022 were approved by the Audit Committee. The Audit Committee monitors compliance with the German and U.S. rules on non-audit services provided by an independent registered public accounting firm.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Please see “Board Practices—Supervisory Board Practices—Audit Committee” in Item 6C of this Annual Report for the information required by this Item 16D.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9" w:name="page220"/>
    <w:bookmarkEnd w:id="219"/>
    <w:p>
      <w:pPr>
        <w:ind w:left="48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178" w:lineRule="exact"/>
        <w:rPr>
          <w:sz w:val="20"/>
          <w:szCs w:val="20"/>
          <w:color w:val="auto"/>
        </w:rPr>
      </w:pPr>
    </w:p>
    <w:p>
      <w:pPr>
        <w:jc w:val="both"/>
        <w:ind w:left="80" w:firstLine="384"/>
        <w:spacing w:after="0" w:line="243" w:lineRule="auto"/>
        <w:rPr>
          <w:sz w:val="20"/>
          <w:szCs w:val="20"/>
          <w:color w:val="auto"/>
        </w:rPr>
      </w:pPr>
      <w:r>
        <w:rPr>
          <w:rFonts w:ascii="Times New Roman" w:cs="Times New Roman" w:eastAsia="Times New Roman" w:hAnsi="Times New Roman"/>
          <w:sz w:val="16"/>
          <w:szCs w:val="16"/>
          <w:color w:val="auto"/>
        </w:rPr>
        <w:t>In March 2022, our Management Board and Supervisory Board authorized the 2022 share repurchase program of ADSs, pursuant to which we were permitted to repurchase ADSs, each representing one ordinary share, with a value of up to $1.5 billion a two- year period, commencing on May 2, 2022. The first tranche of our 2022 share repurchase program of ADSs, with a value of up to $1.0 billion, concluded on October 10, 2022. The second tranche with a value of up to $0.5 billion commenced on December 7, 2022 and concluded on March 17, 2023.</w:t>
      </w:r>
    </w:p>
    <w:p>
      <w:pPr>
        <w:spacing w:after="0" w:line="71" w:lineRule="exact"/>
        <w:rPr>
          <w:sz w:val="20"/>
          <w:szCs w:val="20"/>
          <w:color w:val="auto"/>
        </w:rPr>
      </w:pPr>
    </w:p>
    <w:p>
      <w:pPr>
        <w:jc w:val="both"/>
        <w:ind w:left="80" w:firstLine="384"/>
        <w:spacing w:after="0" w:line="259" w:lineRule="auto"/>
        <w:rPr>
          <w:sz w:val="20"/>
          <w:szCs w:val="20"/>
          <w:color w:val="auto"/>
        </w:rPr>
      </w:pPr>
      <w:r>
        <w:rPr>
          <w:rFonts w:ascii="Times New Roman" w:cs="Times New Roman" w:eastAsia="Times New Roman" w:hAnsi="Times New Roman"/>
          <w:sz w:val="16"/>
          <w:szCs w:val="16"/>
          <w:color w:val="auto"/>
        </w:rPr>
        <w:t>In March 2023, our Management Board and Supervisory Board authorized the 2023 share repurchase program, under which we were permitted to purchase ADSs, each representing one ordinary share, with a value of up to $0.5 billion, which started June 2, 2023 and concluded on September 18, 2023.</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repurchases under the programs occurred:</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2022 Program first tranche ($1.0 billion)</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560" w:type="dxa"/>
            <w:vAlign w:val="bottom"/>
            <w:tcBorders>
              <w:right w:val="single" w:sz="8" w:color="70AD47"/>
            </w:tcBorders>
          </w:tcPr>
          <w:p>
            <w:pPr>
              <w:spacing w:after="0"/>
              <w:rPr>
                <w:sz w:val="16"/>
                <w:szCs w:val="16"/>
                <w:color w:val="auto"/>
              </w:rPr>
            </w:pPr>
          </w:p>
        </w:tc>
        <w:tc>
          <w:tcPr>
            <w:tcW w:w="1960" w:type="dxa"/>
            <w:vAlign w:val="bottom"/>
            <w:tcBorders>
              <w:right w:val="single" w:sz="8" w:color="70AD47"/>
            </w:tcBorders>
            <w:shd w:val="clear" w:color="auto" w:fill="C6E0B4"/>
          </w:tcPr>
          <w:p>
            <w:pPr>
              <w:spacing w:after="0"/>
              <w:rPr>
                <w:sz w:val="16"/>
                <w:szCs w:val="16"/>
                <w:color w:val="auto"/>
              </w:rPr>
            </w:pPr>
          </w:p>
        </w:tc>
        <w:tc>
          <w:tcPr>
            <w:tcW w:w="1920" w:type="dxa"/>
            <w:vAlign w:val="bottom"/>
            <w:tcBorders>
              <w:right w:val="single" w:sz="8" w:color="70AD47"/>
            </w:tcBorders>
            <w:shd w:val="clear" w:color="auto" w:fill="C6E0B4"/>
          </w:tcPr>
          <w:p>
            <w:pPr>
              <w:spacing w:after="0"/>
              <w:rPr>
                <w:sz w:val="16"/>
                <w:szCs w:val="16"/>
                <w:color w:val="auto"/>
              </w:rPr>
            </w:pPr>
          </w:p>
        </w:tc>
        <w:tc>
          <w:tcPr>
            <w:tcW w:w="1980" w:type="dxa"/>
            <w:vAlign w:val="bottom"/>
            <w:tcBorders>
              <w:right w:val="single" w:sz="8" w:color="70AD47"/>
            </w:tcBorders>
            <w:shd w:val="clear" w:color="auto" w:fill="C6E0B4"/>
          </w:tcPr>
          <w:p>
            <w:pPr>
              <w:spacing w:after="0"/>
              <w:rPr>
                <w:sz w:val="16"/>
                <w:szCs w:val="16"/>
                <w:color w:val="auto"/>
              </w:rPr>
            </w:pP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value of ADSs</w:t>
            </w:r>
          </w:p>
        </w:tc>
      </w:tr>
      <w:tr>
        <w:trPr>
          <w:trHeight w:val="168"/>
        </w:trPr>
        <w:tc>
          <w:tcPr>
            <w:tcW w:w="2560" w:type="dxa"/>
            <w:vAlign w:val="bottom"/>
            <w:tcBorders>
              <w:right w:val="single" w:sz="8" w:color="70AD47"/>
            </w:tcBorders>
          </w:tcPr>
          <w:p>
            <w:pPr>
              <w:spacing w:after="0"/>
              <w:rPr>
                <w:sz w:val="14"/>
                <w:szCs w:val="14"/>
                <w:color w:val="auto"/>
              </w:rPr>
            </w:pPr>
          </w:p>
        </w:tc>
        <w:tc>
          <w:tcPr>
            <w:tcW w:w="1960" w:type="dxa"/>
            <w:vAlign w:val="bottom"/>
            <w:tcBorders>
              <w:right w:val="single" w:sz="8" w:color="70AD47"/>
            </w:tcBorders>
            <w:shd w:val="clear" w:color="auto" w:fill="C6E0B4"/>
          </w:tcPr>
          <w:p>
            <w:pPr>
              <w:spacing w:after="0"/>
              <w:rPr>
                <w:sz w:val="14"/>
                <w:szCs w:val="14"/>
                <w:color w:val="auto"/>
              </w:rPr>
            </w:pPr>
          </w:p>
        </w:tc>
        <w:tc>
          <w:tcPr>
            <w:tcW w:w="1920" w:type="dxa"/>
            <w:vAlign w:val="bottom"/>
            <w:tcBorders>
              <w:right w:val="single" w:sz="8" w:color="70AD47"/>
            </w:tcBorders>
            <w:shd w:val="clear" w:color="auto" w:fill="C6E0B4"/>
          </w:tcPr>
          <w:p>
            <w:pPr>
              <w:spacing w:after="0"/>
              <w:rPr>
                <w:sz w:val="14"/>
                <w:szCs w:val="14"/>
                <w:color w:val="auto"/>
              </w:rPr>
            </w:pPr>
          </w:p>
        </w:tc>
        <w:tc>
          <w:tcPr>
            <w:tcW w:w="198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ADSs</w:t>
            </w:r>
          </w:p>
        </w:tc>
        <w:tc>
          <w:tcPr>
            <w:tcW w:w="210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that may yet be purchased (in</w:t>
            </w:r>
          </w:p>
        </w:tc>
      </w:tr>
      <w:tr>
        <w:trPr>
          <w:trHeight w:val="206"/>
        </w:trPr>
        <w:tc>
          <w:tcPr>
            <w:tcW w:w="25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ADSs purchased</w:t>
            </w:r>
          </w:p>
        </w:tc>
        <w:tc>
          <w:tcPr>
            <w:tcW w:w="1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Average price paid per ADS</w:t>
            </w:r>
          </w:p>
        </w:tc>
        <w:tc>
          <w:tcPr>
            <w:tcW w:w="1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1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315"/>
        </w:trPr>
        <w:tc>
          <w:tcPr>
            <w:tcW w:w="2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May 2022</w:t>
            </w:r>
          </w:p>
        </w:tc>
        <w:tc>
          <w:tcPr>
            <w:tcW w:w="19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917,988</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$151.76 (€143.99)</w:t>
            </w:r>
          </w:p>
        </w:tc>
        <w:tc>
          <w:tcPr>
            <w:tcW w:w="19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917,988</w:t>
            </w: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$860.7 (€867.8)</w:t>
            </w:r>
          </w:p>
        </w:tc>
      </w:tr>
      <w:tr>
        <w:trPr>
          <w:trHeight w:val="216"/>
        </w:trPr>
        <w:tc>
          <w:tcPr>
            <w:tcW w:w="2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June 2022</w:t>
            </w:r>
          </w:p>
        </w:tc>
        <w:tc>
          <w:tcPr>
            <w:tcW w:w="19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1,160,219</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$140.82 (€133.35)</w:t>
            </w:r>
          </w:p>
        </w:tc>
        <w:tc>
          <w:tcPr>
            <w:tcW w:w="19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2,078,207</w:t>
            </w: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$697.3 (€713.1)</w:t>
            </w:r>
          </w:p>
        </w:tc>
      </w:tr>
      <w:tr>
        <w:trPr>
          <w:trHeight w:val="216"/>
        </w:trPr>
        <w:tc>
          <w:tcPr>
            <w:tcW w:w="2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July 2022</w:t>
            </w:r>
          </w:p>
        </w:tc>
        <w:tc>
          <w:tcPr>
            <w:tcW w:w="19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519,320</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$162.03 (€159.40)</w:t>
            </w:r>
          </w:p>
        </w:tc>
        <w:tc>
          <w:tcPr>
            <w:tcW w:w="19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2,597,527</w:t>
            </w: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$613.2 (€630.3)</w:t>
            </w:r>
          </w:p>
        </w:tc>
      </w:tr>
      <w:tr>
        <w:trPr>
          <w:trHeight w:val="216"/>
        </w:trPr>
        <w:tc>
          <w:tcPr>
            <w:tcW w:w="2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August 2022</w:t>
            </w:r>
          </w:p>
        </w:tc>
        <w:tc>
          <w:tcPr>
            <w:tcW w:w="19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1,666,515</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$149.08 (€148.24)</w:t>
            </w:r>
          </w:p>
        </w:tc>
        <w:tc>
          <w:tcPr>
            <w:tcW w:w="19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4,264,042</w:t>
            </w: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$364.8 (€383.3)</w:t>
            </w:r>
          </w:p>
        </w:tc>
      </w:tr>
      <w:tr>
        <w:trPr>
          <w:trHeight w:val="216"/>
        </w:trPr>
        <w:tc>
          <w:tcPr>
            <w:tcW w:w="25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September 2022</w:t>
            </w:r>
          </w:p>
        </w:tc>
        <w:tc>
          <w:tcPr>
            <w:tcW w:w="19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2,280,988</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$135.95 (€137.66)</w:t>
            </w:r>
          </w:p>
        </w:tc>
        <w:tc>
          <w:tcPr>
            <w:tcW w:w="19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6,545,030</w:t>
            </w:r>
          </w:p>
        </w:tc>
        <w:tc>
          <w:tcPr>
            <w:tcW w:w="2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$54.6 (€69.3)</w:t>
            </w:r>
          </w:p>
        </w:tc>
      </w:tr>
      <w:tr>
        <w:trPr>
          <w:trHeight w:val="217"/>
        </w:trPr>
        <w:tc>
          <w:tcPr>
            <w:tcW w:w="25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October 2022</w:t>
            </w:r>
          </w:p>
        </w:tc>
        <w:tc>
          <w:tcPr>
            <w:tcW w:w="19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400,483</w:t>
            </w:r>
          </w:p>
        </w:tc>
        <w:tc>
          <w:tcPr>
            <w:tcW w:w="1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$136.37 (€139.09)</w:t>
            </w:r>
          </w:p>
        </w:tc>
        <w:tc>
          <w:tcPr>
            <w:tcW w:w="19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6,945,513</w:t>
            </w:r>
          </w:p>
        </w:tc>
        <w:tc>
          <w:tcPr>
            <w:tcW w:w="21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25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6,945,513</w:t>
            </w:r>
          </w:p>
        </w:tc>
        <w:tc>
          <w:tcPr>
            <w:tcW w:w="1920" w:type="dxa"/>
            <w:vAlign w:val="bottom"/>
            <w:tcBorders>
              <w:bottom w:val="single" w:sz="8" w:color="70AD47"/>
              <w:right w:val="single" w:sz="8" w:color="C6E0B4"/>
            </w:tcBorders>
            <w:shd w:val="clear" w:color="auto" w:fill="C6E0B4"/>
          </w:tcPr>
          <w:p>
            <w:pPr>
              <w:spacing w:after="0"/>
              <w:rPr>
                <w:sz w:val="18"/>
                <w:szCs w:val="18"/>
                <w:color w:val="auto"/>
              </w:rPr>
            </w:pPr>
          </w:p>
        </w:tc>
        <w:tc>
          <w:tcPr>
            <w:tcW w:w="1980" w:type="dxa"/>
            <w:vAlign w:val="bottom"/>
            <w:tcBorders>
              <w:bottom w:val="single" w:sz="8" w:color="70AD47"/>
              <w:right w:val="single" w:sz="8" w:color="C6E0B4"/>
            </w:tcBorders>
            <w:shd w:val="clear" w:color="auto" w:fill="C6E0B4"/>
          </w:tcPr>
          <w:p>
            <w:pPr>
              <w:spacing w:after="0"/>
              <w:rPr>
                <w:sz w:val="18"/>
                <w:szCs w:val="18"/>
                <w:color w:val="auto"/>
              </w:rPr>
            </w:pPr>
          </w:p>
        </w:tc>
        <w:tc>
          <w:tcPr>
            <w:tcW w:w="2100" w:type="dxa"/>
            <w:vAlign w:val="bottom"/>
            <w:tcBorders>
              <w:bottom w:val="single" w:sz="8" w:color="70AD47"/>
              <w:right w:val="single" w:sz="8" w:color="70AD47"/>
            </w:tcBorders>
            <w:shd w:val="clear" w:color="auto" w:fill="C6E0B4"/>
          </w:tcPr>
          <w:p>
            <w:pPr>
              <w:spacing w:after="0"/>
              <w:rPr>
                <w:sz w:val="18"/>
                <w:szCs w:val="18"/>
                <w:color w:val="auto"/>
              </w:rPr>
            </w:pPr>
          </w:p>
        </w:tc>
      </w:tr>
    </w:tbl>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2022 Program second tranche ($0.5 billion)</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500" w:type="dxa"/>
            <w:vAlign w:val="bottom"/>
            <w:tcBorders>
              <w:right w:val="single" w:sz="8" w:color="70AD47"/>
            </w:tcBorders>
          </w:tcPr>
          <w:p>
            <w:pPr>
              <w:spacing w:after="0"/>
              <w:rPr>
                <w:sz w:val="16"/>
                <w:szCs w:val="16"/>
                <w:color w:val="auto"/>
              </w:rPr>
            </w:pPr>
          </w:p>
        </w:tc>
        <w:tc>
          <w:tcPr>
            <w:tcW w:w="2000" w:type="dxa"/>
            <w:vAlign w:val="bottom"/>
            <w:tcBorders>
              <w:right w:val="single" w:sz="8" w:color="70AD47"/>
            </w:tcBorders>
            <w:shd w:val="clear" w:color="auto" w:fill="C6E0B4"/>
          </w:tcPr>
          <w:p>
            <w:pPr>
              <w:spacing w:after="0"/>
              <w:rPr>
                <w:sz w:val="16"/>
                <w:szCs w:val="16"/>
                <w:color w:val="auto"/>
              </w:rPr>
            </w:pPr>
          </w:p>
        </w:tc>
        <w:tc>
          <w:tcPr>
            <w:tcW w:w="1940" w:type="dxa"/>
            <w:vAlign w:val="bottom"/>
            <w:tcBorders>
              <w:right w:val="single" w:sz="8" w:color="70AD47"/>
            </w:tcBorders>
            <w:shd w:val="clear" w:color="auto" w:fill="C6E0B4"/>
          </w:tcPr>
          <w:p>
            <w:pPr>
              <w:spacing w:after="0"/>
              <w:rPr>
                <w:sz w:val="16"/>
                <w:szCs w:val="16"/>
                <w:color w:val="auto"/>
              </w:rPr>
            </w:pPr>
          </w:p>
        </w:tc>
        <w:tc>
          <w:tcPr>
            <w:tcW w:w="2000" w:type="dxa"/>
            <w:vAlign w:val="bottom"/>
            <w:tcBorders>
              <w:right w:val="single" w:sz="8" w:color="70AD47"/>
            </w:tcBorders>
            <w:shd w:val="clear" w:color="auto" w:fill="C6E0B4"/>
          </w:tcPr>
          <w:p>
            <w:pPr>
              <w:spacing w:after="0"/>
              <w:rPr>
                <w:sz w:val="16"/>
                <w:szCs w:val="16"/>
                <w:color w:val="auto"/>
              </w:rPr>
            </w:pPr>
          </w:p>
        </w:tc>
        <w:tc>
          <w:tcPr>
            <w:tcW w:w="2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value of ADSs</w:t>
            </w:r>
          </w:p>
        </w:tc>
      </w:tr>
      <w:tr>
        <w:trPr>
          <w:trHeight w:val="168"/>
        </w:trPr>
        <w:tc>
          <w:tcPr>
            <w:tcW w:w="2500" w:type="dxa"/>
            <w:vAlign w:val="bottom"/>
            <w:tcBorders>
              <w:right w:val="single" w:sz="8" w:color="70AD47"/>
            </w:tcBorders>
          </w:tcPr>
          <w:p>
            <w:pPr>
              <w:spacing w:after="0"/>
              <w:rPr>
                <w:sz w:val="14"/>
                <w:szCs w:val="14"/>
                <w:color w:val="auto"/>
              </w:rPr>
            </w:pPr>
          </w:p>
        </w:tc>
        <w:tc>
          <w:tcPr>
            <w:tcW w:w="2000" w:type="dxa"/>
            <w:vAlign w:val="bottom"/>
            <w:tcBorders>
              <w:right w:val="single" w:sz="8" w:color="70AD47"/>
            </w:tcBorders>
            <w:shd w:val="clear" w:color="auto" w:fill="C6E0B4"/>
          </w:tcPr>
          <w:p>
            <w:pPr>
              <w:spacing w:after="0"/>
              <w:rPr>
                <w:sz w:val="14"/>
                <w:szCs w:val="14"/>
                <w:color w:val="auto"/>
              </w:rPr>
            </w:pPr>
          </w:p>
        </w:tc>
        <w:tc>
          <w:tcPr>
            <w:tcW w:w="1940" w:type="dxa"/>
            <w:vAlign w:val="bottom"/>
            <w:tcBorders>
              <w:right w:val="single" w:sz="8" w:color="70AD47"/>
            </w:tcBorders>
            <w:shd w:val="clear" w:color="auto" w:fill="C6E0B4"/>
          </w:tcPr>
          <w:p>
            <w:pPr>
              <w:spacing w:after="0"/>
              <w:rPr>
                <w:sz w:val="14"/>
                <w:szCs w:val="14"/>
                <w:color w:val="auto"/>
              </w:rPr>
            </w:pPr>
          </w:p>
        </w:tc>
        <w:tc>
          <w:tcPr>
            <w:tcW w:w="200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ADSs</w:t>
            </w:r>
          </w:p>
        </w:tc>
        <w:tc>
          <w:tcPr>
            <w:tcW w:w="214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that may yet be purchased (in</w:t>
            </w:r>
          </w:p>
        </w:tc>
      </w:tr>
      <w:tr>
        <w:trPr>
          <w:trHeight w:val="206"/>
        </w:trPr>
        <w:tc>
          <w:tcPr>
            <w:tcW w:w="25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ADSs purchased</w:t>
            </w:r>
          </w:p>
        </w:tc>
        <w:tc>
          <w:tcPr>
            <w:tcW w:w="1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Average price paid per ADS</w:t>
            </w:r>
          </w:p>
        </w:tc>
        <w:tc>
          <w:tcPr>
            <w:tcW w:w="20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1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207"/>
        </w:trPr>
        <w:tc>
          <w:tcPr>
            <w:tcW w:w="25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January 2023</w:t>
            </w:r>
          </w:p>
        </w:tc>
        <w:tc>
          <w:tcPr>
            <w:tcW w:w="20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618,355</w:t>
            </w:r>
          </w:p>
        </w:tc>
        <w:tc>
          <w:tcPr>
            <w:tcW w:w="1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$142.26 (€131.12)</w:t>
            </w:r>
          </w:p>
        </w:tc>
        <w:tc>
          <w:tcPr>
            <w:tcW w:w="20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618,355</w:t>
            </w:r>
          </w:p>
        </w:tc>
        <w:tc>
          <w:tcPr>
            <w:tcW w:w="2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$412.0 (€418.9)</w:t>
            </w:r>
          </w:p>
        </w:tc>
      </w:tr>
      <w:tr>
        <w:trPr>
          <w:trHeight w:val="216"/>
        </w:trPr>
        <w:tc>
          <w:tcPr>
            <w:tcW w:w="25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February 2023</w:t>
            </w:r>
          </w:p>
        </w:tc>
        <w:tc>
          <w:tcPr>
            <w:tcW w:w="20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857,620</w:t>
            </w:r>
          </w:p>
        </w:tc>
        <w:tc>
          <w:tcPr>
            <w:tcW w:w="1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$138.05 (€129.06)</w:t>
            </w:r>
          </w:p>
        </w:tc>
        <w:tc>
          <w:tcPr>
            <w:tcW w:w="20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1,475,975</w:t>
            </w:r>
          </w:p>
        </w:tc>
        <w:tc>
          <w:tcPr>
            <w:tcW w:w="21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$293.6 (€308.2)</w:t>
            </w:r>
          </w:p>
        </w:tc>
      </w:tr>
      <w:tr>
        <w:trPr>
          <w:trHeight w:val="217"/>
        </w:trPr>
        <w:tc>
          <w:tcPr>
            <w:tcW w:w="25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March 2023</w:t>
            </w:r>
          </w:p>
        </w:tc>
        <w:tc>
          <w:tcPr>
            <w:tcW w:w="20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745,196</w:t>
            </w:r>
          </w:p>
        </w:tc>
        <w:tc>
          <w:tcPr>
            <w:tcW w:w="1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$128.49 (€121.08)</w:t>
            </w:r>
          </w:p>
        </w:tc>
        <w:tc>
          <w:tcPr>
            <w:tcW w:w="20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2,221,171</w:t>
            </w:r>
          </w:p>
        </w:tc>
        <w:tc>
          <w:tcPr>
            <w:tcW w:w="21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$197.9 (€218.0)</w:t>
            </w:r>
          </w:p>
        </w:tc>
      </w:tr>
      <w:tr>
        <w:trPr>
          <w:trHeight w:val="208"/>
        </w:trPr>
        <w:tc>
          <w:tcPr>
            <w:tcW w:w="25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2,221,171</w:t>
            </w:r>
          </w:p>
        </w:tc>
        <w:tc>
          <w:tcPr>
            <w:tcW w:w="1940" w:type="dxa"/>
            <w:vAlign w:val="bottom"/>
            <w:tcBorders>
              <w:bottom w:val="single" w:sz="8" w:color="70AD47"/>
              <w:right w:val="single" w:sz="8" w:color="C6E0B4"/>
            </w:tcBorders>
            <w:shd w:val="clear" w:color="auto" w:fill="C6E0B4"/>
          </w:tcPr>
          <w:p>
            <w:pPr>
              <w:spacing w:after="0"/>
              <w:rPr>
                <w:sz w:val="18"/>
                <w:szCs w:val="18"/>
                <w:color w:val="auto"/>
              </w:rPr>
            </w:pPr>
          </w:p>
        </w:tc>
        <w:tc>
          <w:tcPr>
            <w:tcW w:w="2000" w:type="dxa"/>
            <w:vAlign w:val="bottom"/>
            <w:tcBorders>
              <w:bottom w:val="single" w:sz="8" w:color="70AD47"/>
              <w:right w:val="single" w:sz="8" w:color="C6E0B4"/>
            </w:tcBorders>
            <w:shd w:val="clear" w:color="auto" w:fill="C6E0B4"/>
          </w:tcPr>
          <w:p>
            <w:pPr>
              <w:spacing w:after="0"/>
              <w:rPr>
                <w:sz w:val="18"/>
                <w:szCs w:val="18"/>
                <w:color w:val="auto"/>
              </w:rPr>
            </w:pPr>
          </w:p>
        </w:tc>
        <w:tc>
          <w:tcPr>
            <w:tcW w:w="2140" w:type="dxa"/>
            <w:vAlign w:val="bottom"/>
            <w:tcBorders>
              <w:bottom w:val="single" w:sz="8" w:color="70AD47"/>
              <w:right w:val="single" w:sz="8" w:color="70AD47"/>
            </w:tcBorders>
            <w:shd w:val="clear" w:color="auto" w:fill="C6E0B4"/>
          </w:tcPr>
          <w:p>
            <w:pPr>
              <w:spacing w:after="0"/>
              <w:rPr>
                <w:sz w:val="18"/>
                <w:szCs w:val="18"/>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ogram 2023 ($0.5 billion)</w:t>
            </w:r>
          </w:p>
        </w:tc>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78"/>
        </w:trPr>
        <w:tc>
          <w:tcPr>
            <w:tcW w:w="80" w:type="dxa"/>
            <w:vAlign w:val="bottom"/>
          </w:tcPr>
          <w:p>
            <w:pPr>
              <w:spacing w:after="0"/>
              <w:rPr>
                <w:sz w:val="15"/>
                <w:szCs w:val="15"/>
                <w:color w:val="auto"/>
              </w:rPr>
            </w:pPr>
          </w:p>
        </w:tc>
        <w:tc>
          <w:tcPr>
            <w:tcW w:w="2500" w:type="dxa"/>
            <w:vAlign w:val="bottom"/>
            <w:tcBorders>
              <w:right w:val="single" w:sz="8" w:color="70AD47"/>
            </w:tcBorders>
          </w:tcPr>
          <w:p>
            <w:pPr>
              <w:spacing w:after="0"/>
              <w:rPr>
                <w:sz w:val="15"/>
                <w:szCs w:val="15"/>
                <w:color w:val="auto"/>
              </w:rPr>
            </w:pPr>
          </w:p>
        </w:tc>
        <w:tc>
          <w:tcPr>
            <w:tcW w:w="1900" w:type="dxa"/>
            <w:vAlign w:val="bottom"/>
            <w:shd w:val="clear" w:color="auto" w:fill="C6E0B4"/>
          </w:tcPr>
          <w:p>
            <w:pPr>
              <w:spacing w:after="0"/>
              <w:rPr>
                <w:sz w:val="15"/>
                <w:szCs w:val="15"/>
                <w:color w:val="auto"/>
              </w:rPr>
            </w:pPr>
          </w:p>
        </w:tc>
        <w:tc>
          <w:tcPr>
            <w:tcW w:w="1880" w:type="dxa"/>
            <w:vAlign w:val="bottom"/>
            <w:tcBorders>
              <w:right w:val="single" w:sz="8" w:color="70AD47"/>
            </w:tcBorders>
            <w:shd w:val="clear" w:color="auto" w:fill="C6E0B4"/>
          </w:tcPr>
          <w:p>
            <w:pPr>
              <w:spacing w:after="0"/>
              <w:rPr>
                <w:sz w:val="15"/>
                <w:szCs w:val="15"/>
                <w:color w:val="auto"/>
              </w:rPr>
            </w:pPr>
          </w:p>
        </w:tc>
        <w:tc>
          <w:tcPr>
            <w:tcW w:w="1920" w:type="dxa"/>
            <w:vAlign w:val="bottom"/>
            <w:tcBorders>
              <w:right w:val="single" w:sz="8" w:color="70AD47"/>
            </w:tcBorders>
            <w:shd w:val="clear" w:color="auto" w:fill="C6E0B4"/>
          </w:tcPr>
          <w:p>
            <w:pPr>
              <w:spacing w:after="0"/>
              <w:rPr>
                <w:sz w:val="15"/>
                <w:szCs w:val="15"/>
                <w:color w:val="auto"/>
              </w:rPr>
            </w:pPr>
          </w:p>
        </w:tc>
        <w:tc>
          <w:tcPr>
            <w:tcW w:w="208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1"/>
              </w:rPr>
              <w:t>Approximate value of ADSs that</w:t>
            </w:r>
          </w:p>
        </w:tc>
      </w:tr>
      <w:tr>
        <w:trPr>
          <w:trHeight w:val="168"/>
        </w:trPr>
        <w:tc>
          <w:tcPr>
            <w:tcW w:w="80" w:type="dxa"/>
            <w:vAlign w:val="bottom"/>
          </w:tcPr>
          <w:p>
            <w:pPr>
              <w:spacing w:after="0"/>
              <w:rPr>
                <w:sz w:val="14"/>
                <w:szCs w:val="14"/>
                <w:color w:val="auto"/>
              </w:rPr>
            </w:pPr>
          </w:p>
        </w:tc>
        <w:tc>
          <w:tcPr>
            <w:tcW w:w="2500" w:type="dxa"/>
            <w:vAlign w:val="bottom"/>
            <w:tcBorders>
              <w:right w:val="single" w:sz="8" w:color="70AD47"/>
            </w:tcBorders>
          </w:tcPr>
          <w:p>
            <w:pPr>
              <w:spacing w:after="0"/>
              <w:rPr>
                <w:sz w:val="14"/>
                <w:szCs w:val="14"/>
                <w:color w:val="auto"/>
              </w:rPr>
            </w:pPr>
          </w:p>
        </w:tc>
        <w:tc>
          <w:tcPr>
            <w:tcW w:w="1900" w:type="dxa"/>
            <w:vAlign w:val="bottom"/>
            <w:shd w:val="clear" w:color="auto" w:fill="C6E0B4"/>
          </w:tcPr>
          <w:p>
            <w:pPr>
              <w:spacing w:after="0"/>
              <w:rPr>
                <w:sz w:val="14"/>
                <w:szCs w:val="14"/>
                <w:color w:val="auto"/>
              </w:rPr>
            </w:pPr>
          </w:p>
        </w:tc>
        <w:tc>
          <w:tcPr>
            <w:tcW w:w="1880" w:type="dxa"/>
            <w:vAlign w:val="bottom"/>
            <w:tcBorders>
              <w:right w:val="single" w:sz="8" w:color="70AD47"/>
            </w:tcBorders>
            <w:shd w:val="clear" w:color="auto" w:fill="C6E0B4"/>
          </w:tcPr>
          <w:p>
            <w:pPr>
              <w:spacing w:after="0"/>
              <w:rPr>
                <w:sz w:val="14"/>
                <w:szCs w:val="14"/>
                <w:color w:val="auto"/>
              </w:rPr>
            </w:pPr>
          </w:p>
        </w:tc>
        <w:tc>
          <w:tcPr>
            <w:tcW w:w="192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ADSs</w:t>
            </w:r>
          </w:p>
        </w:tc>
        <w:tc>
          <w:tcPr>
            <w:tcW w:w="208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may yet be purchased (in</w:t>
            </w:r>
          </w:p>
        </w:tc>
      </w:tr>
      <w:tr>
        <w:trPr>
          <w:trHeight w:val="206"/>
        </w:trPr>
        <w:tc>
          <w:tcPr>
            <w:tcW w:w="258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riod</w:t>
            </w:r>
          </w:p>
        </w:tc>
        <w:tc>
          <w:tcPr>
            <w:tcW w:w="3780" w:type="dxa"/>
            <w:vAlign w:val="bottom"/>
            <w:tcBorders>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Number of ADSs purchasedAverage price paid per ADS</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20"/>
        </w:trPr>
        <w:tc>
          <w:tcPr>
            <w:tcW w:w="80" w:type="dxa"/>
            <w:vAlign w:val="bottom"/>
          </w:tcPr>
          <w:p>
            <w:pPr>
              <w:spacing w:after="0" w:line="20" w:lineRule="exact"/>
              <w:rPr>
                <w:sz w:val="1"/>
                <w:szCs w:val="1"/>
                <w:color w:val="auto"/>
              </w:rPr>
            </w:pPr>
          </w:p>
        </w:tc>
        <w:tc>
          <w:tcPr>
            <w:tcW w:w="2500" w:type="dxa"/>
            <w:vAlign w:val="bottom"/>
            <w:tcBorders>
              <w:right w:val="single" w:sz="8" w:color="70AD47"/>
            </w:tcBorders>
            <w:shd w:val="clear" w:color="auto" w:fill="70AD47"/>
          </w:tcPr>
          <w:p>
            <w:pPr>
              <w:spacing w:after="0" w:line="20" w:lineRule="exact"/>
              <w:rPr>
                <w:sz w:val="1"/>
                <w:szCs w:val="1"/>
                <w:color w:val="auto"/>
              </w:rPr>
            </w:pPr>
          </w:p>
        </w:tc>
        <w:tc>
          <w:tcPr>
            <w:tcW w:w="1900" w:type="dxa"/>
            <w:vAlign w:val="bottom"/>
            <w:shd w:val="clear" w:color="auto" w:fill="70AD47"/>
          </w:tcPr>
          <w:p>
            <w:pPr>
              <w:spacing w:after="0" w:line="20" w:lineRule="exact"/>
              <w:rPr>
                <w:sz w:val="1"/>
                <w:szCs w:val="1"/>
                <w:color w:val="auto"/>
              </w:rPr>
            </w:pPr>
          </w:p>
        </w:tc>
        <w:tc>
          <w:tcPr>
            <w:tcW w:w="1880" w:type="dxa"/>
            <w:vAlign w:val="bottom"/>
            <w:tcBorders>
              <w:right w:val="single" w:sz="8" w:color="70AD47"/>
            </w:tcBorders>
            <w:shd w:val="clear" w:color="auto" w:fill="70AD47"/>
          </w:tcPr>
          <w:p>
            <w:pPr>
              <w:spacing w:after="0" w:line="20" w:lineRule="exact"/>
              <w:rPr>
                <w:sz w:val="1"/>
                <w:szCs w:val="1"/>
                <w:color w:val="auto"/>
              </w:rPr>
            </w:pPr>
          </w:p>
        </w:tc>
        <w:tc>
          <w:tcPr>
            <w:tcW w:w="1920" w:type="dxa"/>
            <w:vAlign w:val="bottom"/>
            <w:tcBorders>
              <w:right w:val="single" w:sz="8" w:color="70AD47"/>
            </w:tcBorders>
            <w:shd w:val="clear" w:color="auto" w:fill="70AD47"/>
          </w:tcPr>
          <w:p>
            <w:pPr>
              <w:spacing w:after="0" w:line="20" w:lineRule="exact"/>
              <w:rPr>
                <w:sz w:val="1"/>
                <w:szCs w:val="1"/>
                <w:color w:val="auto"/>
              </w:rPr>
            </w:pPr>
          </w:p>
        </w:tc>
        <w:tc>
          <w:tcPr>
            <w:tcW w:w="2080" w:type="dxa"/>
            <w:vAlign w:val="bottom"/>
            <w:tcBorders>
              <w:right w:val="single" w:sz="8" w:color="70AD47"/>
            </w:tcBorders>
            <w:shd w:val="clear" w:color="auto" w:fill="70AD47"/>
          </w:tcPr>
          <w:p>
            <w:pPr>
              <w:spacing w:after="0" w:line="20" w:lineRule="exact"/>
              <w:rPr>
                <w:sz w:val="1"/>
                <w:szCs w:val="1"/>
                <w:color w:val="auto"/>
              </w:rPr>
            </w:pPr>
          </w:p>
        </w:tc>
      </w:tr>
      <w:tr>
        <w:trPr>
          <w:trHeight w:val="207"/>
        </w:trPr>
        <w:tc>
          <w:tcPr>
            <w:tcW w:w="258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6"/>
                <w:szCs w:val="16"/>
                <w:color w:val="auto"/>
              </w:rPr>
              <w:t>ne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1,532,685</w:t>
            </w:r>
          </w:p>
        </w:tc>
        <w:tc>
          <w:tcPr>
            <w:tcW w:w="1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$108.92 (€100.45)</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1,532,685</w:t>
            </w:r>
          </w:p>
        </w:tc>
        <w:tc>
          <w:tcPr>
            <w:tcW w:w="2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$333.1 (€346.0)</w:t>
            </w:r>
          </w:p>
        </w:tc>
      </w:tr>
      <w:tr>
        <w:trPr>
          <w:trHeight w:val="216"/>
        </w:trPr>
        <w:tc>
          <w:tcPr>
            <w:tcW w:w="258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6"/>
                <w:szCs w:val="16"/>
                <w:color w:val="auto"/>
              </w:rPr>
              <w:t>ly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1,738,061</w:t>
            </w:r>
          </w:p>
        </w:tc>
        <w:tc>
          <w:tcPr>
            <w:tcW w:w="1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$107.92 (€97.57)</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3,270,746</w:t>
            </w:r>
          </w:p>
        </w:tc>
        <w:tc>
          <w:tcPr>
            <w:tcW w:w="2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$145.5 (€176.4)</w:t>
            </w:r>
          </w:p>
        </w:tc>
      </w:tr>
      <w:tr>
        <w:trPr>
          <w:trHeight w:val="216"/>
        </w:trPr>
        <w:tc>
          <w:tcPr>
            <w:tcW w:w="258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6"/>
                <w:szCs w:val="16"/>
                <w:color w:val="auto"/>
              </w:rPr>
              <w:t>ugust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1,261,706</w:t>
            </w:r>
          </w:p>
        </w:tc>
        <w:tc>
          <w:tcPr>
            <w:tcW w:w="1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$105.07 (€95.85)</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4,532,452</w:t>
            </w:r>
          </w:p>
        </w:tc>
        <w:tc>
          <w:tcPr>
            <w:tcW w:w="2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$12.9 (€55.5)</w:t>
            </w:r>
          </w:p>
        </w:tc>
      </w:tr>
      <w:tr>
        <w:trPr>
          <w:trHeight w:val="217"/>
        </w:trPr>
        <w:tc>
          <w:tcPr>
            <w:tcW w:w="258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ptember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114,513</w:t>
            </w:r>
          </w:p>
        </w:tc>
        <w:tc>
          <w:tcPr>
            <w:tcW w:w="1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$112.22 (€105.07)</w:t>
            </w:r>
          </w:p>
        </w:tc>
        <w:tc>
          <w:tcPr>
            <w:tcW w:w="1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4,646,965</w:t>
            </w:r>
          </w:p>
        </w:tc>
        <w:tc>
          <w:tcPr>
            <w:tcW w:w="2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80" w:type="dxa"/>
            <w:vAlign w:val="bottom"/>
          </w:tcPr>
          <w:p>
            <w:pPr>
              <w:spacing w:after="0" w:line="20" w:lineRule="exact"/>
              <w:rPr>
                <w:sz w:val="1"/>
                <w:szCs w:val="1"/>
                <w:color w:val="auto"/>
              </w:rPr>
            </w:pPr>
          </w:p>
        </w:tc>
        <w:tc>
          <w:tcPr>
            <w:tcW w:w="2500" w:type="dxa"/>
            <w:vAlign w:val="bottom"/>
            <w:tcBorders>
              <w:right w:val="single" w:sz="8" w:color="70AD47"/>
            </w:tcBorders>
            <w:shd w:val="clear" w:color="auto" w:fill="70AD47"/>
          </w:tcPr>
          <w:p>
            <w:pPr>
              <w:spacing w:after="0" w:line="20" w:lineRule="exact"/>
              <w:rPr>
                <w:sz w:val="1"/>
                <w:szCs w:val="1"/>
                <w:color w:val="auto"/>
              </w:rPr>
            </w:pPr>
          </w:p>
        </w:tc>
        <w:tc>
          <w:tcPr>
            <w:tcW w:w="1900" w:type="dxa"/>
            <w:vAlign w:val="bottom"/>
            <w:shd w:val="clear" w:color="auto" w:fill="70AD47"/>
          </w:tcPr>
          <w:p>
            <w:pPr>
              <w:spacing w:after="0" w:line="20" w:lineRule="exact"/>
              <w:rPr>
                <w:sz w:val="1"/>
                <w:szCs w:val="1"/>
                <w:color w:val="auto"/>
              </w:rPr>
            </w:pPr>
          </w:p>
        </w:tc>
        <w:tc>
          <w:tcPr>
            <w:tcW w:w="1880" w:type="dxa"/>
            <w:vAlign w:val="bottom"/>
            <w:tcBorders>
              <w:right w:val="single" w:sz="8" w:color="70AD47"/>
            </w:tcBorders>
            <w:shd w:val="clear" w:color="auto" w:fill="70AD47"/>
          </w:tcPr>
          <w:p>
            <w:pPr>
              <w:spacing w:after="0" w:line="20" w:lineRule="exact"/>
              <w:rPr>
                <w:sz w:val="1"/>
                <w:szCs w:val="1"/>
                <w:color w:val="auto"/>
              </w:rPr>
            </w:pPr>
          </w:p>
        </w:tc>
        <w:tc>
          <w:tcPr>
            <w:tcW w:w="1920" w:type="dxa"/>
            <w:vAlign w:val="bottom"/>
            <w:tcBorders>
              <w:right w:val="single" w:sz="8" w:color="70AD47"/>
            </w:tcBorders>
            <w:shd w:val="clear" w:color="auto" w:fill="70AD47"/>
          </w:tcPr>
          <w:p>
            <w:pPr>
              <w:spacing w:after="0" w:line="20" w:lineRule="exact"/>
              <w:rPr>
                <w:sz w:val="1"/>
                <w:szCs w:val="1"/>
                <w:color w:val="auto"/>
              </w:rPr>
            </w:pPr>
          </w:p>
        </w:tc>
        <w:tc>
          <w:tcPr>
            <w:tcW w:w="2080" w:type="dxa"/>
            <w:vAlign w:val="bottom"/>
            <w:tcBorders>
              <w:right w:val="single" w:sz="8" w:color="70AD47"/>
            </w:tcBorders>
            <w:shd w:val="clear" w:color="auto" w:fill="70AD47"/>
          </w:tcPr>
          <w:p>
            <w:pPr>
              <w:spacing w:after="0" w:line="20" w:lineRule="exact"/>
              <w:rPr>
                <w:sz w:val="1"/>
                <w:szCs w:val="1"/>
                <w:color w:val="auto"/>
              </w:rPr>
            </w:pPr>
          </w:p>
        </w:tc>
      </w:tr>
      <w:tr>
        <w:trPr>
          <w:trHeight w:val="208"/>
        </w:trPr>
        <w:tc>
          <w:tcPr>
            <w:tcW w:w="258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4,646,965</w:t>
            </w:r>
          </w:p>
        </w:tc>
        <w:tc>
          <w:tcPr>
            <w:tcW w:w="1880" w:type="dxa"/>
            <w:vAlign w:val="bottom"/>
            <w:tcBorders>
              <w:right w:val="single" w:sz="8" w:color="C6E0B4"/>
            </w:tcBorders>
            <w:shd w:val="clear" w:color="auto" w:fill="C6E0B4"/>
          </w:tcPr>
          <w:p>
            <w:pPr>
              <w:spacing w:after="0"/>
              <w:rPr>
                <w:sz w:val="18"/>
                <w:szCs w:val="18"/>
                <w:color w:val="auto"/>
              </w:rPr>
            </w:pPr>
          </w:p>
        </w:tc>
        <w:tc>
          <w:tcPr>
            <w:tcW w:w="1920" w:type="dxa"/>
            <w:vAlign w:val="bottom"/>
            <w:tcBorders>
              <w:right w:val="single" w:sz="8" w:color="C6E0B4"/>
            </w:tcBorders>
            <w:shd w:val="clear" w:color="auto" w:fill="C6E0B4"/>
          </w:tcPr>
          <w:p>
            <w:pPr>
              <w:spacing w:after="0"/>
              <w:rPr>
                <w:sz w:val="18"/>
                <w:szCs w:val="18"/>
                <w:color w:val="auto"/>
              </w:rPr>
            </w:pPr>
          </w:p>
        </w:tc>
        <w:tc>
          <w:tcPr>
            <w:tcW w:w="2080" w:type="dxa"/>
            <w:vAlign w:val="bottom"/>
            <w:tcBorders>
              <w:right w:val="single" w:sz="8" w:color="70AD47"/>
            </w:tcBorders>
            <w:shd w:val="clear" w:color="auto" w:fill="C6E0B4"/>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500" w:type="dxa"/>
            <w:vAlign w:val="bottom"/>
            <w:tcBorders>
              <w:right w:val="single" w:sz="8" w:color="70AD47"/>
            </w:tcBorders>
            <w:shd w:val="clear" w:color="auto" w:fill="70AD47"/>
          </w:tcPr>
          <w:p>
            <w:pPr>
              <w:spacing w:after="0" w:line="20" w:lineRule="exact"/>
              <w:rPr>
                <w:sz w:val="1"/>
                <w:szCs w:val="1"/>
                <w:color w:val="auto"/>
              </w:rPr>
            </w:pPr>
          </w:p>
        </w:tc>
        <w:tc>
          <w:tcPr>
            <w:tcW w:w="1900" w:type="dxa"/>
            <w:vAlign w:val="bottom"/>
            <w:shd w:val="clear" w:color="auto" w:fill="70AD47"/>
          </w:tcPr>
          <w:p>
            <w:pPr>
              <w:spacing w:after="0" w:line="20" w:lineRule="exact"/>
              <w:rPr>
                <w:sz w:val="1"/>
                <w:szCs w:val="1"/>
                <w:color w:val="auto"/>
              </w:rPr>
            </w:pPr>
          </w:p>
        </w:tc>
        <w:tc>
          <w:tcPr>
            <w:tcW w:w="1880" w:type="dxa"/>
            <w:vAlign w:val="bottom"/>
            <w:tcBorders>
              <w:right w:val="single" w:sz="8" w:color="70AD47"/>
            </w:tcBorders>
            <w:shd w:val="clear" w:color="auto" w:fill="70AD47"/>
          </w:tcPr>
          <w:p>
            <w:pPr>
              <w:spacing w:after="0" w:line="20" w:lineRule="exact"/>
              <w:rPr>
                <w:sz w:val="1"/>
                <w:szCs w:val="1"/>
                <w:color w:val="auto"/>
              </w:rPr>
            </w:pPr>
          </w:p>
        </w:tc>
        <w:tc>
          <w:tcPr>
            <w:tcW w:w="1920" w:type="dxa"/>
            <w:vAlign w:val="bottom"/>
            <w:tcBorders>
              <w:right w:val="single" w:sz="8" w:color="70AD47"/>
            </w:tcBorders>
            <w:shd w:val="clear" w:color="auto" w:fill="70AD47"/>
          </w:tcPr>
          <w:p>
            <w:pPr>
              <w:spacing w:after="0" w:line="20" w:lineRule="exact"/>
              <w:rPr>
                <w:sz w:val="1"/>
                <w:szCs w:val="1"/>
                <w:color w:val="auto"/>
              </w:rPr>
            </w:pPr>
          </w:p>
        </w:tc>
        <w:tc>
          <w:tcPr>
            <w:tcW w:w="2080" w:type="dxa"/>
            <w:vAlign w:val="bottom"/>
            <w:tcBorders>
              <w:right w:val="single" w:sz="8" w:color="70AD47"/>
            </w:tcBorders>
            <w:shd w:val="clear" w:color="auto" w:fill="70AD4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-1058545</wp:posOffset>
            </wp:positionV>
            <wp:extent cx="1227455" cy="1059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27455" cy="1059180"/>
                    </a:xfrm>
                    <a:prstGeom prst="rect">
                      <a:avLst/>
                    </a:prstGeom>
                    <a:noFill/>
                  </pic:spPr>
                </pic:pic>
              </a:graphicData>
            </a:graphic>
          </wp:anchor>
        </w:drawing>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All purchases disclosed in the tables above were purchased under Rule 10b5-1 trading plans pursuant to such share repurchase programs.</w:t>
      </w:r>
    </w:p>
    <w:p>
      <w:pPr>
        <w:spacing w:after="0" w:line="188" w:lineRule="exact"/>
        <w:rPr>
          <w:sz w:val="20"/>
          <w:szCs w:val="20"/>
          <w:color w:val="auto"/>
        </w:rPr>
      </w:pPr>
    </w:p>
    <w:p>
      <w:pPr>
        <w:jc w:val="both"/>
        <w:ind w:left="80" w:firstLine="384"/>
        <w:spacing w:after="0" w:line="247" w:lineRule="auto"/>
        <w:rPr>
          <w:sz w:val="20"/>
          <w:szCs w:val="20"/>
          <w:color w:val="auto"/>
        </w:rPr>
      </w:pPr>
      <w:r>
        <w:rPr>
          <w:rFonts w:ascii="Times New Roman" w:cs="Times New Roman" w:eastAsia="Times New Roman" w:hAnsi="Times New Roman"/>
          <w:sz w:val="16"/>
          <w:szCs w:val="16"/>
          <w:color w:val="auto"/>
        </w:rPr>
        <w:t>In total 9,166,684 ADSs were repurchased under the 2022 program at an average price of $142.05 (€138.37), for total consideration of $1,302.0 million (€1,268.4 million). For the 2023 program, in total 4,646,965 ADSs were repurchased at an average price of $107.58 (€98.24), for total consideration of $500.0 million (€456.5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46355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557" w:right="680" w:bottom="1440" w:gutter="0" w:footer="0" w:header="0"/>
        </w:sectPr>
      </w:pPr>
    </w:p>
    <w:bookmarkStart w:id="220" w:name="page221"/>
    <w:bookmarkEnd w:id="22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German Corporate Governance Code</w:t>
      </w:r>
    </w:p>
    <w:p>
      <w:pPr>
        <w:spacing w:after="0" w:line="8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The German Corporate Governance Code, or the Corporate Governance Code, was originally published by the German Federal Ministry of Justice (</w:t>
      </w:r>
      <w:r>
        <w:rPr>
          <w:rFonts w:ascii="Times New Roman" w:cs="Times New Roman" w:eastAsia="Times New Roman" w:hAnsi="Times New Roman"/>
          <w:sz w:val="16"/>
          <w:szCs w:val="16"/>
          <w:i w:val="1"/>
          <w:iCs w:val="1"/>
          <w:color w:val="231F20"/>
        </w:rPr>
        <w:t>Bundesministerium der Justiz</w:t>
      </w:r>
      <w:r>
        <w:rPr>
          <w:rFonts w:ascii="Times New Roman" w:cs="Times New Roman" w:eastAsia="Times New Roman" w:hAnsi="Times New Roman"/>
          <w:sz w:val="16"/>
          <w:szCs w:val="16"/>
          <w:color w:val="231F20"/>
        </w:rPr>
        <w:t>) in 2002. The version currently in effect, dated April 28, 2022, was published in the German Federal Gazette (</w:t>
      </w:r>
      <w:r>
        <w:rPr>
          <w:rFonts w:ascii="Times New Roman" w:cs="Times New Roman" w:eastAsia="Times New Roman" w:hAnsi="Times New Roman"/>
          <w:sz w:val="16"/>
          <w:szCs w:val="16"/>
          <w:i w:val="1"/>
          <w:iCs w:val="1"/>
          <w:color w:val="231F20"/>
        </w:rPr>
        <w:t>Bundesanzeiger</w:t>
      </w:r>
      <w:r>
        <w:rPr>
          <w:rFonts w:ascii="Times New Roman" w:cs="Times New Roman" w:eastAsia="Times New Roman" w:hAnsi="Times New Roman"/>
          <w:sz w:val="16"/>
          <w:szCs w:val="16"/>
          <w:color w:val="231F20"/>
        </w:rPr>
        <w:t>) on June 27, 2022. The Corporate Governance Code contains principles (</w:t>
      </w:r>
      <w:r>
        <w:rPr>
          <w:rFonts w:ascii="Times New Roman" w:cs="Times New Roman" w:eastAsia="Times New Roman" w:hAnsi="Times New Roman"/>
          <w:sz w:val="16"/>
          <w:szCs w:val="16"/>
          <w:i w:val="1"/>
          <w:iCs w:val="1"/>
          <w:color w:val="231F20"/>
        </w:rPr>
        <w:t>Grundsätze</w:t>
      </w:r>
      <w:r>
        <w:rPr>
          <w:rFonts w:ascii="Times New Roman" w:cs="Times New Roman" w:eastAsia="Times New Roman" w:hAnsi="Times New Roman"/>
          <w:sz w:val="16"/>
          <w:szCs w:val="16"/>
          <w:color w:val="231F20"/>
        </w:rPr>
        <w:t>), recommendations (</w:t>
      </w:r>
      <w:r>
        <w:rPr>
          <w:rFonts w:ascii="Times New Roman" w:cs="Times New Roman" w:eastAsia="Times New Roman" w:hAnsi="Times New Roman"/>
          <w:sz w:val="16"/>
          <w:szCs w:val="16"/>
          <w:i w:val="1"/>
          <w:iCs w:val="1"/>
          <w:color w:val="231F20"/>
        </w:rPr>
        <w:t>Empfehlungen</w:t>
      </w:r>
      <w:r>
        <w:rPr>
          <w:rFonts w:ascii="Times New Roman" w:cs="Times New Roman" w:eastAsia="Times New Roman" w:hAnsi="Times New Roman"/>
          <w:sz w:val="16"/>
          <w:szCs w:val="16"/>
          <w:color w:val="231F20"/>
        </w:rPr>
        <w:t>) and suggestions (</w:t>
      </w:r>
      <w:r>
        <w:rPr>
          <w:rFonts w:ascii="Times New Roman" w:cs="Times New Roman" w:eastAsia="Times New Roman" w:hAnsi="Times New Roman"/>
          <w:sz w:val="16"/>
          <w:szCs w:val="16"/>
          <w:i w:val="1"/>
          <w:iCs w:val="1"/>
          <w:color w:val="231F20"/>
        </w:rPr>
        <w:t>Anregungen</w:t>
      </w:r>
      <w:r>
        <w:rPr>
          <w:rFonts w:ascii="Times New Roman" w:cs="Times New Roman" w:eastAsia="Times New Roman" w:hAnsi="Times New Roman"/>
          <w:sz w:val="16"/>
          <w:szCs w:val="16"/>
          <w:color w:val="231F20"/>
        </w:rPr>
        <w:t>) relating to the management and supervision of German companies that are listed on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principles, recommendations and suggestions with respect to shareholders and shareholders’ meetings, the management and supervisory boards, transparency, accounting policies and auditing.</w:t>
      </w:r>
    </w:p>
    <w:p>
      <w:pPr>
        <w:spacing w:after="0" w:line="168"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231F20"/>
        </w:rPr>
        <w:t>There is no obligation to comply with the recommendations or suggestions of the Corporate Governance Code. The German Stock Corporation Act (</w:t>
      </w:r>
      <w:r>
        <w:rPr>
          <w:rFonts w:ascii="Times New Roman" w:cs="Times New Roman" w:eastAsia="Times New Roman" w:hAnsi="Times New Roman"/>
          <w:sz w:val="16"/>
          <w:szCs w:val="16"/>
          <w:i w:val="1"/>
          <w:iCs w:val="1"/>
          <w:color w:val="231F20"/>
        </w:rPr>
        <w:t>Aktiengesetz</w:t>
      </w:r>
      <w:r>
        <w:rPr>
          <w:rFonts w:ascii="Times New Roman" w:cs="Times New Roman" w:eastAsia="Times New Roman" w:hAnsi="Times New Roman"/>
          <w:sz w:val="16"/>
          <w:szCs w:val="16"/>
          <w:color w:val="231F20"/>
        </w:rPr>
        <w:t>) requires only that the management board and supervisory board of a German company listed on a trading facility (such as a stock exchange) which is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w:t>
      </w:r>
      <w:r>
        <w:rPr>
          <w:rFonts w:ascii="Times New Roman" w:cs="Times New Roman" w:eastAsia="Times New Roman" w:hAnsi="Times New Roman"/>
          <w:sz w:val="16"/>
          <w:szCs w:val="16"/>
          <w:i w:val="1"/>
          <w:iCs w:val="1"/>
          <w:color w:val="231F20"/>
        </w:rPr>
        <w:t>Entsprechenserklärung</w:t>
      </w:r>
      <w:r>
        <w:rPr>
          <w:rFonts w:ascii="Times New Roman" w:cs="Times New Roman" w:eastAsia="Times New Roman" w:hAnsi="Times New Roman"/>
          <w:sz w:val="16"/>
          <w:szCs w:val="16"/>
          <w:color w:val="231F20"/>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7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231F20"/>
        </w:rPr>
        <w:t>Our Management Board and Supervisory Board comply with the Corporate Governance Code except for such provisions which are listed explicitly in the annual declaration and for which they provide an explanation of non-compliance.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8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213" w:lineRule="exact"/>
        <w:rPr>
          <w:sz w:val="20"/>
          <w:szCs w:val="20"/>
          <w:color w:val="auto"/>
        </w:rPr>
      </w:pPr>
    </w:p>
    <w:p>
      <w:pPr>
        <w:ind w:left="3060"/>
        <w:spacing w:after="0"/>
        <w:tabs>
          <w:tab w:leader="none" w:pos="8300" w:val="left"/>
        </w:tabs>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r>
        <w:rPr>
          <w:sz w:val="20"/>
          <w:szCs w:val="20"/>
          <w:color w:val="auto"/>
        </w:rPr>
        <w:tab/>
      </w:r>
      <w:r>
        <w:rPr>
          <w:rFonts w:ascii="Times New Roman" w:cs="Times New Roman" w:eastAsia="Times New Roman" w:hAnsi="Times New Roman"/>
          <w:sz w:val="14"/>
          <w:szCs w:val="14"/>
          <w:b w:val="1"/>
          <w:bCs w:val="1"/>
          <w:i w:val="1"/>
          <w:iCs w:val="1"/>
          <w:color w:val="231F20"/>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1" w:name="page222"/>
    <w:bookmarkEnd w:id="221"/>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Board System</w:t>
      </w:r>
    </w:p>
    <w:p>
      <w:pPr>
        <w:spacing w:after="0" w:line="19" w:lineRule="exact"/>
        <w:rPr>
          <w:sz w:val="20"/>
          <w:szCs w:val="20"/>
          <w:color w:val="auto"/>
        </w:rPr>
      </w:pPr>
    </w:p>
    <w:p>
      <w:pPr>
        <w:jc w:val="both"/>
        <w:ind w:left="2280" w:right="20"/>
        <w:spacing w:after="0" w:line="238" w:lineRule="auto"/>
        <w:rPr>
          <w:sz w:val="20"/>
          <w:szCs w:val="20"/>
          <w:color w:val="auto"/>
        </w:rPr>
      </w:pPr>
      <w:r>
        <w:rPr>
          <w:rFonts w:ascii="Times New Roman" w:cs="Times New Roman" w:eastAsia="Times New Roman" w:hAnsi="Times New Roman"/>
          <w:sz w:val="16"/>
          <w:szCs w:val="16"/>
          <w:color w:val="231F20"/>
        </w:rPr>
        <w:t>A European stock corporation may choose to have a two-tier board structure composed of the Management Board (</w:t>
      </w:r>
      <w:r>
        <w:rPr>
          <w:rFonts w:ascii="Times New Roman" w:cs="Times New Roman" w:eastAsia="Times New Roman" w:hAnsi="Times New Roman"/>
          <w:sz w:val="16"/>
          <w:szCs w:val="16"/>
          <w:i w:val="1"/>
          <w:iCs w:val="1"/>
          <w:color w:val="231F20"/>
        </w:rPr>
        <w:t>Vorstand</w:t>
      </w:r>
      <w:r>
        <w:rPr>
          <w:rFonts w:ascii="Times New Roman" w:cs="Times New Roman" w:eastAsia="Times New Roman" w:hAnsi="Times New Roman"/>
          <w:sz w:val="16"/>
          <w:szCs w:val="16"/>
          <w:color w:val="231F20"/>
        </w:rPr>
        <w:t>) and the Supervisory Board (</w:t>
      </w:r>
      <w:r>
        <w:rPr>
          <w:rFonts w:ascii="Times New Roman" w:cs="Times New Roman" w:eastAsia="Times New Roman" w:hAnsi="Times New Roman"/>
          <w:sz w:val="16"/>
          <w:szCs w:val="16"/>
          <w:i w:val="1"/>
          <w:iCs w:val="1"/>
          <w:color w:val="231F20"/>
        </w:rPr>
        <w:t>Aufsichtsrat</w:t>
      </w:r>
      <w:r>
        <w:rPr>
          <w:rFonts w:ascii="Times New Roman" w:cs="Times New Roman" w:eastAsia="Times New Roman" w:hAnsi="Times New Roman"/>
          <w:sz w:val="16"/>
          <w:szCs w:val="16"/>
          <w:color w:val="231F20"/>
        </w:rPr>
        <w:t>). We have chosen this structure.</w:t>
      </w:r>
    </w:p>
    <w:p>
      <w:pPr>
        <w:spacing w:after="0" w:line="75" w:lineRule="exact"/>
        <w:rPr>
          <w:sz w:val="20"/>
          <w:szCs w:val="20"/>
          <w:color w:val="auto"/>
        </w:rPr>
      </w:pPr>
    </w:p>
    <w:p>
      <w:pPr>
        <w:jc w:val="both"/>
        <w:ind w:left="2280" w:right="20"/>
        <w:spacing w:after="0" w:line="247" w:lineRule="auto"/>
        <w:rPr>
          <w:sz w:val="20"/>
          <w:szCs w:val="20"/>
          <w:color w:val="auto"/>
        </w:rPr>
      </w:pPr>
      <w:r>
        <w:rPr>
          <w:rFonts w:ascii="Times New Roman" w:cs="Times New Roman" w:eastAsia="Times New Roman" w:hAnsi="Times New Roman"/>
          <w:sz w:val="16"/>
          <w:szCs w:val="16"/>
          <w:color w:val="231F20"/>
        </w:rPr>
        <w:t>The Management Board is responsible for running the company’s affairs and representing the company in dealings with third parties.</w:t>
      </w:r>
    </w:p>
    <w:p>
      <w:pPr>
        <w:spacing w:after="0" w:line="68" w:lineRule="exact"/>
        <w:rPr>
          <w:sz w:val="20"/>
          <w:szCs w:val="20"/>
          <w:color w:val="auto"/>
        </w:rPr>
      </w:pPr>
    </w:p>
    <w:p>
      <w:pPr>
        <w:jc w:val="both"/>
        <w:ind w:left="2280"/>
        <w:spacing w:after="0" w:line="241" w:lineRule="auto"/>
        <w:rPr>
          <w:sz w:val="20"/>
          <w:szCs w:val="20"/>
          <w:color w:val="auto"/>
        </w:rPr>
      </w:pPr>
      <w:r>
        <w:rPr>
          <w:rFonts w:ascii="Times New Roman" w:cs="Times New Roman" w:eastAsia="Times New Roman" w:hAnsi="Times New Roman"/>
          <w:sz w:val="16"/>
          <w:szCs w:val="16"/>
          <w:color w:val="231F20"/>
        </w:rPr>
        <w:t>The Supervisory Board of a European stock corporation under German law has a control and supervisory function. The Supervisory Board does not actively manage the company but certain Management Board actions require the approval of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231F20"/>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231F20"/>
        </w:rPr>
        <w:t>Management is responsible for running the corporation and overseeing its day-to-day operations.</w:t>
      </w:r>
    </w:p>
    <w:p>
      <w:pPr>
        <w:sectPr>
          <w:pgSz w:w="11900" w:h="16840" w:orient="portrait"/>
          <w:cols w:equalWidth="0" w:num="2">
            <w:col w:w="6180" w:space="100"/>
            <w:col w:w="3860"/>
          </w:cols>
          <w:pgMar w:left="1060" w:top="557" w:right="700" w:bottom="1440" w:gutter="0" w:footer="0" w:header="0"/>
        </w:sectPr>
      </w:pPr>
    </w:p>
    <w:bookmarkStart w:id="222" w:name="page223"/>
    <w:bookmarkEnd w:id="222"/>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231F20"/>
        </w:rPr>
        <w:t>Appointment and Number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231F20"/>
        </w:rPr>
        <w:t>Under Delaware law, a corporation must have at least one</w:t>
      </w:r>
    </w:p>
    <w:p>
      <w:pPr>
        <w:spacing w:after="0" w:line="25" w:lineRule="exact"/>
        <w:rPr>
          <w:sz w:val="20"/>
          <w:szCs w:val="20"/>
          <w:color w:val="auto"/>
        </w:rPr>
      </w:pPr>
    </w:p>
    <w:p>
      <w:pPr>
        <w:spacing w:after="0" w:line="182" w:lineRule="auto"/>
        <w:rPr>
          <w:sz w:val="20"/>
          <w:szCs w:val="20"/>
          <w:color w:val="auto"/>
        </w:rPr>
      </w:pPr>
      <w:r>
        <w:rPr>
          <w:rFonts w:ascii="Times New Roman" w:cs="Times New Roman" w:eastAsia="Times New Roman" w:hAnsi="Times New Roman"/>
          <w:sz w:val="15"/>
          <w:szCs w:val="15"/>
          <w:color w:val="231F20"/>
        </w:rPr>
        <w:t xml:space="preserve">Under applicable European and German law, a European director and the number of directors shall be fixed by or in stock corporation governed by German law with a share </w:t>
      </w:r>
      <w:r>
        <w:rPr>
          <w:rFonts w:ascii="Times New Roman" w:cs="Times New Roman" w:eastAsia="Times New Roman" w:hAnsi="Times New Roman"/>
          <w:sz w:val="29"/>
          <w:szCs w:val="29"/>
          <w:color w:val="231F20"/>
          <w:vertAlign w:val="superscript"/>
        </w:rPr>
        <w:t>the manner provided in the bylaws.</w:t>
      </w:r>
    </w:p>
    <w:p>
      <w:pPr>
        <w:spacing w:after="0" w:line="235" w:lineRule="auto"/>
        <w:rPr>
          <w:sz w:val="20"/>
          <w:szCs w:val="20"/>
          <w:color w:val="auto"/>
        </w:rPr>
      </w:pPr>
      <w:r>
        <w:rPr>
          <w:rFonts w:ascii="Times New Roman" w:cs="Times New Roman" w:eastAsia="Times New Roman" w:hAnsi="Times New Roman"/>
          <w:sz w:val="16"/>
          <w:szCs w:val="16"/>
          <w:color w:val="231F20"/>
        </w:rPr>
        <w:t>capital of at least €3 million generally must have at least</w:t>
      </w:r>
    </w:p>
    <w:p>
      <w:pPr>
        <w:spacing w:after="0" w:line="235" w:lineRule="auto"/>
        <w:rPr>
          <w:sz w:val="20"/>
          <w:szCs w:val="20"/>
          <w:color w:val="auto"/>
        </w:rPr>
      </w:pPr>
      <w:r>
        <w:rPr>
          <w:rFonts w:ascii="Times New Roman" w:cs="Times New Roman" w:eastAsia="Times New Roman" w:hAnsi="Times New Roman"/>
          <w:sz w:val="16"/>
          <w:szCs w:val="16"/>
          <w:color w:val="231F20"/>
        </w:rPr>
        <w:t>two members on its Management Board and the number of</w:t>
      </w:r>
    </w:p>
    <w:p>
      <w:pPr>
        <w:spacing w:after="0" w:line="235" w:lineRule="auto"/>
        <w:rPr>
          <w:sz w:val="20"/>
          <w:szCs w:val="20"/>
          <w:color w:val="auto"/>
        </w:rPr>
      </w:pPr>
      <w:r>
        <w:rPr>
          <w:rFonts w:ascii="Times New Roman" w:cs="Times New Roman" w:eastAsia="Times New Roman" w:hAnsi="Times New Roman"/>
          <w:sz w:val="16"/>
          <w:szCs w:val="16"/>
          <w:color w:val="231F20"/>
        </w:rPr>
        <w:t>members shall be determined by or in the manner provided</w:t>
      </w:r>
    </w:p>
    <w:p>
      <w:pPr>
        <w:spacing w:after="0"/>
        <w:rPr>
          <w:sz w:val="20"/>
          <w:szCs w:val="20"/>
          <w:color w:val="auto"/>
        </w:rPr>
      </w:pPr>
      <w:r>
        <w:rPr>
          <w:rFonts w:ascii="Times New Roman" w:cs="Times New Roman" w:eastAsia="Times New Roman" w:hAnsi="Times New Roman"/>
          <w:sz w:val="16"/>
          <w:szCs w:val="16"/>
          <w:color w:val="231F20"/>
        </w:rPr>
        <w:t>in the company’s articles of association.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The Supervisory Board must consist of at least three but—</w:t>
      </w:r>
    </w:p>
    <w:p>
      <w:pPr>
        <w:spacing w:after="0" w:line="10" w:lineRule="exact"/>
        <w:rPr>
          <w:sz w:val="20"/>
          <w:szCs w:val="20"/>
          <w:color w:val="auto"/>
        </w:rPr>
      </w:pPr>
    </w:p>
    <w:p>
      <w:pPr>
        <w:spacing w:after="0"/>
        <w:tabs>
          <w:tab w:leader="none" w:pos="780" w:val="left"/>
          <w:tab w:leader="none" w:pos="1080" w:val="left"/>
          <w:tab w:leader="none" w:pos="1420" w:val="left"/>
          <w:tab w:leader="none" w:pos="1880" w:val="left"/>
          <w:tab w:leader="none" w:pos="2760" w:val="left"/>
          <w:tab w:leader="none" w:pos="3220" w:val="left"/>
          <w:tab w:leader="none" w:pos="3640" w:val="left"/>
        </w:tabs>
        <w:rPr>
          <w:sz w:val="20"/>
          <w:szCs w:val="20"/>
          <w:color w:val="auto"/>
        </w:rPr>
      </w:pPr>
      <w:r>
        <w:rPr>
          <w:rFonts w:ascii="Times New Roman" w:cs="Times New Roman" w:eastAsia="Times New Roman" w:hAnsi="Times New Roman"/>
          <w:sz w:val="16"/>
          <w:szCs w:val="16"/>
          <w:color w:val="231F20"/>
        </w:rPr>
        <w:t>depending</w:t>
        <w:tab/>
        <w:t>on</w:t>
        <w:tab/>
        <w:t>the</w:t>
        <w:tab/>
        <w:t>share</w:t>
        <w:tab/>
        <w:t>capital—no</w:t>
        <w:tab/>
        <w:t>more</w:t>
        <w:tab/>
        <w:t>than</w:t>
      </w:r>
      <w:r>
        <w:rPr>
          <w:sz w:val="20"/>
          <w:szCs w:val="20"/>
          <w:color w:val="auto"/>
        </w:rPr>
        <w:tab/>
      </w:r>
      <w:r>
        <w:rPr>
          <w:rFonts w:ascii="Times New Roman" w:cs="Times New Roman" w:eastAsia="Times New Roman" w:hAnsi="Times New Roman"/>
          <w:sz w:val="14"/>
          <w:szCs w:val="14"/>
          <w:color w:val="231F20"/>
        </w:rPr>
        <w:t>21</w:t>
      </w:r>
    </w:p>
    <w:p>
      <w:pPr>
        <w:spacing w:after="0"/>
        <w:tabs>
          <w:tab w:leader="none" w:pos="860" w:val="left"/>
          <w:tab w:leader="none" w:pos="1360" w:val="left"/>
          <w:tab w:leader="none" w:pos="2100" w:val="left"/>
          <w:tab w:leader="none" w:pos="2740" w:val="left"/>
          <w:tab w:leader="none" w:pos="3060" w:val="left"/>
          <w:tab w:leader="none" w:pos="3660" w:val="left"/>
        </w:tabs>
        <w:rPr>
          <w:sz w:val="20"/>
          <w:szCs w:val="20"/>
          <w:color w:val="auto"/>
        </w:rPr>
      </w:pPr>
      <w:r>
        <w:rPr>
          <w:rFonts w:ascii="Times New Roman" w:cs="Times New Roman" w:eastAsia="Times New Roman" w:hAnsi="Times New Roman"/>
          <w:sz w:val="16"/>
          <w:szCs w:val="16"/>
          <w:color w:val="231F20"/>
        </w:rPr>
        <w:t>Supervisory</w:t>
        <w:tab/>
        <w:t>Board</w:t>
        <w:tab/>
        <w:t>members,</w:t>
        <w:tab/>
        <w:t>whereby</w:t>
        <w:tab/>
        <w:t>the</w:t>
        <w:tab/>
        <w:t>number</w:t>
      </w:r>
      <w:r>
        <w:rPr>
          <w:sz w:val="20"/>
          <w:szCs w:val="20"/>
          <w:color w:val="auto"/>
        </w:rPr>
        <w:tab/>
      </w:r>
      <w:r>
        <w:rPr>
          <w:rFonts w:ascii="Times New Roman" w:cs="Times New Roman" w:eastAsia="Times New Roman" w:hAnsi="Times New Roman"/>
          <w:sz w:val="14"/>
          <w:szCs w:val="14"/>
          <w:color w:val="231F20"/>
        </w:rPr>
        <w:t>of</w:t>
      </w:r>
    </w:p>
    <w:p>
      <w:pPr>
        <w:spacing w:after="0" w:line="235" w:lineRule="auto"/>
        <w:rPr>
          <w:sz w:val="20"/>
          <w:szCs w:val="20"/>
          <w:color w:val="auto"/>
        </w:rPr>
      </w:pPr>
      <w:r>
        <w:rPr>
          <w:rFonts w:ascii="Times New Roman" w:cs="Times New Roman" w:eastAsia="Times New Roman" w:hAnsi="Times New Roman"/>
          <w:sz w:val="16"/>
          <w:szCs w:val="16"/>
          <w:color w:val="231F20"/>
        </w:rPr>
        <w:t>Supervisory Board members must be divisible by three if</w:t>
      </w:r>
    </w:p>
    <w:p>
      <w:pPr>
        <w:spacing w:after="0" w:line="235" w:lineRule="auto"/>
        <w:rPr>
          <w:sz w:val="20"/>
          <w:szCs w:val="20"/>
          <w:color w:val="auto"/>
        </w:rPr>
      </w:pPr>
      <w:r>
        <w:rPr>
          <w:rFonts w:ascii="Times New Roman" w:cs="Times New Roman" w:eastAsia="Times New Roman" w:hAnsi="Times New Roman"/>
          <w:sz w:val="16"/>
          <w:szCs w:val="16"/>
          <w:color w:val="231F20"/>
        </w:rPr>
        <w:t>this is necessary for the fulfilment of co-determination</w:t>
      </w:r>
    </w:p>
    <w:p>
      <w:pPr>
        <w:spacing w:after="0" w:line="235" w:lineRule="auto"/>
        <w:rPr>
          <w:sz w:val="20"/>
          <w:szCs w:val="20"/>
          <w:color w:val="auto"/>
        </w:rPr>
      </w:pPr>
      <w:r>
        <w:rPr>
          <w:rFonts w:ascii="Times New Roman" w:cs="Times New Roman" w:eastAsia="Times New Roman" w:hAnsi="Times New Roman"/>
          <w:sz w:val="16"/>
          <w:szCs w:val="16"/>
          <w:color w:val="231F20"/>
        </w:rPr>
        <w:t>requirements. The articles of association of the company</w:t>
      </w:r>
    </w:p>
    <w:p>
      <w:pPr>
        <w:spacing w:after="0" w:line="235" w:lineRule="auto"/>
        <w:rPr>
          <w:sz w:val="20"/>
          <w:szCs w:val="20"/>
          <w:color w:val="auto"/>
        </w:rPr>
      </w:pPr>
      <w:r>
        <w:rPr>
          <w:rFonts w:ascii="Times New Roman" w:cs="Times New Roman" w:eastAsia="Times New Roman" w:hAnsi="Times New Roman"/>
          <w:sz w:val="16"/>
          <w:szCs w:val="16"/>
          <w:color w:val="231F20"/>
        </w:rPr>
        <w:t>must specify if the Supervisory Board has more than three</w:t>
      </w:r>
    </w:p>
    <w:p>
      <w:pPr>
        <w:spacing w:after="0"/>
        <w:rPr>
          <w:sz w:val="20"/>
          <w:szCs w:val="20"/>
          <w:color w:val="auto"/>
        </w:rPr>
      </w:pPr>
      <w:r>
        <w:rPr>
          <w:rFonts w:ascii="Times New Roman" w:cs="Times New Roman" w:eastAsia="Times New Roman" w:hAnsi="Times New Roman"/>
          <w:sz w:val="16"/>
          <w:szCs w:val="16"/>
          <w:color w:val="231F20"/>
        </w:rPr>
        <w:t>members.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Supervisory Board members are either appointed by the</w:t>
      </w:r>
    </w:p>
    <w:p>
      <w:pPr>
        <w:spacing w:after="0" w:line="10" w:lineRule="exact"/>
        <w:rPr>
          <w:sz w:val="20"/>
          <w:szCs w:val="20"/>
          <w:color w:val="auto"/>
        </w:rPr>
      </w:pPr>
    </w:p>
    <w:p>
      <w:pPr>
        <w:spacing w:after="0"/>
        <w:tabs>
          <w:tab w:leader="none" w:pos="1560" w:val="left"/>
          <w:tab w:leader="none" w:pos="1820" w:val="left"/>
          <w:tab w:leader="none" w:pos="2560" w:val="left"/>
          <w:tab w:leader="none" w:pos="2840" w:val="left"/>
          <w:tab w:leader="none" w:pos="3200" w:val="left"/>
          <w:tab w:leader="none" w:pos="3440" w:val="left"/>
        </w:tabs>
        <w:rPr>
          <w:sz w:val="20"/>
          <w:szCs w:val="20"/>
          <w:color w:val="auto"/>
        </w:rPr>
      </w:pPr>
      <w:r>
        <w:rPr>
          <w:rFonts w:ascii="Times New Roman" w:cs="Times New Roman" w:eastAsia="Times New Roman" w:hAnsi="Times New Roman"/>
          <w:sz w:val="16"/>
          <w:szCs w:val="16"/>
          <w:color w:val="231F20"/>
        </w:rPr>
        <w:t>shareholders’  meeting</w:t>
        <w:tab/>
        <w:t>or</w:t>
        <w:tab/>
        <w:t>delegated</w:t>
        <w:tab/>
        <w:t>by</w:t>
        <w:tab/>
        <w:t>one</w:t>
        <w:tab/>
        <w:t>or</w:t>
      </w:r>
      <w:r>
        <w:rPr>
          <w:sz w:val="20"/>
          <w:szCs w:val="20"/>
          <w:color w:val="auto"/>
        </w:rPr>
        <w:tab/>
      </w:r>
      <w:r>
        <w:rPr>
          <w:rFonts w:ascii="Times New Roman" w:cs="Times New Roman" w:eastAsia="Times New Roman" w:hAnsi="Times New Roman"/>
          <w:sz w:val="14"/>
          <w:szCs w:val="14"/>
          <w:color w:val="231F20"/>
        </w:rPr>
        <w:t>more</w:t>
      </w:r>
    </w:p>
    <w:p>
      <w:pPr>
        <w:spacing w:after="0" w:line="234" w:lineRule="auto"/>
        <w:rPr>
          <w:sz w:val="20"/>
          <w:szCs w:val="20"/>
          <w:color w:val="auto"/>
        </w:rPr>
      </w:pPr>
      <w:r>
        <w:rPr>
          <w:rFonts w:ascii="Times New Roman" w:cs="Times New Roman" w:eastAsia="Times New Roman" w:hAnsi="Times New Roman"/>
          <w:sz w:val="16"/>
          <w:szCs w:val="16"/>
          <w:color w:val="231F20"/>
        </w:rPr>
        <w:t>individual shareholders if so provided for in the company’s</w:t>
      </w:r>
    </w:p>
    <w:p>
      <w:pPr>
        <w:spacing w:after="0" w:line="235" w:lineRule="auto"/>
        <w:rPr>
          <w:sz w:val="20"/>
          <w:szCs w:val="20"/>
          <w:color w:val="auto"/>
        </w:rPr>
      </w:pPr>
      <w:r>
        <w:rPr>
          <w:rFonts w:ascii="Times New Roman" w:cs="Times New Roman" w:eastAsia="Times New Roman" w:hAnsi="Times New Roman"/>
          <w:sz w:val="16"/>
          <w:szCs w:val="16"/>
          <w:color w:val="231F20"/>
        </w:rPr>
        <w:t>articles of association. If the Supervisory Board consists of</w:t>
      </w:r>
    </w:p>
    <w:p>
      <w:pPr>
        <w:spacing w:after="0" w:line="235" w:lineRule="auto"/>
        <w:rPr>
          <w:sz w:val="20"/>
          <w:szCs w:val="20"/>
          <w:color w:val="auto"/>
        </w:rPr>
      </w:pPr>
      <w:r>
        <w:rPr>
          <w:rFonts w:ascii="Times New Roman" w:cs="Times New Roman" w:eastAsia="Times New Roman" w:hAnsi="Times New Roman"/>
          <w:sz w:val="16"/>
          <w:szCs w:val="16"/>
          <w:color w:val="231F20"/>
        </w:rPr>
        <w:t>fewer members than is required to meet the quorum for</w:t>
      </w:r>
    </w:p>
    <w:p>
      <w:pPr>
        <w:spacing w:after="0" w:line="235" w:lineRule="auto"/>
        <w:rPr>
          <w:sz w:val="20"/>
          <w:szCs w:val="20"/>
          <w:color w:val="auto"/>
        </w:rPr>
      </w:pPr>
      <w:r>
        <w:rPr>
          <w:rFonts w:ascii="Times New Roman" w:cs="Times New Roman" w:eastAsia="Times New Roman" w:hAnsi="Times New Roman"/>
          <w:sz w:val="16"/>
          <w:szCs w:val="16"/>
          <w:color w:val="231F20"/>
        </w:rPr>
        <w:t>resolutions (either statutory or pursuant to the company’s</w:t>
      </w:r>
    </w:p>
    <w:p>
      <w:pPr>
        <w:spacing w:after="0" w:line="235" w:lineRule="auto"/>
        <w:rPr>
          <w:sz w:val="20"/>
          <w:szCs w:val="20"/>
          <w:color w:val="auto"/>
        </w:rPr>
      </w:pPr>
      <w:r>
        <w:rPr>
          <w:rFonts w:ascii="Times New Roman" w:cs="Times New Roman" w:eastAsia="Times New Roman" w:hAnsi="Times New Roman"/>
          <w:sz w:val="16"/>
          <w:szCs w:val="16"/>
          <w:color w:val="231F20"/>
        </w:rPr>
        <w:t>articles of association), a competent court may appoint</w:t>
      </w:r>
    </w:p>
    <w:p>
      <w:pPr>
        <w:spacing w:after="0" w:line="235" w:lineRule="auto"/>
        <w:rPr>
          <w:sz w:val="20"/>
          <w:szCs w:val="20"/>
          <w:color w:val="auto"/>
        </w:rPr>
      </w:pPr>
      <w:r>
        <w:rPr>
          <w:rFonts w:ascii="Times New Roman" w:cs="Times New Roman" w:eastAsia="Times New Roman" w:hAnsi="Times New Roman"/>
          <w:sz w:val="16"/>
          <w:szCs w:val="16"/>
          <w:color w:val="231F20"/>
        </w:rPr>
        <w:t>additional members as needed to meet the quorum. The</w:t>
      </w:r>
    </w:p>
    <w:p>
      <w:pPr>
        <w:spacing w:after="0" w:line="235" w:lineRule="auto"/>
        <w:rPr>
          <w:sz w:val="20"/>
          <w:szCs w:val="20"/>
          <w:color w:val="auto"/>
        </w:rPr>
      </w:pPr>
      <w:r>
        <w:rPr>
          <w:rFonts w:ascii="Times New Roman" w:cs="Times New Roman" w:eastAsia="Times New Roman" w:hAnsi="Times New Roman"/>
          <w:sz w:val="16"/>
          <w:szCs w:val="16"/>
          <w:color w:val="231F20"/>
        </w:rPr>
        <w:t>provisions of German law in relation to employees’ co-</w:t>
      </w:r>
    </w:p>
    <w:p>
      <w:pPr>
        <w:spacing w:after="0"/>
        <w:rPr>
          <w:sz w:val="20"/>
          <w:szCs w:val="20"/>
          <w:color w:val="auto"/>
        </w:rPr>
      </w:pPr>
      <w:r>
        <w:rPr>
          <w:rFonts w:ascii="Times New Roman" w:cs="Times New Roman" w:eastAsia="Times New Roman" w:hAnsi="Times New Roman"/>
          <w:sz w:val="16"/>
          <w:szCs w:val="16"/>
          <w:color w:val="231F20"/>
        </w:rPr>
        <w:t>determination do not apply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46355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800" w:space="720"/>
            <w:col w:w="7620"/>
          </w:cols>
          <w:pgMar w:left="1060" w:top="557" w:right="700" w:bottom="1440" w:gutter="0" w:footer="0" w:header="0"/>
        </w:sectPr>
      </w:pPr>
    </w:p>
    <w:bookmarkStart w:id="223" w:name="page224"/>
    <w:bookmarkEnd w:id="223"/>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231F20"/>
              </w:rPr>
              <w:t>Removal of Directors</w:t>
            </w: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Under Delaware law, any director or the entire board of</w:t>
            </w:r>
          </w:p>
        </w:tc>
        <w:tc>
          <w:tcPr>
            <w:tcW w:w="0" w:type="dxa"/>
            <w:vAlign w:val="bottom"/>
          </w:tcPr>
          <w:p>
            <w:pPr>
              <w:spacing w:after="0"/>
              <w:rPr>
                <w:sz w:val="1"/>
                <w:szCs w:val="1"/>
                <w:color w:val="auto"/>
              </w:rPr>
            </w:pPr>
          </w:p>
        </w:tc>
      </w:tr>
      <w:tr>
        <w:trPr>
          <w:trHeight w:val="181"/>
        </w:trPr>
        <w:tc>
          <w:tcPr>
            <w:tcW w:w="6380" w:type="dxa"/>
            <w:vAlign w:val="bottom"/>
          </w:tcPr>
          <w:p>
            <w:pPr>
              <w:ind w:left="2300"/>
              <w:spacing w:after="0" w:line="181" w:lineRule="exact"/>
              <w:rPr>
                <w:sz w:val="20"/>
                <w:szCs w:val="20"/>
                <w:color w:val="auto"/>
              </w:rPr>
            </w:pPr>
            <w:r>
              <w:rPr>
                <w:rFonts w:ascii="Times New Roman" w:cs="Times New Roman" w:eastAsia="Times New Roman" w:hAnsi="Times New Roman"/>
                <w:sz w:val="16"/>
                <w:szCs w:val="16"/>
                <w:color w:val="231F20"/>
              </w:rPr>
              <w:t>Members  of  the  Management  Board  of  a  European  stock</w:t>
            </w:r>
          </w:p>
        </w:tc>
        <w:tc>
          <w:tcPr>
            <w:tcW w:w="376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231F20"/>
              </w:rPr>
              <w:t>directors may be removed, with or without cause, by the</w:t>
            </w: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corporation are appointed by the Supervisory Board for a</w:t>
            </w:r>
          </w:p>
        </w:tc>
        <w:tc>
          <w:tcPr>
            <w:tcW w:w="3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holders of a majority of the shares then entitled to vote at</w:t>
            </w: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maximum  period  of  six  years  with  an  opportunity  to  be</w:t>
            </w:r>
          </w:p>
        </w:tc>
        <w:tc>
          <w:tcPr>
            <w:tcW w:w="3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an election of directors, except (i) unless the certificate of</w:t>
            </w: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reelected. The articles of association may provide for a shorter</w:t>
            </w:r>
          </w:p>
        </w:tc>
        <w:tc>
          <w:tcPr>
            <w:tcW w:w="3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incorporation  provides  otherwise,  in  the  case  of  a</w:t>
            </w: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term which in our case is up to five years. The members of the</w:t>
            </w:r>
          </w:p>
        </w:tc>
        <w:tc>
          <w:tcPr>
            <w:tcW w:w="37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corporation  whose  board  of  directors  is  classified,</w:t>
            </w:r>
          </w:p>
        </w:tc>
        <w:tc>
          <w:tcPr>
            <w:tcW w:w="0" w:type="dxa"/>
            <w:vAlign w:val="bottom"/>
          </w:tcPr>
          <w:p>
            <w:pPr>
              <w:spacing w:after="0"/>
              <w:rPr>
                <w:sz w:val="1"/>
                <w:szCs w:val="1"/>
                <w:color w:val="auto"/>
              </w:rPr>
            </w:pPr>
          </w:p>
        </w:tc>
      </w:tr>
      <w:tr>
        <w:trPr>
          <w:trHeight w:val="107"/>
        </w:trPr>
        <w:tc>
          <w:tcPr>
            <w:tcW w:w="6380" w:type="dxa"/>
            <w:vAlign w:val="bottom"/>
            <w:vMerge w:val="restart"/>
          </w:tcPr>
          <w:p>
            <w:pPr>
              <w:ind w:left="2300"/>
              <w:spacing w:after="0"/>
              <w:rPr>
                <w:sz w:val="20"/>
                <w:szCs w:val="20"/>
                <w:color w:val="auto"/>
              </w:rPr>
            </w:pPr>
            <w:r>
              <w:rPr>
                <w:rFonts w:ascii="Times New Roman" w:cs="Times New Roman" w:eastAsia="Times New Roman" w:hAnsi="Times New Roman"/>
                <w:sz w:val="16"/>
                <w:szCs w:val="16"/>
                <w:color w:val="231F20"/>
              </w:rPr>
              <w:t>Management Board may be reelected, even repeatedly. The</w:t>
            </w:r>
          </w:p>
        </w:tc>
        <w:tc>
          <w:tcPr>
            <w:tcW w:w="376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231F20"/>
              </w:rPr>
              <w:t>stockholders may effect such removal only for cause; or</w:t>
            </w:r>
          </w:p>
        </w:tc>
        <w:tc>
          <w:tcPr>
            <w:tcW w:w="0" w:type="dxa"/>
            <w:vAlign w:val="bottom"/>
          </w:tcPr>
          <w:p>
            <w:pPr>
              <w:spacing w:after="0"/>
              <w:rPr>
                <w:sz w:val="1"/>
                <w:szCs w:val="1"/>
                <w:color w:val="auto"/>
              </w:rPr>
            </w:pPr>
          </w:p>
        </w:tc>
      </w:tr>
      <w:tr>
        <w:trPr>
          <w:trHeight w:val="157"/>
        </w:trPr>
        <w:tc>
          <w:tcPr>
            <w:tcW w:w="6380" w:type="dxa"/>
            <w:vAlign w:val="bottom"/>
            <w:vMerge w:val="continue"/>
          </w:tcPr>
          <w:p>
            <w:pPr>
              <w:spacing w:after="0"/>
              <w:rPr>
                <w:sz w:val="13"/>
                <w:szCs w:val="13"/>
                <w:color w:val="auto"/>
              </w:rPr>
            </w:pPr>
          </w:p>
        </w:tc>
        <w:tc>
          <w:tcPr>
            <w:tcW w:w="376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231F20"/>
              </w:rPr>
              <w:t>(ii) in the case of a corporation having cumulative voting,</w:t>
            </w:r>
          </w:p>
        </w:tc>
        <w:tc>
          <w:tcPr>
            <w:tcW w:w="0" w:type="dxa"/>
            <w:vAlign w:val="bottom"/>
          </w:tcPr>
          <w:p>
            <w:pPr>
              <w:spacing w:after="0"/>
              <w:rPr>
                <w:sz w:val="1"/>
                <w:szCs w:val="1"/>
                <w:color w:val="auto"/>
              </w:rPr>
            </w:pPr>
          </w:p>
        </w:tc>
      </w:tr>
      <w:tr>
        <w:trPr>
          <w:trHeight w:val="168"/>
        </w:trPr>
        <w:tc>
          <w:tcPr>
            <w:tcW w:w="6380" w:type="dxa"/>
            <w:vAlign w:val="bottom"/>
          </w:tcPr>
          <w:p>
            <w:pPr>
              <w:ind w:left="2300"/>
              <w:spacing w:after="0" w:line="168" w:lineRule="exact"/>
              <w:rPr>
                <w:sz w:val="20"/>
                <w:szCs w:val="20"/>
                <w:color w:val="auto"/>
              </w:rPr>
            </w:pPr>
            <w:r>
              <w:rPr>
                <w:rFonts w:ascii="Times New Roman" w:cs="Times New Roman" w:eastAsia="Times New Roman" w:hAnsi="Times New Roman"/>
                <w:sz w:val="16"/>
                <w:szCs w:val="16"/>
                <w:color w:val="231F20"/>
              </w:rPr>
              <w:t>Supervisory Board may remove a member of the Management</w:t>
            </w:r>
          </w:p>
        </w:tc>
        <w:tc>
          <w:tcPr>
            <w:tcW w:w="37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if less than the entire board of directors is to be removed,</w:t>
            </w:r>
          </w:p>
        </w:tc>
        <w:tc>
          <w:tcPr>
            <w:tcW w:w="0" w:type="dxa"/>
            <w:vAlign w:val="bottom"/>
          </w:tcPr>
          <w:p>
            <w:pPr>
              <w:spacing w:after="0"/>
              <w:rPr>
                <w:sz w:val="1"/>
                <w:szCs w:val="1"/>
                <w:color w:val="auto"/>
              </w:rPr>
            </w:pPr>
          </w:p>
        </w:tc>
      </w:tr>
      <w:tr>
        <w:trPr>
          <w:trHeight w:val="168"/>
        </w:trPr>
        <w:tc>
          <w:tcPr>
            <w:tcW w:w="6380" w:type="dxa"/>
            <w:vAlign w:val="bottom"/>
          </w:tcPr>
          <w:p>
            <w:pPr>
              <w:ind w:left="2300"/>
              <w:spacing w:after="0" w:line="168" w:lineRule="exact"/>
              <w:rPr>
                <w:sz w:val="20"/>
                <w:szCs w:val="20"/>
                <w:color w:val="auto"/>
              </w:rPr>
            </w:pPr>
            <w:r>
              <w:rPr>
                <w:rFonts w:ascii="Times New Roman" w:cs="Times New Roman" w:eastAsia="Times New Roman" w:hAnsi="Times New Roman"/>
                <w:sz w:val="16"/>
                <w:szCs w:val="16"/>
                <w:color w:val="231F20"/>
              </w:rPr>
              <w:t>Board prior to the expiration of his or her term only for cause,</w:t>
            </w:r>
          </w:p>
        </w:tc>
        <w:tc>
          <w:tcPr>
            <w:tcW w:w="37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8"/>
              </w:rPr>
              <w:t>no director may be removed without cause if the votes cast</w:t>
            </w:r>
          </w:p>
        </w:tc>
        <w:tc>
          <w:tcPr>
            <w:tcW w:w="0" w:type="dxa"/>
            <w:vAlign w:val="bottom"/>
          </w:tcPr>
          <w:p>
            <w:pPr>
              <w:spacing w:after="0"/>
              <w:rPr>
                <w:sz w:val="1"/>
                <w:szCs w:val="1"/>
                <w:color w:val="auto"/>
              </w:rPr>
            </w:pPr>
          </w:p>
        </w:tc>
      </w:tr>
      <w:tr>
        <w:trPr>
          <w:trHeight w:val="168"/>
        </w:trPr>
        <w:tc>
          <w:tcPr>
            <w:tcW w:w="6380" w:type="dxa"/>
            <w:vAlign w:val="bottom"/>
          </w:tcPr>
          <w:p>
            <w:pPr>
              <w:ind w:left="2300"/>
              <w:spacing w:after="0" w:line="168" w:lineRule="exact"/>
              <w:rPr>
                <w:sz w:val="20"/>
                <w:szCs w:val="20"/>
                <w:color w:val="auto"/>
              </w:rPr>
            </w:pPr>
            <w:r>
              <w:rPr>
                <w:rFonts w:ascii="Times New Roman" w:cs="Times New Roman" w:eastAsia="Times New Roman" w:hAnsi="Times New Roman"/>
                <w:sz w:val="16"/>
                <w:szCs w:val="16"/>
                <w:color w:val="231F20"/>
              </w:rPr>
              <w:t>such as gross breach of duties (</w:t>
            </w:r>
            <w:r>
              <w:rPr>
                <w:rFonts w:ascii="Times New Roman" w:cs="Times New Roman" w:eastAsia="Times New Roman" w:hAnsi="Times New Roman"/>
                <w:sz w:val="16"/>
                <w:szCs w:val="16"/>
                <w:i w:val="1"/>
                <w:iCs w:val="1"/>
                <w:color w:val="231F20"/>
              </w:rPr>
              <w:t>grobe Pflichtverletzung</w:t>
            </w:r>
            <w:r>
              <w:rPr>
                <w:rFonts w:ascii="Times New Roman" w:cs="Times New Roman" w:eastAsia="Times New Roman" w:hAnsi="Times New Roman"/>
                <w:sz w:val="16"/>
                <w:szCs w:val="16"/>
                <w:color w:val="231F20"/>
              </w:rPr>
              <w:t>), the</w:t>
            </w:r>
          </w:p>
        </w:tc>
        <w:tc>
          <w:tcPr>
            <w:tcW w:w="37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8"/>
              </w:rPr>
              <w:t>against his removal would be sufficient to elect him if then</w:t>
            </w:r>
          </w:p>
        </w:tc>
        <w:tc>
          <w:tcPr>
            <w:tcW w:w="0" w:type="dxa"/>
            <w:vAlign w:val="bottom"/>
          </w:tcPr>
          <w:p>
            <w:pPr>
              <w:spacing w:after="0"/>
              <w:rPr>
                <w:sz w:val="1"/>
                <w:szCs w:val="1"/>
                <w:color w:val="auto"/>
              </w:rPr>
            </w:pPr>
          </w:p>
        </w:tc>
      </w:tr>
      <w:tr>
        <w:trPr>
          <w:trHeight w:val="168"/>
        </w:trPr>
        <w:tc>
          <w:tcPr>
            <w:tcW w:w="6380" w:type="dxa"/>
            <w:vAlign w:val="bottom"/>
          </w:tcPr>
          <w:p>
            <w:pPr>
              <w:ind w:left="2300"/>
              <w:spacing w:after="0" w:line="168" w:lineRule="exact"/>
              <w:rPr>
                <w:sz w:val="20"/>
                <w:szCs w:val="20"/>
                <w:color w:val="auto"/>
              </w:rPr>
            </w:pPr>
            <w:r>
              <w:rPr>
                <w:rFonts w:ascii="Times New Roman" w:cs="Times New Roman" w:eastAsia="Times New Roman" w:hAnsi="Times New Roman"/>
                <w:sz w:val="16"/>
                <w:szCs w:val="16"/>
                <w:color w:val="231F20"/>
              </w:rPr>
              <w:t>inability to manage the business properly (</w:t>
            </w:r>
            <w:r>
              <w:rPr>
                <w:rFonts w:ascii="Times New Roman" w:cs="Times New Roman" w:eastAsia="Times New Roman" w:hAnsi="Times New Roman"/>
                <w:sz w:val="16"/>
                <w:szCs w:val="16"/>
                <w:i w:val="1"/>
                <w:iCs w:val="1"/>
                <w:color w:val="231F20"/>
              </w:rPr>
              <w:t>Unfähigkeit zur</w:t>
            </w:r>
          </w:p>
        </w:tc>
        <w:tc>
          <w:tcPr>
            <w:tcW w:w="37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cumulatively voted at an election of the entire board of</w:t>
            </w:r>
          </w:p>
        </w:tc>
        <w:tc>
          <w:tcPr>
            <w:tcW w:w="0" w:type="dxa"/>
            <w:vAlign w:val="bottom"/>
          </w:tcPr>
          <w:p>
            <w:pPr>
              <w:spacing w:after="0"/>
              <w:rPr>
                <w:sz w:val="1"/>
                <w:szCs w:val="1"/>
                <w:color w:val="auto"/>
              </w:rPr>
            </w:pPr>
          </w:p>
        </w:tc>
      </w:tr>
      <w:tr>
        <w:trPr>
          <w:trHeight w:val="168"/>
        </w:trPr>
        <w:tc>
          <w:tcPr>
            <w:tcW w:w="6380" w:type="dxa"/>
            <w:vAlign w:val="bottom"/>
          </w:tcPr>
          <w:p>
            <w:pPr>
              <w:ind w:left="2300"/>
              <w:spacing w:after="0" w:line="168" w:lineRule="exact"/>
              <w:rPr>
                <w:sz w:val="20"/>
                <w:szCs w:val="20"/>
                <w:color w:val="auto"/>
              </w:rPr>
            </w:pPr>
            <w:r>
              <w:rPr>
                <w:rFonts w:ascii="Times New Roman" w:cs="Times New Roman" w:eastAsia="Times New Roman" w:hAnsi="Times New Roman"/>
                <w:sz w:val="16"/>
                <w:szCs w:val="16"/>
                <w:i w:val="1"/>
                <w:iCs w:val="1"/>
                <w:color w:val="231F20"/>
              </w:rPr>
              <w:t>ordnungsgemäßen Pflichtausübung</w:t>
            </w:r>
            <w:r>
              <w:rPr>
                <w:rFonts w:ascii="Times New Roman" w:cs="Times New Roman" w:eastAsia="Times New Roman" w:hAnsi="Times New Roman"/>
                <w:sz w:val="16"/>
                <w:szCs w:val="16"/>
                <w:color w:val="231F20"/>
              </w:rPr>
              <w:t>) or a vote of no-confidence</w:t>
            </w:r>
          </w:p>
        </w:tc>
        <w:tc>
          <w:tcPr>
            <w:tcW w:w="37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9"/>
              </w:rPr>
              <w:t>directors, or, if there are classes of directors, at an election</w:t>
            </w:r>
          </w:p>
        </w:tc>
        <w:tc>
          <w:tcPr>
            <w:tcW w:w="0" w:type="dxa"/>
            <w:vAlign w:val="bottom"/>
          </w:tcPr>
          <w:p>
            <w:pPr>
              <w:spacing w:after="0"/>
              <w:rPr>
                <w:sz w:val="1"/>
                <w:szCs w:val="1"/>
                <w:color w:val="auto"/>
              </w:rPr>
            </w:pPr>
          </w:p>
        </w:tc>
      </w:tr>
      <w:tr>
        <w:trPr>
          <w:trHeight w:val="179"/>
        </w:trPr>
        <w:tc>
          <w:tcPr>
            <w:tcW w:w="6380" w:type="dxa"/>
            <w:vAlign w:val="bottom"/>
          </w:tcPr>
          <w:p>
            <w:pPr>
              <w:ind w:left="2300"/>
              <w:spacing w:after="0" w:line="179" w:lineRule="exact"/>
              <w:rPr>
                <w:sz w:val="20"/>
                <w:szCs w:val="20"/>
                <w:color w:val="auto"/>
              </w:rPr>
            </w:pPr>
            <w:r>
              <w:rPr>
                <w:rFonts w:ascii="Times New Roman" w:cs="Times New Roman" w:eastAsia="Times New Roman" w:hAnsi="Times New Roman"/>
                <w:sz w:val="16"/>
                <w:szCs w:val="16"/>
                <w:color w:val="231F20"/>
              </w:rPr>
              <w:t>during  the  shareholders’  meeting  (</w:t>
            </w:r>
            <w:r>
              <w:rPr>
                <w:rFonts w:ascii="Times New Roman" w:cs="Times New Roman" w:eastAsia="Times New Roman" w:hAnsi="Times New Roman"/>
                <w:sz w:val="16"/>
                <w:szCs w:val="16"/>
                <w:i w:val="1"/>
                <w:iCs w:val="1"/>
                <w:color w:val="231F20"/>
              </w:rPr>
              <w:t>Vertrauensentzug</w:t>
            </w:r>
            <w:r>
              <w:rPr>
                <w:rFonts w:ascii="Times New Roman" w:cs="Times New Roman" w:eastAsia="Times New Roman" w:hAnsi="Times New Roman"/>
                <w:sz w:val="16"/>
                <w:szCs w:val="16"/>
                <w:color w:val="231F20"/>
              </w:rPr>
              <w:t>).  The</w:t>
            </w:r>
          </w:p>
        </w:tc>
        <w:tc>
          <w:tcPr>
            <w:tcW w:w="376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231F20"/>
              </w:rPr>
              <w:t>of the class of directors of which he is a part.</w:t>
            </w: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shareholders themselves are not entitled to appoint or dismiss</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300"/>
              <w:spacing w:after="0"/>
              <w:rPr>
                <w:sz w:val="20"/>
                <w:szCs w:val="20"/>
                <w:color w:val="auto"/>
              </w:rPr>
            </w:pPr>
            <w:r>
              <w:rPr>
                <w:rFonts w:ascii="Times New Roman" w:cs="Times New Roman" w:eastAsia="Times New Roman" w:hAnsi="Times New Roman"/>
                <w:sz w:val="16"/>
                <w:szCs w:val="16"/>
                <w:color w:val="231F20"/>
              </w:rPr>
              <w:t>the members of the Management Board.</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380" w:type="dxa"/>
            <w:vAlign w:val="bottom"/>
          </w:tcPr>
          <w:p>
            <w:pPr>
              <w:ind w:left="2300"/>
              <w:spacing w:after="0"/>
              <w:rPr>
                <w:sz w:val="20"/>
                <w:szCs w:val="20"/>
                <w:color w:val="auto"/>
              </w:rPr>
            </w:pPr>
            <w:r>
              <w:rPr>
                <w:rFonts w:ascii="Times New Roman" w:cs="Times New Roman" w:eastAsia="Times New Roman" w:hAnsi="Times New Roman"/>
                <w:sz w:val="16"/>
                <w:szCs w:val="16"/>
                <w:color w:val="231F20"/>
              </w:rPr>
              <w:t>Under European law, a member of the Supervisory Board of a</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company may be elected for a term of up to six years. The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articles of association may provide for a shorter term. Our</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w w:val="98"/>
              </w:rPr>
              <w:t>Supervisory Board members are, if the general meeting does not</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resolve on a shorter term, elected for a period up to the end of</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the general meeting deciding on the discharge for the fourth</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financial year after the election. Reelection, including repeated</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reelection, is permissible. Members of the Supervisory Board</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may be removed with or without cause by way of a general</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Pr>
          <w:p>
            <w:pPr>
              <w:ind w:left="2300"/>
              <w:spacing w:after="0" w:line="180" w:lineRule="exact"/>
              <w:rPr>
                <w:sz w:val="20"/>
                <w:szCs w:val="20"/>
                <w:color w:val="auto"/>
              </w:rPr>
            </w:pPr>
            <w:r>
              <w:rPr>
                <w:rFonts w:ascii="Times New Roman" w:cs="Times New Roman" w:eastAsia="Times New Roman" w:hAnsi="Times New Roman"/>
                <w:sz w:val="16"/>
                <w:szCs w:val="16"/>
                <w:color w:val="231F20"/>
              </w:rPr>
              <w:t>meeting resolution, with the applicable majority requirement</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300"/>
              <w:spacing w:after="0"/>
              <w:rPr>
                <w:sz w:val="20"/>
                <w:szCs w:val="20"/>
                <w:color w:val="auto"/>
              </w:rPr>
            </w:pPr>
            <w:r>
              <w:rPr>
                <w:rFonts w:ascii="Times New Roman" w:cs="Times New Roman" w:eastAsia="Times New Roman" w:hAnsi="Times New Roman"/>
                <w:sz w:val="16"/>
                <w:szCs w:val="16"/>
                <w:color w:val="231F20"/>
              </w:rPr>
              <w:t>depending on the relevant company’s articles of association.</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1060" w:top="557" w:right="700" w:bottom="1440" w:gutter="0" w:footer="0" w:header="0"/>
        </w:sectPr>
      </w:pPr>
    </w:p>
    <w:bookmarkStart w:id="224" w:name="page225"/>
    <w:bookmarkEnd w:id="224"/>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231F20"/>
                <w:w w:val="98"/>
              </w:rPr>
              <w:t>Vacancies on the Board of Directors</w:t>
            </w: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Under the law, vacant positions on the Management Board</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Under  Delaware  law,  vacancies  and  newly  created</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are filled by the Supervisory Board in accordance with the</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directorships may be filled by a majority of the directors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general rules of appointment, which provide that vacancies</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then in office (even though less than a quorum) or by a sole</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are filled by the simple majority of votes of Supervisory</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remaining director unless (i) otherwise provided in the</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Board members present or represented by proxy at the vote</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certificate of incorporation or by-laws of the corporation or</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(with, under certain circumstances, the chairman having a</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(ii) the certificate of incorporation directs that a particular</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casting vote), unless otherwise provided by the company’s</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class of stock is to elect such director, in which case a</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articles of association. In case of emergencies, a vacant</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majority of the other directors elected by such class, or a</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position on the Management Board may be filled by an</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sole remaining director elected by such class, will fill such</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individual appointed by the court. Vacant positions on the</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vacancy.</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Supervisory Board are filled in accordance with the general</w:t>
            </w:r>
          </w:p>
        </w:tc>
        <w:tc>
          <w:tcPr>
            <w:tcW w:w="3860" w:type="dxa"/>
            <w:vAlign w:val="bottom"/>
          </w:tcPr>
          <w:p>
            <w:pPr>
              <w:spacing w:after="0"/>
              <w:rPr>
                <w:sz w:val="14"/>
                <w:szCs w:val="14"/>
                <w:color w:val="auto"/>
              </w:rPr>
            </w:pPr>
          </w:p>
        </w:tc>
      </w:tr>
      <w:tr>
        <w:trPr>
          <w:trHeight w:val="203"/>
        </w:trPr>
        <w:tc>
          <w:tcPr>
            <w:tcW w:w="23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rules of appointment.</w:t>
            </w:r>
          </w:p>
        </w:tc>
        <w:tc>
          <w:tcPr>
            <w:tcW w:w="3860" w:type="dxa"/>
            <w:vAlign w:val="bottom"/>
          </w:tcPr>
          <w:p>
            <w:pPr>
              <w:spacing w:after="0"/>
              <w:rPr>
                <w:sz w:val="17"/>
                <w:szCs w:val="17"/>
                <w:color w:val="auto"/>
              </w:rPr>
            </w:pPr>
          </w:p>
        </w:tc>
      </w:tr>
      <w:tr>
        <w:trPr>
          <w:trHeight w:val="181"/>
        </w:trPr>
        <w:tc>
          <w:tcPr>
            <w:tcW w:w="2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231F20"/>
              </w:rPr>
              <w:t>Annual General Meeting</w:t>
            </w:r>
          </w:p>
        </w:tc>
        <w:tc>
          <w:tcPr>
            <w:tcW w:w="39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231F20"/>
                <w:w w:val="98"/>
              </w:rPr>
              <w:t>A European stock corporation, which is governed by German</w:t>
            </w:r>
          </w:p>
        </w:tc>
        <w:tc>
          <w:tcPr>
            <w:tcW w:w="3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231F20"/>
              </w:rPr>
              <w:t>Under Delaware law, the annual meeting of stockholders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law, must hold an annual shareholders’ meeting within six</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shall be held at such place, on such date and at such time as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months of the end of its fiscal year. The annual shareholders’</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may be designated from time to time by the board of</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meeting must be held at a location determined by the articles</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8"/>
              </w:rPr>
              <w:t>directors or as provided in the certificate of incorporation or</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8"/>
              </w:rPr>
              <w:t>of association. If the articles of association do not provide for</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by the bylaws.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9"/>
              </w:rPr>
              <w:t>a specific location, the shareholders’ meeting shall be held at</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the  company’s  seat  or,  if  applicable,  at  the  venue  (in</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Germany) where its shares are listed. Under the articles of</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association, the Management Board is authorized to provide</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for the Annual General Meeting to be held without the</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physical presence of the shareholders or their proxies at the</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location of the Annual General Meeting (virtual Annual</w:t>
            </w:r>
          </w:p>
        </w:tc>
        <w:tc>
          <w:tcPr>
            <w:tcW w:w="3860" w:type="dxa"/>
            <w:vAlign w:val="bottom"/>
          </w:tcPr>
          <w:p>
            <w:pPr>
              <w:spacing w:after="0"/>
              <w:rPr>
                <w:sz w:val="14"/>
                <w:szCs w:val="14"/>
                <w:color w:val="auto"/>
              </w:rPr>
            </w:pPr>
          </w:p>
        </w:tc>
      </w:tr>
      <w:tr>
        <w:trPr>
          <w:trHeight w:val="203"/>
        </w:trPr>
        <w:tc>
          <w:tcPr>
            <w:tcW w:w="23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General Meeting).</w:t>
            </w:r>
          </w:p>
        </w:tc>
        <w:tc>
          <w:tcPr>
            <w:tcW w:w="3860" w:type="dxa"/>
            <w:vAlign w:val="bottom"/>
          </w:tcPr>
          <w:p>
            <w:pPr>
              <w:spacing w:after="0"/>
              <w:rPr>
                <w:sz w:val="17"/>
                <w:szCs w:val="17"/>
                <w:color w:val="auto"/>
              </w:rPr>
            </w:pPr>
          </w:p>
        </w:tc>
      </w:tr>
      <w:tr>
        <w:trPr>
          <w:trHeight w:val="181"/>
        </w:trPr>
        <w:tc>
          <w:tcPr>
            <w:tcW w:w="2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231F20"/>
              </w:rPr>
              <w:t>General Meeting</w:t>
            </w:r>
          </w:p>
        </w:tc>
        <w:tc>
          <w:tcPr>
            <w:tcW w:w="39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231F20"/>
              </w:rPr>
              <w:t>Under  the  law,  extraordinary  shareholders’ meetings,  in</w:t>
            </w:r>
          </w:p>
        </w:tc>
        <w:tc>
          <w:tcPr>
            <w:tcW w:w="38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231F20"/>
              </w:rPr>
              <w:t>Under Delaware law, special meetings of the stockholders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addition to the annual shareholders’ meetings, may be called</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w w:val="98"/>
              </w:rPr>
              <w:t>may be called by the board of directors or by such person or</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either by the Management Board, or the Supervisory Board.</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persons  as  may  be  authorized  by  the  certificate  of</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Shareholders holding at least 5% of the company’s share</w:t>
            </w:r>
          </w:p>
        </w:tc>
        <w:tc>
          <w:tcPr>
            <w:tcW w:w="38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incorporation or by the bylaws.</w:t>
            </w: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capital  are  entitled  to  request  that  an  extraordinary</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shareholders’ meeting be convened. In the event that the</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meeting is not then so convened, a competent court may</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order  that  the  meeting  be  convened  or  authorize  the</w:t>
            </w:r>
          </w:p>
        </w:tc>
        <w:tc>
          <w:tcPr>
            <w:tcW w:w="386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3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231F20"/>
              </w:rPr>
              <w:t>shareholders or their representative to convene the meeting</w:t>
            </w:r>
          </w:p>
        </w:tc>
        <w:tc>
          <w:tcPr>
            <w:tcW w:w="3860" w:type="dxa"/>
            <w:vAlign w:val="bottom"/>
          </w:tcPr>
          <w:p>
            <w:pPr>
              <w:spacing w:after="0"/>
              <w:rPr>
                <w:sz w:val="14"/>
                <w:szCs w:val="14"/>
                <w:color w:val="auto"/>
              </w:rPr>
            </w:pPr>
          </w:p>
        </w:tc>
      </w:tr>
      <w:tr>
        <w:trPr>
          <w:trHeight w:val="203"/>
        </w:trPr>
        <w:tc>
          <w:tcPr>
            <w:tcW w:w="23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themselves.</w:t>
            </w:r>
          </w:p>
        </w:tc>
        <w:tc>
          <w:tcPr>
            <w:tcW w:w="38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1060" w:top="557" w:right="700" w:bottom="1440" w:gutter="0" w:footer="0" w:header="0"/>
        </w:sectPr>
      </w:pPr>
    </w:p>
    <w:bookmarkStart w:id="225" w:name="page226"/>
    <w:bookmarkEnd w:id="225"/>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Notice of General Meetings</w:t>
      </w:r>
    </w:p>
    <w:p>
      <w:pPr>
        <w:spacing w:after="0" w:line="19" w:lineRule="exact"/>
        <w:rPr>
          <w:sz w:val="20"/>
          <w:szCs w:val="20"/>
          <w:color w:val="auto"/>
        </w:rPr>
      </w:pPr>
    </w:p>
    <w:p>
      <w:pPr>
        <w:jc w:val="both"/>
        <w:ind w:left="2340"/>
        <w:spacing w:after="0" w:line="236" w:lineRule="auto"/>
        <w:rPr>
          <w:sz w:val="20"/>
          <w:szCs w:val="20"/>
          <w:color w:val="auto"/>
        </w:rPr>
      </w:pPr>
      <w:r>
        <w:rPr>
          <w:rFonts w:ascii="Times New Roman" w:cs="Times New Roman" w:eastAsia="Times New Roman" w:hAnsi="Times New Roman"/>
          <w:sz w:val="16"/>
          <w:szCs w:val="16"/>
          <w:color w:val="231F20"/>
        </w:rPr>
        <w:t>Under applicable European and German law, unless a 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75" w:lineRule="exact"/>
        <w:rPr>
          <w:sz w:val="20"/>
          <w:szCs w:val="20"/>
          <w:color w:val="auto"/>
        </w:rPr>
      </w:pPr>
    </w:p>
    <w:p>
      <w:pPr>
        <w:jc w:val="both"/>
        <w:ind w:left="2340"/>
        <w:spacing w:after="0" w:line="243" w:lineRule="auto"/>
        <w:rPr>
          <w:sz w:val="20"/>
          <w:szCs w:val="20"/>
          <w:color w:val="auto"/>
        </w:rPr>
      </w:pPr>
      <w:r>
        <w:rPr>
          <w:rFonts w:ascii="Times New Roman" w:cs="Times New Roman" w:eastAsia="Times New Roman" w:hAnsi="Times New Roman"/>
          <w:sz w:val="16"/>
          <w:szCs w:val="16"/>
          <w:color w:val="231F20"/>
        </w:rPr>
        <w:t>If all shareholders entitled to attend the shareholders’ meeting are present or represented and do not object to the meeting being held, the formalities of calling and holding of a shareholders’ meeting do not apply.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Proxy</w:t>
      </w:r>
    </w:p>
    <w:p>
      <w:pPr>
        <w:spacing w:after="0" w:line="19" w:lineRule="exact"/>
        <w:rPr>
          <w:sz w:val="20"/>
          <w:szCs w:val="20"/>
          <w:color w:val="auto"/>
        </w:rPr>
      </w:pPr>
    </w:p>
    <w:p>
      <w:pPr>
        <w:jc w:val="both"/>
        <w:ind w:left="2340" w:right="20"/>
        <w:spacing w:after="0"/>
        <w:rPr>
          <w:sz w:val="20"/>
          <w:szCs w:val="20"/>
          <w:color w:val="auto"/>
        </w:rPr>
      </w:pPr>
      <w:r>
        <w:rPr>
          <w:rFonts w:ascii="Times New Roman" w:cs="Times New Roman" w:eastAsia="Times New Roman" w:hAnsi="Times New Roman"/>
          <w:sz w:val="16"/>
          <w:szCs w:val="16"/>
          <w:color w:val="231F20"/>
        </w:rPr>
        <w:t>A shareholder may designate another person to attend, speak and vote at a shareholders’ meeting of the company on such shareholder’s behalf by proxy.</w:t>
      </w:r>
    </w:p>
    <w:p>
      <w:pPr>
        <w:spacing w:after="0" w:line="73" w:lineRule="exact"/>
        <w:rPr>
          <w:sz w:val="20"/>
          <w:szCs w:val="20"/>
          <w:color w:val="auto"/>
        </w:rPr>
      </w:pPr>
    </w:p>
    <w:p>
      <w:pPr>
        <w:jc w:val="both"/>
        <w:ind w:left="2340"/>
        <w:spacing w:after="0" w:line="247" w:lineRule="auto"/>
        <w:rPr>
          <w:sz w:val="20"/>
          <w:szCs w:val="20"/>
          <w:color w:val="auto"/>
        </w:rPr>
      </w:pPr>
      <w:r>
        <w:rPr>
          <w:rFonts w:ascii="Times New Roman" w:cs="Times New Roman" w:eastAsia="Times New Roman" w:hAnsi="Times New Roman"/>
          <w:sz w:val="16"/>
          <w:szCs w:val="16"/>
          <w:color w:val="231F20"/>
        </w:rPr>
        <w:t>With respect to Management Board meetings, a Management Board member may transmit its (written or verbal) vote via another Management Board member.</w:t>
      </w:r>
    </w:p>
    <w:p>
      <w:pPr>
        <w:spacing w:after="0" w:line="68" w:lineRule="exact"/>
        <w:rPr>
          <w:sz w:val="20"/>
          <w:szCs w:val="20"/>
          <w:color w:val="auto"/>
        </w:rPr>
      </w:pPr>
    </w:p>
    <w:p>
      <w:pPr>
        <w:jc w:val="both"/>
        <w:ind w:left="2340"/>
        <w:spacing w:after="0" w:line="243" w:lineRule="auto"/>
        <w:rPr>
          <w:sz w:val="20"/>
          <w:szCs w:val="20"/>
          <w:color w:val="auto"/>
        </w:rPr>
      </w:pPr>
      <w:r>
        <w:rPr>
          <w:rFonts w:ascii="Times New Roman" w:cs="Times New Roman" w:eastAsia="Times New Roman" w:hAnsi="Times New Roman"/>
          <w:sz w:val="16"/>
          <w:szCs w:val="16"/>
          <w:color w:val="231F20"/>
        </w:rPr>
        <w:t>With respect to Supervisory Board meetings, a Supervisory Board member may participate in voting by issuing a written vote to another Supervisory Board member or any third party entitled to attend the Supervisory Board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231F20"/>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231F20"/>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40" w:orient="portrait"/>
          <w:cols w:equalWidth="0" w:num="2">
            <w:col w:w="6220" w:space="100"/>
            <w:col w:w="3820"/>
          </w:cols>
          <w:pgMar w:left="1060" w:top="557" w:right="700" w:bottom="1440" w:gutter="0" w:footer="0" w:header="0"/>
        </w:sectPr>
      </w:pPr>
    </w:p>
    <w:bookmarkStart w:id="226" w:name="page227"/>
    <w:bookmarkEnd w:id="226"/>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231F20"/>
              </w:rPr>
              <w:t>Preemptive Rights</w:t>
            </w:r>
          </w:p>
        </w:tc>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Under the law applicable to European stock corporations</w:t>
            </w:r>
          </w:p>
        </w:tc>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231F20"/>
                <w:w w:val="97"/>
              </w:rPr>
              <w:t>Under Delaware law, stockholders have no preemptive rights</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governed by German law, existing shareholders have a</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to subscribe to additional issues of stock or to any security</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w w:val="98"/>
              </w:rPr>
              <w:t>statutory subscription right for any additional issue of shares</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convertible into such stock unless, and except to the extent</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or any security convertible into shares pro rata to the</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that, such rights are expressly provided for in the certificate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nominal value of their respective holdings in the company,</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of incorporation.</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unless (i) shareholders representing three-quarters of the</w:t>
            </w:r>
          </w:p>
        </w:tc>
        <w:tc>
          <w:tcPr>
            <w:tcW w:w="3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w w:val="99"/>
              </w:rPr>
              <w:t>registered share capital present at the shareholders’ meeting</w:t>
            </w:r>
          </w:p>
        </w:tc>
        <w:tc>
          <w:tcPr>
            <w:tcW w:w="3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have resolved upon the whole or partial exclusion of the</w:t>
            </w:r>
          </w:p>
        </w:tc>
        <w:tc>
          <w:tcPr>
            <w:tcW w:w="3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subscription right and (ii) there exists good and objective</w:t>
            </w:r>
          </w:p>
        </w:tc>
        <w:tc>
          <w:tcPr>
            <w:tcW w:w="3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cause for such exclusion. No separate resolution on the</w:t>
            </w:r>
          </w:p>
        </w:tc>
        <w:tc>
          <w:tcPr>
            <w:tcW w:w="38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exclusion  of  subscription  rights  is  required  if  all</w:t>
            </w:r>
          </w:p>
        </w:tc>
        <w:tc>
          <w:tcPr>
            <w:tcW w:w="3880" w:type="dxa"/>
            <w:vAlign w:val="bottom"/>
          </w:tcPr>
          <w:p>
            <w:pPr>
              <w:spacing w:after="0"/>
              <w:rPr>
                <w:sz w:val="14"/>
                <w:szCs w:val="14"/>
                <w:color w:val="auto"/>
              </w:rPr>
            </w:pPr>
          </w:p>
        </w:tc>
      </w:tr>
      <w:tr>
        <w:trPr>
          <w:trHeight w:val="203"/>
        </w:trPr>
        <w:tc>
          <w:tcPr>
            <w:tcW w:w="1800" w:type="dxa"/>
            <w:vAlign w:val="bottom"/>
          </w:tcPr>
          <w:p>
            <w:pPr>
              <w:spacing w:after="0"/>
              <w:rPr>
                <w:sz w:val="17"/>
                <w:szCs w:val="17"/>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16"/>
                <w:szCs w:val="16"/>
                <w:color w:val="231F20"/>
              </w:rPr>
              <w:t>shareholders waive their statutory subscription rights.</w:t>
            </w:r>
          </w:p>
        </w:tc>
        <w:tc>
          <w:tcPr>
            <w:tcW w:w="3880" w:type="dxa"/>
            <w:vAlign w:val="bottom"/>
          </w:tcPr>
          <w:p>
            <w:pPr>
              <w:spacing w:after="0"/>
              <w:rPr>
                <w:sz w:val="17"/>
                <w:szCs w:val="17"/>
                <w:color w:val="auto"/>
              </w:rPr>
            </w:pPr>
          </w:p>
        </w:tc>
      </w:tr>
      <w:tr>
        <w:trPr>
          <w:trHeight w:val="181"/>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231F20"/>
              </w:rPr>
              <w:t>Authority to Allot</w:t>
            </w:r>
          </w:p>
        </w:tc>
        <w:tc>
          <w:tcPr>
            <w:tcW w:w="4480" w:type="dxa"/>
            <w:vAlign w:val="bottom"/>
          </w:tcPr>
          <w:p>
            <w:pPr>
              <w:ind w:left="640"/>
              <w:spacing w:after="0" w:line="181" w:lineRule="exact"/>
              <w:rPr>
                <w:sz w:val="20"/>
                <w:szCs w:val="20"/>
                <w:color w:val="auto"/>
              </w:rPr>
            </w:pPr>
            <w:r>
              <w:rPr>
                <w:rFonts w:ascii="Times New Roman" w:cs="Times New Roman" w:eastAsia="Times New Roman" w:hAnsi="Times New Roman"/>
                <w:sz w:val="16"/>
                <w:szCs w:val="16"/>
                <w:color w:val="231F20"/>
              </w:rPr>
              <w:t>Under  applicable  European  and  German  law,  the</w:t>
            </w:r>
          </w:p>
        </w:tc>
        <w:tc>
          <w:tcPr>
            <w:tcW w:w="38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231F20"/>
              </w:rPr>
              <w:t>Under  Delaware  law,  if  the  corporation’s  certificate  of</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Management Board may not allot shares, grant rights to</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incorporation so provides, the board of directors has the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subscribe for or to convert any security into shares unless a</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power to authorize the issuance of stock. It may authorize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shareholder resolution to that effect has been passed at the</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capital stock to be issued for consideration consisting of</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w w:val="99"/>
              </w:rPr>
              <w:t>company’s shareholders’ meeting granting the Management</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7"/>
              </w:rPr>
              <w:t>cash, any tangible or intangible property or any benefit to the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Board with such authority—subject to the approval of the</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7"/>
              </w:rPr>
              <w:t>corporation or any combination thereof. It may determine the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Supervisory Board—in each case in accordance with the</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w w:val="98"/>
              </w:rPr>
              <w:t>amount of such consideration by approving a formula. In the</w:t>
            </w:r>
          </w:p>
        </w:tc>
      </w:tr>
      <w:tr>
        <w:trPr>
          <w:trHeight w:val="168"/>
        </w:trPr>
        <w:tc>
          <w:tcPr>
            <w:tcW w:w="1800" w:type="dxa"/>
            <w:vAlign w:val="bottom"/>
          </w:tcPr>
          <w:p>
            <w:pPr>
              <w:spacing w:after="0"/>
              <w:rPr>
                <w:sz w:val="14"/>
                <w:szCs w:val="14"/>
                <w:color w:val="auto"/>
              </w:rPr>
            </w:pPr>
          </w:p>
        </w:tc>
        <w:tc>
          <w:tcPr>
            <w:tcW w:w="4480" w:type="dxa"/>
            <w:vAlign w:val="bottom"/>
          </w:tcPr>
          <w:p>
            <w:pPr>
              <w:ind w:left="640"/>
              <w:spacing w:after="0" w:line="168" w:lineRule="exact"/>
              <w:rPr>
                <w:sz w:val="20"/>
                <w:szCs w:val="20"/>
                <w:color w:val="auto"/>
              </w:rPr>
            </w:pPr>
            <w:r>
              <w:rPr>
                <w:rFonts w:ascii="Times New Roman" w:cs="Times New Roman" w:eastAsia="Times New Roman" w:hAnsi="Times New Roman"/>
                <w:sz w:val="16"/>
                <w:szCs w:val="16"/>
                <w:color w:val="231F20"/>
              </w:rPr>
              <w:t>provisions of the German Stock Corporation Act.</w:t>
            </w: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absence of actual fraud in the transaction, the judgment of</w:t>
            </w:r>
          </w:p>
        </w:tc>
      </w:tr>
      <w:tr>
        <w:trPr>
          <w:trHeight w:val="168"/>
        </w:trPr>
        <w:tc>
          <w:tcPr>
            <w:tcW w:w="1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231F20"/>
              </w:rPr>
              <w:t>the  directors  as  to  the  value  of  such  consideration  is</w:t>
            </w:r>
          </w:p>
        </w:tc>
      </w:tr>
      <w:tr>
        <w:trPr>
          <w:trHeight w:val="203"/>
        </w:trPr>
        <w:tc>
          <w:tcPr>
            <w:tcW w:w="18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conclusive.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1060" w:top="557" w:right="680" w:bottom="1440" w:gutter="0" w:footer="0" w:header="0"/>
        </w:sectPr>
      </w:pPr>
    </w:p>
    <w:bookmarkStart w:id="227" w:name="page228"/>
    <w:bookmarkEnd w:id="227"/>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231F20"/>
              </w:rPr>
              <w:t>Liability of Directors and Officers</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Under German law, any provision, whether contained in the</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rPr>
              <w:t>Under  Delaware  law,  a  corporation’s  certificate  of</w:t>
            </w: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company’s  articles  of  association  or  any  contract  or</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w w:val="99"/>
              </w:rPr>
              <w:t>incorporation may include a provision eliminating or limiting</w:t>
            </w: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otherwise,  that  purports  to  exempt  a  Management  or</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rPr>
              <w:t>the personal liability of a director to the corporation and its</w:t>
            </w: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Supervisory Board member from any liability that would</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rPr>
              <w:t>stockholders for damages arising from a breach of fiduciary</w:t>
            </w: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otherwise attach to such board member in connection with</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w w:val="97"/>
              </w:rPr>
              <w:t>duty as a director. However, no provision can limit the liability</w:t>
            </w: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any negligence, default, breach of duty or breach of trust in</w:t>
            </w:r>
          </w:p>
        </w:tc>
        <w:tc>
          <w:tcPr>
            <w:tcW w:w="398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231F20"/>
              </w:rPr>
              <w:t>of a director for:</w:t>
            </w:r>
          </w:p>
        </w:tc>
        <w:tc>
          <w:tcPr>
            <w:tcW w:w="0" w:type="dxa"/>
            <w:vAlign w:val="bottom"/>
          </w:tcPr>
          <w:p>
            <w:pPr>
              <w:spacing w:after="0"/>
              <w:rPr>
                <w:sz w:val="1"/>
                <w:szCs w:val="1"/>
                <w:color w:val="auto"/>
              </w:rPr>
            </w:pPr>
          </w:p>
        </w:tc>
      </w:tr>
      <w:tr>
        <w:trPr>
          <w:trHeight w:val="180"/>
        </w:trPr>
        <w:tc>
          <w:tcPr>
            <w:tcW w:w="4540" w:type="dxa"/>
            <w:vAlign w:val="bottom"/>
            <w:gridSpan w:val="6"/>
          </w:tcPr>
          <w:p>
            <w:pPr>
              <w:ind w:left="2260"/>
              <w:spacing w:after="0" w:line="180" w:lineRule="exact"/>
              <w:rPr>
                <w:sz w:val="20"/>
                <w:szCs w:val="20"/>
                <w:color w:val="auto"/>
              </w:rPr>
            </w:pPr>
            <w:r>
              <w:rPr>
                <w:rFonts w:ascii="Times New Roman" w:cs="Times New Roman" w:eastAsia="Times New Roman" w:hAnsi="Times New Roman"/>
                <w:sz w:val="16"/>
                <w:szCs w:val="16"/>
                <w:color w:val="231F20"/>
              </w:rPr>
              <w:t>relation to the company is void.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231F20"/>
              </w:rPr>
              <w:t>•   any breach of the director’s duty of loyalty to the</w:t>
            </w:r>
          </w:p>
        </w:tc>
        <w:tc>
          <w:tcPr>
            <w:tcW w:w="0" w:type="dxa"/>
            <w:vAlign w:val="bottom"/>
          </w:tcPr>
          <w:p>
            <w:pPr>
              <w:spacing w:after="0"/>
              <w:rPr>
                <w:sz w:val="1"/>
                <w:szCs w:val="1"/>
                <w:color w:val="auto"/>
              </w:rPr>
            </w:pPr>
          </w:p>
        </w:tc>
      </w:tr>
      <w:tr>
        <w:trPr>
          <w:trHeight w:val="180"/>
        </w:trPr>
        <w:tc>
          <w:tcPr>
            <w:tcW w:w="6160" w:type="dxa"/>
            <w:vAlign w:val="bottom"/>
            <w:gridSpan w:val="11"/>
            <w:vMerge w:val="restart"/>
          </w:tcPr>
          <w:p>
            <w:pPr>
              <w:ind w:left="2260"/>
              <w:spacing w:after="0"/>
              <w:rPr>
                <w:sz w:val="20"/>
                <w:szCs w:val="20"/>
                <w:color w:val="auto"/>
              </w:rPr>
            </w:pPr>
            <w:r>
              <w:rPr>
                <w:rFonts w:ascii="Times New Roman" w:cs="Times New Roman" w:eastAsia="Times New Roman" w:hAnsi="Times New Roman"/>
                <w:sz w:val="16"/>
                <w:szCs w:val="16"/>
                <w:color w:val="231F20"/>
                <w:w w:val="98"/>
              </w:rPr>
              <w:t>Under German law, members of both the Management Board</w:t>
            </w:r>
          </w:p>
        </w:tc>
        <w:tc>
          <w:tcPr>
            <w:tcW w:w="300" w:type="dxa"/>
            <w:vAlign w:val="bottom"/>
          </w:tcPr>
          <w:p>
            <w:pPr>
              <w:spacing w:after="0"/>
              <w:rPr>
                <w:sz w:val="15"/>
                <w:szCs w:val="15"/>
                <w:color w:val="auto"/>
              </w:rPr>
            </w:pPr>
          </w:p>
        </w:tc>
        <w:tc>
          <w:tcPr>
            <w:tcW w:w="36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231F20"/>
              </w:rPr>
              <w:t>corporation or its stockholders;</w:t>
            </w:r>
          </w:p>
        </w:tc>
        <w:tc>
          <w:tcPr>
            <w:tcW w:w="0" w:type="dxa"/>
            <w:vAlign w:val="bottom"/>
          </w:tcPr>
          <w:p>
            <w:pPr>
              <w:spacing w:after="0"/>
              <w:rPr>
                <w:sz w:val="1"/>
                <w:szCs w:val="1"/>
                <w:color w:val="auto"/>
              </w:rPr>
            </w:pPr>
          </w:p>
        </w:tc>
      </w:tr>
      <w:tr>
        <w:trPr>
          <w:trHeight w:val="96"/>
        </w:trPr>
        <w:tc>
          <w:tcPr>
            <w:tcW w:w="6160" w:type="dxa"/>
            <w:vAlign w:val="bottom"/>
            <w:gridSpan w:val="11"/>
            <w:vMerge w:val="continue"/>
          </w:tcPr>
          <w:p>
            <w:pPr>
              <w:spacing w:after="0"/>
              <w:rPr>
                <w:sz w:val="8"/>
                <w:szCs w:val="8"/>
                <w:color w:val="auto"/>
              </w:rPr>
            </w:pPr>
          </w:p>
        </w:tc>
        <w:tc>
          <w:tcPr>
            <w:tcW w:w="300" w:type="dxa"/>
            <w:vAlign w:val="bottom"/>
            <w:vMerge w:val="restart"/>
          </w:tcPr>
          <w:p>
            <w:pPr>
              <w:ind w:lef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36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rPr>
              <w:t>acts or omissions not in good faith or that involve</w:t>
            </w:r>
          </w:p>
        </w:tc>
        <w:tc>
          <w:tcPr>
            <w:tcW w:w="0" w:type="dxa"/>
            <w:vAlign w:val="bottom"/>
          </w:tcPr>
          <w:p>
            <w:pPr>
              <w:spacing w:after="0"/>
              <w:rPr>
                <w:sz w:val="1"/>
                <w:szCs w:val="1"/>
                <w:color w:val="auto"/>
              </w:rPr>
            </w:pPr>
          </w:p>
        </w:tc>
      </w:tr>
      <w:tr>
        <w:trPr>
          <w:trHeight w:val="84"/>
        </w:trPr>
        <w:tc>
          <w:tcPr>
            <w:tcW w:w="3360" w:type="dxa"/>
            <w:vAlign w:val="bottom"/>
            <w:gridSpan w:val="3"/>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rPr>
              <w:t>and members of</w:t>
            </w:r>
          </w:p>
        </w:tc>
        <w:tc>
          <w:tcPr>
            <w:tcW w:w="2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rPr>
              <w:t>the</w:t>
            </w:r>
          </w:p>
        </w:tc>
        <w:tc>
          <w:tcPr>
            <w:tcW w:w="90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16"/>
                <w:szCs w:val="16"/>
                <w:color w:val="231F20"/>
                <w:w w:val="98"/>
              </w:rPr>
              <w:t>Supervisory</w:t>
            </w:r>
          </w:p>
        </w:tc>
        <w:tc>
          <w:tcPr>
            <w:tcW w:w="4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color w:val="231F20"/>
                <w:w w:val="97"/>
              </w:rPr>
              <w:t>Board</w:t>
            </w:r>
          </w:p>
        </w:tc>
        <w:tc>
          <w:tcPr>
            <w:tcW w:w="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color w:val="231F20"/>
              </w:rPr>
              <w:t>are</w:t>
            </w:r>
          </w:p>
        </w:tc>
        <w:tc>
          <w:tcPr>
            <w:tcW w:w="400" w:type="dxa"/>
            <w:vAlign w:val="bottom"/>
            <w:vMerge w:val="restart"/>
          </w:tcPr>
          <w:p>
            <w:pPr>
              <w:ind w:left="20"/>
              <w:spacing w:after="0" w:line="180" w:lineRule="exact"/>
              <w:rPr>
                <w:sz w:val="20"/>
                <w:szCs w:val="20"/>
                <w:color w:val="auto"/>
              </w:rPr>
            </w:pPr>
            <w:r>
              <w:rPr>
                <w:rFonts w:ascii="Times New Roman" w:cs="Times New Roman" w:eastAsia="Times New Roman" w:hAnsi="Times New Roman"/>
                <w:sz w:val="16"/>
                <w:szCs w:val="16"/>
                <w:color w:val="231F20"/>
              </w:rPr>
              <w:t>liable</w:t>
            </w:r>
          </w:p>
        </w:tc>
        <w:tc>
          <w:tcPr>
            <w:tcW w:w="240" w:type="dxa"/>
            <w:vAlign w:val="bottom"/>
            <w:vMerge w:val="restart"/>
          </w:tcPr>
          <w:p>
            <w:pPr>
              <w:ind w:left="40"/>
              <w:spacing w:after="0" w:line="180" w:lineRule="exact"/>
              <w:rPr>
                <w:sz w:val="20"/>
                <w:szCs w:val="20"/>
                <w:color w:val="auto"/>
              </w:rPr>
            </w:pPr>
            <w:r>
              <w:rPr>
                <w:rFonts w:ascii="Times New Roman" w:cs="Times New Roman" w:eastAsia="Times New Roman" w:hAnsi="Times New Roman"/>
                <w:sz w:val="16"/>
                <w:szCs w:val="16"/>
                <w:color w:val="231F20"/>
              </w:rPr>
              <w:t>to</w:t>
            </w:r>
          </w:p>
        </w:tc>
        <w:tc>
          <w:tcPr>
            <w:tcW w:w="26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w w:val="91"/>
              </w:rPr>
              <w:t>the</w:t>
            </w:r>
          </w:p>
        </w:tc>
        <w:tc>
          <w:tcPr>
            <w:tcW w:w="300" w:type="dxa"/>
            <w:vAlign w:val="bottom"/>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60" w:type="dxa"/>
            <w:vAlign w:val="bottom"/>
            <w:gridSpan w:val="3"/>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680" w:type="dxa"/>
            <w:vAlign w:val="bottom"/>
            <w:vMerge w:val="restart"/>
          </w:tcPr>
          <w:p>
            <w:pPr>
              <w:ind w:left="140"/>
              <w:spacing w:after="0" w:line="180" w:lineRule="exact"/>
              <w:rPr>
                <w:sz w:val="20"/>
                <w:szCs w:val="20"/>
                <w:color w:val="auto"/>
              </w:rPr>
            </w:pPr>
            <w:r>
              <w:rPr>
                <w:rFonts w:ascii="Times New Roman" w:cs="Times New Roman" w:eastAsia="Times New Roman" w:hAnsi="Times New Roman"/>
                <w:sz w:val="16"/>
                <w:szCs w:val="16"/>
                <w:color w:val="231F20"/>
              </w:rPr>
              <w:t>intentional misconduct or a knowing violation of law;</w:t>
            </w:r>
          </w:p>
        </w:tc>
        <w:tc>
          <w:tcPr>
            <w:tcW w:w="0" w:type="dxa"/>
            <w:vAlign w:val="bottom"/>
          </w:tcPr>
          <w:p>
            <w:pPr>
              <w:spacing w:after="0"/>
              <w:rPr>
                <w:sz w:val="1"/>
                <w:szCs w:val="1"/>
                <w:color w:val="auto"/>
              </w:rPr>
            </w:pPr>
          </w:p>
        </w:tc>
      </w:tr>
      <w:tr>
        <w:trPr>
          <w:trHeight w:val="84"/>
        </w:trPr>
        <w:tc>
          <w:tcPr>
            <w:tcW w:w="2980" w:type="dxa"/>
            <w:vAlign w:val="bottom"/>
            <w:gridSpan w:val="2"/>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rPr>
              <w:t>company,</w:t>
            </w:r>
          </w:p>
        </w:tc>
        <w:tc>
          <w:tcPr>
            <w:tcW w:w="380" w:type="dxa"/>
            <w:vAlign w:val="bottom"/>
            <w:vMerge w:val="restart"/>
          </w:tcPr>
          <w:p>
            <w:pPr>
              <w:ind w:left="20"/>
              <w:spacing w:after="0" w:line="180" w:lineRule="exact"/>
              <w:rPr>
                <w:sz w:val="20"/>
                <w:szCs w:val="20"/>
                <w:color w:val="auto"/>
              </w:rPr>
            </w:pPr>
            <w:r>
              <w:rPr>
                <w:rFonts w:ascii="Times New Roman" w:cs="Times New Roman" w:eastAsia="Times New Roman" w:hAnsi="Times New Roman"/>
                <w:sz w:val="16"/>
                <w:szCs w:val="16"/>
                <w:color w:val="231F20"/>
              </w:rPr>
              <w:t>and</w:t>
            </w:r>
          </w:p>
        </w:tc>
        <w:tc>
          <w:tcPr>
            <w:tcW w:w="280" w:type="dxa"/>
            <w:vAlign w:val="bottom"/>
            <w:vMerge w:val="restart"/>
          </w:tcPr>
          <w:p>
            <w:pPr>
              <w:jc w:val="right"/>
              <w:ind w:right="62"/>
              <w:spacing w:after="0" w:line="180" w:lineRule="exact"/>
              <w:rPr>
                <w:sz w:val="20"/>
                <w:szCs w:val="20"/>
                <w:color w:val="auto"/>
              </w:rPr>
            </w:pPr>
            <w:r>
              <w:rPr>
                <w:rFonts w:ascii="Times New Roman" w:cs="Times New Roman" w:eastAsia="Times New Roman" w:hAnsi="Times New Roman"/>
                <w:sz w:val="16"/>
                <w:szCs w:val="16"/>
                <w:color w:val="231F20"/>
                <w:w w:val="95"/>
              </w:rPr>
              <w:t>in</w:t>
            </w:r>
          </w:p>
        </w:tc>
        <w:tc>
          <w:tcPr>
            <w:tcW w:w="4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231F20"/>
              </w:rPr>
              <w:t>certain</w:t>
            </w:r>
          </w:p>
        </w:tc>
        <w:tc>
          <w:tcPr>
            <w:tcW w:w="440" w:type="dxa"/>
            <w:vAlign w:val="bottom"/>
            <w:vMerge w:val="restart"/>
          </w:tcPr>
          <w:p>
            <w:pPr>
              <w:ind w:left="120"/>
              <w:spacing w:after="0" w:line="180" w:lineRule="exact"/>
              <w:rPr>
                <w:sz w:val="20"/>
                <w:szCs w:val="20"/>
                <w:color w:val="auto"/>
              </w:rPr>
            </w:pPr>
            <w:r>
              <w:rPr>
                <w:rFonts w:ascii="Times New Roman" w:cs="Times New Roman" w:eastAsia="Times New Roman" w:hAnsi="Times New Roman"/>
                <w:sz w:val="16"/>
                <w:szCs w:val="16"/>
                <w:color w:val="231F20"/>
                <w:w w:val="88"/>
              </w:rPr>
              <w:t>cases</w:t>
            </w:r>
          </w:p>
        </w:tc>
        <w:tc>
          <w:tcPr>
            <w:tcW w:w="4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color w:val="231F20"/>
                <w:w w:val="95"/>
              </w:rPr>
              <w:t>to</w:t>
            </w:r>
          </w:p>
        </w:tc>
        <w:tc>
          <w:tcPr>
            <w:tcW w:w="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6"/>
                <w:szCs w:val="16"/>
                <w:color w:val="231F20"/>
                <w:w w:val="92"/>
              </w:rPr>
              <w:t>third</w:t>
            </w:r>
          </w:p>
        </w:tc>
        <w:tc>
          <w:tcPr>
            <w:tcW w:w="640" w:type="dxa"/>
            <w:vAlign w:val="bottom"/>
            <w:gridSpan w:val="2"/>
            <w:vMerge w:val="restart"/>
          </w:tcPr>
          <w:p>
            <w:pPr>
              <w:ind w:left="140"/>
              <w:spacing w:after="0" w:line="180" w:lineRule="exact"/>
              <w:rPr>
                <w:sz w:val="20"/>
                <w:szCs w:val="20"/>
                <w:color w:val="auto"/>
              </w:rPr>
            </w:pPr>
            <w:r>
              <w:rPr>
                <w:rFonts w:ascii="Times New Roman" w:cs="Times New Roman" w:eastAsia="Times New Roman" w:hAnsi="Times New Roman"/>
                <w:sz w:val="16"/>
                <w:szCs w:val="16"/>
                <w:color w:val="231F20"/>
              </w:rPr>
              <w:t>parties</w:t>
            </w:r>
          </w:p>
        </w:tc>
        <w:tc>
          <w:tcPr>
            <w:tcW w:w="260" w:type="dxa"/>
            <w:vAlign w:val="bottom"/>
            <w:vMerge w:val="restart"/>
          </w:tcPr>
          <w:p>
            <w:pPr>
              <w:jc w:val="right"/>
              <w:ind w:right="2"/>
              <w:spacing w:after="0" w:line="180" w:lineRule="exact"/>
              <w:rPr>
                <w:sz w:val="20"/>
                <w:szCs w:val="20"/>
                <w:color w:val="auto"/>
              </w:rPr>
            </w:pPr>
            <w:r>
              <w:rPr>
                <w:rFonts w:ascii="Times New Roman" w:cs="Times New Roman" w:eastAsia="Times New Roman" w:hAnsi="Times New Roman"/>
                <w:sz w:val="16"/>
                <w:szCs w:val="16"/>
                <w:color w:val="231F20"/>
              </w:rPr>
              <w:t>or</w:t>
            </w:r>
          </w:p>
        </w:tc>
        <w:tc>
          <w:tcPr>
            <w:tcW w:w="30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9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00" w:type="dxa"/>
            <w:vAlign w:val="bottom"/>
            <w:vMerge w:val="restart"/>
          </w:tcPr>
          <w:p>
            <w:pPr>
              <w:ind w:lef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36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w w:val="98"/>
              </w:rPr>
              <w:t>intentional or negligent payment of unlawful dividends or</w:t>
            </w:r>
          </w:p>
        </w:tc>
        <w:tc>
          <w:tcPr>
            <w:tcW w:w="0" w:type="dxa"/>
            <w:vAlign w:val="bottom"/>
          </w:tcPr>
          <w:p>
            <w:pPr>
              <w:spacing w:after="0"/>
              <w:rPr>
                <w:sz w:val="1"/>
                <w:szCs w:val="1"/>
                <w:color w:val="auto"/>
              </w:rPr>
            </w:pPr>
          </w:p>
        </w:tc>
      </w:tr>
      <w:tr>
        <w:trPr>
          <w:trHeight w:val="84"/>
        </w:trPr>
        <w:tc>
          <w:tcPr>
            <w:tcW w:w="6160" w:type="dxa"/>
            <w:vAlign w:val="bottom"/>
            <w:gridSpan w:val="11"/>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w w:val="99"/>
              </w:rPr>
              <w:t>shareholders, for any damage caused to them due to a breach</w:t>
            </w:r>
          </w:p>
        </w:tc>
        <w:tc>
          <w:tcPr>
            <w:tcW w:w="300" w:type="dxa"/>
            <w:vAlign w:val="bottom"/>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160" w:type="dxa"/>
            <w:vAlign w:val="bottom"/>
            <w:gridSpan w:val="11"/>
            <w:vMerge w:val="continue"/>
          </w:tcPr>
          <w:p>
            <w:pPr>
              <w:spacing w:after="0"/>
              <w:rPr>
                <w:sz w:val="8"/>
                <w:szCs w:val="8"/>
                <w:color w:val="auto"/>
              </w:rPr>
            </w:pPr>
          </w:p>
        </w:tc>
        <w:tc>
          <w:tcPr>
            <w:tcW w:w="300" w:type="dxa"/>
            <w:vAlign w:val="bottom"/>
          </w:tcPr>
          <w:p>
            <w:pPr>
              <w:spacing w:after="0"/>
              <w:rPr>
                <w:sz w:val="8"/>
                <w:szCs w:val="8"/>
                <w:color w:val="auto"/>
              </w:rPr>
            </w:pPr>
          </w:p>
        </w:tc>
        <w:tc>
          <w:tcPr>
            <w:tcW w:w="3680" w:type="dxa"/>
            <w:vAlign w:val="bottom"/>
            <w:vMerge w:val="restart"/>
          </w:tcPr>
          <w:p>
            <w:pPr>
              <w:ind w:left="140"/>
              <w:spacing w:after="0" w:line="180" w:lineRule="exact"/>
              <w:rPr>
                <w:sz w:val="20"/>
                <w:szCs w:val="20"/>
                <w:color w:val="auto"/>
              </w:rPr>
            </w:pPr>
            <w:r>
              <w:rPr>
                <w:rFonts w:ascii="Times New Roman" w:cs="Times New Roman" w:eastAsia="Times New Roman" w:hAnsi="Times New Roman"/>
                <w:sz w:val="16"/>
                <w:szCs w:val="16"/>
                <w:color w:val="231F20"/>
              </w:rPr>
              <w:t>stock purchases or redemptions; or</w:t>
            </w:r>
          </w:p>
        </w:tc>
        <w:tc>
          <w:tcPr>
            <w:tcW w:w="0" w:type="dxa"/>
            <w:vAlign w:val="bottom"/>
          </w:tcPr>
          <w:p>
            <w:pPr>
              <w:spacing w:after="0"/>
              <w:rPr>
                <w:sz w:val="1"/>
                <w:szCs w:val="1"/>
                <w:color w:val="auto"/>
              </w:rPr>
            </w:pPr>
          </w:p>
        </w:tc>
      </w:tr>
      <w:tr>
        <w:trPr>
          <w:trHeight w:val="84"/>
        </w:trPr>
        <w:tc>
          <w:tcPr>
            <w:tcW w:w="6160" w:type="dxa"/>
            <w:vAlign w:val="bottom"/>
            <w:gridSpan w:val="11"/>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rPr>
              <w:t>of such member’s duty of care. Apart from insolvency or</w:t>
            </w:r>
          </w:p>
        </w:tc>
        <w:tc>
          <w:tcPr>
            <w:tcW w:w="30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160" w:type="dxa"/>
            <w:vAlign w:val="bottom"/>
            <w:gridSpan w:val="11"/>
            <w:vMerge w:val="continue"/>
          </w:tcPr>
          <w:p>
            <w:pPr>
              <w:spacing w:after="0"/>
              <w:rPr>
                <w:sz w:val="8"/>
                <w:szCs w:val="8"/>
                <w:color w:val="auto"/>
              </w:rPr>
            </w:pPr>
          </w:p>
        </w:tc>
        <w:tc>
          <w:tcPr>
            <w:tcW w:w="300" w:type="dxa"/>
            <w:vAlign w:val="bottom"/>
            <w:vMerge w:val="restart"/>
          </w:tcPr>
          <w:p>
            <w:pPr>
              <w:ind w:lef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36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rPr>
              <w:t>any transaction from which the director derives an</w:t>
            </w:r>
          </w:p>
        </w:tc>
        <w:tc>
          <w:tcPr>
            <w:tcW w:w="0" w:type="dxa"/>
            <w:vAlign w:val="bottom"/>
          </w:tcPr>
          <w:p>
            <w:pPr>
              <w:spacing w:after="0"/>
              <w:rPr>
                <w:sz w:val="1"/>
                <w:szCs w:val="1"/>
                <w:color w:val="auto"/>
              </w:rPr>
            </w:pPr>
          </w:p>
        </w:tc>
      </w:tr>
      <w:tr>
        <w:trPr>
          <w:trHeight w:val="84"/>
        </w:trPr>
        <w:tc>
          <w:tcPr>
            <w:tcW w:w="2740" w:type="dxa"/>
            <w:vAlign w:val="bottom"/>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rPr>
              <w:t>special</w:t>
            </w:r>
          </w:p>
        </w:tc>
        <w:tc>
          <w:tcPr>
            <w:tcW w:w="1360" w:type="dxa"/>
            <w:vAlign w:val="bottom"/>
            <w:gridSpan w:val="4"/>
            <w:vMerge w:val="restart"/>
          </w:tcPr>
          <w:p>
            <w:pPr>
              <w:ind w:left="40"/>
              <w:spacing w:after="0" w:line="180" w:lineRule="exact"/>
              <w:rPr>
                <w:sz w:val="20"/>
                <w:szCs w:val="20"/>
                <w:color w:val="auto"/>
              </w:rPr>
            </w:pPr>
            <w:r>
              <w:rPr>
                <w:rFonts w:ascii="Times New Roman" w:cs="Times New Roman" w:eastAsia="Times New Roman" w:hAnsi="Times New Roman"/>
                <w:sz w:val="16"/>
                <w:szCs w:val="16"/>
                <w:color w:val="231F20"/>
              </w:rPr>
              <w:t>circumstances, only</w:t>
            </w:r>
          </w:p>
        </w:tc>
        <w:tc>
          <w:tcPr>
            <w:tcW w:w="1160" w:type="dxa"/>
            <w:vAlign w:val="bottom"/>
            <w:gridSpan w:val="3"/>
            <w:vMerge w:val="restart"/>
          </w:tcPr>
          <w:p>
            <w:pPr>
              <w:ind w:left="20"/>
              <w:spacing w:after="0" w:line="180" w:lineRule="exact"/>
              <w:rPr>
                <w:sz w:val="20"/>
                <w:szCs w:val="20"/>
                <w:color w:val="auto"/>
              </w:rPr>
            </w:pPr>
            <w:r>
              <w:rPr>
                <w:rFonts w:ascii="Times New Roman" w:cs="Times New Roman" w:eastAsia="Times New Roman" w:hAnsi="Times New Roman"/>
                <w:sz w:val="16"/>
                <w:szCs w:val="16"/>
                <w:color w:val="231F20"/>
              </w:rPr>
              <w:t>the company has</w:t>
            </w:r>
          </w:p>
        </w:tc>
        <w:tc>
          <w:tcPr>
            <w:tcW w:w="640" w:type="dxa"/>
            <w:vAlign w:val="bottom"/>
            <w:gridSpan w:val="2"/>
            <w:vMerge w:val="restart"/>
          </w:tcPr>
          <w:p>
            <w:pPr>
              <w:ind w:left="80"/>
              <w:spacing w:after="0" w:line="180" w:lineRule="exact"/>
              <w:rPr>
                <w:sz w:val="20"/>
                <w:szCs w:val="20"/>
                <w:color w:val="auto"/>
              </w:rPr>
            </w:pPr>
            <w:r>
              <w:rPr>
                <w:rFonts w:ascii="Times New Roman" w:cs="Times New Roman" w:eastAsia="Times New Roman" w:hAnsi="Times New Roman"/>
                <w:sz w:val="16"/>
                <w:szCs w:val="16"/>
                <w:color w:val="231F20"/>
              </w:rPr>
              <w:t>the right</w:t>
            </w:r>
          </w:p>
        </w:tc>
        <w:tc>
          <w:tcPr>
            <w:tcW w:w="26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231F20"/>
              </w:rPr>
              <w:t>to</w:t>
            </w:r>
          </w:p>
        </w:tc>
        <w:tc>
          <w:tcPr>
            <w:tcW w:w="300" w:type="dxa"/>
            <w:vAlign w:val="bottom"/>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740" w:type="dxa"/>
            <w:vAlign w:val="bottom"/>
            <w:vMerge w:val="continue"/>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231F20"/>
              </w:rPr>
              <w:t>improper personal benefit.</w:t>
            </w:r>
          </w:p>
        </w:tc>
        <w:tc>
          <w:tcPr>
            <w:tcW w:w="0" w:type="dxa"/>
            <w:vAlign w:val="bottom"/>
          </w:tcPr>
          <w:p>
            <w:pPr>
              <w:spacing w:after="0"/>
              <w:rPr>
                <w:sz w:val="1"/>
                <w:szCs w:val="1"/>
                <w:color w:val="auto"/>
              </w:rPr>
            </w:pPr>
          </w:p>
        </w:tc>
      </w:tr>
      <w:tr>
        <w:trPr>
          <w:trHeight w:val="107"/>
        </w:trPr>
        <w:tc>
          <w:tcPr>
            <w:tcW w:w="6160" w:type="dxa"/>
            <w:vAlign w:val="bottom"/>
            <w:gridSpan w:val="11"/>
            <w:vMerge w:val="restart"/>
          </w:tcPr>
          <w:p>
            <w:pPr>
              <w:ind w:left="2260"/>
              <w:spacing w:after="0" w:line="180" w:lineRule="exact"/>
              <w:rPr>
                <w:sz w:val="20"/>
                <w:szCs w:val="20"/>
                <w:color w:val="auto"/>
              </w:rPr>
            </w:pPr>
            <w:r>
              <w:rPr>
                <w:rFonts w:ascii="Times New Roman" w:cs="Times New Roman" w:eastAsia="Times New Roman" w:hAnsi="Times New Roman"/>
                <w:sz w:val="16"/>
                <w:szCs w:val="16"/>
                <w:color w:val="231F20"/>
              </w:rPr>
              <w:t>claim damages from members of either board. The company</w:t>
            </w:r>
          </w:p>
        </w:tc>
        <w:tc>
          <w:tcPr>
            <w:tcW w:w="30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160" w:type="dxa"/>
            <w:vAlign w:val="bottom"/>
            <w:gridSpan w:val="11"/>
            <w:vMerge w:val="continue"/>
          </w:tcPr>
          <w:p>
            <w:pPr>
              <w:spacing w:after="0"/>
              <w:rPr>
                <w:sz w:val="6"/>
                <w:szCs w:val="6"/>
                <w:color w:val="auto"/>
              </w:rPr>
            </w:pPr>
          </w:p>
        </w:tc>
        <w:tc>
          <w:tcPr>
            <w:tcW w:w="3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may  waive  claims  for  damages  against  a  negligent</w:t>
            </w:r>
          </w:p>
        </w:tc>
        <w:tc>
          <w:tcPr>
            <w:tcW w:w="3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gridSpan w:val="11"/>
          </w:tcPr>
          <w:p>
            <w:pPr>
              <w:ind w:left="2260"/>
              <w:spacing w:after="0" w:line="180" w:lineRule="exact"/>
              <w:rPr>
                <w:sz w:val="20"/>
                <w:szCs w:val="20"/>
                <w:color w:val="auto"/>
              </w:rPr>
            </w:pPr>
            <w:r>
              <w:rPr>
                <w:rFonts w:ascii="Times New Roman" w:cs="Times New Roman" w:eastAsia="Times New Roman" w:hAnsi="Times New Roman"/>
                <w:sz w:val="16"/>
                <w:szCs w:val="16"/>
                <w:color w:val="231F20"/>
              </w:rPr>
              <w:t>Management or Supervisory Board member only after the</w:t>
            </w:r>
          </w:p>
        </w:tc>
        <w:tc>
          <w:tcPr>
            <w:tcW w:w="3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gridSpan w:val="4"/>
          </w:tcPr>
          <w:p>
            <w:pPr>
              <w:ind w:left="2260"/>
              <w:spacing w:after="0"/>
              <w:rPr>
                <w:sz w:val="20"/>
                <w:szCs w:val="20"/>
                <w:color w:val="auto"/>
              </w:rPr>
            </w:pPr>
            <w:r>
              <w:rPr>
                <w:rFonts w:ascii="Times New Roman" w:cs="Times New Roman" w:eastAsia="Times New Roman" w:hAnsi="Times New Roman"/>
                <w:sz w:val="16"/>
                <w:szCs w:val="16"/>
                <w:color w:val="231F20"/>
                <w:w w:val="99"/>
              </w:rPr>
              <w:t>expiry of three years.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231F20"/>
              </w:rPr>
              <w:t>Voting Rights</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231F20"/>
              </w:rPr>
              <w:t>Delaware law provides that, unless otherwise provided in the</w:t>
            </w:r>
          </w:p>
        </w:tc>
        <w:tc>
          <w:tcPr>
            <w:tcW w:w="0" w:type="dxa"/>
            <w:vAlign w:val="bottom"/>
          </w:tcPr>
          <w:p>
            <w:pPr>
              <w:spacing w:after="0"/>
              <w:rPr>
                <w:sz w:val="1"/>
                <w:szCs w:val="1"/>
                <w:color w:val="auto"/>
              </w:rPr>
            </w:pPr>
          </w:p>
        </w:tc>
      </w:tr>
      <w:tr>
        <w:trPr>
          <w:trHeight w:val="181"/>
        </w:trPr>
        <w:tc>
          <w:tcPr>
            <w:tcW w:w="6160" w:type="dxa"/>
            <w:vAlign w:val="bottom"/>
            <w:gridSpan w:val="11"/>
          </w:tcPr>
          <w:p>
            <w:pPr>
              <w:ind w:left="2260"/>
              <w:spacing w:after="0" w:line="181" w:lineRule="exact"/>
              <w:rPr>
                <w:sz w:val="20"/>
                <w:szCs w:val="20"/>
                <w:color w:val="auto"/>
              </w:rPr>
            </w:pPr>
            <w:r>
              <w:rPr>
                <w:rFonts w:ascii="Times New Roman" w:cs="Times New Roman" w:eastAsia="Times New Roman" w:hAnsi="Times New Roman"/>
                <w:sz w:val="16"/>
                <w:szCs w:val="16"/>
                <w:color w:val="231F20"/>
              </w:rPr>
              <w:t>Under the relevant European and German law, each share,</w:t>
            </w:r>
          </w:p>
        </w:tc>
        <w:tc>
          <w:tcPr>
            <w:tcW w:w="398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color w:val="231F20"/>
                <w:w w:val="98"/>
              </w:rPr>
              <w:t>certificate of incorporation, each stockholder is entitled to one</w:t>
            </w:r>
          </w:p>
        </w:tc>
        <w:tc>
          <w:tcPr>
            <w:tcW w:w="0" w:type="dxa"/>
            <w:vAlign w:val="bottom"/>
          </w:tcPr>
          <w:p>
            <w:pPr>
              <w:spacing w:after="0"/>
              <w:rPr>
                <w:sz w:val="1"/>
                <w:szCs w:val="1"/>
                <w:color w:val="auto"/>
              </w:rPr>
            </w:pPr>
          </w:p>
        </w:tc>
      </w:tr>
      <w:tr>
        <w:trPr>
          <w:trHeight w:val="221"/>
        </w:trPr>
        <w:tc>
          <w:tcPr>
            <w:tcW w:w="2740" w:type="dxa"/>
            <w:vAlign w:val="bottom"/>
          </w:tcPr>
          <w:p>
            <w:pPr>
              <w:ind w:left="2260"/>
              <w:spacing w:after="0"/>
              <w:rPr>
                <w:sz w:val="20"/>
                <w:szCs w:val="20"/>
                <w:color w:val="auto"/>
              </w:rPr>
            </w:pPr>
            <w:r>
              <w:rPr>
                <w:rFonts w:ascii="Times New Roman" w:cs="Times New Roman" w:eastAsia="Times New Roman" w:hAnsi="Times New Roman"/>
                <w:sz w:val="16"/>
                <w:szCs w:val="16"/>
                <w:color w:val="231F20"/>
              </w:rPr>
              <w:t>except</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231F20"/>
                <w:w w:val="96"/>
              </w:rPr>
              <w:t>for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statutory</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w w:val="96"/>
              </w:rPr>
              <w:t>non-voting</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231F20"/>
              </w:rPr>
              <w:t>preferred  shares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nicht</w:t>
            </w: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231F20"/>
              </w:rPr>
              <w:t>vote for each share of capital stock held by such stockholder.</w:t>
            </w:r>
          </w:p>
        </w:tc>
        <w:tc>
          <w:tcPr>
            <w:tcW w:w="0" w:type="dxa"/>
            <w:vAlign w:val="bottom"/>
          </w:tcPr>
          <w:p>
            <w:pPr>
              <w:spacing w:after="0"/>
              <w:rPr>
                <w:sz w:val="1"/>
                <w:szCs w:val="1"/>
                <w:color w:val="auto"/>
              </w:rPr>
            </w:pPr>
          </w:p>
        </w:tc>
      </w:tr>
    </w:tbl>
    <w:p>
      <w:pPr>
        <w:ind w:left="2260"/>
        <w:spacing w:after="0" w:line="234" w:lineRule="auto"/>
        <w:rPr>
          <w:sz w:val="20"/>
          <w:szCs w:val="20"/>
          <w:color w:val="auto"/>
        </w:rPr>
      </w:pPr>
      <w:r>
        <w:rPr>
          <w:rFonts w:ascii="Times New Roman" w:cs="Times New Roman" w:eastAsia="Times New Roman" w:hAnsi="Times New Roman"/>
          <w:sz w:val="16"/>
          <w:szCs w:val="16"/>
          <w:i w:val="1"/>
          <w:iCs w:val="1"/>
          <w:color w:val="231F20"/>
        </w:rPr>
        <w:t>stimmberechtigte Vorzugsaktien</w:t>
      </w:r>
      <w:r>
        <w:rPr>
          <w:rFonts w:ascii="Times New Roman" w:cs="Times New Roman" w:eastAsia="Times New Roman" w:hAnsi="Times New Roman"/>
          <w:sz w:val="16"/>
          <w:szCs w:val="16"/>
          <w:color w:val="231F20"/>
        </w:rPr>
        <w:t>), entitles its holder to vote at</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the shareholders’ meeting with, in the case of no-par value</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shares, each share conferring one vote. While German law</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does not provide for a minimum attendance quorum for</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shareholders’ meetings, the company’s articles of association</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may  so  provide.  In  general,  resolutions  adopted  at  a</w:t>
      </w:r>
    </w:p>
    <w:p>
      <w:pPr>
        <w:ind w:left="2260"/>
        <w:spacing w:after="0" w:line="235" w:lineRule="auto"/>
        <w:rPr>
          <w:sz w:val="20"/>
          <w:szCs w:val="20"/>
          <w:color w:val="auto"/>
        </w:rPr>
      </w:pPr>
      <w:r>
        <w:rPr>
          <w:rFonts w:ascii="Times New Roman" w:cs="Times New Roman" w:eastAsia="Times New Roman" w:hAnsi="Times New Roman"/>
          <w:sz w:val="16"/>
          <w:szCs w:val="16"/>
          <w:color w:val="231F20"/>
        </w:rPr>
        <w:t>shareholders’ meeting may be passed by a simple majority of</w:t>
      </w:r>
    </w:p>
    <w:p>
      <w:pPr>
        <w:ind w:left="2260"/>
        <w:spacing w:after="0" w:line="234" w:lineRule="auto"/>
        <w:rPr>
          <w:sz w:val="20"/>
          <w:szCs w:val="20"/>
          <w:color w:val="auto"/>
        </w:rPr>
      </w:pPr>
      <w:r>
        <w:rPr>
          <w:rFonts w:ascii="Times New Roman" w:cs="Times New Roman" w:eastAsia="Times New Roman" w:hAnsi="Times New Roman"/>
          <w:sz w:val="16"/>
          <w:szCs w:val="16"/>
          <w:color w:val="231F20"/>
        </w:rPr>
        <w:t>votes cast, unless a higher majority is required by law or</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231F20"/>
        </w:rPr>
        <w:t>under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1060" w:top="557" w:right="700" w:bottom="1440" w:gutter="0" w:footer="0" w:header="0"/>
        </w:sectPr>
      </w:pPr>
    </w:p>
    <w:bookmarkStart w:id="228" w:name="page229"/>
    <w:bookmarkEnd w:id="228"/>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231F20"/>
        </w:rPr>
        <w:t>Shareholder Vote on Certain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231F20"/>
                <w:w w:val="98"/>
              </w:rPr>
              <w:t>Under applicable European and German law, certain shareholders’</w:t>
            </w:r>
          </w:p>
        </w:tc>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Generally, under Delaware law, unless the certificate of</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resolutions of fundamental importance require the vote of at least</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incorporation provides for the vote of a larger portion of</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three-quarters of the share capital present or represented in the</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the stock, completion of a merger, consolidation, sale,</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voting at the time of adoption of the resolution. Resolutions of</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lease  or  exchange  of  all  or  substantially  all  of  a</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fundamental importance include, in particular, capital increases</w:t>
            </w:r>
          </w:p>
        </w:tc>
        <w:tc>
          <w:tcPr>
            <w:tcW w:w="36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231F20"/>
              </w:rPr>
              <w:t>corporation’s assets or dissolution requires:</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with  exclusion  of  subscription  rights,  capital  decreases,  the</w:t>
            </w:r>
          </w:p>
        </w:tc>
        <w:tc>
          <w:tcPr>
            <w:tcW w:w="3680" w:type="dxa"/>
            <w:vAlign w:val="bottom"/>
          </w:tcPr>
          <w:p>
            <w:pPr>
              <w:jc w:val="right"/>
              <w:ind w:right="562"/>
              <w:spacing w:after="0" w:line="180" w:lineRule="exact"/>
              <w:rPr>
                <w:sz w:val="20"/>
                <w:szCs w:val="20"/>
                <w:color w:val="auto"/>
              </w:rPr>
            </w:pPr>
            <w:r>
              <w:rPr>
                <w:rFonts w:ascii="Times New Roman" w:cs="Times New Roman" w:eastAsia="Times New Roman" w:hAnsi="Times New Roman"/>
                <w:sz w:val="16"/>
                <w:szCs w:val="16"/>
                <w:color w:val="231F20"/>
              </w:rPr>
              <w:t>•  the approval of the board of directors; and</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creation of authorized or conditional share capital, the dissolution</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   approval by the vote of the holders of a majority of</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of a company, a merger into or with another company, split-offs</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the  outstanding  stock  or,  if  the  certificate  of</w:t>
            </w:r>
          </w:p>
        </w:tc>
      </w:tr>
      <w:tr>
        <w:trPr>
          <w:trHeight w:val="178"/>
        </w:trPr>
        <w:tc>
          <w:tcPr>
            <w:tcW w:w="3400" w:type="dxa"/>
            <w:vAlign w:val="bottom"/>
          </w:tcPr>
          <w:p>
            <w:pPr>
              <w:spacing w:after="0" w:line="178" w:lineRule="exact"/>
              <w:rPr>
                <w:sz w:val="20"/>
                <w:szCs w:val="20"/>
                <w:color w:val="auto"/>
              </w:rPr>
            </w:pPr>
            <w:r>
              <w:rPr>
                <w:rFonts w:ascii="Times New Roman" w:cs="Times New Roman" w:eastAsia="Times New Roman" w:hAnsi="Times New Roman"/>
                <w:sz w:val="16"/>
                <w:szCs w:val="16"/>
                <w:color w:val="231F20"/>
              </w:rPr>
              <w:t>and  split-ups,  the  conclusion  of  inter-company</w:t>
            </w:r>
          </w:p>
        </w:tc>
        <w:tc>
          <w:tcPr>
            <w:tcW w:w="820" w:type="dxa"/>
            <w:vAlign w:val="bottom"/>
          </w:tcPr>
          <w:p>
            <w:pPr>
              <w:ind w:left="60"/>
              <w:spacing w:after="0" w:line="178" w:lineRule="exact"/>
              <w:rPr>
                <w:sz w:val="20"/>
                <w:szCs w:val="20"/>
                <w:color w:val="auto"/>
              </w:rPr>
            </w:pPr>
            <w:r>
              <w:rPr>
                <w:rFonts w:ascii="Times New Roman" w:cs="Times New Roman" w:eastAsia="Times New Roman" w:hAnsi="Times New Roman"/>
                <w:sz w:val="16"/>
                <w:szCs w:val="16"/>
                <w:color w:val="231F20"/>
              </w:rPr>
              <w:t>agreements</w:t>
            </w:r>
          </w:p>
        </w:tc>
        <w:tc>
          <w:tcPr>
            <w:tcW w:w="36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231F20"/>
              </w:rPr>
              <w:t>incorporation provides for more or less than one</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Unternehmensverträge</w:t>
            </w:r>
            <w:r>
              <w:rPr>
                <w:rFonts w:ascii="Times New Roman" w:cs="Times New Roman" w:eastAsia="Times New Roman" w:hAnsi="Times New Roman"/>
                <w:sz w:val="16"/>
                <w:szCs w:val="16"/>
                <w:color w:val="231F20"/>
              </w:rPr>
              <w:t>),  in  particular  domination</w:t>
            </w:r>
          </w:p>
        </w:tc>
        <w:tc>
          <w:tcPr>
            <w:tcW w:w="8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231F20"/>
              </w:rPr>
              <w:t>agreements</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vote per share, a majority of the votes of the</w:t>
            </w:r>
          </w:p>
        </w:tc>
      </w:tr>
      <w:tr>
        <w:trPr>
          <w:trHeight w:val="180"/>
        </w:trPr>
        <w:tc>
          <w:tcPr>
            <w:tcW w:w="42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Beherrschungsverträge</w:t>
            </w:r>
            <w:r>
              <w:rPr>
                <w:rFonts w:ascii="Times New Roman" w:cs="Times New Roman" w:eastAsia="Times New Roman" w:hAnsi="Times New Roman"/>
                <w:sz w:val="16"/>
                <w:szCs w:val="16"/>
                <w:color w:val="231F20"/>
              </w:rPr>
              <w:t>) and profit and loss transfer agreements</w:t>
            </w:r>
          </w:p>
        </w:tc>
        <w:tc>
          <w:tcPr>
            <w:tcW w:w="3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outstanding stock of a corporation entitled to vote</w:t>
            </w:r>
          </w:p>
        </w:tc>
      </w:tr>
      <w:tr>
        <w:trPr>
          <w:trHeight w:val="205"/>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Ergebnisabführungsverträge</w:t>
            </w:r>
            <w:r>
              <w:rPr>
                <w:rFonts w:ascii="Times New Roman" w:cs="Times New Roman" w:eastAsia="Times New Roman" w:hAnsi="Times New Roman"/>
                <w:sz w:val="16"/>
                <w:szCs w:val="16"/>
                <w:color w:val="231F20"/>
              </w:rPr>
              <w:t>).</w:t>
            </w:r>
          </w:p>
        </w:tc>
        <w:tc>
          <w:tcPr>
            <w:tcW w:w="820" w:type="dxa"/>
            <w:vAlign w:val="bottom"/>
          </w:tcPr>
          <w:p>
            <w:pPr>
              <w:spacing w:after="0"/>
              <w:rPr>
                <w:sz w:val="17"/>
                <w:szCs w:val="17"/>
                <w:color w:val="auto"/>
              </w:rPr>
            </w:pPr>
          </w:p>
        </w:tc>
        <w:tc>
          <w:tcPr>
            <w:tcW w:w="3680" w:type="dxa"/>
            <w:vAlign w:val="bottom"/>
          </w:tcPr>
          <w:p>
            <w:pPr>
              <w:jc w:val="right"/>
              <w:ind w:right="2302"/>
              <w:spacing w:after="0"/>
              <w:rPr>
                <w:sz w:val="20"/>
                <w:szCs w:val="20"/>
                <w:color w:val="auto"/>
              </w:rPr>
            </w:pPr>
            <w:r>
              <w:rPr>
                <w:rFonts w:ascii="Times New Roman" w:cs="Times New Roman" w:eastAsia="Times New Roman" w:hAnsi="Times New Roman"/>
                <w:sz w:val="16"/>
                <w:szCs w:val="16"/>
                <w:color w:val="231F20"/>
              </w:rPr>
              <w:t>on the matter.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6"/>
          <w:szCs w:val="16"/>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46355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800" w:space="440"/>
            <w:col w:w="7900"/>
          </w:cols>
          <w:pgMar w:left="1060" w:top="557" w:right="700" w:bottom="1440" w:gutter="0" w:footer="0" w:header="0"/>
        </w:sectPr>
      </w:pPr>
    </w:p>
    <w:bookmarkStart w:id="229" w:name="page230"/>
    <w:bookmarkEnd w:id="229"/>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Standard of Conduct for Directors</w:t>
      </w:r>
    </w:p>
    <w:p>
      <w:pPr>
        <w:spacing w:after="0" w:line="19" w:lineRule="exact"/>
        <w:rPr>
          <w:sz w:val="20"/>
          <w:szCs w:val="20"/>
          <w:color w:val="auto"/>
        </w:rPr>
      </w:pPr>
    </w:p>
    <w:p>
      <w:pPr>
        <w:ind w:left="2280" w:right="20"/>
        <w:spacing w:after="0" w:line="237" w:lineRule="auto"/>
        <w:rPr>
          <w:sz w:val="20"/>
          <w:szCs w:val="20"/>
          <w:color w:val="auto"/>
        </w:rPr>
      </w:pPr>
      <w:r>
        <w:rPr>
          <w:rFonts w:ascii="Times New Roman" w:cs="Times New Roman" w:eastAsia="Times New Roman" w:hAnsi="Times New Roman"/>
          <w:sz w:val="16"/>
          <w:szCs w:val="16"/>
          <w:color w:val="231F20"/>
        </w:rPr>
        <w:t>Under applicable European and German law, both Management Delaware law does not contain specific provisions setting and Supervisory Board members must conduct their affairs forth the standard of conduct of a director. The scope of the with “the care and diligence of a prudent business man” and act fiduciary duties of directors is generally determined by the in the best interest of the company. The scope of the fiduciary courts of the State of Delaware. In general, directors have a duties of Management and Supervisory Board members is duty to act without self-interest, on a well- informed basis generally determined by European and German legislation and and in a manner they reasonably believe to be in the best by the courts. interest of the stockholders.</w:t>
      </w:r>
    </w:p>
    <w:p>
      <w:pPr>
        <w:spacing w:after="0" w:line="74" w:lineRule="exact"/>
        <w:rPr>
          <w:sz w:val="20"/>
          <w:szCs w:val="20"/>
          <w:color w:val="auto"/>
        </w:rPr>
      </w:pPr>
    </w:p>
    <w:p>
      <w:pPr>
        <w:ind w:left="2280" w:right="20"/>
        <w:spacing w:after="0" w:line="239" w:lineRule="auto"/>
        <w:rPr>
          <w:sz w:val="20"/>
          <w:szCs w:val="20"/>
          <w:color w:val="auto"/>
        </w:rPr>
      </w:pPr>
      <w:r>
        <w:rPr>
          <w:rFonts w:ascii="Times New Roman" w:cs="Times New Roman" w:eastAsia="Times New Roman" w:hAnsi="Times New Roman"/>
          <w:sz w:val="16"/>
          <w:szCs w:val="16"/>
          <w:color w:val="231F20"/>
        </w:rPr>
        <w:t>Statutory and fiduciary duties of members of the Management Directors of a Delaware corporation owe fiduciary duties of Board to the company include, among others: care and loyalty to the corporation and to its stockholders. • to act in accordance with the law, the company’s articles of The duty of care generally requires that a director act in association and the rules of procedure for the good faith, with the care that an ordinarily prudent person Management Board, if any; would exercise under similar circumstances. Under this</w:t>
      </w:r>
    </w:p>
    <w:p>
      <w:pPr>
        <w:ind w:left="2640" w:hanging="213"/>
        <w:spacing w:after="0" w:line="237" w:lineRule="auto"/>
        <w:tabs>
          <w:tab w:leader="none" w:pos="2640" w:val="left"/>
        </w:tabs>
        <w:numPr>
          <w:ilvl w:val="0"/>
          <w:numId w:val="1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report to the Supervisory Board on a regular basis as  duty,  a  director  must  inform  himself  of  all  material</w:t>
      </w:r>
    </w:p>
    <w:tbl>
      <w:tblPr>
        <w:tblLayout w:type="fixed"/>
        <w:tblInd w:w="2420" w:type="dxa"/>
        <w:tblCellMar>
          <w:top w:w="0" w:type="dxa"/>
          <w:left w:w="0" w:type="dxa"/>
          <w:bottom w:w="0" w:type="dxa"/>
          <w:right w:w="0" w:type="dxa"/>
        </w:tblCellMar>
      </w:tblPr>
      <w:tr>
        <w:trPr>
          <w:trHeight w:val="163"/>
        </w:trPr>
        <w:tc>
          <w:tcPr>
            <w:tcW w:w="100" w:type="dxa"/>
            <w:vAlign w:val="bottom"/>
          </w:tcPr>
          <w:p>
            <w:pPr>
              <w:spacing w:after="0"/>
              <w:rPr>
                <w:sz w:val="14"/>
                <w:szCs w:val="14"/>
                <w:color w:val="auto"/>
              </w:rPr>
            </w:pPr>
          </w:p>
        </w:tc>
        <w:tc>
          <w:tcPr>
            <w:tcW w:w="3780" w:type="dxa"/>
            <w:vAlign w:val="bottom"/>
          </w:tcPr>
          <w:p>
            <w:pPr>
              <w:ind w:left="140"/>
              <w:spacing w:after="0" w:line="163" w:lineRule="exact"/>
              <w:rPr>
                <w:sz w:val="20"/>
                <w:szCs w:val="20"/>
                <w:color w:val="auto"/>
              </w:rPr>
            </w:pPr>
            <w:r>
              <w:rPr>
                <w:rFonts w:ascii="Times New Roman" w:cs="Times New Roman" w:eastAsia="Times New Roman" w:hAnsi="Times New Roman"/>
                <w:sz w:val="16"/>
                <w:szCs w:val="16"/>
                <w:color w:val="231F20"/>
              </w:rPr>
              <w:t>well as on certain important occasions;</w:t>
            </w:r>
          </w:p>
        </w:tc>
        <w:tc>
          <w:tcPr>
            <w:tcW w:w="3860" w:type="dxa"/>
            <w:vAlign w:val="bottom"/>
          </w:tcPr>
          <w:p>
            <w:pPr>
              <w:ind w:left="60"/>
              <w:spacing w:after="0" w:line="163" w:lineRule="exact"/>
              <w:rPr>
                <w:sz w:val="20"/>
                <w:szCs w:val="20"/>
                <w:color w:val="auto"/>
              </w:rPr>
            </w:pPr>
            <w:r>
              <w:rPr>
                <w:rFonts w:ascii="Times New Roman" w:cs="Times New Roman" w:eastAsia="Times New Roman" w:hAnsi="Times New Roman"/>
                <w:sz w:val="16"/>
                <w:szCs w:val="16"/>
                <w:color w:val="231F20"/>
              </w:rPr>
              <w:t>information reasonably available regarding a significant</w:t>
            </w:r>
          </w:p>
        </w:tc>
      </w:tr>
      <w:tr>
        <w:trPr>
          <w:trHeight w:val="180"/>
        </w:trPr>
        <w:tc>
          <w:tcPr>
            <w:tcW w:w="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37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to exercise reasonable care, skill and diligence;</w:t>
            </w:r>
          </w:p>
        </w:tc>
        <w:tc>
          <w:tcPr>
            <w:tcW w:w="38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231F20"/>
                <w:w w:val="97"/>
              </w:rPr>
              <w:t>transaction. The duty of loyalty requires that a director act in</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231F20"/>
              </w:rPr>
              <w:t>•  to maintain a proper accounting system;</w:t>
            </w:r>
          </w:p>
        </w:tc>
        <w:tc>
          <w:tcPr>
            <w:tcW w:w="38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231F20"/>
              </w:rPr>
              <w:t>a manner he reasonably believes to be in the best interests</w:t>
            </w:r>
          </w:p>
        </w:tc>
      </w:tr>
      <w:tr>
        <w:trPr>
          <w:trHeight w:val="180"/>
        </w:trPr>
        <w:tc>
          <w:tcPr>
            <w:tcW w:w="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37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231F20"/>
              </w:rPr>
              <w:t>to not compete, directly or indirectly, with the company</w:t>
            </w:r>
          </w:p>
        </w:tc>
        <w:tc>
          <w:tcPr>
            <w:tcW w:w="38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231F20"/>
              </w:rPr>
              <w:t>of the corporation. He must not use his corporate position</w:t>
            </w:r>
          </w:p>
        </w:tc>
      </w:tr>
      <w:tr>
        <w:trPr>
          <w:trHeight w:val="198"/>
        </w:trPr>
        <w:tc>
          <w:tcPr>
            <w:tcW w:w="10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231F20"/>
              </w:rPr>
              <w:t>without permission by the supervisory board; and</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for personal gain or advantage. In general, but subject to</w:t>
            </w:r>
          </w:p>
        </w:tc>
      </w:tr>
    </w:tbl>
    <w:p>
      <w:pPr>
        <w:ind w:left="2660" w:hanging="233"/>
        <w:spacing w:after="0" w:line="234" w:lineRule="auto"/>
        <w:tabs>
          <w:tab w:leader="none" w:pos="2660" w:val="left"/>
        </w:tabs>
        <w:numPr>
          <w:ilvl w:val="0"/>
          <w:numId w:val="1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secure that no further transactions are made in case of  certain exceptions, actions of a director are presumed to</w:t>
      </w:r>
    </w:p>
    <w:tbl>
      <w:tblPr>
        <w:tblLayout w:type="fixed"/>
        <w:tblInd w:w="2280" w:type="dxa"/>
        <w:tblCellMar>
          <w:top w:w="0" w:type="dxa"/>
          <w:left w:w="0" w:type="dxa"/>
          <w:bottom w:w="0" w:type="dxa"/>
          <w:right w:w="0" w:type="dxa"/>
        </w:tblCellMar>
      </w:tblPr>
      <w:tr>
        <w:trPr>
          <w:trHeight w:val="163"/>
        </w:trPr>
        <w:tc>
          <w:tcPr>
            <w:tcW w:w="240" w:type="dxa"/>
            <w:vAlign w:val="bottom"/>
          </w:tcPr>
          <w:p>
            <w:pPr>
              <w:spacing w:after="0"/>
              <w:rPr>
                <w:sz w:val="14"/>
                <w:szCs w:val="14"/>
                <w:color w:val="auto"/>
              </w:rPr>
            </w:pPr>
          </w:p>
        </w:tc>
        <w:tc>
          <w:tcPr>
            <w:tcW w:w="3800" w:type="dxa"/>
            <w:vAlign w:val="bottom"/>
          </w:tcPr>
          <w:p>
            <w:pPr>
              <w:ind w:left="140"/>
              <w:spacing w:after="0" w:line="163" w:lineRule="exact"/>
              <w:rPr>
                <w:sz w:val="20"/>
                <w:szCs w:val="20"/>
                <w:color w:val="auto"/>
              </w:rPr>
            </w:pPr>
            <w:r>
              <w:rPr>
                <w:rFonts w:ascii="Times New Roman" w:cs="Times New Roman" w:eastAsia="Times New Roman" w:hAnsi="Times New Roman"/>
                <w:sz w:val="16"/>
                <w:szCs w:val="16"/>
                <w:color w:val="231F20"/>
              </w:rPr>
              <w:t>insolvency.</w:t>
            </w:r>
          </w:p>
        </w:tc>
        <w:tc>
          <w:tcPr>
            <w:tcW w:w="3820" w:type="dxa"/>
            <w:vAlign w:val="bottom"/>
          </w:tcPr>
          <w:p>
            <w:pPr>
              <w:ind w:left="40"/>
              <w:spacing w:after="0" w:line="163" w:lineRule="exact"/>
              <w:rPr>
                <w:sz w:val="20"/>
                <w:szCs w:val="20"/>
                <w:color w:val="auto"/>
              </w:rPr>
            </w:pPr>
            <w:r>
              <w:rPr>
                <w:rFonts w:ascii="Times New Roman" w:cs="Times New Roman" w:eastAsia="Times New Roman" w:hAnsi="Times New Roman"/>
                <w:sz w:val="16"/>
                <w:szCs w:val="16"/>
                <w:color w:val="231F20"/>
              </w:rPr>
              <w:t>have been made on an informed basis, in good faith and in</w:t>
            </w:r>
          </w:p>
        </w:tc>
        <w:tc>
          <w:tcPr>
            <w:tcW w:w="0" w:type="dxa"/>
            <w:vAlign w:val="bottom"/>
          </w:tcPr>
          <w:p>
            <w:pPr>
              <w:spacing w:after="0"/>
              <w:rPr>
                <w:sz w:val="1"/>
                <w:szCs w:val="1"/>
                <w:color w:val="auto"/>
              </w:rPr>
            </w:pPr>
          </w:p>
        </w:tc>
      </w:tr>
      <w:tr>
        <w:trPr>
          <w:trHeight w:val="180"/>
        </w:trPr>
        <w:tc>
          <w:tcPr>
            <w:tcW w:w="4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Statutory and fiduciary duties of members of the Supervisory</w:t>
            </w:r>
          </w:p>
        </w:tc>
        <w:tc>
          <w:tcPr>
            <w:tcW w:w="38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the honest belief that the action taken was in the best</w:t>
            </w:r>
          </w:p>
        </w:tc>
        <w:tc>
          <w:tcPr>
            <w:tcW w:w="0" w:type="dxa"/>
            <w:vAlign w:val="bottom"/>
          </w:tcPr>
          <w:p>
            <w:pPr>
              <w:spacing w:after="0"/>
              <w:rPr>
                <w:sz w:val="1"/>
                <w:szCs w:val="1"/>
                <w:color w:val="auto"/>
              </w:rPr>
            </w:pPr>
          </w:p>
        </w:tc>
      </w:tr>
      <w:tr>
        <w:trPr>
          <w:trHeight w:val="157"/>
        </w:trPr>
        <w:tc>
          <w:tcPr>
            <w:tcW w:w="4040" w:type="dxa"/>
            <w:vAlign w:val="bottom"/>
            <w:gridSpan w:val="2"/>
            <w:vMerge w:val="continue"/>
          </w:tcPr>
          <w:p>
            <w:pPr>
              <w:spacing w:after="0"/>
              <w:rPr>
                <w:sz w:val="13"/>
                <w:szCs w:val="13"/>
                <w:color w:val="auto"/>
              </w:rPr>
            </w:pPr>
          </w:p>
        </w:tc>
        <w:tc>
          <w:tcPr>
            <w:tcW w:w="3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231F20"/>
                <w:w w:val="97"/>
              </w:rPr>
              <w:t>interests of the corporation. However, this presumption may</w:t>
            </w:r>
          </w:p>
        </w:tc>
        <w:tc>
          <w:tcPr>
            <w:tcW w:w="0" w:type="dxa"/>
            <w:vAlign w:val="bottom"/>
          </w:tcPr>
          <w:p>
            <w:pPr>
              <w:spacing w:after="0"/>
              <w:rPr>
                <w:sz w:val="1"/>
                <w:szCs w:val="1"/>
                <w:color w:val="auto"/>
              </w:rPr>
            </w:pPr>
          </w:p>
        </w:tc>
      </w:tr>
      <w:tr>
        <w:trPr>
          <w:trHeight w:val="119"/>
        </w:trPr>
        <w:tc>
          <w:tcPr>
            <w:tcW w:w="4040" w:type="dxa"/>
            <w:vAlign w:val="bottom"/>
            <w:gridSpan w:val="2"/>
          </w:tcPr>
          <w:p>
            <w:pPr>
              <w:jc w:val="right"/>
              <w:ind w:right="1126"/>
              <w:spacing w:after="0" w:line="119" w:lineRule="exact"/>
              <w:rPr>
                <w:sz w:val="20"/>
                <w:szCs w:val="20"/>
                <w:color w:val="auto"/>
              </w:rPr>
            </w:pPr>
            <w:r>
              <w:rPr>
                <w:rFonts w:ascii="Times New Roman" w:cs="Times New Roman" w:eastAsia="Times New Roman" w:hAnsi="Times New Roman"/>
                <w:sz w:val="13"/>
                <w:szCs w:val="13"/>
                <w:color w:val="231F20"/>
              </w:rPr>
              <w:t>Board to the company include, among others:</w:t>
            </w: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231F20"/>
              </w:rPr>
              <w:t>be rebutted by evidence of a breach of one of the fiduciary</w:t>
            </w:r>
          </w:p>
        </w:tc>
        <w:tc>
          <w:tcPr>
            <w:tcW w:w="0" w:type="dxa"/>
            <w:vAlign w:val="bottom"/>
          </w:tcPr>
          <w:p>
            <w:pPr>
              <w:spacing w:after="0"/>
              <w:rPr>
                <w:sz w:val="1"/>
                <w:szCs w:val="1"/>
                <w:color w:val="auto"/>
              </w:rPr>
            </w:pPr>
          </w:p>
        </w:tc>
      </w:tr>
      <w:tr>
        <w:trPr>
          <w:trHeight w:val="84"/>
        </w:trPr>
        <w:tc>
          <w:tcPr>
            <w:tcW w:w="4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  to effectively supervise the Management Board’s handling</w:t>
            </w: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40" w:type="dxa"/>
            <w:vAlign w:val="bottom"/>
            <w:gridSpan w:val="2"/>
            <w:vMerge w:val="continue"/>
          </w:tcPr>
          <w:p>
            <w:pPr>
              <w:spacing w:after="0"/>
              <w:rPr>
                <w:sz w:val="13"/>
                <w:szCs w:val="13"/>
                <w:color w:val="auto"/>
              </w:rPr>
            </w:pPr>
          </w:p>
        </w:tc>
        <w:tc>
          <w:tcPr>
            <w:tcW w:w="3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231F20"/>
              </w:rPr>
              <w:t>duties. Delaware courts have also imposed a heightened</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380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231F20"/>
              </w:rPr>
              <w:t>of the company’s affairs;</w:t>
            </w: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231F20"/>
              </w:rPr>
              <w:t>standard  of  conduct  upon  directors  of  a  Delaware</w:t>
            </w:r>
          </w:p>
        </w:tc>
        <w:tc>
          <w:tcPr>
            <w:tcW w:w="0" w:type="dxa"/>
            <w:vAlign w:val="bottom"/>
          </w:tcPr>
          <w:p>
            <w:pPr>
              <w:spacing w:after="0"/>
              <w:rPr>
                <w:sz w:val="1"/>
                <w:szCs w:val="1"/>
                <w:color w:val="auto"/>
              </w:rPr>
            </w:pPr>
          </w:p>
        </w:tc>
      </w:tr>
      <w:tr>
        <w:trPr>
          <w:trHeight w:val="84"/>
        </w:trPr>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231F20"/>
              </w:rPr>
              <w:t>•</w:t>
            </w:r>
          </w:p>
        </w:tc>
        <w:tc>
          <w:tcPr>
            <w:tcW w:w="3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to evaluate and issue a resolution on certain transactions</w:t>
            </w: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40" w:type="dxa"/>
            <w:vAlign w:val="bottom"/>
            <w:vMerge w:val="continue"/>
          </w:tcPr>
          <w:p>
            <w:pPr>
              <w:spacing w:after="0"/>
              <w:rPr>
                <w:sz w:val="13"/>
                <w:szCs w:val="13"/>
                <w:color w:val="auto"/>
              </w:rPr>
            </w:pPr>
          </w:p>
        </w:tc>
        <w:tc>
          <w:tcPr>
            <w:tcW w:w="3800" w:type="dxa"/>
            <w:vAlign w:val="bottom"/>
            <w:vMerge w:val="continue"/>
          </w:tcPr>
          <w:p>
            <w:pPr>
              <w:spacing w:after="0"/>
              <w:rPr>
                <w:sz w:val="13"/>
                <w:szCs w:val="13"/>
                <w:color w:val="auto"/>
              </w:rPr>
            </w:pPr>
          </w:p>
        </w:tc>
        <w:tc>
          <w:tcPr>
            <w:tcW w:w="3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231F20"/>
              </w:rPr>
              <w:t>corporation  who  take  any  action  designed  to  defeat  a</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which can only be conducted by the Management Board</w:t>
            </w:r>
          </w:p>
        </w:tc>
        <w:tc>
          <w:tcPr>
            <w:tcW w:w="38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threatened change in control of the corporation.</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380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231F20"/>
              </w:rPr>
              <w:t>after approval of the Supervisory Board;</w:t>
            </w: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231F20"/>
              </w:rPr>
              <w:t>•</w:t>
            </w:r>
          </w:p>
        </w:tc>
        <w:tc>
          <w:tcPr>
            <w:tcW w:w="3800" w:type="dxa"/>
            <w:vAlign w:val="bottom"/>
          </w:tcPr>
          <w:p>
            <w:pPr>
              <w:jc w:val="right"/>
              <w:ind w:right="746"/>
              <w:spacing w:after="0"/>
              <w:rPr>
                <w:sz w:val="20"/>
                <w:szCs w:val="20"/>
                <w:color w:val="auto"/>
              </w:rPr>
            </w:pPr>
            <w:r>
              <w:rPr>
                <w:rFonts w:ascii="Times New Roman" w:cs="Times New Roman" w:eastAsia="Times New Roman" w:hAnsi="Times New Roman"/>
                <w:sz w:val="16"/>
                <w:szCs w:val="16"/>
                <w:color w:val="231F20"/>
                <w:w w:val="98"/>
              </w:rPr>
              <w:t>to approve the company’s financial statements;</w:t>
            </w:r>
          </w:p>
        </w:tc>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In  addition,  under  Delaware  law,  when  the  board  of</w:t>
            </w:r>
          </w:p>
        </w:tc>
        <w:tc>
          <w:tcPr>
            <w:tcW w:w="0" w:type="dxa"/>
            <w:vAlign w:val="bottom"/>
          </w:tcPr>
          <w:p>
            <w:pPr>
              <w:spacing w:after="0"/>
              <w:rPr>
                <w:sz w:val="1"/>
                <w:szCs w:val="1"/>
                <w:color w:val="auto"/>
              </w:rPr>
            </w:pPr>
          </w:p>
        </w:tc>
      </w:tr>
    </w:tbl>
    <w:p>
      <w:pPr>
        <w:jc w:val="right"/>
        <w:ind w:left="2660" w:right="20" w:hanging="233"/>
        <w:spacing w:after="0" w:line="234" w:lineRule="auto"/>
        <w:tabs>
          <w:tab w:leader="none" w:pos="2584" w:val="left"/>
        </w:tabs>
        <w:numPr>
          <w:ilvl w:val="0"/>
          <w:numId w:val="1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appoint  the  Management  Board  members  and  to  directors of a Delaware corporation approves the sale or represent  the  company  in  transactions  between  the  break-up of a corporation, the board of directors may, in</w:t>
      </w:r>
    </w:p>
    <w:p>
      <w:pPr>
        <w:ind w:left="2660"/>
        <w:spacing w:after="0" w:line="236" w:lineRule="auto"/>
        <w:tabs>
          <w:tab w:leader="none" w:pos="6340" w:val="left"/>
        </w:tabs>
        <w:rPr>
          <w:sz w:val="20"/>
          <w:szCs w:val="20"/>
          <w:color w:val="auto"/>
        </w:rPr>
      </w:pPr>
      <w:r>
        <w:rPr>
          <w:rFonts w:ascii="Times New Roman" w:cs="Times New Roman" w:eastAsia="Times New Roman" w:hAnsi="Times New Roman"/>
          <w:sz w:val="16"/>
          <w:szCs w:val="16"/>
          <w:color w:val="231F20"/>
        </w:rPr>
        <w:t>company and members of the Management Board; and</w:t>
      </w:r>
      <w:r>
        <w:rPr>
          <w:sz w:val="20"/>
          <w:szCs w:val="20"/>
          <w:color w:val="auto"/>
        </w:rPr>
        <w:tab/>
      </w:r>
      <w:r>
        <w:rPr>
          <w:rFonts w:ascii="Times New Roman" w:cs="Times New Roman" w:eastAsia="Times New Roman" w:hAnsi="Times New Roman"/>
          <w:sz w:val="16"/>
          <w:szCs w:val="16"/>
          <w:color w:val="231F20"/>
        </w:rPr>
        <w:t>certain circumstances, have a duty to obtain the highest</w:t>
      </w:r>
    </w:p>
    <w:p>
      <w:pPr>
        <w:ind w:left="2660" w:right="880" w:hanging="233"/>
        <w:spacing w:after="0" w:line="238" w:lineRule="auto"/>
        <w:tabs>
          <w:tab w:leader="none" w:pos="2580" w:val="left"/>
        </w:tabs>
        <w:numPr>
          <w:ilvl w:val="0"/>
          <w:numId w:val="1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approve service contracts between individual members value reasonably available to the stockholders. of the Management Board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60"/>
          </w:cols>
          <w:pgMar w:left="1060" w:top="557" w:right="680" w:bottom="1440" w:gutter="0" w:footer="0" w:header="0"/>
        </w:sectPr>
      </w:pPr>
    </w:p>
    <w:bookmarkStart w:id="230" w:name="page231"/>
    <w:bookmarkEnd w:id="230"/>
    <w:p>
      <w:pPr>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Stockholder Actions</w:t>
      </w:r>
    </w:p>
    <w:p>
      <w:pPr>
        <w:spacing w:after="0" w:line="19" w:lineRule="exact"/>
        <w:rPr>
          <w:sz w:val="20"/>
          <w:szCs w:val="20"/>
          <w:color w:val="auto"/>
        </w:rPr>
      </w:pPr>
    </w:p>
    <w:p>
      <w:pPr>
        <w:jc w:val="both"/>
        <w:ind w:left="2400"/>
        <w:spacing w:after="0" w:line="236" w:lineRule="auto"/>
        <w:rPr>
          <w:sz w:val="20"/>
          <w:szCs w:val="20"/>
          <w:color w:val="auto"/>
        </w:rPr>
      </w:pPr>
      <w:r>
        <w:rPr>
          <w:rFonts w:ascii="Times New Roman" w:cs="Times New Roman" w:eastAsia="Times New Roman" w:hAnsi="Times New Roman"/>
          <w:sz w:val="16"/>
          <w:szCs w:val="16"/>
          <w:color w:val="231F20"/>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77" w:lineRule="exact"/>
        <w:rPr>
          <w:sz w:val="20"/>
          <w:szCs w:val="20"/>
          <w:color w:val="auto"/>
        </w:rPr>
      </w:pPr>
    </w:p>
    <w:p>
      <w:pPr>
        <w:jc w:val="both"/>
        <w:ind w:left="2400"/>
        <w:spacing w:after="0" w:line="243" w:lineRule="auto"/>
        <w:rPr>
          <w:sz w:val="20"/>
          <w:szCs w:val="20"/>
          <w:color w:val="auto"/>
        </w:rPr>
      </w:pPr>
      <w:r>
        <w:rPr>
          <w:rFonts w:ascii="Times New Roman" w:cs="Times New Roman" w:eastAsia="Times New Roman" w:hAnsi="Times New Roman"/>
          <w:sz w:val="16"/>
          <w:szCs w:val="16"/>
          <w:color w:val="231F20"/>
        </w:rPr>
        <w:t>Additionally, pursuant to German case law, the Supervisory Board is obliged to pursue the company’s claims against the Management Board, unless the interest of the company keeps them from doing so.</w:t>
      </w:r>
    </w:p>
    <w:p>
      <w:pPr>
        <w:spacing w:after="0" w:line="71" w:lineRule="exact"/>
        <w:rPr>
          <w:sz w:val="20"/>
          <w:szCs w:val="20"/>
          <w:color w:val="auto"/>
        </w:rPr>
      </w:pPr>
    </w:p>
    <w:p>
      <w:pPr>
        <w:jc w:val="both"/>
        <w:ind w:left="2400"/>
        <w:spacing w:after="0" w:line="278" w:lineRule="auto"/>
        <w:rPr>
          <w:sz w:val="20"/>
          <w:szCs w:val="20"/>
          <w:color w:val="auto"/>
        </w:rPr>
      </w:pPr>
      <w:r>
        <w:rPr>
          <w:rFonts w:ascii="Times New Roman" w:cs="Times New Roman" w:eastAsia="Times New Roman" w:hAnsi="Times New Roman"/>
          <w:sz w:val="14"/>
          <w:szCs w:val="14"/>
          <w:color w:val="231F20"/>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51" w:lineRule="exact"/>
        <w:rPr>
          <w:sz w:val="20"/>
          <w:szCs w:val="20"/>
          <w:color w:val="auto"/>
        </w:rPr>
      </w:pPr>
    </w:p>
    <w:p>
      <w:pPr>
        <w:jc w:val="both"/>
        <w:ind w:left="2400"/>
        <w:spacing w:after="0" w:line="243" w:lineRule="auto"/>
        <w:rPr>
          <w:sz w:val="20"/>
          <w:szCs w:val="20"/>
          <w:color w:val="auto"/>
        </w:rPr>
      </w:pPr>
      <w:r>
        <w:rPr>
          <w:rFonts w:ascii="Times New Roman" w:cs="Times New Roman" w:eastAsia="Times New Roman" w:hAnsi="Times New Roman"/>
          <w:sz w:val="16"/>
          <w:szCs w:val="16"/>
          <w:color w:val="231F20"/>
        </w:rPr>
        <w:t>If the company is unable to fulfill its third- party obligations, the company’s creditors may pursue the company’s damage claims against members of the Management Board for certain wrongdoings.</w:t>
      </w:r>
    </w:p>
    <w:p>
      <w:pPr>
        <w:spacing w:after="0" w:line="71" w:lineRule="exact"/>
        <w:rPr>
          <w:sz w:val="20"/>
          <w:szCs w:val="20"/>
          <w:color w:val="auto"/>
        </w:rPr>
      </w:pPr>
    </w:p>
    <w:p>
      <w:pPr>
        <w:jc w:val="both"/>
        <w:ind w:left="2400"/>
        <w:spacing w:after="0" w:line="277" w:lineRule="auto"/>
        <w:rPr>
          <w:sz w:val="20"/>
          <w:szCs w:val="20"/>
          <w:color w:val="auto"/>
        </w:rPr>
      </w:pPr>
      <w:r>
        <w:rPr>
          <w:rFonts w:ascii="Times New Roman" w:cs="Times New Roman" w:eastAsia="Times New Roman" w:hAnsi="Times New Roman"/>
          <w:sz w:val="14"/>
          <w:szCs w:val="14"/>
          <w:color w:val="231F20"/>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231F20"/>
        </w:rPr>
        <w:t>Under Delaware law, a stockholder may initiate a derivative action to enforce a right of a corporation if the corporation fails to enforce the right itself. The complaint must:</w:t>
      </w:r>
    </w:p>
    <w:p>
      <w:pPr>
        <w:spacing w:after="0" w:line="2" w:lineRule="exact"/>
        <w:rPr>
          <w:sz w:val="20"/>
          <w:szCs w:val="20"/>
          <w:color w:val="auto"/>
        </w:rPr>
      </w:pPr>
    </w:p>
    <w:p>
      <w:pPr>
        <w:jc w:val="both"/>
        <w:ind w:left="380" w:hanging="232"/>
        <w:spacing w:after="0" w:line="234" w:lineRule="auto"/>
        <w:tabs>
          <w:tab w:leader="none" w:pos="405" w:val="left"/>
        </w:tabs>
        <w:numPr>
          <w:ilvl w:val="0"/>
          <w:numId w:val="1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state that the plaintiff was a stockholder at the time of the transaction of which the plaintiff complains or that the plaintiffs shares thereafter devolved on the plaintiff by operation of law; and</w:t>
      </w:r>
    </w:p>
    <w:p>
      <w:pPr>
        <w:spacing w:after="0" w:line="2" w:lineRule="exact"/>
        <w:rPr>
          <w:rFonts w:ascii="Times New Roman" w:cs="Times New Roman" w:eastAsia="Times New Roman" w:hAnsi="Times New Roman"/>
          <w:sz w:val="16"/>
          <w:szCs w:val="16"/>
          <w:color w:val="231F20"/>
        </w:rPr>
      </w:pPr>
    </w:p>
    <w:p>
      <w:pPr>
        <w:ind w:left="380" w:hanging="232"/>
        <w:spacing w:after="0" w:line="236" w:lineRule="auto"/>
        <w:tabs>
          <w:tab w:leader="none" w:pos="285" w:val="left"/>
        </w:tabs>
        <w:numPr>
          <w:ilvl w:val="0"/>
          <w:numId w:val="1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231F20"/>
        </w:rPr>
        <w:t>Additionally, the plaintiff must remain a stockholder through the duration of the derivative suit. The action will not be dismissed or compromised without the approval of the Delaware Court of Chancery.</w:t>
      </w:r>
    </w:p>
    <w:p>
      <w:pPr>
        <w:spacing w:after="0" w:line="3389" w:lineRule="exact"/>
        <w:rPr>
          <w:sz w:val="20"/>
          <w:szCs w:val="20"/>
          <w:color w:val="auto"/>
        </w:rPr>
      </w:pPr>
    </w:p>
    <w:p>
      <w:pPr>
        <w:sectPr>
          <w:pgSz w:w="11900" w:h="16840" w:orient="portrait"/>
          <w:cols w:equalWidth="0" w:num="2">
            <w:col w:w="6140" w:space="100"/>
            <w:col w:w="3900"/>
          </w:cols>
          <w:pgMar w:left="1060" w:top="557" w:right="7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46355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1060" w:top="557" w:right="700" w:bottom="1440" w:gutter="0" w:footer="0" w:header="0"/>
          <w:type w:val="continuous"/>
        </w:sectPr>
      </w:pPr>
    </w:p>
    <w:bookmarkStart w:id="231" w:name="page232"/>
    <w:bookmarkEnd w:id="23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Foreign Private Issuer Exemptions</w:t>
      </w:r>
    </w:p>
    <w:p>
      <w:pPr>
        <w:spacing w:after="0" w:line="8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231F20"/>
        </w:rPr>
        <w:t>As a “foreign private issuer,” as defined by the SEC, although we are permitted to follow certain corporate governance</w:t>
      </w:r>
      <w:r>
        <w:rPr>
          <w:rFonts w:ascii="Times New Roman" w:cs="Times New Roman" w:eastAsia="Times New Roman" w:hAnsi="Times New Roman"/>
          <w:sz w:val="16"/>
          <w:szCs w:val="16"/>
          <w:color w:val="000000"/>
        </w:rPr>
        <w:t>practices</w:t>
      </w:r>
      <w:r>
        <w:rPr>
          <w:rFonts w:ascii="Times New Roman" w:cs="Times New Roman" w:eastAsia="Times New Roman" w:hAnsi="Times New Roman"/>
          <w:sz w:val="16"/>
          <w:szCs w:val="16"/>
          <w:color w:val="231F20"/>
        </w:rPr>
        <w:t xml:space="preserve"> of the Federal Republic of Germany, instead of those otherwise required under the rules of the Nasdaq </w:t>
      </w:r>
      <w:r>
        <w:rPr>
          <w:rFonts w:ascii="Times New Roman" w:cs="Times New Roman" w:eastAsia="Times New Roman" w:hAnsi="Times New Roman"/>
          <w:sz w:val="16"/>
          <w:szCs w:val="16"/>
          <w:color w:val="000000"/>
        </w:rPr>
        <w:t>Stock</w:t>
      </w:r>
      <w:r>
        <w:rPr>
          <w:rFonts w:ascii="Times New Roman" w:cs="Times New Roman" w:eastAsia="Times New Roman" w:hAnsi="Times New Roman"/>
          <w:sz w:val="16"/>
          <w:szCs w:val="16"/>
          <w:color w:val="231F20"/>
        </w:rPr>
        <w:t xml:space="preserve"> Market LLC, or Nasdaq, for domestic issuers, we follow the Nasdaq corporate governance rules applicable to foreign private issuers. While we voluntarily follow most Nasdaq corporate governance rules, we intend to take advantage of the following limited exemptions:</w:t>
      </w:r>
    </w:p>
    <w:p>
      <w:pPr>
        <w:spacing w:after="0" w:line="71" w:lineRule="exact"/>
        <w:rPr>
          <w:sz w:val="20"/>
          <w:szCs w:val="20"/>
          <w:color w:val="auto"/>
        </w:rPr>
      </w:pPr>
    </w:p>
    <w:p>
      <w:pPr>
        <w:ind w:left="720" w:hanging="234"/>
        <w:spacing w:after="0" w:line="259" w:lineRule="auto"/>
        <w:tabs>
          <w:tab w:leader="none" w:pos="720" w:val="left"/>
        </w:tabs>
        <w:numPr>
          <w:ilvl w:val="0"/>
          <w:numId w:val="1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exemption from filing quarterly reports on Form 10-Q and providing current reports on Form 8-K disclosing significant events within four days of their occurrence (however, we intend to furnish quarterly financial information under cover of Form 6-K);</w:t>
      </w:r>
    </w:p>
    <w:p>
      <w:pPr>
        <w:spacing w:after="0" w:line="59" w:lineRule="exact"/>
        <w:rPr>
          <w:rFonts w:ascii="Times New Roman" w:cs="Times New Roman" w:eastAsia="Times New Roman" w:hAnsi="Times New Roman"/>
          <w:sz w:val="16"/>
          <w:szCs w:val="16"/>
          <w:color w:val="231F20"/>
        </w:rPr>
      </w:pPr>
    </w:p>
    <w:p>
      <w:pPr>
        <w:jc w:val="both"/>
        <w:ind w:left="720" w:hanging="234"/>
        <w:spacing w:after="0" w:line="243"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compliance with Regulation FD, which generally requires that when a company intentionally discloses material non-public information, it do so through a public disclosure that is broadly available to all members of the public at the same time. However, we do furnish quarterly financial information and other information on a more frequent basis under cover of Form 6-K, and intend to continue doing so. Moreover, we comply with other securities laws, such as rule 10b-5 (rule targeting securities fraud), among others;</w:t>
      </w:r>
    </w:p>
    <w:p>
      <w:pPr>
        <w:spacing w:after="0" w:line="71" w:lineRule="exact"/>
        <w:rPr>
          <w:rFonts w:ascii="Times New Roman" w:cs="Times New Roman" w:eastAsia="Times New Roman" w:hAnsi="Times New Roman"/>
          <w:sz w:val="16"/>
          <w:szCs w:val="16"/>
          <w:color w:val="auto"/>
        </w:rPr>
      </w:pPr>
    </w:p>
    <w:p>
      <w:pPr>
        <w:ind w:left="720" w:hanging="234"/>
        <w:spacing w:after="0" w:line="259"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exemption from Section 16 rules regarding sales of ordinary shares by insiders, which will provide less data in this regard than the data provided to shareholders of U.S. companies that are subject to the Exchange Act; and</w:t>
      </w:r>
    </w:p>
    <w:p>
      <w:pPr>
        <w:spacing w:after="0" w:line="59" w:lineRule="exact"/>
        <w:rPr>
          <w:rFonts w:ascii="Times New Roman" w:cs="Times New Roman" w:eastAsia="Times New Roman" w:hAnsi="Times New Roman"/>
          <w:sz w:val="16"/>
          <w:szCs w:val="16"/>
          <w:color w:val="auto"/>
        </w:rPr>
      </w:pPr>
    </w:p>
    <w:p>
      <w:pPr>
        <w:jc w:val="both"/>
        <w:ind w:left="720" w:right="20" w:hanging="234"/>
        <w:spacing w:after="0" w:line="247"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Furthermore</w:t>
      </w:r>
      <w:r>
        <w:rPr>
          <w:rFonts w:ascii="Times New Roman" w:cs="Times New Roman" w:eastAsia="Times New Roman" w:hAnsi="Times New Roman"/>
          <w:sz w:val="16"/>
          <w:szCs w:val="16"/>
          <w:color w:val="231F20"/>
        </w:rPr>
        <w:t>, Nasdaq Rule 5615(a)(3) provides that, as a foreign private issuer, we may rely on home country corporate governance practices in lieu of certain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the rules in the Nasdaq Rule 5600 Series and Rule 5250(d), </w:t>
      </w:r>
      <w:r>
        <w:rPr>
          <w:rFonts w:ascii="Times New Roman" w:cs="Times New Roman" w:eastAsia="Times New Roman" w:hAnsi="Times New Roman"/>
          <w:sz w:val="16"/>
          <w:szCs w:val="16"/>
          <w:color w:val="000000"/>
        </w:rPr>
        <w:t>provided</w:t>
      </w:r>
      <w:r>
        <w:rPr>
          <w:rFonts w:ascii="Times New Roman" w:cs="Times New Roman" w:eastAsia="Times New Roman" w:hAnsi="Times New Roman"/>
          <w:sz w:val="16"/>
          <w:szCs w:val="16"/>
          <w:color w:val="231F20"/>
        </w:rPr>
        <w:t xml:space="preserve"> that we nevertheless comply with Nasdaq’s Notification of Noncompliance requirement (Rule 5625) and the Voting Rights requirement (Rule 5640) and that we have an audit committee that satisfies Rule 5605(c)(3), </w:t>
      </w:r>
      <w:r>
        <w:rPr>
          <w:rFonts w:ascii="Times New Roman" w:cs="Times New Roman" w:eastAsia="Times New Roman" w:hAnsi="Times New Roman"/>
          <w:sz w:val="16"/>
          <w:szCs w:val="16"/>
          <w:color w:val="000000"/>
        </w:rPr>
        <w:t>consisting</w:t>
      </w:r>
      <w:r>
        <w:rPr>
          <w:rFonts w:ascii="Times New Roman" w:cs="Times New Roman" w:eastAsia="Times New Roman" w:hAnsi="Times New Roman"/>
          <w:sz w:val="16"/>
          <w:szCs w:val="16"/>
          <w:color w:val="231F20"/>
        </w:rPr>
        <w:t xml:space="preserve"> of committee members that meet the independence requirements of Rule 5605(c)(2)(A)(ii). Although we are permitted to follow certain corporate governance rules that conform to German requirements in lieu of many of the Nasdaq corporate governance rules, we comply with the Nasdaq corporate governance rules applicable to foreign private issuers. We may utilize these exemptions for as long as we continue to qualify as a foreign </w:t>
      </w:r>
      <w:r>
        <w:rPr>
          <w:rFonts w:ascii="Times New Roman" w:cs="Times New Roman" w:eastAsia="Times New Roman" w:hAnsi="Times New Roman"/>
          <w:sz w:val="16"/>
          <w:szCs w:val="16"/>
          <w:color w:val="000000"/>
        </w:rPr>
        <w:t>private</w:t>
      </w:r>
      <w:r>
        <w:rPr>
          <w:rFonts w:ascii="Times New Roman" w:cs="Times New Roman" w:eastAsia="Times New Roman" w:hAnsi="Times New Roman"/>
          <w:sz w:val="16"/>
          <w:szCs w:val="16"/>
          <w:color w:val="231F20"/>
        </w:rPr>
        <w:t xml:space="preserve"> issuer.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 Management and Strategy</w:t>
      </w:r>
    </w:p>
    <w:p>
      <w:pPr>
        <w:spacing w:after="0" w:line="94" w:lineRule="exact"/>
        <w:rPr>
          <w:sz w:val="20"/>
          <w:szCs w:val="20"/>
          <w:color w:val="auto"/>
        </w:rPr>
      </w:pPr>
    </w:p>
    <w:p>
      <w:pPr>
        <w:jc w:val="both"/>
        <w:ind w:firstLine="336"/>
        <w:spacing w:after="0" w:line="239" w:lineRule="auto"/>
        <w:rPr>
          <w:sz w:val="20"/>
          <w:szCs w:val="20"/>
          <w:color w:val="auto"/>
        </w:rPr>
      </w:pPr>
      <w:r>
        <w:rPr>
          <w:rFonts w:ascii="Times New Roman" w:cs="Times New Roman" w:eastAsia="Times New Roman" w:hAnsi="Times New Roman"/>
          <w:sz w:val="16"/>
          <w:szCs w:val="16"/>
          <w:color w:val="auto"/>
        </w:rPr>
        <w:t>Our cybersecurity approach strives to adequately protect our information, systems, assets, physical locations, and people. From a business perspective, this means protecting key information assets and complying with applicable international and national privacy laws, information security policies and contractual obligations. Our Information Security Policy, adopted in 2023, defines our information security management objectives and principles, and our Data Privacy Policy, effective since 2021, provides for a consistent level of company-wide data privacy and data protection. In addition, our Information Classification Policy, introduced internally during the year ended December 31, 2023, provides a system for classifying and protecting our physical and digital assets. These policies are applicable to BioNTech SE and its affiliates, including all Supervisory Board and Management Board members, as well as all other officers and employees,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2" w:name="page233"/>
    <w:bookmarkEnd w:id="23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and are part of our overall Information Security Management System (ISMS) that is currently being operationalized as part of the preparation for the ISO 27001 certification. Our processes for assessing, identifying, and managing material risks from cybersecurity threats are integrated into our overall enterprise risk management system, which was developed with input from internal and external experts.</w:t>
      </w:r>
    </w:p>
    <w:p>
      <w:pPr>
        <w:spacing w:after="0" w:line="68" w:lineRule="exact"/>
        <w:rPr>
          <w:sz w:val="20"/>
          <w:szCs w:val="20"/>
          <w:color w:val="auto"/>
        </w:rPr>
      </w:pPr>
    </w:p>
    <w:p>
      <w:pPr>
        <w:jc w:val="both"/>
        <w:ind w:right="20" w:firstLine="336"/>
        <w:spacing w:after="0" w:line="259" w:lineRule="auto"/>
        <w:rPr>
          <w:sz w:val="20"/>
          <w:szCs w:val="20"/>
          <w:color w:val="auto"/>
        </w:rPr>
      </w:pPr>
      <w:r>
        <w:rPr>
          <w:rFonts w:ascii="Times New Roman" w:cs="Times New Roman" w:eastAsia="Times New Roman" w:hAnsi="Times New Roman"/>
          <w:sz w:val="16"/>
          <w:szCs w:val="16"/>
          <w:color w:val="auto"/>
        </w:rPr>
        <w:t>We collaborated with external experts through early 2023 to develop a Security Transformation Program. Our main cyber and information security objectives are to maintain information confidentiality, integrity, and availability.</w:t>
      </w:r>
    </w:p>
    <w:p>
      <w:pPr>
        <w:spacing w:after="0" w:line="59" w:lineRule="exact"/>
        <w:rPr>
          <w:sz w:val="20"/>
          <w:szCs w:val="20"/>
          <w:color w:val="auto"/>
        </w:rPr>
      </w:pPr>
    </w:p>
    <w:p>
      <w:pPr>
        <w:jc w:val="both"/>
        <w:ind w:right="20" w:firstLine="336"/>
        <w:spacing w:after="0" w:line="241" w:lineRule="auto"/>
        <w:rPr>
          <w:sz w:val="20"/>
          <w:szCs w:val="20"/>
          <w:color w:val="auto"/>
        </w:rPr>
      </w:pPr>
      <w:r>
        <w:rPr>
          <w:rFonts w:ascii="Times New Roman" w:cs="Times New Roman" w:eastAsia="Times New Roman" w:hAnsi="Times New Roman"/>
          <w:sz w:val="16"/>
          <w:szCs w:val="16"/>
          <w:color w:val="auto"/>
        </w:rPr>
        <w:t>Since the year ended December 31, 2022, we have been using a data privacy system to assess the data privacy risks for each system in place. It also provides for proper data mapping, up-to-date recordkeeping on processing, data transfer impact assessments, and vendor data management. During the year ended December 31, 2023, we established a dedicated, standardized process to report data breaches. This process is intended to ensure that we are promptly notified of data breaches so that we can inform the people affected. The dialogue between our Data Privacy department and other functions also supports the early detection of data privacy risks. In addition, as part of the ISMS, employees are required to communicate any potential improvements or discrepancies as the system evolves.</w:t>
      </w:r>
    </w:p>
    <w:p>
      <w:pPr>
        <w:spacing w:after="0" w:line="73" w:lineRule="exact"/>
        <w:rPr>
          <w:sz w:val="20"/>
          <w:szCs w:val="20"/>
          <w:color w:val="auto"/>
        </w:rPr>
      </w:pPr>
    </w:p>
    <w:p>
      <w:pPr>
        <w:jc w:val="both"/>
        <w:ind w:right="40" w:firstLine="336"/>
        <w:spacing w:after="0" w:line="247" w:lineRule="auto"/>
        <w:rPr>
          <w:sz w:val="20"/>
          <w:szCs w:val="20"/>
          <w:color w:val="auto"/>
        </w:rPr>
      </w:pPr>
      <w:r>
        <w:rPr>
          <w:rFonts w:ascii="Times New Roman" w:cs="Times New Roman" w:eastAsia="Times New Roman" w:hAnsi="Times New Roman"/>
          <w:sz w:val="16"/>
          <w:szCs w:val="16"/>
          <w:color w:val="auto"/>
        </w:rPr>
        <w:t>We also regularly streamline information security processes and measures in our business operations and work to ensure that newly introduced applications adhere to the “secure by design” principle. We also work to improve our cyber and information security management system on an ongoing basis to address evolving risks and regulatory requirements according to the relevant certification processes.</w:t>
      </w:r>
    </w:p>
    <w:p>
      <w:pPr>
        <w:spacing w:after="0" w:line="68" w:lineRule="exact"/>
        <w:rPr>
          <w:sz w:val="20"/>
          <w:szCs w:val="20"/>
          <w:color w:val="auto"/>
        </w:rPr>
      </w:pPr>
    </w:p>
    <w:p>
      <w:pPr>
        <w:jc w:val="both"/>
        <w:ind w:right="40" w:firstLine="336"/>
        <w:spacing w:after="0" w:line="289" w:lineRule="auto"/>
        <w:rPr>
          <w:sz w:val="20"/>
          <w:szCs w:val="20"/>
          <w:color w:val="auto"/>
        </w:rPr>
      </w:pPr>
      <w:r>
        <w:rPr>
          <w:rFonts w:ascii="Times New Roman" w:cs="Times New Roman" w:eastAsia="Times New Roman" w:hAnsi="Times New Roman"/>
          <w:sz w:val="14"/>
          <w:szCs w:val="14"/>
          <w:color w:val="auto"/>
        </w:rPr>
        <w:t>To achieve and preserve information security, we strive for the orderly planning, implementation, control, and optimization of all activities required for the protection of data privacy and the detection, response and recovery of data privacy risks. We rely on applicable international standards as guidance, including ISO/IEC 27001, which is internally recognized and serves as the framework for the Company’s ISMS. We aim to prepare our organization for relevant certifications in 2024 to aim for certification in 2025. We will initially seek certifications for our main manufacturing facility and an R&amp;D site in addition to the cybersecurity organization.</w:t>
      </w:r>
    </w:p>
    <w:p>
      <w:pPr>
        <w:spacing w:after="0" w:line="41" w:lineRule="exact"/>
        <w:rPr>
          <w:sz w:val="20"/>
          <w:szCs w:val="20"/>
          <w:color w:val="auto"/>
        </w:rPr>
      </w:pPr>
    </w:p>
    <w:p>
      <w:pPr>
        <w:jc w:val="both"/>
        <w:ind w:right="40" w:firstLine="336"/>
        <w:spacing w:after="0" w:line="243" w:lineRule="auto"/>
        <w:rPr>
          <w:sz w:val="20"/>
          <w:szCs w:val="20"/>
          <w:color w:val="auto"/>
        </w:rPr>
      </w:pPr>
      <w:r>
        <w:rPr>
          <w:rFonts w:ascii="Times New Roman" w:cs="Times New Roman" w:eastAsia="Times New Roman" w:hAnsi="Times New Roman"/>
          <w:sz w:val="16"/>
          <w:szCs w:val="16"/>
          <w:color w:val="auto"/>
        </w:rPr>
        <w:t>We take responsibility for the transparent communication and proper processing of personal data. This includes the storage, access, retention, and security of all personal data when engaging with patients, employees, customers, business partners, and vendors. We communicate our practices in a data privacy statement on our corporate website. We require the third parties with which we contract to adhere to contractual privacy and security provisions, and we request specific information from major vendors about their practices in protecting data privacy.</w:t>
      </w:r>
    </w:p>
    <w:p>
      <w:pPr>
        <w:spacing w:after="0" w:line="71" w:lineRule="exact"/>
        <w:rPr>
          <w:sz w:val="20"/>
          <w:szCs w:val="20"/>
          <w:color w:val="auto"/>
        </w:rPr>
      </w:pPr>
    </w:p>
    <w:p>
      <w:pPr>
        <w:jc w:val="both"/>
        <w:ind w:right="20" w:firstLine="336"/>
        <w:spacing w:after="0" w:line="238" w:lineRule="auto"/>
        <w:rPr>
          <w:sz w:val="20"/>
          <w:szCs w:val="20"/>
          <w:color w:val="auto"/>
        </w:rPr>
      </w:pPr>
      <w:r>
        <w:rPr>
          <w:rFonts w:ascii="Times New Roman" w:cs="Times New Roman" w:eastAsia="Times New Roman" w:hAnsi="Times New Roman"/>
          <w:sz w:val="16"/>
          <w:szCs w:val="16"/>
          <w:color w:val="auto"/>
        </w:rPr>
        <w:t>When processing personal data, we are responsible for ensuring that we comply with applicable data protection laws. These include the European Union’s General Data Protection Regulation (GDPR), the German Commercial Code (HGB), the German Federal Data Protection Act (BDSG), the German IT Security Act 2.0 (IT-SiG 2.0), the German Federal Office for Information Security Act (BSIG), and other privacy and data security laws in the jurisdictions where we operate. In April 2023, we were designated as a part of Germany’s critical infrastructure (KRITIS) under the BSIG, which has resulted in heightened reporting and verification obligations. We are in the process of implementing a global data privacy framework that sets out the requirements and standards applicable to processing personal data. The framework is being designed to foster compliance with the applicable regulations and sets minimum standards for the Company. As part of our global strategy, privacy-related documents, such as informed consent forms for clinical trials, are being standardized company-wide. The forms facilitate the user-friendly implementation of the standards we have established and provide transparency on how and why we process personal data.</w:t>
      </w:r>
    </w:p>
    <w:p>
      <w:pPr>
        <w:spacing w:after="0" w:line="77"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6"/>
          <w:szCs w:val="16"/>
          <w:color w:val="auto"/>
        </w:rPr>
        <w:t>Creating and maintaining mature levels of cyber and information security within BioNTech, in the supply chain, and in close collaboration with partners requires the commitment of all employees. In 2023, we began deploying Data Privacy Regional Leads, supported at a team level by Data Privacy Liaisons. At the end of 2023, we were continuing to recruit for these positions for further support. Members of relevant teams, such as IT and Clinical Operations, are selected to work closely with the Data Privacy team to ensure compliance with the relevant data privacy regulations.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After implementing the key milestones of the Security Transformation Roadmap over the past two years, our focus in 2023 was on:</w:t>
      </w:r>
    </w:p>
    <w:p>
      <w:pPr>
        <w:spacing w:after="0" w:line="92" w:lineRule="exact"/>
        <w:rPr>
          <w:sz w:val="20"/>
          <w:szCs w:val="20"/>
          <w:color w:val="auto"/>
        </w:rPr>
      </w:pPr>
    </w:p>
    <w:p>
      <w:pPr>
        <w:ind w:left="900" w:hanging="330"/>
        <w:spacing w:after="0"/>
        <w:tabs>
          <w:tab w:leader="none" w:pos="9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the operational excellence of cybersecurity services;</w:t>
      </w:r>
    </w:p>
    <w:p>
      <w:pPr>
        <w:spacing w:after="0" w:line="80" w:lineRule="exact"/>
        <w:rPr>
          <w:rFonts w:ascii="Times New Roman" w:cs="Times New Roman" w:eastAsia="Times New Roman" w:hAnsi="Times New Roman"/>
          <w:sz w:val="16"/>
          <w:szCs w:val="16"/>
          <w:color w:val="auto"/>
        </w:rPr>
      </w:pPr>
    </w:p>
    <w:p>
      <w:pPr>
        <w:ind w:left="900" w:hanging="330"/>
        <w:spacing w:after="0"/>
        <w:tabs>
          <w:tab w:leader="none" w:pos="9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further automatization options (e.g., introducing self-services);</w:t>
      </w:r>
    </w:p>
    <w:p>
      <w:pPr>
        <w:spacing w:after="0" w:line="80" w:lineRule="exact"/>
        <w:rPr>
          <w:rFonts w:ascii="Times New Roman" w:cs="Times New Roman" w:eastAsia="Times New Roman" w:hAnsi="Times New Roman"/>
          <w:sz w:val="16"/>
          <w:szCs w:val="16"/>
          <w:color w:val="auto"/>
        </w:rPr>
      </w:pPr>
    </w:p>
    <w:p>
      <w:pPr>
        <w:ind w:left="900" w:hanging="330"/>
        <w:spacing w:after="0"/>
        <w:tabs>
          <w:tab w:leader="none" w:pos="9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optimizing the ISMS framework based on an internal audit, independent feedback and recommendations, and cooperation with external experts;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33" w:name="page234"/>
    <w:bookmarkEnd w:id="23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hanging="330"/>
        <w:spacing w:after="0"/>
        <w:tabs>
          <w:tab w:leader="none" w:pos="9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mandatory cyber and information security training for all employees at least annually, including phishing simulations at least twice a year;</w:t>
      </w:r>
    </w:p>
    <w:p>
      <w:pPr>
        <w:spacing w:after="0" w:line="80" w:lineRule="exact"/>
        <w:rPr>
          <w:rFonts w:ascii="Times New Roman" w:cs="Times New Roman" w:eastAsia="Times New Roman" w:hAnsi="Times New Roman"/>
          <w:sz w:val="16"/>
          <w:szCs w:val="16"/>
          <w:color w:val="auto"/>
        </w:rPr>
      </w:pPr>
    </w:p>
    <w:p>
      <w:pPr>
        <w:ind w:left="900" w:right="360" w:hanging="330"/>
        <w:spacing w:after="0" w:line="244" w:lineRule="auto"/>
        <w:tabs>
          <w:tab w:leader="none" w:pos="9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internal and external attack surface through regular vulnerability scanning, penetration testing, and maintaining IT supplier and software confidentiality; and</w:t>
      </w:r>
    </w:p>
    <w:p>
      <w:pPr>
        <w:spacing w:after="0" w:line="58" w:lineRule="exact"/>
        <w:rPr>
          <w:rFonts w:ascii="Times New Roman" w:cs="Times New Roman" w:eastAsia="Times New Roman" w:hAnsi="Times New Roman"/>
          <w:sz w:val="16"/>
          <w:szCs w:val="16"/>
          <w:color w:val="auto"/>
        </w:rPr>
      </w:pPr>
    </w:p>
    <w:p>
      <w:pPr>
        <w:ind w:left="900" w:hanging="330"/>
        <w:spacing w:after="0"/>
        <w:tabs>
          <w:tab w:leader="none" w:pos="9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security reporting dashboard to provide executive stakeholders with transparency into relevant activities.</w:t>
      </w:r>
    </w:p>
    <w:p>
      <w:pPr>
        <w:spacing w:after="0" w:line="80" w:lineRule="exact"/>
        <w:rPr>
          <w:sz w:val="20"/>
          <w:szCs w:val="20"/>
          <w:color w:val="auto"/>
        </w:rPr>
      </w:pPr>
    </w:p>
    <w:p>
      <w:pPr>
        <w:jc w:val="both"/>
        <w:ind w:firstLine="336"/>
        <w:spacing w:after="0"/>
        <w:rPr>
          <w:sz w:val="20"/>
          <w:szCs w:val="20"/>
          <w:color w:val="auto"/>
        </w:rPr>
      </w:pPr>
      <w:r>
        <w:rPr>
          <w:rFonts w:ascii="Times New Roman" w:cs="Times New Roman" w:eastAsia="Times New Roman" w:hAnsi="Times New Roman"/>
          <w:sz w:val="16"/>
          <w:szCs w:val="16"/>
          <w:color w:val="auto"/>
        </w:rPr>
        <w:t xml:space="preserve">In 2023, there were no substantiated complaints concerning material data breaches, including leaks, thefts, or losses of personal data such as patient or customer data. Contracts and confidentiality agreements with clinical trial sites were compliant with relevant regulations. We do not believe that any cybersecurity threats in 2023, including as a result of any previous cybersecurity incidents, have materially a </w:t>
      </w:r>
      <w:r>
        <w:rPr>
          <w:rFonts w:ascii="Arial" w:cs="Arial" w:eastAsia="Arial" w:hAnsi="Arial"/>
          <w:sz w:val="16"/>
          <w:szCs w:val="16"/>
          <w:color w:val="auto"/>
        </w:rPr>
        <w:t>ﬀ</w:t>
      </w:r>
      <w:r>
        <w:rPr>
          <w:rFonts w:ascii="Times New Roman" w:cs="Times New Roman" w:eastAsia="Times New Roman" w:hAnsi="Times New Roman"/>
          <w:sz w:val="16"/>
          <w:szCs w:val="16"/>
          <w:color w:val="auto"/>
        </w:rPr>
        <w:t>ected or are reasonably likely to materially a</w:t>
      </w:r>
      <w:r>
        <w:rPr>
          <w:rFonts w:ascii="Arial" w:cs="Arial" w:eastAsia="Arial" w:hAnsi="Arial"/>
          <w:sz w:val="16"/>
          <w:szCs w:val="16"/>
          <w:color w:val="auto"/>
        </w:rPr>
        <w:t>ﬀ</w:t>
      </w:r>
      <w:r>
        <w:rPr>
          <w:rFonts w:ascii="Times New Roman" w:cs="Times New Roman" w:eastAsia="Times New Roman" w:hAnsi="Times New Roman"/>
          <w:sz w:val="16"/>
          <w:szCs w:val="16"/>
          <w:color w:val="auto"/>
        </w:rPr>
        <w:t>ect us, including our business strategy, results of operations, or financial condition. For a discussion of cybersecurity and data privacy-related risks and uncertainties, see Item 3.D, “Risk Factors,” of this Annual Report on Form 20-F.</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We take a centralized approach to managing cyber and information security to facilitate a consistency and compliance across entities and locations.</w:t>
      </w:r>
    </w:p>
    <w:p>
      <w:pPr>
        <w:spacing w:after="0" w:line="92" w:lineRule="exact"/>
        <w:rPr>
          <w:sz w:val="20"/>
          <w:szCs w:val="20"/>
          <w:color w:val="auto"/>
        </w:rPr>
      </w:pPr>
    </w:p>
    <w:p>
      <w:pPr>
        <w:jc w:val="both"/>
        <w:ind w:right="20" w:firstLine="336"/>
        <w:spacing w:after="0" w:line="239" w:lineRule="auto"/>
        <w:rPr>
          <w:sz w:val="20"/>
          <w:szCs w:val="20"/>
          <w:color w:val="auto"/>
        </w:rPr>
      </w:pPr>
      <w:r>
        <w:rPr>
          <w:rFonts w:ascii="Times New Roman" w:cs="Times New Roman" w:eastAsia="Times New Roman" w:hAnsi="Times New Roman"/>
          <w:sz w:val="16"/>
          <w:szCs w:val="16"/>
          <w:color w:val="auto"/>
        </w:rPr>
        <w:t>Our Chief Operating Officer (COO) and Management Board member, Sierk Poetting, is responsible for assessing and managing our material risks from cybersecurity threats. His ambit includes reviewing our information security capabilities, reporting data privacy issues to the Management Board, and supporting our Information Security Organization (ISO) in obtaining the resources it needs. The COO’s extensive experience in risk management, operations and corporate governance, with over 11 years of experience in the pharmaceutical industry in particular, are critical to the management of cyber and information security at the Company. The ISO oversees all roles and responsibilities associated with the ISMS. Representatives from the ISO provide monthly updates to the Management Board and annual updates to the Supervisory Board.</w:t>
      </w:r>
    </w:p>
    <w:p>
      <w:pPr>
        <w:spacing w:after="0" w:line="77" w:lineRule="exact"/>
        <w:rPr>
          <w:sz w:val="20"/>
          <w:szCs w:val="20"/>
          <w:color w:val="auto"/>
        </w:rPr>
      </w:pPr>
    </w:p>
    <w:p>
      <w:pPr>
        <w:jc w:val="both"/>
        <w:ind w:firstLine="336"/>
        <w:spacing w:after="0" w:line="243" w:lineRule="auto"/>
        <w:rPr>
          <w:sz w:val="20"/>
          <w:szCs w:val="20"/>
          <w:color w:val="auto"/>
        </w:rPr>
      </w:pPr>
      <w:r>
        <w:rPr>
          <w:rFonts w:ascii="Times New Roman" w:cs="Times New Roman" w:eastAsia="Times New Roman" w:hAnsi="Times New Roman"/>
          <w:sz w:val="16"/>
          <w:szCs w:val="16"/>
          <w:color w:val="auto"/>
        </w:rPr>
        <w:t>The COO is supported by the Chief Information Security Officer (CISO), who leads the ISO and is accountable for security strategy, operations, and policy development and implementation. Our CISO, Raimond Jähn, was the department lead of our IT security team starting in 2016, has led the cyber and information security transformation program towards a new operating model since 2021, and was formally designated as CISO by the COO in 2023. Our Head of Cyber and Information Security, Data Protection Officer, and Head of Global Security and Protection each bring in additional expertise.</w:t>
      </w:r>
    </w:p>
    <w:p>
      <w:pPr>
        <w:spacing w:after="0" w:line="71" w:lineRule="exact"/>
        <w:rPr>
          <w:sz w:val="20"/>
          <w:szCs w:val="20"/>
          <w:color w:val="auto"/>
        </w:rPr>
      </w:pPr>
    </w:p>
    <w:p>
      <w:pPr>
        <w:jc w:val="both"/>
        <w:ind w:right="20" w:firstLine="336"/>
        <w:spacing w:after="0" w:line="259" w:lineRule="auto"/>
        <w:rPr>
          <w:sz w:val="20"/>
          <w:szCs w:val="20"/>
          <w:color w:val="auto"/>
        </w:rPr>
      </w:pPr>
      <w:r>
        <w:rPr>
          <w:rFonts w:ascii="Times New Roman" w:cs="Times New Roman" w:eastAsia="Times New Roman" w:hAnsi="Times New Roman"/>
          <w:sz w:val="16"/>
          <w:szCs w:val="16"/>
          <w:color w:val="auto"/>
        </w:rPr>
        <w:t>Our overarching strategy was developed in 2021 by the COO and CISO in alignment with the Data Protection Officer and Head of Global Security and Protection, and is regularly updated.</w:t>
      </w:r>
    </w:p>
    <w:p>
      <w:pPr>
        <w:spacing w:after="0" w:line="59" w:lineRule="exact"/>
        <w:rPr>
          <w:sz w:val="20"/>
          <w:szCs w:val="20"/>
          <w:color w:val="auto"/>
        </w:rPr>
      </w:pPr>
    </w:p>
    <w:p>
      <w:pPr>
        <w:jc w:val="both"/>
        <w:ind w:right="40" w:firstLine="336"/>
        <w:spacing w:after="0" w:line="243" w:lineRule="auto"/>
        <w:rPr>
          <w:sz w:val="20"/>
          <w:szCs w:val="20"/>
          <w:color w:val="auto"/>
        </w:rPr>
      </w:pPr>
      <w:r>
        <w:rPr>
          <w:rFonts w:ascii="Times New Roman" w:cs="Times New Roman" w:eastAsia="Times New Roman" w:hAnsi="Times New Roman"/>
          <w:sz w:val="16"/>
          <w:szCs w:val="16"/>
          <w:color w:val="auto"/>
        </w:rPr>
        <w:t>Data privacy matters fall under the purview of our Chief Legal Officer (CLO) and Management Board member, James Ryan, who is supported by our Senior Director, Data Privacy. Dr. Ryan’s qualifications include close to twenty years of expertise in legal and intellectual property matters, both within the pharmaceutical industry as well as as an outside counsel with a focus on strategic life sciences transactions. Together with his deep familiarity with the Company’s history, operations, and processes, James Ryan is uniquely positioned to advise on data privacy matters.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For additional information on Sierk Poetting’s and James Ryan’s experience, see Item 6.A, “Directors and Senior Management.”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Item 18.</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financial statements are filed as part of this Annual Report beginning on page F-1.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4" w:name="page235"/>
    <w:bookmarkEnd w:id="234"/>
    <w:p>
      <w:pPr>
        <w:ind w:left="400"/>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10480"/>
          </w:cols>
          <w:pgMar w:left="660" w:top="557" w:right="7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19. Exhibits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1.1</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2.1</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2.2</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2.3</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2.4*</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142" w:lineRule="exact"/>
        <w:rPr>
          <w:sz w:val="20"/>
          <w:szCs w:val="20"/>
          <w:color w:val="auto"/>
        </w:rPr>
      </w:pPr>
    </w:p>
    <w:p>
      <w:pPr>
        <w:ind w:right="100"/>
        <w:spacing w:after="0" w:line="244" w:lineRule="auto"/>
        <w:rPr>
          <w:rFonts w:ascii="Times New Roman" w:cs="Times New Roman" w:eastAsia="Times New Roman" w:hAnsi="Times New Roman"/>
          <w:sz w:val="16"/>
          <w:szCs w:val="16"/>
          <w:u w:val="single" w:color="auto"/>
          <w:color w:val="0000FF"/>
        </w:rPr>
      </w:pPr>
      <w:hyperlink r:id="rId251">
        <w:r>
          <w:rPr>
            <w:rFonts w:ascii="Times New Roman" w:cs="Times New Roman" w:eastAsia="Times New Roman" w:hAnsi="Times New Roman"/>
            <w:sz w:val="16"/>
            <w:szCs w:val="16"/>
            <w:u w:val="single" w:color="auto"/>
            <w:color w:val="0000FF"/>
          </w:rPr>
          <w:t>Articles of Association of the Registrant (incorporated herein by reference to Exhibit 4.1 to the Registrant’s Registration Statement on Form S-</w:t>
        </w:r>
      </w:hyperlink>
      <w:hyperlink r:id="rId251">
        <w:r>
          <w:rPr>
            <w:rFonts w:ascii="Times New Roman" w:cs="Times New Roman" w:eastAsia="Times New Roman" w:hAnsi="Times New Roman"/>
            <w:sz w:val="16"/>
            <w:szCs w:val="16"/>
            <w:u w:val="single" w:color="auto"/>
            <w:color w:val="0000FF"/>
          </w:rPr>
          <w:t>8 (File No. 333-277105), filed with the SEC on February 15, 2024)</w:t>
        </w:r>
      </w:hyperlink>
    </w:p>
    <w:p>
      <w:pPr>
        <w:spacing w:after="0" w:line="106" w:lineRule="exact"/>
        <w:rPr>
          <w:sz w:val="20"/>
          <w:szCs w:val="20"/>
          <w:color w:val="auto"/>
        </w:rPr>
      </w:pPr>
    </w:p>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u w:val="single" w:color="auto"/>
            <w:color w:val="0000FF"/>
          </w:rPr>
          <w:t>Form of Specimen American Depositary Receipt (included in Exhibit 2.3</w:t>
        </w:r>
      </w:hyperlink>
      <w:r>
        <w:rPr>
          <w:rFonts w:ascii="Times New Roman" w:cs="Times New Roman" w:eastAsia="Times New Roman" w:hAnsi="Times New Roman"/>
          <w:sz w:val="16"/>
          <w:szCs w:val="16"/>
          <w:color w:val="0000FF"/>
        </w:rPr>
        <w:t>)</w:t>
      </w:r>
    </w:p>
    <w:p>
      <w:pPr>
        <w:spacing w:after="0" w:line="128" w:lineRule="exact"/>
        <w:rPr>
          <w:sz w:val="20"/>
          <w:szCs w:val="20"/>
          <w:color w:val="auto"/>
        </w:rPr>
      </w:pPr>
    </w:p>
    <w:p>
      <w:pPr>
        <w:ind w:right="660"/>
        <w:spacing w:after="0" w:line="244" w:lineRule="auto"/>
        <w:rPr>
          <w:rFonts w:ascii="Times New Roman" w:cs="Times New Roman" w:eastAsia="Times New Roman" w:hAnsi="Times New Roman"/>
          <w:sz w:val="16"/>
          <w:szCs w:val="16"/>
          <w:u w:val="single" w:color="auto"/>
          <w:color w:val="0000FF"/>
        </w:rPr>
      </w:pPr>
      <w:hyperlink r:id="rId253">
        <w:r>
          <w:rPr>
            <w:rFonts w:ascii="Times New Roman" w:cs="Times New Roman" w:eastAsia="Times New Roman" w:hAnsi="Times New Roman"/>
            <w:sz w:val="16"/>
            <w:szCs w:val="16"/>
            <w:u w:val="single" w:color="auto"/>
            <w:color w:val="0000FF"/>
          </w:rPr>
          <w:t>Registrant’s Specimen Certificate for Ordinary Shares (incorporated herein by reference to Exhibit 4.2 to the Registrant’s Registration</w:t>
        </w:r>
      </w:hyperlink>
      <w:r>
        <w:rPr>
          <w:rFonts w:ascii="Times New Roman" w:cs="Times New Roman" w:eastAsia="Times New Roman" w:hAnsi="Times New Roman"/>
          <w:sz w:val="16"/>
          <w:szCs w:val="16"/>
          <w:u w:val="single" w:color="auto"/>
          <w:color w:val="0000FF"/>
        </w:rPr>
        <w:t xml:space="preserve"> </w:t>
      </w:r>
      <w:hyperlink r:id="rId253">
        <w:r>
          <w:rPr>
            <w:rFonts w:ascii="Times New Roman" w:cs="Times New Roman" w:eastAsia="Times New Roman" w:hAnsi="Times New Roman"/>
            <w:sz w:val="16"/>
            <w:szCs w:val="16"/>
            <w:u w:val="single" w:color="auto"/>
            <w:color w:val="0000FF"/>
          </w:rPr>
          <w:t>Statement on Form F-1 (File No. 333-233688), filed with the SEC on September 9, 2019)</w:t>
        </w:r>
      </w:hyperlink>
    </w:p>
    <w:p>
      <w:pPr>
        <w:spacing w:after="0" w:line="106" w:lineRule="exact"/>
        <w:rPr>
          <w:sz w:val="20"/>
          <w:szCs w:val="20"/>
          <w:color w:val="auto"/>
        </w:rPr>
      </w:pPr>
    </w:p>
    <w:p>
      <w:pPr>
        <w:jc w:val="both"/>
        <w:ind w:right="540"/>
        <w:spacing w:after="0" w:line="234" w:lineRule="auto"/>
        <w:rPr>
          <w:rFonts w:ascii="Times New Roman" w:cs="Times New Roman" w:eastAsia="Times New Roman" w:hAnsi="Times New Roman"/>
          <w:sz w:val="16"/>
          <w:szCs w:val="16"/>
          <w:u w:val="single" w:color="auto"/>
          <w:color w:val="0000FF"/>
        </w:rPr>
      </w:pPr>
      <w:hyperlink r:id="rId252">
        <w:r>
          <w:rPr>
            <w:rFonts w:ascii="Times New Roman" w:cs="Times New Roman" w:eastAsia="Times New Roman" w:hAnsi="Times New Roman"/>
            <w:sz w:val="16"/>
            <w:szCs w:val="16"/>
            <w:u w:val="single" w:color="auto"/>
            <w:color w:val="0000FF"/>
          </w:rPr>
          <w:t>Form of Deposit Agreement among the Registrant, the depositary and holders and beneficial owners of the American Depositary Shares</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(incorporated herein by reference to Exhibit 1 to the Registration Statement on Form F-6 (File No. 333-233898), filed with the SEC on</w:t>
        </w:r>
      </w:hyperlink>
      <w:r>
        <w:rPr>
          <w:rFonts w:ascii="Times New Roman" w:cs="Times New Roman" w:eastAsia="Times New Roman" w:hAnsi="Times New Roman"/>
          <w:sz w:val="16"/>
          <w:szCs w:val="16"/>
          <w:u w:val="single" w:color="auto"/>
          <w:color w:val="0000FF"/>
        </w:rPr>
        <w:t xml:space="preserve"> </w:t>
      </w:r>
      <w:hyperlink r:id="rId252">
        <w:r>
          <w:rPr>
            <w:rFonts w:ascii="Times New Roman" w:cs="Times New Roman" w:eastAsia="Times New Roman" w:hAnsi="Times New Roman"/>
            <w:sz w:val="16"/>
            <w:szCs w:val="16"/>
            <w:u w:val="single" w:color="auto"/>
            <w:color w:val="0000FF"/>
          </w:rPr>
          <w:t>September 23, 2019)</w:t>
        </w:r>
      </w:hyperlink>
    </w:p>
    <w:p>
      <w:pPr>
        <w:spacing w:after="0" w:line="110"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Description of Securities of the Registrant</w:t>
        </w:r>
      </w:hyperlink>
    </w:p>
    <w:p>
      <w:pPr>
        <w:spacing w:after="0" w:line="128" w:lineRule="exact"/>
        <w:rPr>
          <w:rFonts w:ascii="Times New Roman" w:cs="Times New Roman" w:eastAsia="Times New Roman" w:hAnsi="Times New Roman"/>
          <w:sz w:val="16"/>
          <w:szCs w:val="16"/>
          <w:u w:val="single" w:color="auto"/>
          <w:color w:val="0000FF"/>
        </w:rPr>
      </w:pPr>
    </w:p>
    <w:p>
      <w:pPr>
        <w:ind w:right="40"/>
        <w:spacing w:after="0" w:line="228" w:lineRule="auto"/>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Master Agreement for Research Services by and among the Registrant, BioNTech RNA Pharmaceuticals GmbH, BioNTech Diagnostics</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GmbH, BioNTech Protein Therapeutics GmbH, BioNTech Cell &amp; Gene Therapies GmbH, Eufets GmbH, JPT Peptide Technologies GmbH and</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TRON- Translationale Onkologie an der Universitätsmedizin der Johannes Gutenberg Universität Mainz gemeinnützige GmbH, dated January</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1, 2015 (incorporated herein by reference to Exhibit 10.1 to the Registrant’s Registration Statement on Form F-1 (File No. 333-233688), filed</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with the SEC on September 9, 2019)</w:t>
        </w:r>
      </w:hyperlink>
    </w:p>
    <w:p>
      <w:pPr>
        <w:spacing w:after="0" w:line="110" w:lineRule="exact"/>
        <w:rPr>
          <w:rFonts w:ascii="Times New Roman" w:cs="Times New Roman" w:eastAsia="Times New Roman" w:hAnsi="Times New Roman"/>
          <w:sz w:val="16"/>
          <w:szCs w:val="16"/>
          <w:u w:val="single" w:color="auto"/>
          <w:color w:val="0000FF"/>
        </w:rPr>
      </w:pPr>
    </w:p>
    <w:p>
      <w:pPr>
        <w:ind w:right="280"/>
        <w:spacing w:after="0" w:line="230" w:lineRule="auto"/>
        <w:rPr>
          <w:rFonts w:ascii="Times New Roman" w:cs="Times New Roman" w:eastAsia="Times New Roman" w:hAnsi="Times New Roman"/>
          <w:sz w:val="16"/>
          <w:szCs w:val="16"/>
          <w:u w:val="single" w:color="auto"/>
          <w:color w:val="0000FF"/>
        </w:rPr>
      </w:pPr>
      <w:hyperlink r:id="rId255">
        <w:r>
          <w:rPr>
            <w:rFonts w:ascii="Times New Roman" w:cs="Times New Roman" w:eastAsia="Times New Roman" w:hAnsi="Times New Roman"/>
            <w:sz w:val="16"/>
            <w:szCs w:val="16"/>
            <w:u w:val="single" w:color="auto"/>
            <w:color w:val="0000FF"/>
          </w:rPr>
          <w:t>Confirmation Letter by and among the Registrant, BioNTech RNA Pharmaceuticals GmbH and TRON- Translationale Onkologie an der</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Universitätsmedizin der Johannes Gutenberg Universität Mainz gemeinnützige GmbH dated September 15, 2016 (incorporated herein by</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reference to Exhibit 10.2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55">
        <w:r>
          <w:rPr>
            <w:rFonts w:ascii="Times New Roman" w:cs="Times New Roman" w:eastAsia="Times New Roman" w:hAnsi="Times New Roman"/>
            <w:sz w:val="16"/>
            <w:szCs w:val="16"/>
            <w:u w:val="single" w:color="auto"/>
            <w:color w:val="0000FF"/>
          </w:rPr>
          <w:t>2019)</w:t>
        </w:r>
      </w:hyperlink>
    </w:p>
    <w:p>
      <w:pPr>
        <w:spacing w:after="0" w:line="111" w:lineRule="exact"/>
        <w:rPr>
          <w:rFonts w:ascii="Times New Roman" w:cs="Times New Roman" w:eastAsia="Times New Roman" w:hAnsi="Times New Roman"/>
          <w:sz w:val="16"/>
          <w:szCs w:val="16"/>
          <w:u w:val="single" w:color="auto"/>
          <w:color w:val="0000FF"/>
        </w:rPr>
      </w:pPr>
    </w:p>
    <w:p>
      <w:pPr>
        <w:spacing w:after="0" w:line="226" w:lineRule="auto"/>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Supplementary Agreement for [***] Developments to the Master Agreement for Research Services by and among the Registrant, BioNTech</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RNA Pharmaceuticals GmbH, BioNTech Diagnostics GmbH, BioNTech Protein Therapeutics GmbH, BioNTech Cell &amp; Gene Therapies</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GmbH, BioNTech Innovative Manufacturing Services GmbH (f/k/a Eufets GmbH), JPT Peptide Technologies GmbH and TRON-Translationale</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Onkologie an der Universitätsmedizin der Johannes Gutenberg Universität Mainz gemeinnützige GmbH, dated November 28, 2017</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(incorporated herein by reference to Exhibit 10.3 to the Registrant’s Registration Statement on Form F-1 (File No. 333-233688), filed with the</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SEC on September 9, 2019)</w:t>
        </w:r>
      </w:hyperlink>
    </w:p>
    <w:p>
      <w:pPr>
        <w:spacing w:after="0" w:line="113" w:lineRule="exact"/>
        <w:rPr>
          <w:rFonts w:ascii="Times New Roman" w:cs="Times New Roman" w:eastAsia="Times New Roman" w:hAnsi="Times New Roman"/>
          <w:sz w:val="16"/>
          <w:szCs w:val="16"/>
          <w:u w:val="single" w:color="auto"/>
          <w:color w:val="0000FF"/>
        </w:rPr>
      </w:pPr>
    </w:p>
    <w:p>
      <w:pPr>
        <w:ind w:right="60"/>
        <w:spacing w:after="0" w:line="230" w:lineRule="auto"/>
        <w:rPr>
          <w:rFonts w:ascii="Times New Roman" w:cs="Times New Roman" w:eastAsia="Times New Roman" w:hAnsi="Times New Roman"/>
          <w:sz w:val="16"/>
          <w:szCs w:val="16"/>
          <w:u w:val="single" w:color="auto"/>
          <w:color w:val="0000FF"/>
        </w:rPr>
      </w:pPr>
      <w:hyperlink r:id="rId257">
        <w:r>
          <w:rPr>
            <w:rFonts w:ascii="Times New Roman" w:cs="Times New Roman" w:eastAsia="Times New Roman" w:hAnsi="Times New Roman"/>
            <w:sz w:val="16"/>
            <w:szCs w:val="16"/>
            <w:u w:val="single" w:color="auto"/>
            <w:color w:val="0000FF"/>
          </w:rPr>
          <w:t>License Agreement by and among the Registrant, TRON-Translationale Onkologie an der Universitätsmedizin der Johannes Gutenberg</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Universität Mainz gemeinnützige GmbH, Johannes Gutenberg-Universität Mainz, Universitätsmedizin der Johannes Gutenberg-Universität and</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Ganymed Pharmaceuticals AG, dated January 1, 2015 (incorporated herein by reference to Exhibit 10.4 to the Registrant’s Registration</w:t>
        </w:r>
      </w:hyperlink>
      <w:r>
        <w:rPr>
          <w:rFonts w:ascii="Times New Roman" w:cs="Times New Roman" w:eastAsia="Times New Roman" w:hAnsi="Times New Roman"/>
          <w:sz w:val="16"/>
          <w:szCs w:val="16"/>
          <w:u w:val="single" w:color="auto"/>
          <w:color w:val="0000FF"/>
        </w:rPr>
        <w:t xml:space="preserve"> </w:t>
      </w:r>
      <w:hyperlink r:id="rId257">
        <w:r>
          <w:rPr>
            <w:rFonts w:ascii="Times New Roman" w:cs="Times New Roman" w:eastAsia="Times New Roman" w:hAnsi="Times New Roman"/>
            <w:sz w:val="16"/>
            <w:szCs w:val="16"/>
            <w:u w:val="single" w:color="auto"/>
            <w:color w:val="0000FF"/>
          </w:rPr>
          <w:t>Statement on Form F-1 (File No. 333-233688), filed with the SEC on September 9, 2019)</w:t>
        </w:r>
      </w:hyperlink>
    </w:p>
    <w:p>
      <w:pPr>
        <w:spacing w:after="0" w:line="111" w:lineRule="exact"/>
        <w:rPr>
          <w:rFonts w:ascii="Times New Roman" w:cs="Times New Roman" w:eastAsia="Times New Roman" w:hAnsi="Times New Roman"/>
          <w:sz w:val="16"/>
          <w:szCs w:val="16"/>
          <w:u w:val="single" w:color="auto"/>
          <w:color w:val="0000FF"/>
        </w:rPr>
      </w:pPr>
    </w:p>
    <w:p>
      <w:pPr>
        <w:ind w:right="160"/>
        <w:spacing w:after="0" w:line="228" w:lineRule="auto"/>
        <w:rPr>
          <w:rFonts w:ascii="Times New Roman" w:cs="Times New Roman" w:eastAsia="Times New Roman" w:hAnsi="Times New Roman"/>
          <w:sz w:val="16"/>
          <w:szCs w:val="16"/>
          <w:u w:val="single" w:color="auto"/>
          <w:color w:val="0000FF"/>
        </w:rPr>
      </w:pPr>
      <w:hyperlink r:id="rId258">
        <w:r>
          <w:rPr>
            <w:rFonts w:ascii="Times New Roman" w:cs="Times New Roman" w:eastAsia="Times New Roman" w:hAnsi="Times New Roman"/>
            <w:sz w:val="16"/>
            <w:szCs w:val="16"/>
            <w:u w:val="single" w:color="auto"/>
            <w:color w:val="0000FF"/>
          </w:rPr>
          <w:t>Framework Collaboration Agreement by and among the Registrant, BioNTech RNA Pharmaceuticals GmbH, BioNTech Diagnostics GmbH,</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BioNTech Protein Therapeutics GmbH, BioNTech Cell &amp; Gene Therapies GmbH, BioNTech Innovative Manufacturing Services GmbH, JPT</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Peptide Technologies GmbH and TRON -Translationale Onkologie an der Universitätsmedizin der Johannes Gutenberg Universität Mainz</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gemeinnützige GmbH, dated August 29, 2019 (incorporated herein by reference to Exhibit 10.5 to the Registrant’s Registration Statement on</w:t>
        </w:r>
      </w:hyperlink>
      <w:r>
        <w:rPr>
          <w:rFonts w:ascii="Times New Roman" w:cs="Times New Roman" w:eastAsia="Times New Roman" w:hAnsi="Times New Roman"/>
          <w:sz w:val="16"/>
          <w:szCs w:val="16"/>
          <w:u w:val="single" w:color="auto"/>
          <w:color w:val="0000FF"/>
        </w:rPr>
        <w:t xml:space="preserve"> </w:t>
      </w:r>
      <w:hyperlink r:id="rId258">
        <w:r>
          <w:rPr>
            <w:rFonts w:ascii="Times New Roman" w:cs="Times New Roman" w:eastAsia="Times New Roman" w:hAnsi="Times New Roman"/>
            <w:sz w:val="16"/>
            <w:szCs w:val="16"/>
            <w:u w:val="single" w:color="auto"/>
            <w:color w:val="0000FF"/>
          </w:rPr>
          <w:t>Form F-1 (File No. 333-233688), filed with the SEC on September 9, 2019)</w:t>
        </w:r>
      </w:hyperlink>
    </w:p>
    <w:p>
      <w:pPr>
        <w:spacing w:after="0" w:line="200" w:lineRule="exact"/>
        <w:rPr>
          <w:rFonts w:ascii="Times New Roman" w:cs="Times New Roman" w:eastAsia="Times New Roman" w:hAnsi="Times New Roman"/>
          <w:sz w:val="16"/>
          <w:szCs w:val="16"/>
          <w:u w:val="single" w:color="auto"/>
          <w:color w:val="0000FF"/>
        </w:rPr>
      </w:pPr>
    </w:p>
    <w:p>
      <w:pPr>
        <w:sectPr>
          <w:pgSz w:w="11900" w:h="16840" w:orient="portrait"/>
          <w:cols w:equalWidth="0" w:num="2">
            <w:col w:w="1140" w:space="300"/>
            <w:col w:w="9040"/>
          </w:cols>
          <w:pgMar w:left="660" w:top="557" w:right="760"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95" w:lineRule="exact"/>
        <w:rPr>
          <w:rFonts w:ascii="Times New Roman" w:cs="Times New Roman" w:eastAsia="Times New Roman" w:hAnsi="Times New Roman"/>
          <w:sz w:val="16"/>
          <w:szCs w:val="16"/>
          <w:u w:val="single" w:color="auto"/>
          <w:color w:val="0000FF"/>
        </w:rPr>
      </w:pPr>
    </w:p>
    <w:p>
      <w:pPr>
        <w:jc w:val="center"/>
        <w:ind w:right="-79"/>
        <w:spacing w:after="0"/>
        <w:rPr>
          <w:sz w:val="20"/>
          <w:szCs w:val="20"/>
          <w:color w:val="auto"/>
        </w:rPr>
      </w:pPr>
      <w:r>
        <w:rPr>
          <w:rFonts w:ascii="Times New Roman" w:cs="Times New Roman" w:eastAsia="Times New Roman" w:hAnsi="Times New Roman"/>
          <w:sz w:val="16"/>
          <w:szCs w:val="16"/>
          <w:color w:val="auto"/>
        </w:rPr>
        <w:t>232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7" w:right="760" w:bottom="1440" w:gutter="0" w:footer="0" w:header="0"/>
          <w:type w:val="continuous"/>
        </w:sectPr>
      </w:pPr>
    </w:p>
    <w:bookmarkStart w:id="235" w:name="page236"/>
    <w:bookmarkEnd w:id="235"/>
    <w:p>
      <w:pPr>
        <w:ind w:left="380"/>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10420"/>
          </w:cols>
          <w:pgMar w:left="680" w:top="557" w:right="8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4.13†</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4.14†</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34" w:lineRule="exact"/>
        <w:rPr>
          <w:sz w:val="20"/>
          <w:szCs w:val="20"/>
          <w:color w:val="auto"/>
        </w:rPr>
      </w:pPr>
    </w:p>
    <w:p>
      <w:pPr>
        <w:ind w:right="40"/>
        <w:spacing w:after="0" w:line="234" w:lineRule="auto"/>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Amended Patent License Agreement by and among the Registrant, the Board of Supervisors of Louisiana State University and Agricultural and</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Mechanical College and Uniwersytet Warszawski, dated May 12, 2015 (incorporated herein by reference to Exhibit 10.6 to the Registrant’s</w:t>
        </w:r>
      </w:hyperlink>
      <w:r>
        <w:rPr>
          <w:rFonts w:ascii="Times New Roman" w:cs="Times New Roman" w:eastAsia="Times New Roman" w:hAnsi="Times New Roman"/>
          <w:sz w:val="16"/>
          <w:szCs w:val="16"/>
          <w:u w:val="single" w:color="auto"/>
          <w:color w:val="0000FF"/>
        </w:rPr>
        <w:t xml:space="preserve"> </w:t>
      </w:r>
      <w:hyperlink r:id="rId260">
        <w:r>
          <w:rPr>
            <w:rFonts w:ascii="Times New Roman" w:cs="Times New Roman" w:eastAsia="Times New Roman" w:hAnsi="Times New Roman"/>
            <w:sz w:val="16"/>
            <w:szCs w:val="16"/>
            <w:u w:val="single" w:color="auto"/>
            <w:color w:val="0000FF"/>
          </w:rPr>
          <w:t>Registration Statement on Form F-1 (File No. 333-233688), filed with the SEC on September 9, 2019)</w:t>
        </w:r>
      </w:hyperlink>
    </w:p>
    <w:p>
      <w:pPr>
        <w:spacing w:after="0" w:line="110" w:lineRule="exact"/>
        <w:rPr>
          <w:rFonts w:ascii="Times New Roman" w:cs="Times New Roman" w:eastAsia="Times New Roman" w:hAnsi="Times New Roman"/>
          <w:sz w:val="16"/>
          <w:szCs w:val="16"/>
          <w:u w:val="single" w:color="auto"/>
          <w:color w:val="0000FF"/>
        </w:rPr>
      </w:pPr>
    </w:p>
    <w:p>
      <w:pPr>
        <w:ind w:right="100"/>
        <w:spacing w:after="0" w:line="234" w:lineRule="auto"/>
        <w:rPr>
          <w:rFonts w:ascii="Times New Roman" w:cs="Times New Roman" w:eastAsia="Times New Roman" w:hAnsi="Times New Roman"/>
          <w:sz w:val="16"/>
          <w:szCs w:val="16"/>
          <w:u w:val="single" w:color="auto"/>
          <w:color w:val="0000FF"/>
        </w:rPr>
      </w:pPr>
      <w:hyperlink r:id="rId261">
        <w:r>
          <w:rPr>
            <w:rFonts w:ascii="Times New Roman" w:cs="Times New Roman" w:eastAsia="Times New Roman" w:hAnsi="Times New Roman"/>
            <w:sz w:val="16"/>
            <w:szCs w:val="16"/>
            <w:u w:val="single" w:color="auto"/>
            <w:color w:val="0000FF"/>
          </w:rPr>
          <w:t>Collaboration Agreement by and among the Registrant, BioNTech RNA Pharmaceuticals GmbH, Genentech, Inc. and F. Hoffman-La Roche</w:t>
        </w:r>
      </w:hyperlink>
      <w:r>
        <w:rPr>
          <w:rFonts w:ascii="Times New Roman" w:cs="Times New Roman" w:eastAsia="Times New Roman" w:hAnsi="Times New Roman"/>
          <w:sz w:val="16"/>
          <w:szCs w:val="16"/>
          <w:u w:val="single" w:color="auto"/>
          <w:color w:val="0000FF"/>
        </w:rPr>
        <w:t xml:space="preserve"> </w:t>
      </w:r>
      <w:hyperlink r:id="rId261">
        <w:r>
          <w:rPr>
            <w:rFonts w:ascii="Times New Roman" w:cs="Times New Roman" w:eastAsia="Times New Roman" w:hAnsi="Times New Roman"/>
            <w:sz w:val="16"/>
            <w:szCs w:val="16"/>
            <w:u w:val="single" w:color="auto"/>
            <w:color w:val="0000FF"/>
          </w:rPr>
          <w:t>Ltd, dated September 20, 2016 (incorporated herein by reference to Exhibit 10.14 to the Registrant’s Registration Statement on Form F-1 (File</w:t>
        </w:r>
      </w:hyperlink>
      <w:r>
        <w:rPr>
          <w:rFonts w:ascii="Times New Roman" w:cs="Times New Roman" w:eastAsia="Times New Roman" w:hAnsi="Times New Roman"/>
          <w:sz w:val="16"/>
          <w:szCs w:val="16"/>
          <w:u w:val="single" w:color="auto"/>
          <w:color w:val="0000FF"/>
        </w:rPr>
        <w:t xml:space="preserve"> </w:t>
      </w:r>
      <w:hyperlink r:id="rId261">
        <w:r>
          <w:rPr>
            <w:rFonts w:ascii="Times New Roman" w:cs="Times New Roman" w:eastAsia="Times New Roman" w:hAnsi="Times New Roman"/>
            <w:sz w:val="16"/>
            <w:szCs w:val="16"/>
            <w:u w:val="single" w:color="auto"/>
            <w:color w:val="0000FF"/>
          </w:rPr>
          <w:t>No. 333-233688), filed with the SEC on September 9, 2019)</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60"/>
        <w:spacing w:after="0" w:line="234" w:lineRule="auto"/>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First Amendment to the Collaboration Agreement by and among the Registrant, BioNTech RNA Pharmaceuticals GmbH, Genentech, Inc. and</w:t>
        </w:r>
      </w:hyperlink>
      <w:r>
        <w:rPr>
          <w:rFonts w:ascii="Times New Roman" w:cs="Times New Roman" w:eastAsia="Times New Roman" w:hAnsi="Times New Roman"/>
          <w:sz w:val="16"/>
          <w:szCs w:val="16"/>
          <w:u w:val="single" w:color="auto"/>
          <w:color w:val="0000FF"/>
        </w:rPr>
        <w:t xml:space="preserve"> </w:t>
      </w:r>
      <w:hyperlink r:id="rId262">
        <w:r>
          <w:rPr>
            <w:rFonts w:ascii="Times New Roman" w:cs="Times New Roman" w:eastAsia="Times New Roman" w:hAnsi="Times New Roman"/>
            <w:sz w:val="16"/>
            <w:szCs w:val="16"/>
            <w:u w:val="single" w:color="auto"/>
            <w:color w:val="0000FF"/>
          </w:rPr>
          <w:t>F. Hoffman -La Roche Ltd, dated June 1, 2018 (incorporated herein by reference to Exhibit 4.15 to the Registrant’s Annual Report on Form 20-</w:t>
        </w:r>
      </w:hyperlink>
      <w:hyperlink r:id="rId262">
        <w:r>
          <w:rPr>
            <w:rFonts w:ascii="Times New Roman" w:cs="Times New Roman" w:eastAsia="Times New Roman" w:hAnsi="Times New Roman"/>
            <w:sz w:val="16"/>
            <w:szCs w:val="16"/>
            <w:u w:val="single" w:color="auto"/>
            <w:color w:val="0000FF"/>
          </w:rPr>
          <w:t>F (File No. 001-39081), filed with the SEC on March 31, 2020)</w:t>
        </w:r>
      </w:hyperlink>
    </w:p>
    <w:p>
      <w:pPr>
        <w:spacing w:after="0" w:line="110" w:lineRule="exact"/>
        <w:rPr>
          <w:rFonts w:ascii="Times New Roman" w:cs="Times New Roman" w:eastAsia="Times New Roman" w:hAnsi="Times New Roman"/>
          <w:sz w:val="16"/>
          <w:szCs w:val="16"/>
          <w:u w:val="single" w:color="auto"/>
          <w:color w:val="0000FF"/>
        </w:rPr>
      </w:pPr>
    </w:p>
    <w:p>
      <w:pPr>
        <w:ind w:right="60"/>
        <w:spacing w:after="0" w:line="234" w:lineRule="auto"/>
        <w:rPr>
          <w:rFonts w:ascii="Times New Roman" w:cs="Times New Roman" w:eastAsia="Times New Roman" w:hAnsi="Times New Roman"/>
          <w:sz w:val="16"/>
          <w:szCs w:val="16"/>
          <w:u w:val="single" w:color="auto"/>
          <w:color w:val="0000FF"/>
        </w:rPr>
      </w:pPr>
      <w:hyperlink r:id="rId263">
        <w:r>
          <w:rPr>
            <w:rFonts w:ascii="Times New Roman" w:cs="Times New Roman" w:eastAsia="Times New Roman" w:hAnsi="Times New Roman"/>
            <w:sz w:val="16"/>
            <w:szCs w:val="16"/>
            <w:u w:val="single" w:color="auto"/>
            <w:color w:val="0000FF"/>
          </w:rPr>
          <w:t>Second Amendment to the Collaboration Agreement by and among the Registrant, BioNTech RNA Pharmaceuticals GmbH, Genentech, Inc.</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and F. Hoffman- La Roche Ltd, dated December 6, 2019 (incorporated herein by reference to Exhibit 4.16 to the Registrant’s Annual Report on</w:t>
        </w:r>
      </w:hyperlink>
      <w:r>
        <w:rPr>
          <w:rFonts w:ascii="Times New Roman" w:cs="Times New Roman" w:eastAsia="Times New Roman" w:hAnsi="Times New Roman"/>
          <w:sz w:val="16"/>
          <w:szCs w:val="16"/>
          <w:u w:val="single" w:color="auto"/>
          <w:color w:val="0000FF"/>
        </w:rPr>
        <w:t xml:space="preserve"> </w:t>
      </w:r>
      <w:hyperlink r:id="rId263">
        <w:r>
          <w:rPr>
            <w:rFonts w:ascii="Times New Roman" w:cs="Times New Roman" w:eastAsia="Times New Roman" w:hAnsi="Times New Roman"/>
            <w:sz w:val="16"/>
            <w:szCs w:val="16"/>
            <w:u w:val="single" w:color="auto"/>
            <w:color w:val="0000FF"/>
          </w:rPr>
          <w:t>Form 20-F (File No. 001-39081), filed with the SEC on March 31, 2020)</w:t>
        </w:r>
      </w:hyperlink>
    </w:p>
    <w:p>
      <w:pPr>
        <w:spacing w:after="0" w:line="110" w:lineRule="exact"/>
        <w:rPr>
          <w:rFonts w:ascii="Times New Roman" w:cs="Times New Roman" w:eastAsia="Times New Roman" w:hAnsi="Times New Roman"/>
          <w:sz w:val="16"/>
          <w:szCs w:val="16"/>
          <w:u w:val="single" w:color="auto"/>
          <w:color w:val="0000FF"/>
        </w:rPr>
      </w:pPr>
    </w:p>
    <w:p>
      <w:pPr>
        <w:ind w:right="400"/>
        <w:spacing w:after="0" w:line="281" w:lineRule="auto"/>
        <w:rPr>
          <w:rFonts w:ascii="Times New Roman" w:cs="Times New Roman" w:eastAsia="Times New Roman" w:hAnsi="Times New Roman"/>
          <w:sz w:val="14"/>
          <w:szCs w:val="14"/>
          <w:u w:val="single" w:color="auto"/>
          <w:color w:val="0000FF"/>
        </w:rPr>
      </w:pPr>
      <w:hyperlink r:id="rId264">
        <w:r>
          <w:rPr>
            <w:rFonts w:ascii="Times New Roman" w:cs="Times New Roman" w:eastAsia="Times New Roman" w:hAnsi="Times New Roman"/>
            <w:sz w:val="14"/>
            <w:szCs w:val="14"/>
            <w:u w:val="single" w:color="auto"/>
            <w:color w:val="0000FF"/>
          </w:rPr>
          <w:t>Joinder and Third Amendment to the Collaboration Agreement by and among the Registrant, BioNTech RNA Pharmaceuticals GmbH,</w:t>
        </w:r>
      </w:hyperlink>
      <w:r>
        <w:rPr>
          <w:rFonts w:ascii="Times New Roman" w:cs="Times New Roman" w:eastAsia="Times New Roman" w:hAnsi="Times New Roman"/>
          <w:sz w:val="14"/>
          <w:szCs w:val="14"/>
          <w:u w:val="single" w:color="auto"/>
          <w:color w:val="0000FF"/>
        </w:rPr>
        <w:t xml:space="preserve"> </w:t>
      </w:r>
      <w:hyperlink r:id="rId264">
        <w:r>
          <w:rPr>
            <w:rFonts w:ascii="Times New Roman" w:cs="Times New Roman" w:eastAsia="Times New Roman" w:hAnsi="Times New Roman"/>
            <w:sz w:val="14"/>
            <w:szCs w:val="14"/>
            <w:u w:val="single" w:color="auto"/>
            <w:color w:val="0000FF"/>
          </w:rPr>
          <w:t>BioNTech Manufacturing GmbH, Genentech, Inc. and F. Hoffman-La Roche Ltd, effective as of October 1, 2020 (incorporated herein by</w:t>
        </w:r>
      </w:hyperlink>
      <w:r>
        <w:rPr>
          <w:rFonts w:ascii="Times New Roman" w:cs="Times New Roman" w:eastAsia="Times New Roman" w:hAnsi="Times New Roman"/>
          <w:sz w:val="14"/>
          <w:szCs w:val="14"/>
          <w:u w:val="single" w:color="auto"/>
          <w:color w:val="0000FF"/>
        </w:rPr>
        <w:t xml:space="preserve"> </w:t>
      </w:r>
      <w:hyperlink r:id="rId264">
        <w:r>
          <w:rPr>
            <w:rFonts w:ascii="Times New Roman" w:cs="Times New Roman" w:eastAsia="Times New Roman" w:hAnsi="Times New Roman"/>
            <w:sz w:val="14"/>
            <w:szCs w:val="14"/>
            <w:u w:val="single" w:color="auto"/>
            <w:color w:val="0000FF"/>
          </w:rPr>
          <w:t>reference to Exhibit 4.16 to the Registrant’s Annual Report on Form 20-F (File No. 001-39081) filed with the SEC on March 30, 2022)</w:t>
        </w:r>
      </w:hyperlink>
    </w:p>
    <w:p>
      <w:pPr>
        <w:spacing w:after="0" w:line="83" w:lineRule="exact"/>
        <w:rPr>
          <w:rFonts w:ascii="Times New Roman" w:cs="Times New Roman" w:eastAsia="Times New Roman" w:hAnsi="Times New Roman"/>
          <w:sz w:val="14"/>
          <w:szCs w:val="14"/>
          <w:u w:val="single" w:color="auto"/>
          <w:color w:val="0000FF"/>
        </w:rPr>
      </w:pPr>
    </w:p>
    <w:p>
      <w:pPr>
        <w:ind w:right="240"/>
        <w:spacing w:after="0" w:line="234" w:lineRule="auto"/>
        <w:rPr>
          <w:rFonts w:ascii="Times New Roman" w:cs="Times New Roman" w:eastAsia="Times New Roman" w:hAnsi="Times New Roman"/>
          <w:sz w:val="16"/>
          <w:szCs w:val="16"/>
          <w:u w:val="single" w:color="auto"/>
          <w:color w:val="0000FF"/>
        </w:rPr>
      </w:pPr>
      <w:hyperlink r:id="rId265">
        <w:r>
          <w:rPr>
            <w:rFonts w:ascii="Times New Roman" w:cs="Times New Roman" w:eastAsia="Times New Roman" w:hAnsi="Times New Roman"/>
            <w:sz w:val="16"/>
            <w:szCs w:val="16"/>
            <w:u w:val="single" w:color="auto"/>
            <w:color w:val="0000FF"/>
          </w:rPr>
          <w:t>Fourth Amendment to the Collaboration Agreement by and among the Registrant, BioNTech RNA Pharmaceuticals GmbH, BioNTech</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Manufacturing GmbH, Genentech, Inc. and F. Hoffman-La Roche Ltd, effective as of October 26, 2020 (incorporated herein by reference to</w:t>
        </w:r>
      </w:hyperlink>
      <w:r>
        <w:rPr>
          <w:rFonts w:ascii="Times New Roman" w:cs="Times New Roman" w:eastAsia="Times New Roman" w:hAnsi="Times New Roman"/>
          <w:sz w:val="16"/>
          <w:szCs w:val="16"/>
          <w:u w:val="single" w:color="auto"/>
          <w:color w:val="0000FF"/>
        </w:rPr>
        <w:t xml:space="preserve"> </w:t>
      </w:r>
      <w:hyperlink r:id="rId265">
        <w:r>
          <w:rPr>
            <w:rFonts w:ascii="Times New Roman" w:cs="Times New Roman" w:eastAsia="Times New Roman" w:hAnsi="Times New Roman"/>
            <w:sz w:val="16"/>
            <w:szCs w:val="16"/>
            <w:u w:val="single" w:color="auto"/>
            <w:color w:val="0000FF"/>
          </w:rPr>
          <w:t>Exhibit 4.17 to the Registrant’s Annual Report on Form 20-F (File No. 001-39081) filed with the SEC on March 30, 2022)</w:t>
        </w:r>
      </w:hyperlink>
    </w:p>
    <w:p>
      <w:pPr>
        <w:spacing w:after="0" w:line="110" w:lineRule="exact"/>
        <w:rPr>
          <w:rFonts w:ascii="Times New Roman" w:cs="Times New Roman" w:eastAsia="Times New Roman" w:hAnsi="Times New Roman"/>
          <w:sz w:val="16"/>
          <w:szCs w:val="16"/>
          <w:u w:val="single" w:color="auto"/>
          <w:color w:val="0000FF"/>
        </w:rPr>
      </w:pPr>
    </w:p>
    <w:p>
      <w:pPr>
        <w:ind w:right="80"/>
        <w:spacing w:after="0" w:line="234" w:lineRule="auto"/>
        <w:rPr>
          <w:rFonts w:ascii="Times New Roman" w:cs="Times New Roman" w:eastAsia="Times New Roman" w:hAnsi="Times New Roman"/>
          <w:sz w:val="16"/>
          <w:szCs w:val="16"/>
          <w:u w:val="single" w:color="auto"/>
          <w:color w:val="0000FF"/>
        </w:rPr>
      </w:pPr>
      <w:hyperlink r:id="rId266">
        <w:r>
          <w:rPr>
            <w:rFonts w:ascii="Times New Roman" w:cs="Times New Roman" w:eastAsia="Times New Roman" w:hAnsi="Times New Roman"/>
            <w:sz w:val="16"/>
            <w:szCs w:val="16"/>
            <w:u w:val="single" w:color="auto"/>
            <w:color w:val="0000FF"/>
          </w:rPr>
          <w:t>Patent Sublicense Agreement by and between CellScript, LLC and BioNTech RNA Pharmaceuticals GmbH, dated July 14, 2017 (incorporated</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herein by reference to Exhibit 10.15 to the Registrant’s Registration Statement on Form F-1 (File No. 333-233688), filed with the SEC on</w:t>
        </w:r>
      </w:hyperlink>
      <w:r>
        <w:rPr>
          <w:rFonts w:ascii="Times New Roman" w:cs="Times New Roman" w:eastAsia="Times New Roman" w:hAnsi="Times New Roman"/>
          <w:sz w:val="16"/>
          <w:szCs w:val="16"/>
          <w:u w:val="single" w:color="auto"/>
          <w:color w:val="0000FF"/>
        </w:rPr>
        <w:t xml:space="preserve"> </w:t>
      </w:r>
      <w:hyperlink r:id="rId266">
        <w:r>
          <w:rPr>
            <w:rFonts w:ascii="Times New Roman" w:cs="Times New Roman" w:eastAsia="Times New Roman" w:hAnsi="Times New Roman"/>
            <w:sz w:val="16"/>
            <w:szCs w:val="16"/>
            <w:u w:val="single" w:color="auto"/>
            <w:color w:val="0000FF"/>
          </w:rPr>
          <w:t>September 9, 2019)</w:t>
        </w:r>
      </w:hyperlink>
    </w:p>
    <w:p>
      <w:pPr>
        <w:spacing w:after="0" w:line="110" w:lineRule="exact"/>
        <w:rPr>
          <w:rFonts w:ascii="Times New Roman" w:cs="Times New Roman" w:eastAsia="Times New Roman" w:hAnsi="Times New Roman"/>
          <w:sz w:val="16"/>
          <w:szCs w:val="16"/>
          <w:u w:val="single" w:color="auto"/>
          <w:color w:val="0000FF"/>
        </w:rPr>
      </w:pPr>
    </w:p>
    <w:p>
      <w:pPr>
        <w:jc w:val="both"/>
        <w:spacing w:after="0" w:line="234" w:lineRule="auto"/>
        <w:rPr>
          <w:rFonts w:ascii="Times New Roman" w:cs="Times New Roman" w:eastAsia="Times New Roman" w:hAnsi="Times New Roman"/>
          <w:sz w:val="16"/>
          <w:szCs w:val="16"/>
          <w:u w:val="single" w:color="auto"/>
          <w:color w:val="0000FF"/>
        </w:rPr>
      </w:pPr>
      <w:hyperlink r:id="rId267">
        <w:r>
          <w:rPr>
            <w:rFonts w:ascii="Times New Roman" w:cs="Times New Roman" w:eastAsia="Times New Roman" w:hAnsi="Times New Roman"/>
            <w:sz w:val="16"/>
            <w:szCs w:val="16"/>
            <w:u w:val="single" w:color="auto"/>
            <w:color w:val="0000FF"/>
          </w:rPr>
          <w:t>Second Amendment to Patent Sublicense Agreement by and between CellScript, LLC and BioNTech RNA Pharmaceuticals GmbH, effective as</w:t>
        </w:r>
      </w:hyperlink>
      <w:r>
        <w:rPr>
          <w:rFonts w:ascii="Times New Roman" w:cs="Times New Roman" w:eastAsia="Times New Roman" w:hAnsi="Times New Roman"/>
          <w:sz w:val="16"/>
          <w:szCs w:val="16"/>
          <w:u w:val="single" w:color="auto"/>
          <w:color w:val="0000FF"/>
        </w:rPr>
        <w:t xml:space="preserve"> </w:t>
      </w:r>
      <w:hyperlink r:id="rId267">
        <w:r>
          <w:rPr>
            <w:rFonts w:ascii="Times New Roman" w:cs="Times New Roman" w:eastAsia="Times New Roman" w:hAnsi="Times New Roman"/>
            <w:sz w:val="16"/>
            <w:szCs w:val="16"/>
            <w:u w:val="single" w:color="auto"/>
            <w:color w:val="0000FF"/>
          </w:rPr>
          <w:t>of August 1, 2020 (incorporated herein by reference to Exhibit 4.19 to the Registrant’s Annual Report on Form 20-F (File No. 001-39081) filed</w:t>
        </w:r>
      </w:hyperlink>
      <w:r>
        <w:rPr>
          <w:rFonts w:ascii="Times New Roman" w:cs="Times New Roman" w:eastAsia="Times New Roman" w:hAnsi="Times New Roman"/>
          <w:sz w:val="16"/>
          <w:szCs w:val="16"/>
          <w:u w:val="single" w:color="auto"/>
          <w:color w:val="0000FF"/>
        </w:rPr>
        <w:t xml:space="preserve"> </w:t>
      </w:r>
      <w:hyperlink r:id="rId267">
        <w:r>
          <w:rPr>
            <w:rFonts w:ascii="Times New Roman" w:cs="Times New Roman" w:eastAsia="Times New Roman" w:hAnsi="Times New Roman"/>
            <w:sz w:val="16"/>
            <w:szCs w:val="16"/>
            <w:u w:val="single" w:color="auto"/>
            <w:color w:val="0000FF"/>
          </w:rPr>
          <w:t>with the SEC on March 30, 2022)</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40"/>
        <w:spacing w:after="0" w:line="234" w:lineRule="auto"/>
        <w:rPr>
          <w:rFonts w:ascii="Times New Roman" w:cs="Times New Roman" w:eastAsia="Times New Roman" w:hAnsi="Times New Roman"/>
          <w:sz w:val="16"/>
          <w:szCs w:val="16"/>
          <w:u w:val="single" w:color="auto"/>
          <w:color w:val="0000FF"/>
        </w:rPr>
      </w:pPr>
      <w:hyperlink r:id="rId268">
        <w:r>
          <w:rPr>
            <w:rFonts w:ascii="Times New Roman" w:cs="Times New Roman" w:eastAsia="Times New Roman" w:hAnsi="Times New Roman"/>
            <w:sz w:val="16"/>
            <w:szCs w:val="16"/>
            <w:u w:val="single" w:color="auto"/>
            <w:color w:val="0000FF"/>
          </w:rPr>
          <w:t>Patent Sublicense Agreement by and between mRNA RiboTherapeutics, Inc. and BioNTech RNA Pharmaceuticals GmbH, dated July 14, 2017</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(incorporated herein by reference to Exhibit 10.16 to the Registrant’s Registration Statement on Form F-1 (File No. 333-233688), filed with the</w:t>
        </w:r>
      </w:hyperlink>
      <w:r>
        <w:rPr>
          <w:rFonts w:ascii="Times New Roman" w:cs="Times New Roman" w:eastAsia="Times New Roman" w:hAnsi="Times New Roman"/>
          <w:sz w:val="16"/>
          <w:szCs w:val="16"/>
          <w:u w:val="single" w:color="auto"/>
          <w:color w:val="0000FF"/>
        </w:rPr>
        <w:t xml:space="preserve"> </w:t>
      </w:r>
      <w:hyperlink r:id="rId268">
        <w:r>
          <w:rPr>
            <w:rFonts w:ascii="Times New Roman" w:cs="Times New Roman" w:eastAsia="Times New Roman" w:hAnsi="Times New Roman"/>
            <w:sz w:val="16"/>
            <w:szCs w:val="16"/>
            <w:u w:val="single" w:color="auto"/>
            <w:color w:val="0000FF"/>
          </w:rPr>
          <w:t>SEC on September 9, 2019)</w:t>
        </w:r>
      </w:hyperlink>
    </w:p>
    <w:p>
      <w:pPr>
        <w:spacing w:after="0" w:line="110" w:lineRule="exact"/>
        <w:rPr>
          <w:rFonts w:ascii="Times New Roman" w:cs="Times New Roman" w:eastAsia="Times New Roman" w:hAnsi="Times New Roman"/>
          <w:sz w:val="16"/>
          <w:szCs w:val="16"/>
          <w:u w:val="single" w:color="auto"/>
          <w:color w:val="0000FF"/>
        </w:rPr>
      </w:pPr>
    </w:p>
    <w:p>
      <w:pPr>
        <w:ind w:right="140"/>
        <w:spacing w:after="0" w:line="234" w:lineRule="auto"/>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Second Amendment to Patent Sublicense Agreement by and between mRNA RiboTherapeutics, Inc. and BioNTech RNA Pharmaceuticals</w:t>
        </w:r>
      </w:hyperlink>
      <w:r>
        <w:rPr>
          <w:rFonts w:ascii="Times New Roman" w:cs="Times New Roman" w:eastAsia="Times New Roman" w:hAnsi="Times New Roman"/>
          <w:sz w:val="16"/>
          <w:szCs w:val="16"/>
          <w:u w:val="single" w:color="auto"/>
          <w:color w:val="0000FF"/>
        </w:rPr>
        <w:t xml:space="preserve"> </w:t>
      </w:r>
      <w:hyperlink r:id="rId269">
        <w:r>
          <w:rPr>
            <w:rFonts w:ascii="Times New Roman" w:cs="Times New Roman" w:eastAsia="Times New Roman" w:hAnsi="Times New Roman"/>
            <w:sz w:val="16"/>
            <w:szCs w:val="16"/>
            <w:u w:val="single" w:color="auto"/>
            <w:color w:val="0000FF"/>
          </w:rPr>
          <w:t>GmbH, effective as of August 1, 2020 (incorporated herein by reference to Exhibit 4.21 to the Registrant’s Annual Report on Form 20-F (File</w:t>
        </w:r>
      </w:hyperlink>
      <w:r>
        <w:rPr>
          <w:rFonts w:ascii="Times New Roman" w:cs="Times New Roman" w:eastAsia="Times New Roman" w:hAnsi="Times New Roman"/>
          <w:sz w:val="16"/>
          <w:szCs w:val="16"/>
          <w:u w:val="single" w:color="auto"/>
          <w:color w:val="0000FF"/>
        </w:rPr>
        <w:t xml:space="preserve"> </w:t>
      </w:r>
      <w:hyperlink r:id="rId269">
        <w:r>
          <w:rPr>
            <w:rFonts w:ascii="Times New Roman" w:cs="Times New Roman" w:eastAsia="Times New Roman" w:hAnsi="Times New Roman"/>
            <w:sz w:val="16"/>
            <w:szCs w:val="16"/>
            <w:u w:val="single" w:color="auto"/>
            <w:color w:val="0000FF"/>
          </w:rPr>
          <w:t>No. 001-39081), filed with the SEC on March 30, 2022)</w:t>
        </w:r>
      </w:hyperlink>
    </w:p>
    <w:p>
      <w:pPr>
        <w:spacing w:after="0" w:line="110" w:lineRule="exact"/>
        <w:rPr>
          <w:rFonts w:ascii="Times New Roman" w:cs="Times New Roman" w:eastAsia="Times New Roman" w:hAnsi="Times New Roman"/>
          <w:sz w:val="16"/>
          <w:szCs w:val="16"/>
          <w:u w:val="single" w:color="auto"/>
          <w:color w:val="0000FF"/>
        </w:rPr>
      </w:pPr>
    </w:p>
    <w:p>
      <w:pPr>
        <w:ind w:right="20"/>
        <w:spacing w:after="0" w:line="234" w:lineRule="auto"/>
        <w:rPr>
          <w:rFonts w:ascii="Times New Roman" w:cs="Times New Roman" w:eastAsia="Times New Roman" w:hAnsi="Times New Roman"/>
          <w:sz w:val="16"/>
          <w:szCs w:val="16"/>
          <w:u w:val="single" w:color="auto"/>
          <w:color w:val="0000FF"/>
        </w:rPr>
      </w:pPr>
      <w:hyperlink r:id="rId270">
        <w:r>
          <w:rPr>
            <w:rFonts w:ascii="Times New Roman" w:cs="Times New Roman" w:eastAsia="Times New Roman" w:hAnsi="Times New Roman"/>
            <w:sz w:val="16"/>
            <w:szCs w:val="16"/>
            <w:u w:val="single" w:color="auto"/>
            <w:color w:val="0000FF"/>
          </w:rPr>
          <w:t>Research Collaboration and License Agreement by and among the Registrant, BioNTech RNA Pharmaceuticals GmbH and Pfizer, Inc., dated</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July 20, 2018 (incorporated herein by reference to Exhibit 10.18 to the Registrant’s Registration Statement on Form F-1 (File No. 333-233688),</w:t>
        </w:r>
      </w:hyperlink>
      <w:r>
        <w:rPr>
          <w:rFonts w:ascii="Times New Roman" w:cs="Times New Roman" w:eastAsia="Times New Roman" w:hAnsi="Times New Roman"/>
          <w:sz w:val="16"/>
          <w:szCs w:val="16"/>
          <w:u w:val="single" w:color="auto"/>
          <w:color w:val="0000FF"/>
        </w:rPr>
        <w:t xml:space="preserve"> </w:t>
      </w:r>
      <w:hyperlink r:id="rId270">
        <w:r>
          <w:rPr>
            <w:rFonts w:ascii="Times New Roman" w:cs="Times New Roman" w:eastAsia="Times New Roman" w:hAnsi="Times New Roman"/>
            <w:sz w:val="16"/>
            <w:szCs w:val="16"/>
            <w:u w:val="single" w:color="auto"/>
            <w:color w:val="0000FF"/>
          </w:rPr>
          <w:t>filed with the SEC on September 9, 2019)</w:t>
        </w:r>
      </w:hyperlink>
    </w:p>
    <w:p>
      <w:pPr>
        <w:spacing w:after="0" w:line="110" w:lineRule="exact"/>
        <w:rPr>
          <w:rFonts w:ascii="Times New Roman" w:cs="Times New Roman" w:eastAsia="Times New Roman" w:hAnsi="Times New Roman"/>
          <w:sz w:val="16"/>
          <w:szCs w:val="16"/>
          <w:u w:val="single" w:color="auto"/>
          <w:color w:val="0000FF"/>
        </w:rPr>
      </w:pPr>
    </w:p>
    <w:p>
      <w:pPr>
        <w:ind w:right="120"/>
        <w:spacing w:after="0" w:line="234" w:lineRule="auto"/>
        <w:rPr>
          <w:rFonts w:ascii="Times New Roman" w:cs="Times New Roman" w:eastAsia="Times New Roman" w:hAnsi="Times New Roman"/>
          <w:sz w:val="16"/>
          <w:szCs w:val="16"/>
          <w:u w:val="single" w:color="auto"/>
          <w:color w:val="0000FF"/>
        </w:rPr>
      </w:pPr>
      <w:hyperlink r:id="rId271">
        <w:r>
          <w:rPr>
            <w:rFonts w:ascii="Times New Roman" w:cs="Times New Roman" w:eastAsia="Times New Roman" w:hAnsi="Times New Roman"/>
            <w:sz w:val="16"/>
            <w:szCs w:val="16"/>
            <w:u w:val="single" w:color="auto"/>
            <w:color w:val="0000FF"/>
          </w:rPr>
          <w:t>Collaboration and License Agreement by and between the Trustees of the University of Pennsylvania and BioNTech RNA Pharmaceuticals</w:t>
        </w:r>
      </w:hyperlink>
      <w:r>
        <w:rPr>
          <w:rFonts w:ascii="Times New Roman" w:cs="Times New Roman" w:eastAsia="Times New Roman" w:hAnsi="Times New Roman"/>
          <w:sz w:val="16"/>
          <w:szCs w:val="16"/>
          <w:u w:val="single" w:color="auto"/>
          <w:color w:val="0000FF"/>
        </w:rPr>
        <w:t xml:space="preserve"> </w:t>
      </w:r>
      <w:hyperlink r:id="rId271">
        <w:r>
          <w:rPr>
            <w:rFonts w:ascii="Times New Roman" w:cs="Times New Roman" w:eastAsia="Times New Roman" w:hAnsi="Times New Roman"/>
            <w:sz w:val="16"/>
            <w:szCs w:val="16"/>
            <w:u w:val="single" w:color="auto"/>
            <w:color w:val="0000FF"/>
          </w:rPr>
          <w:t>GmbH, dated October 9, 2018 (incorporated herein by reference to Exhibit 10.19 to the Registrant’s Registration Statement on Form F-1 (File</w:t>
        </w:r>
      </w:hyperlink>
      <w:r>
        <w:rPr>
          <w:rFonts w:ascii="Times New Roman" w:cs="Times New Roman" w:eastAsia="Times New Roman" w:hAnsi="Times New Roman"/>
          <w:sz w:val="16"/>
          <w:szCs w:val="16"/>
          <w:u w:val="single" w:color="auto"/>
          <w:color w:val="0000FF"/>
        </w:rPr>
        <w:t xml:space="preserve"> </w:t>
      </w:r>
      <w:hyperlink r:id="rId271">
        <w:r>
          <w:rPr>
            <w:rFonts w:ascii="Times New Roman" w:cs="Times New Roman" w:eastAsia="Times New Roman" w:hAnsi="Times New Roman"/>
            <w:sz w:val="16"/>
            <w:szCs w:val="16"/>
            <w:u w:val="single" w:color="auto"/>
            <w:color w:val="0000FF"/>
          </w:rPr>
          <w:t>No. 333-233688), filed with the SEC on September 9, 2019)</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94" w:lineRule="exact"/>
        <w:rPr>
          <w:rFonts w:ascii="Times New Roman" w:cs="Times New Roman" w:eastAsia="Times New Roman" w:hAnsi="Times New Roman"/>
          <w:sz w:val="16"/>
          <w:szCs w:val="16"/>
          <w:u w:val="single" w:color="auto"/>
          <w:color w:val="0000FF"/>
        </w:rPr>
      </w:pPr>
    </w:p>
    <w:p>
      <w:pPr>
        <w:ind w:left="3720"/>
        <w:spacing w:after="0"/>
        <w:rPr>
          <w:sz w:val="20"/>
          <w:szCs w:val="20"/>
          <w:color w:val="auto"/>
        </w:rPr>
      </w:pPr>
      <w:r>
        <w:rPr>
          <w:rFonts w:ascii="Times New Roman" w:cs="Times New Roman" w:eastAsia="Times New Roman" w:hAnsi="Times New Roman"/>
          <w:sz w:val="16"/>
          <w:szCs w:val="16"/>
          <w:color w:val="auto"/>
        </w:rPr>
        <w:t>233</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-922655</wp:posOffset>
            </wp:positionH>
            <wp:positionV relativeFrom="paragraph">
              <wp:posOffset>46355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940" w:space="480"/>
            <w:col w:w="9000"/>
          </w:cols>
          <w:pgMar w:left="680" w:top="557" w:right="800" w:bottom="1440" w:gutter="0" w:footer="0" w:header="0"/>
          <w:type w:val="continuous"/>
        </w:sectPr>
      </w:pPr>
    </w:p>
    <w:bookmarkStart w:id="236" w:name="page237"/>
    <w:bookmarkEnd w:id="236"/>
    <w:p>
      <w:pPr>
        <w:ind w:left="380"/>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10440"/>
          </w:cols>
          <w:pgMar w:left="680" w:top="557" w:right="7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4.27†</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4.28†</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34" w:lineRule="exact"/>
        <w:rPr>
          <w:sz w:val="20"/>
          <w:szCs w:val="20"/>
          <w:color w:val="auto"/>
        </w:rPr>
      </w:pPr>
    </w:p>
    <w:p>
      <w:pPr>
        <w:ind w:right="40"/>
        <w:spacing w:after="0" w:line="244" w:lineRule="auto"/>
        <w:rPr>
          <w:rFonts w:ascii="Times New Roman" w:cs="Times New Roman" w:eastAsia="Times New Roman" w:hAnsi="Times New Roman"/>
          <w:sz w:val="16"/>
          <w:szCs w:val="16"/>
          <w:u w:val="single" w:color="auto"/>
          <w:color w:val="0000FF"/>
        </w:rPr>
      </w:pPr>
      <w:hyperlink r:id="rId273">
        <w:r>
          <w:rPr>
            <w:rFonts w:ascii="Times New Roman" w:cs="Times New Roman" w:eastAsia="Times New Roman" w:hAnsi="Times New Roman"/>
            <w:sz w:val="16"/>
            <w:szCs w:val="16"/>
            <w:u w:val="single" w:color="auto"/>
            <w:color w:val="0000FF"/>
          </w:rPr>
          <w:t>Lease Agreement by and among the Registrant and Wolfram Richter, dated August 17, 2011 (incorporated herein by reference to Exhibit 10.25</w:t>
        </w:r>
      </w:hyperlink>
      <w:r>
        <w:rPr>
          <w:rFonts w:ascii="Times New Roman" w:cs="Times New Roman" w:eastAsia="Times New Roman" w:hAnsi="Times New Roman"/>
          <w:sz w:val="16"/>
          <w:szCs w:val="16"/>
          <w:u w:val="single" w:color="auto"/>
          <w:color w:val="0000FF"/>
        </w:rPr>
        <w:t xml:space="preserve"> </w:t>
      </w:r>
      <w:hyperlink r:id="rId273">
        <w:r>
          <w:rPr>
            <w:rFonts w:ascii="Times New Roman" w:cs="Times New Roman" w:eastAsia="Times New Roman" w:hAnsi="Times New Roman"/>
            <w:sz w:val="16"/>
            <w:szCs w:val="16"/>
            <w:u w:val="single" w:color="auto"/>
            <w:color w:val="0000FF"/>
          </w:rPr>
          <w:t>to the Registrant’s Registration Statement on Form F-1 (File No. 333-233688), filed with the SEC on September 9, 2019)</w:t>
        </w:r>
      </w:hyperlink>
    </w:p>
    <w:p>
      <w:pPr>
        <w:spacing w:after="0" w:line="106" w:lineRule="exact"/>
        <w:rPr>
          <w:sz w:val="20"/>
          <w:szCs w:val="20"/>
          <w:color w:val="auto"/>
        </w:rPr>
      </w:pPr>
    </w:p>
    <w:p>
      <w:pPr>
        <w:ind w:right="160"/>
        <w:spacing w:after="0" w:line="234" w:lineRule="auto"/>
        <w:rPr>
          <w:rFonts w:ascii="Times New Roman" w:cs="Times New Roman" w:eastAsia="Times New Roman" w:hAnsi="Times New Roman"/>
          <w:sz w:val="16"/>
          <w:szCs w:val="16"/>
          <w:u w:val="single" w:color="auto"/>
          <w:color w:val="0000FF"/>
        </w:rPr>
      </w:pPr>
      <w:hyperlink r:id="rId274">
        <w:r>
          <w:rPr>
            <w:rFonts w:ascii="Times New Roman" w:cs="Times New Roman" w:eastAsia="Times New Roman" w:hAnsi="Times New Roman"/>
            <w:sz w:val="16"/>
            <w:szCs w:val="16"/>
            <w:u w:val="single" w:color="auto"/>
            <w:color w:val="0000FF"/>
          </w:rPr>
          <w:t>Amendment No. 1 to Lease Agreement by and among the Registrant and Wolfram Richter, dated February 17, 2012 (incorporated herein by</w:t>
        </w:r>
      </w:hyperlink>
      <w:r>
        <w:rPr>
          <w:rFonts w:ascii="Times New Roman" w:cs="Times New Roman" w:eastAsia="Times New Roman" w:hAnsi="Times New Roman"/>
          <w:sz w:val="16"/>
          <w:szCs w:val="16"/>
          <w:u w:val="single" w:color="auto"/>
          <w:color w:val="0000FF"/>
        </w:rPr>
        <w:t xml:space="preserve"> </w:t>
      </w:r>
      <w:hyperlink r:id="rId274">
        <w:r>
          <w:rPr>
            <w:rFonts w:ascii="Times New Roman" w:cs="Times New Roman" w:eastAsia="Times New Roman" w:hAnsi="Times New Roman"/>
            <w:sz w:val="16"/>
            <w:szCs w:val="16"/>
            <w:u w:val="single" w:color="auto"/>
            <w:color w:val="0000FF"/>
          </w:rPr>
          <w:t>reference to Exhibit 10.26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4">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ind w:right="160"/>
        <w:spacing w:after="0" w:line="234" w:lineRule="auto"/>
        <w:rPr>
          <w:rFonts w:ascii="Times New Roman" w:cs="Times New Roman" w:eastAsia="Times New Roman" w:hAnsi="Times New Roman"/>
          <w:sz w:val="16"/>
          <w:szCs w:val="16"/>
          <w:u w:val="single" w:color="auto"/>
          <w:color w:val="0000FF"/>
        </w:rPr>
      </w:pPr>
      <w:hyperlink r:id="rId275">
        <w:r>
          <w:rPr>
            <w:rFonts w:ascii="Times New Roman" w:cs="Times New Roman" w:eastAsia="Times New Roman" w:hAnsi="Times New Roman"/>
            <w:sz w:val="16"/>
            <w:szCs w:val="16"/>
            <w:u w:val="single" w:color="auto"/>
            <w:color w:val="0000FF"/>
          </w:rPr>
          <w:t>Amendment No. 2 to Lease Agreement by and among the Registrant and Wolfram Richter, dated February 1, 2013 (incorporated herein by</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reference to Exhibit 10.27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5">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ind w:right="160"/>
        <w:spacing w:after="0" w:line="234" w:lineRule="auto"/>
        <w:rPr>
          <w:rFonts w:ascii="Times New Roman" w:cs="Times New Roman" w:eastAsia="Times New Roman" w:hAnsi="Times New Roman"/>
          <w:sz w:val="16"/>
          <w:szCs w:val="16"/>
          <w:u w:val="single" w:color="auto"/>
          <w:color w:val="0000FF"/>
        </w:rPr>
      </w:pPr>
      <w:hyperlink r:id="rId276">
        <w:r>
          <w:rPr>
            <w:rFonts w:ascii="Times New Roman" w:cs="Times New Roman" w:eastAsia="Times New Roman" w:hAnsi="Times New Roman"/>
            <w:sz w:val="16"/>
            <w:szCs w:val="16"/>
            <w:u w:val="single" w:color="auto"/>
            <w:color w:val="0000FF"/>
          </w:rPr>
          <w:t>Amendment No. 3 to Lease Agreement by and among the Registrant and Wolfram Richter, dated March 6, 2013 (incorporated herein by</w:t>
        </w:r>
      </w:hyperlink>
      <w:r>
        <w:rPr>
          <w:rFonts w:ascii="Times New Roman" w:cs="Times New Roman" w:eastAsia="Times New Roman" w:hAnsi="Times New Roman"/>
          <w:sz w:val="16"/>
          <w:szCs w:val="16"/>
          <w:u w:val="single" w:color="auto"/>
          <w:color w:val="0000FF"/>
        </w:rPr>
        <w:t xml:space="preserve"> </w:t>
      </w:r>
      <w:hyperlink r:id="rId276">
        <w:r>
          <w:rPr>
            <w:rFonts w:ascii="Times New Roman" w:cs="Times New Roman" w:eastAsia="Times New Roman" w:hAnsi="Times New Roman"/>
            <w:sz w:val="16"/>
            <w:szCs w:val="16"/>
            <w:u w:val="single" w:color="auto"/>
            <w:color w:val="0000FF"/>
          </w:rPr>
          <w:t>reference to Exhibit 10.28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6">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160"/>
        <w:spacing w:after="0" w:line="234" w:lineRule="auto"/>
        <w:rPr>
          <w:rFonts w:ascii="Times New Roman" w:cs="Times New Roman" w:eastAsia="Times New Roman" w:hAnsi="Times New Roman"/>
          <w:sz w:val="16"/>
          <w:szCs w:val="16"/>
          <w:u w:val="single" w:color="auto"/>
          <w:color w:val="0000FF"/>
        </w:rPr>
      </w:pPr>
      <w:hyperlink r:id="rId277">
        <w:r>
          <w:rPr>
            <w:rFonts w:ascii="Times New Roman" w:cs="Times New Roman" w:eastAsia="Times New Roman" w:hAnsi="Times New Roman"/>
            <w:sz w:val="16"/>
            <w:szCs w:val="16"/>
            <w:u w:val="single" w:color="auto"/>
            <w:color w:val="0000FF"/>
          </w:rPr>
          <w:t>Amendment No. 4 to Lease Agreement by and among the Registrant and Wolfram Richter, dated December 10, 2013 (incorporated herein by</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reference to Exhibit 10.29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7">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ind w:right="160"/>
        <w:spacing w:after="0" w:line="234" w:lineRule="auto"/>
        <w:rPr>
          <w:rFonts w:ascii="Times New Roman" w:cs="Times New Roman" w:eastAsia="Times New Roman" w:hAnsi="Times New Roman"/>
          <w:sz w:val="16"/>
          <w:szCs w:val="16"/>
          <w:u w:val="single" w:color="auto"/>
          <w:color w:val="0000FF"/>
        </w:rPr>
      </w:pPr>
      <w:hyperlink r:id="rId278">
        <w:r>
          <w:rPr>
            <w:rFonts w:ascii="Times New Roman" w:cs="Times New Roman" w:eastAsia="Times New Roman" w:hAnsi="Times New Roman"/>
            <w:sz w:val="16"/>
            <w:szCs w:val="16"/>
            <w:u w:val="single" w:color="auto"/>
            <w:color w:val="0000FF"/>
          </w:rPr>
          <w:t>Amendment No. 5 to Lease Agreement by and among the Registrant and Wolfram Richter, dated March 29, 2016 (incorporated herein by</w:t>
        </w:r>
      </w:hyperlink>
      <w:r>
        <w:rPr>
          <w:rFonts w:ascii="Times New Roman" w:cs="Times New Roman" w:eastAsia="Times New Roman" w:hAnsi="Times New Roman"/>
          <w:sz w:val="16"/>
          <w:szCs w:val="16"/>
          <w:u w:val="single" w:color="auto"/>
          <w:color w:val="0000FF"/>
        </w:rPr>
        <w:t xml:space="preserve"> </w:t>
      </w:r>
      <w:hyperlink r:id="rId278">
        <w:r>
          <w:rPr>
            <w:rFonts w:ascii="Times New Roman" w:cs="Times New Roman" w:eastAsia="Times New Roman" w:hAnsi="Times New Roman"/>
            <w:sz w:val="16"/>
            <w:szCs w:val="16"/>
            <w:u w:val="single" w:color="auto"/>
            <w:color w:val="0000FF"/>
          </w:rPr>
          <w:t>reference to Exhibit 10.30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8">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ind w:right="160"/>
        <w:spacing w:after="0" w:line="234" w:lineRule="auto"/>
        <w:rPr>
          <w:rFonts w:ascii="Times New Roman" w:cs="Times New Roman" w:eastAsia="Times New Roman" w:hAnsi="Times New Roman"/>
          <w:sz w:val="16"/>
          <w:szCs w:val="16"/>
          <w:u w:val="single" w:color="auto"/>
          <w:color w:val="0000FF"/>
        </w:rPr>
      </w:pPr>
      <w:hyperlink r:id="rId279">
        <w:r>
          <w:rPr>
            <w:rFonts w:ascii="Times New Roman" w:cs="Times New Roman" w:eastAsia="Times New Roman" w:hAnsi="Times New Roman"/>
            <w:sz w:val="16"/>
            <w:szCs w:val="16"/>
            <w:u w:val="single" w:color="auto"/>
            <w:color w:val="0000FF"/>
          </w:rPr>
          <w:t>Amendment No. 6 to Lease Agreement by and among the Registrant and Wolfram Richter, dated October 6, 2017 (incorporated herein by</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reference to Exhibit 10.31 to the Registrant’s Registration Statement on Form F-1 (File No. 333-233688), filed with the SEC on September 9,</w:t>
        </w:r>
      </w:hyperlink>
      <w:r>
        <w:rPr>
          <w:rFonts w:ascii="Times New Roman" w:cs="Times New Roman" w:eastAsia="Times New Roman" w:hAnsi="Times New Roman"/>
          <w:sz w:val="16"/>
          <w:szCs w:val="16"/>
          <w:u w:val="single" w:color="auto"/>
          <w:color w:val="0000FF"/>
        </w:rPr>
        <w:t xml:space="preserve"> </w:t>
      </w:r>
      <w:hyperlink r:id="rId279">
        <w:r>
          <w:rPr>
            <w:rFonts w:ascii="Times New Roman" w:cs="Times New Roman" w:eastAsia="Times New Roman" w:hAnsi="Times New Roman"/>
            <w:sz w:val="16"/>
            <w:szCs w:val="16"/>
            <w:u w:val="single" w:color="auto"/>
            <w:color w:val="0000FF"/>
          </w:rPr>
          <w:t>2019)</w:t>
        </w:r>
      </w:hyperlink>
    </w:p>
    <w:p>
      <w:pPr>
        <w:spacing w:after="0" w:line="110" w:lineRule="exact"/>
        <w:rPr>
          <w:rFonts w:ascii="Times New Roman" w:cs="Times New Roman" w:eastAsia="Times New Roman" w:hAnsi="Times New Roman"/>
          <w:sz w:val="16"/>
          <w:szCs w:val="16"/>
          <w:u w:val="single" w:color="auto"/>
          <w:color w:val="0000FF"/>
        </w:rPr>
      </w:pPr>
    </w:p>
    <w:p>
      <w:pPr>
        <w:ind w:right="420"/>
        <w:spacing w:after="0" w:line="313" w:lineRule="auto"/>
        <w:rPr>
          <w:rFonts w:ascii="Times New Roman" w:cs="Times New Roman" w:eastAsia="Times New Roman" w:hAnsi="Times New Roman"/>
          <w:sz w:val="14"/>
          <w:szCs w:val="14"/>
          <w:u w:val="single" w:color="auto"/>
          <w:color w:val="0000FF"/>
        </w:rPr>
      </w:pPr>
      <w:hyperlink r:id="rId280">
        <w:r>
          <w:rPr>
            <w:rFonts w:ascii="Times New Roman" w:cs="Times New Roman" w:eastAsia="Times New Roman" w:hAnsi="Times New Roman"/>
            <w:sz w:val="14"/>
            <w:szCs w:val="14"/>
            <w:u w:val="single" w:color="auto"/>
            <w:color w:val="0000FF"/>
          </w:rPr>
          <w:t>Lease Agreement by and among the Registrant and Wista-Management GmbH, dated April 12, 2005 (incorporated herein by reference to</w:t>
        </w:r>
      </w:hyperlink>
      <w:r>
        <w:rPr>
          <w:rFonts w:ascii="Times New Roman" w:cs="Times New Roman" w:eastAsia="Times New Roman" w:hAnsi="Times New Roman"/>
          <w:sz w:val="14"/>
          <w:szCs w:val="14"/>
          <w:u w:val="single" w:color="auto"/>
          <w:color w:val="0000FF"/>
        </w:rPr>
        <w:t xml:space="preserve"> </w:t>
      </w:r>
      <w:hyperlink r:id="rId280">
        <w:r>
          <w:rPr>
            <w:rFonts w:ascii="Times New Roman" w:cs="Times New Roman" w:eastAsia="Times New Roman" w:hAnsi="Times New Roman"/>
            <w:sz w:val="14"/>
            <w:szCs w:val="14"/>
            <w:u w:val="single" w:color="auto"/>
            <w:color w:val="0000FF"/>
          </w:rPr>
          <w:t>Exhibit 10.32 to the Registrant’s Registration Statement on Form F-1 (File No. 333-233688), filed with the SEC on September 9, 2019)</w:t>
        </w:r>
      </w:hyperlink>
    </w:p>
    <w:p>
      <w:pPr>
        <w:spacing w:after="0" w:line="60" w:lineRule="exact"/>
        <w:rPr>
          <w:sz w:val="20"/>
          <w:szCs w:val="20"/>
          <w:color w:val="auto"/>
        </w:rPr>
      </w:pPr>
    </w:p>
    <w:p>
      <w:pPr>
        <w:jc w:val="both"/>
        <w:ind w:right="120"/>
        <w:spacing w:after="0" w:line="234" w:lineRule="auto"/>
        <w:rPr>
          <w:rFonts w:ascii="Times New Roman" w:cs="Times New Roman" w:eastAsia="Times New Roman" w:hAnsi="Times New Roman"/>
          <w:sz w:val="16"/>
          <w:szCs w:val="16"/>
          <w:u w:val="single" w:color="auto"/>
          <w:color w:val="0000FF"/>
        </w:rPr>
      </w:pPr>
      <w:hyperlink r:id="rId281">
        <w:r>
          <w:rPr>
            <w:rFonts w:ascii="Times New Roman" w:cs="Times New Roman" w:eastAsia="Times New Roman" w:hAnsi="Times New Roman"/>
            <w:sz w:val="16"/>
            <w:szCs w:val="16"/>
            <w:u w:val="single" w:color="auto"/>
            <w:color w:val="0000FF"/>
          </w:rPr>
          <w:t>Amendment to Lease Agreement by and among the Registrant and Wista-Management GmbH, dated December 27, 2018 (incorporated herein</w:t>
        </w:r>
      </w:hyperlink>
      <w:r>
        <w:rPr>
          <w:rFonts w:ascii="Times New Roman" w:cs="Times New Roman" w:eastAsia="Times New Roman" w:hAnsi="Times New Roman"/>
          <w:sz w:val="16"/>
          <w:szCs w:val="16"/>
          <w:u w:val="single" w:color="auto"/>
          <w:color w:val="0000FF"/>
        </w:rPr>
        <w:t xml:space="preserve"> </w:t>
      </w:r>
      <w:hyperlink r:id="rId281">
        <w:r>
          <w:rPr>
            <w:rFonts w:ascii="Times New Roman" w:cs="Times New Roman" w:eastAsia="Times New Roman" w:hAnsi="Times New Roman"/>
            <w:sz w:val="16"/>
            <w:szCs w:val="16"/>
            <w:u w:val="single" w:color="auto"/>
            <w:color w:val="0000FF"/>
          </w:rPr>
          <w:t>by reference to Exhibit 10.33 to the Registrant’s Registration Statement on Form F-1 (File No. 333-233688), filed with the SEC on September</w:t>
        </w:r>
      </w:hyperlink>
      <w:r>
        <w:rPr>
          <w:rFonts w:ascii="Times New Roman" w:cs="Times New Roman" w:eastAsia="Times New Roman" w:hAnsi="Times New Roman"/>
          <w:sz w:val="16"/>
          <w:szCs w:val="16"/>
          <w:u w:val="single" w:color="auto"/>
          <w:color w:val="0000FF"/>
        </w:rPr>
        <w:t xml:space="preserve"> </w:t>
      </w:r>
      <w:hyperlink r:id="rId281">
        <w:r>
          <w:rPr>
            <w:rFonts w:ascii="Times New Roman" w:cs="Times New Roman" w:eastAsia="Times New Roman" w:hAnsi="Times New Roman"/>
            <w:sz w:val="16"/>
            <w:szCs w:val="16"/>
            <w:u w:val="single" w:color="auto"/>
            <w:color w:val="0000FF"/>
          </w:rPr>
          <w:t>9, 2019)</w:t>
        </w:r>
      </w:hyperlink>
    </w:p>
    <w:p>
      <w:pPr>
        <w:spacing w:after="0" w:line="110" w:lineRule="exact"/>
        <w:rPr>
          <w:rFonts w:ascii="Times New Roman" w:cs="Times New Roman" w:eastAsia="Times New Roman" w:hAnsi="Times New Roman"/>
          <w:sz w:val="16"/>
          <w:szCs w:val="16"/>
          <w:u w:val="single" w:color="auto"/>
          <w:color w:val="0000FF"/>
        </w:rPr>
      </w:pPr>
    </w:p>
    <w:p>
      <w:pPr>
        <w:ind w:right="60"/>
        <w:spacing w:after="0" w:line="313" w:lineRule="auto"/>
        <w:rPr>
          <w:rFonts w:ascii="Times New Roman" w:cs="Times New Roman" w:eastAsia="Times New Roman" w:hAnsi="Times New Roman"/>
          <w:sz w:val="14"/>
          <w:szCs w:val="14"/>
          <w:u w:val="single" w:color="auto"/>
          <w:color w:val="0000FF"/>
        </w:rPr>
      </w:pPr>
      <w:hyperlink r:id="rId282">
        <w:r>
          <w:rPr>
            <w:rFonts w:ascii="Times New Roman" w:cs="Times New Roman" w:eastAsia="Times New Roman" w:hAnsi="Times New Roman"/>
            <w:sz w:val="14"/>
            <w:szCs w:val="14"/>
            <w:u w:val="single" w:color="auto"/>
            <w:color w:val="0000FF"/>
          </w:rPr>
          <w:t>Amendment to Lease Agreement by and among the Registrant and Wista- Management GmbH, dated October 24, 2019 (incorporated herein by</w:t>
        </w:r>
      </w:hyperlink>
      <w:r>
        <w:rPr>
          <w:rFonts w:ascii="Times New Roman" w:cs="Times New Roman" w:eastAsia="Times New Roman" w:hAnsi="Times New Roman"/>
          <w:sz w:val="14"/>
          <w:szCs w:val="14"/>
          <w:u w:val="single" w:color="auto"/>
          <w:color w:val="0000FF"/>
        </w:rPr>
        <w:t xml:space="preserve"> </w:t>
      </w:r>
      <w:hyperlink r:id="rId282">
        <w:r>
          <w:rPr>
            <w:rFonts w:ascii="Times New Roman" w:cs="Times New Roman" w:eastAsia="Times New Roman" w:hAnsi="Times New Roman"/>
            <w:sz w:val="14"/>
            <w:szCs w:val="14"/>
            <w:u w:val="single" w:color="auto"/>
            <w:color w:val="0000FF"/>
          </w:rPr>
          <w:t>reference to Exhibit 4.35 to the Registrant’s Annual Report on Form 20-F (File No. 001-39081) filed with the SEC on March 31, 2020)</w:t>
        </w:r>
      </w:hyperlink>
    </w:p>
    <w:p>
      <w:pPr>
        <w:spacing w:after="0" w:line="60" w:lineRule="exact"/>
        <w:rPr>
          <w:sz w:val="20"/>
          <w:szCs w:val="20"/>
          <w:color w:val="auto"/>
        </w:rPr>
      </w:pPr>
    </w:p>
    <w:p>
      <w:pPr>
        <w:ind w:right="80"/>
        <w:spacing w:after="0" w:line="313" w:lineRule="auto"/>
        <w:rPr>
          <w:rFonts w:ascii="Times New Roman" w:cs="Times New Roman" w:eastAsia="Times New Roman" w:hAnsi="Times New Roman"/>
          <w:sz w:val="14"/>
          <w:szCs w:val="14"/>
          <w:u w:val="single" w:color="auto"/>
          <w:color w:val="0000FF"/>
        </w:rPr>
      </w:pPr>
      <w:hyperlink r:id="rId283">
        <w:r>
          <w:rPr>
            <w:rFonts w:ascii="Times New Roman" w:cs="Times New Roman" w:eastAsia="Times New Roman" w:hAnsi="Times New Roman"/>
            <w:sz w:val="14"/>
            <w:szCs w:val="14"/>
            <w:u w:val="single" w:color="auto"/>
            <w:color w:val="0000FF"/>
          </w:rPr>
          <w:t>Amendment to Lease Agreement by and among the Registrant and Wista-Management GmbH, dated June 1, 2020 (incorporated herein by</w:t>
        </w:r>
      </w:hyperlink>
      <w:r>
        <w:rPr>
          <w:rFonts w:ascii="Times New Roman" w:cs="Times New Roman" w:eastAsia="Times New Roman" w:hAnsi="Times New Roman"/>
          <w:sz w:val="14"/>
          <w:szCs w:val="14"/>
          <w:u w:val="single" w:color="auto"/>
          <w:color w:val="0000FF"/>
        </w:rPr>
        <w:t xml:space="preserve"> </w:t>
      </w:r>
      <w:hyperlink r:id="rId283">
        <w:r>
          <w:rPr>
            <w:rFonts w:ascii="Times New Roman" w:cs="Times New Roman" w:eastAsia="Times New Roman" w:hAnsi="Times New Roman"/>
            <w:sz w:val="14"/>
            <w:szCs w:val="14"/>
            <w:u w:val="single" w:color="auto"/>
            <w:color w:val="0000FF"/>
          </w:rPr>
          <w:t>reference to Exhibit 10.38 to the Registrant’s Registration Statement on Form F-1 (File No. 333-233970), filed with the SEC on July 21, 2020)</w:t>
        </w:r>
      </w:hyperlink>
    </w:p>
    <w:p>
      <w:pPr>
        <w:spacing w:after="0" w:line="60" w:lineRule="exact"/>
        <w:rPr>
          <w:sz w:val="20"/>
          <w:szCs w:val="20"/>
          <w:color w:val="auto"/>
        </w:rPr>
      </w:pPr>
    </w:p>
    <w:p>
      <w:pPr>
        <w:ind w:right="100"/>
        <w:spacing w:after="0" w:line="313" w:lineRule="auto"/>
        <w:rPr>
          <w:rFonts w:ascii="Times New Roman" w:cs="Times New Roman" w:eastAsia="Times New Roman" w:hAnsi="Times New Roman"/>
          <w:sz w:val="14"/>
          <w:szCs w:val="14"/>
          <w:u w:val="single" w:color="auto"/>
          <w:color w:val="0000FF"/>
        </w:rPr>
      </w:pPr>
      <w:hyperlink r:id="rId284">
        <w:r>
          <w:rPr>
            <w:rFonts w:ascii="Times New Roman" w:cs="Times New Roman" w:eastAsia="Times New Roman" w:hAnsi="Times New Roman"/>
            <w:sz w:val="14"/>
            <w:szCs w:val="14"/>
            <w:u w:val="single" w:color="auto"/>
            <w:color w:val="0000FF"/>
          </w:rPr>
          <w:t>Amended and Restated Collaboration Agreement by and between the Registrant and Pfizer Inc., dated March 17, 2020 (incorporated herein by</w:t>
        </w:r>
      </w:hyperlink>
      <w:r>
        <w:rPr>
          <w:rFonts w:ascii="Times New Roman" w:cs="Times New Roman" w:eastAsia="Times New Roman" w:hAnsi="Times New Roman"/>
          <w:sz w:val="14"/>
          <w:szCs w:val="14"/>
          <w:u w:val="single" w:color="auto"/>
          <w:color w:val="0000FF"/>
        </w:rPr>
        <w:t xml:space="preserve"> </w:t>
      </w:r>
      <w:hyperlink r:id="rId284">
        <w:r>
          <w:rPr>
            <w:rFonts w:ascii="Times New Roman" w:cs="Times New Roman" w:eastAsia="Times New Roman" w:hAnsi="Times New Roman"/>
            <w:sz w:val="14"/>
            <w:szCs w:val="14"/>
            <w:u w:val="single" w:color="auto"/>
            <w:color w:val="0000FF"/>
          </w:rPr>
          <w:t>reference to Exhibit 4.44 to the Registrant’s Annual Report on Form 20-F (File No. 001-39081), filed with the SEC on March 30, 2021)</w:t>
        </w:r>
      </w:hyperlink>
    </w:p>
    <w:p>
      <w:pPr>
        <w:spacing w:after="0" w:line="60" w:lineRule="exact"/>
        <w:rPr>
          <w:sz w:val="20"/>
          <w:szCs w:val="20"/>
          <w:color w:val="auto"/>
        </w:rPr>
      </w:pPr>
    </w:p>
    <w:p>
      <w:pPr>
        <w:spacing w:after="0" w:line="234" w:lineRule="auto"/>
        <w:rPr>
          <w:rFonts w:ascii="Times New Roman" w:cs="Times New Roman" w:eastAsia="Times New Roman" w:hAnsi="Times New Roman"/>
          <w:sz w:val="16"/>
          <w:szCs w:val="16"/>
          <w:u w:val="single" w:color="auto"/>
          <w:color w:val="0000FF"/>
        </w:rPr>
      </w:pPr>
      <w:hyperlink r:id="rId285">
        <w:r>
          <w:rPr>
            <w:rFonts w:ascii="Times New Roman" w:cs="Times New Roman" w:eastAsia="Times New Roman" w:hAnsi="Times New Roman"/>
            <w:sz w:val="16"/>
            <w:szCs w:val="16"/>
            <w:u w:val="single" w:color="auto"/>
            <w:color w:val="0000FF"/>
          </w:rPr>
          <w:t>Advance Purchase Agreement by and among BioNTech Manufacturing GmbH, Pfizer Inc., and the European Commission, dated November 20,</w:t>
        </w:r>
      </w:hyperlink>
      <w:r>
        <w:rPr>
          <w:rFonts w:ascii="Times New Roman" w:cs="Times New Roman" w:eastAsia="Times New Roman" w:hAnsi="Times New Roman"/>
          <w:sz w:val="16"/>
          <w:szCs w:val="16"/>
          <w:u w:val="single" w:color="auto"/>
          <w:color w:val="0000FF"/>
        </w:rPr>
        <w:t xml:space="preserve"> </w:t>
      </w:r>
      <w:hyperlink r:id="rId285">
        <w:r>
          <w:rPr>
            <w:rFonts w:ascii="Times New Roman" w:cs="Times New Roman" w:eastAsia="Times New Roman" w:hAnsi="Times New Roman"/>
            <w:sz w:val="16"/>
            <w:szCs w:val="16"/>
            <w:u w:val="single" w:color="auto"/>
            <w:color w:val="0000FF"/>
          </w:rPr>
          <w:t>2020 (incorporated herein by reference to Exhibit 4.51 to the Registrant’s Annual Report on Form 20-F (File No. 001-39081), filed with the</w:t>
        </w:r>
      </w:hyperlink>
      <w:r>
        <w:rPr>
          <w:rFonts w:ascii="Times New Roman" w:cs="Times New Roman" w:eastAsia="Times New Roman" w:hAnsi="Times New Roman"/>
          <w:sz w:val="16"/>
          <w:szCs w:val="16"/>
          <w:u w:val="single" w:color="auto"/>
          <w:color w:val="0000FF"/>
        </w:rPr>
        <w:t xml:space="preserve"> </w:t>
      </w:r>
      <w:hyperlink r:id="rId285">
        <w:r>
          <w:rPr>
            <w:rFonts w:ascii="Times New Roman" w:cs="Times New Roman" w:eastAsia="Times New Roman" w:hAnsi="Times New Roman"/>
            <w:sz w:val="16"/>
            <w:szCs w:val="16"/>
            <w:u w:val="single" w:color="auto"/>
            <w:color w:val="0000FF"/>
          </w:rPr>
          <w:t>SEC on March 30, 2021)</w:t>
        </w:r>
      </w:hyperlink>
    </w:p>
    <w:p>
      <w:pPr>
        <w:spacing w:after="0" w:line="110" w:lineRule="exact"/>
        <w:rPr>
          <w:rFonts w:ascii="Times New Roman" w:cs="Times New Roman" w:eastAsia="Times New Roman" w:hAnsi="Times New Roman"/>
          <w:sz w:val="16"/>
          <w:szCs w:val="16"/>
          <w:u w:val="single" w:color="auto"/>
          <w:color w:val="0000FF"/>
        </w:rPr>
      </w:pPr>
    </w:p>
    <w:p>
      <w:pPr>
        <w:ind w:right="100"/>
        <w:spacing w:after="0" w:line="234" w:lineRule="auto"/>
        <w:rPr>
          <w:rFonts w:ascii="Times New Roman" w:cs="Times New Roman" w:eastAsia="Times New Roman" w:hAnsi="Times New Roman"/>
          <w:sz w:val="16"/>
          <w:szCs w:val="16"/>
          <w:u w:val="single" w:color="auto"/>
          <w:color w:val="0000FF"/>
        </w:rPr>
      </w:pPr>
      <w:hyperlink r:id="rId286">
        <w:r>
          <w:rPr>
            <w:rFonts w:ascii="Times New Roman" w:cs="Times New Roman" w:eastAsia="Times New Roman" w:hAnsi="Times New Roman"/>
            <w:sz w:val="16"/>
            <w:szCs w:val="16"/>
            <w:u w:val="single" w:color="auto"/>
            <w:color w:val="0000FF"/>
          </w:rPr>
          <w:t>Purchase Agreement by and among BioNTech Manufacturing GmbH, Pfizer Inc., and the European Commission, dated February 17, 2021</w:t>
        </w:r>
      </w:hyperlink>
      <w:r>
        <w:rPr>
          <w:rFonts w:ascii="Times New Roman" w:cs="Times New Roman" w:eastAsia="Times New Roman" w:hAnsi="Times New Roman"/>
          <w:sz w:val="16"/>
          <w:szCs w:val="16"/>
          <w:u w:val="single" w:color="auto"/>
          <w:color w:val="0000FF"/>
        </w:rPr>
        <w:t xml:space="preserve"> </w:t>
      </w:r>
      <w:hyperlink r:id="rId286">
        <w:r>
          <w:rPr>
            <w:rFonts w:ascii="Times New Roman" w:cs="Times New Roman" w:eastAsia="Times New Roman" w:hAnsi="Times New Roman"/>
            <w:sz w:val="16"/>
            <w:szCs w:val="16"/>
            <w:u w:val="single" w:color="auto"/>
            <w:color w:val="0000FF"/>
          </w:rPr>
          <w:t>(incorporated herein by reference to Exhibit 4.52 to the Registrant’s Annual Report on Form 20-F (File No. 001-39081), filed with the SEC on</w:t>
        </w:r>
      </w:hyperlink>
      <w:r>
        <w:rPr>
          <w:rFonts w:ascii="Times New Roman" w:cs="Times New Roman" w:eastAsia="Times New Roman" w:hAnsi="Times New Roman"/>
          <w:sz w:val="16"/>
          <w:szCs w:val="16"/>
          <w:u w:val="single" w:color="auto"/>
          <w:color w:val="0000FF"/>
        </w:rPr>
        <w:t xml:space="preserve"> </w:t>
      </w:r>
      <w:hyperlink r:id="rId286">
        <w:r>
          <w:rPr>
            <w:rFonts w:ascii="Times New Roman" w:cs="Times New Roman" w:eastAsia="Times New Roman" w:hAnsi="Times New Roman"/>
            <w:sz w:val="16"/>
            <w:szCs w:val="16"/>
            <w:u w:val="single" w:color="auto"/>
            <w:color w:val="0000FF"/>
          </w:rPr>
          <w:t>March 30, 2021)</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520"/>
        <w:spacing w:after="0" w:line="313" w:lineRule="auto"/>
        <w:rPr>
          <w:rFonts w:ascii="Times New Roman" w:cs="Times New Roman" w:eastAsia="Times New Roman" w:hAnsi="Times New Roman"/>
          <w:sz w:val="14"/>
          <w:szCs w:val="14"/>
          <w:u w:val="single" w:color="auto"/>
          <w:color w:val="0000FF"/>
        </w:rPr>
      </w:pPr>
      <w:hyperlink r:id="rId287">
        <w:r>
          <w:rPr>
            <w:rFonts w:ascii="Times New Roman" w:cs="Times New Roman" w:eastAsia="Times New Roman" w:hAnsi="Times New Roman"/>
            <w:sz w:val="14"/>
            <w:szCs w:val="14"/>
            <w:u w:val="single" w:color="auto"/>
            <w:color w:val="0000FF"/>
          </w:rPr>
          <w:t>Lease for Buildings H028 and H30 by and between the Pharmaserv GmbH and Novartis Manufacturing GmbH (incorporated herein by</w:t>
        </w:r>
      </w:hyperlink>
      <w:r>
        <w:rPr>
          <w:rFonts w:ascii="Times New Roman" w:cs="Times New Roman" w:eastAsia="Times New Roman" w:hAnsi="Times New Roman"/>
          <w:sz w:val="14"/>
          <w:szCs w:val="14"/>
          <w:u w:val="single" w:color="auto"/>
          <w:color w:val="0000FF"/>
        </w:rPr>
        <w:t xml:space="preserve"> </w:t>
      </w:r>
      <w:hyperlink r:id="rId287">
        <w:r>
          <w:rPr>
            <w:rFonts w:ascii="Times New Roman" w:cs="Times New Roman" w:eastAsia="Times New Roman" w:hAnsi="Times New Roman"/>
            <w:sz w:val="14"/>
            <w:szCs w:val="14"/>
            <w:u w:val="single" w:color="auto"/>
            <w:color w:val="0000FF"/>
          </w:rPr>
          <w:t>reference to Exhibit 4.53 to the Registrant’s Annual Report on Form 20-F (File No. 001-39081), filed with the SEC on March 30,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46355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940" w:space="500"/>
            <w:col w:w="9000"/>
          </w:cols>
          <w:pgMar w:left="680" w:top="557" w:right="780" w:bottom="1440" w:gutter="0" w:footer="0" w:header="0"/>
          <w:type w:val="continuous"/>
        </w:sectPr>
      </w:pPr>
    </w:p>
    <w:bookmarkStart w:id="237" w:name="page238"/>
    <w:bookmarkEnd w:id="237"/>
    <w:p>
      <w:pPr>
        <w:ind w:left="380"/>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10440"/>
          </w:cols>
          <w:pgMar w:left="680" w:top="557" w:right="7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4.37†</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4.38†</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4.39†</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130" w:lineRule="exact"/>
        <w:rPr>
          <w:sz w:val="20"/>
          <w:szCs w:val="20"/>
          <w:color w:val="auto"/>
        </w:rPr>
      </w:pPr>
    </w:p>
    <w:p>
      <w:pPr>
        <w:spacing w:after="0" w:line="234" w:lineRule="auto"/>
        <w:rPr>
          <w:rFonts w:ascii="Times New Roman" w:cs="Times New Roman" w:eastAsia="Times New Roman" w:hAnsi="Times New Roman"/>
          <w:sz w:val="16"/>
          <w:szCs w:val="16"/>
          <w:u w:val="single" w:color="auto"/>
          <w:color w:val="0000FF"/>
        </w:rPr>
      </w:pPr>
      <w:hyperlink r:id="rId289">
        <w:r>
          <w:rPr>
            <w:rFonts w:ascii="Times New Roman" w:cs="Times New Roman" w:eastAsia="Times New Roman" w:hAnsi="Times New Roman"/>
            <w:sz w:val="16"/>
            <w:szCs w:val="16"/>
            <w:u w:val="single" w:color="auto"/>
            <w:color w:val="0000FF"/>
          </w:rPr>
          <w:t>Lease Agreement by and between the Registrant, as successor-in-interest to Kite Pharma, Inc., and Tech Park 270 III, LLC, dated as of</w:t>
        </w:r>
      </w:hyperlink>
      <w:r>
        <w:rPr>
          <w:rFonts w:ascii="Times New Roman" w:cs="Times New Roman" w:eastAsia="Times New Roman" w:hAnsi="Times New Roman"/>
          <w:sz w:val="16"/>
          <w:szCs w:val="16"/>
          <w:u w:val="single" w:color="auto"/>
          <w:color w:val="0000FF"/>
        </w:rPr>
        <w:t xml:space="preserve"> </w:t>
      </w:r>
      <w:hyperlink r:id="rId289">
        <w:r>
          <w:rPr>
            <w:rFonts w:ascii="Times New Roman" w:cs="Times New Roman" w:eastAsia="Times New Roman" w:hAnsi="Times New Roman"/>
            <w:sz w:val="16"/>
            <w:szCs w:val="16"/>
            <w:u w:val="single" w:color="auto"/>
            <w:color w:val="0000FF"/>
          </w:rPr>
          <w:t>December 1, 2017 (incorporated herein by reference to Exhibit 4.34 to the Registrant's Annual Report on Form 20-F (File No. 001-39081), filed</w:t>
        </w:r>
      </w:hyperlink>
      <w:r>
        <w:rPr>
          <w:rFonts w:ascii="Times New Roman" w:cs="Times New Roman" w:eastAsia="Times New Roman" w:hAnsi="Times New Roman"/>
          <w:sz w:val="16"/>
          <w:szCs w:val="16"/>
          <w:u w:val="single" w:color="auto"/>
          <w:color w:val="0000FF"/>
        </w:rPr>
        <w:t xml:space="preserve"> </w:t>
      </w:r>
      <w:hyperlink r:id="rId289">
        <w:r>
          <w:rPr>
            <w:rFonts w:ascii="Times New Roman" w:cs="Times New Roman" w:eastAsia="Times New Roman" w:hAnsi="Times New Roman"/>
            <w:sz w:val="16"/>
            <w:szCs w:val="16"/>
            <w:u w:val="single" w:color="auto"/>
            <w:color w:val="0000FF"/>
          </w:rPr>
          <w:t>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300"/>
        <w:spacing w:after="0" w:line="234" w:lineRule="auto"/>
        <w:rPr>
          <w:rFonts w:ascii="Times New Roman" w:cs="Times New Roman" w:eastAsia="Times New Roman" w:hAnsi="Times New Roman"/>
          <w:sz w:val="16"/>
          <w:szCs w:val="16"/>
          <w:u w:val="single" w:color="auto"/>
          <w:color w:val="0000FF"/>
        </w:rPr>
      </w:pPr>
      <w:hyperlink r:id="rId290">
        <w:r>
          <w:rPr>
            <w:rFonts w:ascii="Times New Roman" w:cs="Times New Roman" w:eastAsia="Times New Roman" w:hAnsi="Times New Roman"/>
            <w:sz w:val="16"/>
            <w:szCs w:val="16"/>
            <w:u w:val="single" w:color="auto"/>
            <w:color w:val="0000FF"/>
          </w:rPr>
          <w:t>Amendment No. 3 to Lease Agreement by and between the Registrant, as successor -in- interest to Kite Pharma, Inc., and Tech Park 270 III,</w:t>
        </w:r>
      </w:hyperlink>
      <w:r>
        <w:rPr>
          <w:rFonts w:ascii="Times New Roman" w:cs="Times New Roman" w:eastAsia="Times New Roman" w:hAnsi="Times New Roman"/>
          <w:sz w:val="16"/>
          <w:szCs w:val="16"/>
          <w:u w:val="single" w:color="auto"/>
          <w:color w:val="0000FF"/>
        </w:rPr>
        <w:t xml:space="preserve"> </w:t>
      </w:r>
      <w:hyperlink r:id="rId290">
        <w:r>
          <w:rPr>
            <w:rFonts w:ascii="Times New Roman" w:cs="Times New Roman" w:eastAsia="Times New Roman" w:hAnsi="Times New Roman"/>
            <w:sz w:val="16"/>
            <w:szCs w:val="16"/>
            <w:u w:val="single" w:color="auto"/>
            <w:color w:val="0000FF"/>
          </w:rPr>
          <w:t>LLC, dated as of July 24, 2018 (incorporated herein by reference to Exhibit 4.35 to the Registrant’s Annual Report on Form 20-F (File No.</w:t>
        </w:r>
      </w:hyperlink>
      <w:r>
        <w:rPr>
          <w:rFonts w:ascii="Times New Roman" w:cs="Times New Roman" w:eastAsia="Times New Roman" w:hAnsi="Times New Roman"/>
          <w:sz w:val="16"/>
          <w:szCs w:val="16"/>
          <w:u w:val="single" w:color="auto"/>
          <w:color w:val="0000FF"/>
        </w:rPr>
        <w:t xml:space="preserve"> </w:t>
      </w:r>
      <w:hyperlink r:id="rId290">
        <w:r>
          <w:rPr>
            <w:rFonts w:ascii="Times New Roman" w:cs="Times New Roman" w:eastAsia="Times New Roman" w:hAnsi="Times New Roman"/>
            <w:sz w:val="16"/>
            <w:szCs w:val="16"/>
            <w:u w:val="single" w:color="auto"/>
            <w:color w:val="0000FF"/>
          </w:rPr>
          <w:t>001-39081), filed 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300"/>
        <w:spacing w:after="0" w:line="234" w:lineRule="auto"/>
        <w:rPr>
          <w:rFonts w:ascii="Times New Roman" w:cs="Times New Roman" w:eastAsia="Times New Roman" w:hAnsi="Times New Roman"/>
          <w:sz w:val="16"/>
          <w:szCs w:val="16"/>
          <w:u w:val="single" w:color="auto"/>
          <w:color w:val="0000FF"/>
        </w:rPr>
      </w:pPr>
      <w:hyperlink r:id="rId291">
        <w:r>
          <w:rPr>
            <w:rFonts w:ascii="Times New Roman" w:cs="Times New Roman" w:eastAsia="Times New Roman" w:hAnsi="Times New Roman"/>
            <w:sz w:val="16"/>
            <w:szCs w:val="16"/>
            <w:u w:val="single" w:color="auto"/>
            <w:color w:val="0000FF"/>
          </w:rPr>
          <w:t>Amendment No. 4 to Lease Agreement by and between the Registrant, as successor -in- interest to Kite Pharma, Inc., and Tech Park 270 III,</w:t>
        </w:r>
      </w:hyperlink>
      <w:r>
        <w:rPr>
          <w:rFonts w:ascii="Times New Roman" w:cs="Times New Roman" w:eastAsia="Times New Roman" w:hAnsi="Times New Roman"/>
          <w:sz w:val="16"/>
          <w:szCs w:val="16"/>
          <w:u w:val="single" w:color="auto"/>
          <w:color w:val="0000FF"/>
        </w:rPr>
        <w:t xml:space="preserve"> </w:t>
      </w:r>
      <w:hyperlink r:id="rId291">
        <w:r>
          <w:rPr>
            <w:rFonts w:ascii="Times New Roman" w:cs="Times New Roman" w:eastAsia="Times New Roman" w:hAnsi="Times New Roman"/>
            <w:sz w:val="16"/>
            <w:szCs w:val="16"/>
            <w:u w:val="single" w:color="auto"/>
            <w:color w:val="0000FF"/>
          </w:rPr>
          <w:t>LLC, dated as of May 23, 2019 (incorporated herein by reference to Exhibit 4.36 to the Registrant’s Annual Report on Form 20-F (File No.</w:t>
        </w:r>
      </w:hyperlink>
      <w:r>
        <w:rPr>
          <w:rFonts w:ascii="Times New Roman" w:cs="Times New Roman" w:eastAsia="Times New Roman" w:hAnsi="Times New Roman"/>
          <w:sz w:val="16"/>
          <w:szCs w:val="16"/>
          <w:u w:val="single" w:color="auto"/>
          <w:color w:val="0000FF"/>
        </w:rPr>
        <w:t xml:space="preserve"> </w:t>
      </w:r>
      <w:hyperlink r:id="rId291">
        <w:r>
          <w:rPr>
            <w:rFonts w:ascii="Times New Roman" w:cs="Times New Roman" w:eastAsia="Times New Roman" w:hAnsi="Times New Roman"/>
            <w:sz w:val="16"/>
            <w:szCs w:val="16"/>
            <w:u w:val="single" w:color="auto"/>
            <w:color w:val="0000FF"/>
          </w:rPr>
          <w:t>001-39081), filed 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spacing w:after="0" w:line="244" w:lineRule="auto"/>
        <w:rPr>
          <w:rFonts w:ascii="Times New Roman" w:cs="Times New Roman" w:eastAsia="Times New Roman" w:hAnsi="Times New Roman"/>
          <w:sz w:val="16"/>
          <w:szCs w:val="16"/>
          <w:u w:val="single" w:color="auto"/>
          <w:color w:val="0000FF"/>
        </w:rPr>
      </w:pPr>
      <w:hyperlink r:id="rId292">
        <w:r>
          <w:rPr>
            <w:rFonts w:ascii="Times New Roman" w:cs="Times New Roman" w:eastAsia="Times New Roman" w:hAnsi="Times New Roman"/>
            <w:sz w:val="16"/>
            <w:szCs w:val="16"/>
            <w:u w:val="single" w:color="auto"/>
            <w:color w:val="0000FF"/>
          </w:rPr>
          <w:t>License Agreement by and between the Registrant and Acuitas Therapeutics, Inc., dated as of April 7, 2020 (incorporated herein by reference to</w:t>
        </w:r>
      </w:hyperlink>
      <w:r>
        <w:rPr>
          <w:rFonts w:ascii="Times New Roman" w:cs="Times New Roman" w:eastAsia="Times New Roman" w:hAnsi="Times New Roman"/>
          <w:sz w:val="16"/>
          <w:szCs w:val="16"/>
          <w:u w:val="single" w:color="auto"/>
          <w:color w:val="0000FF"/>
        </w:rPr>
        <w:t xml:space="preserve"> </w:t>
      </w:r>
      <w:hyperlink r:id="rId292">
        <w:r>
          <w:rPr>
            <w:rFonts w:ascii="Times New Roman" w:cs="Times New Roman" w:eastAsia="Times New Roman" w:hAnsi="Times New Roman"/>
            <w:sz w:val="16"/>
            <w:szCs w:val="16"/>
            <w:u w:val="single" w:color="auto"/>
            <w:color w:val="0000FF"/>
          </w:rPr>
          <w:t>Exhibit 4.37 to the Registrant’s Annual Report on Form 20-F (File No. 001-39081), filed with the SEC on March 27, 2023)</w:t>
        </w:r>
      </w:hyperlink>
    </w:p>
    <w:p>
      <w:pPr>
        <w:spacing w:after="0" w:line="106" w:lineRule="exact"/>
        <w:rPr>
          <w:sz w:val="20"/>
          <w:szCs w:val="20"/>
          <w:color w:val="auto"/>
        </w:rPr>
      </w:pPr>
    </w:p>
    <w:p>
      <w:pPr>
        <w:jc w:val="both"/>
        <w:ind w:right="240"/>
        <w:spacing w:after="0" w:line="234" w:lineRule="auto"/>
        <w:rPr>
          <w:rFonts w:ascii="Times New Roman" w:cs="Times New Roman" w:eastAsia="Times New Roman" w:hAnsi="Times New Roman"/>
          <w:sz w:val="16"/>
          <w:szCs w:val="16"/>
          <w:u w:val="single" w:color="auto"/>
          <w:color w:val="0000FF"/>
        </w:rPr>
      </w:pPr>
      <w:hyperlink r:id="rId293">
        <w:r>
          <w:rPr>
            <w:rFonts w:ascii="Times New Roman" w:cs="Times New Roman" w:eastAsia="Times New Roman" w:hAnsi="Times New Roman"/>
            <w:sz w:val="16"/>
            <w:szCs w:val="16"/>
            <w:u w:val="single" w:color="auto"/>
            <w:color w:val="0000FF"/>
          </w:rPr>
          <w:t>Advanced Purchase Agreement by and among the Registrant, Pfizer Inc. and European Commission, dated as of May 20, 2021 (incorporated</w:t>
        </w:r>
      </w:hyperlink>
      <w:r>
        <w:rPr>
          <w:rFonts w:ascii="Times New Roman" w:cs="Times New Roman" w:eastAsia="Times New Roman" w:hAnsi="Times New Roman"/>
          <w:sz w:val="16"/>
          <w:szCs w:val="16"/>
          <w:u w:val="single" w:color="auto"/>
          <w:color w:val="0000FF"/>
        </w:rPr>
        <w:t xml:space="preserve"> </w:t>
      </w:r>
      <w:hyperlink r:id="rId293">
        <w:r>
          <w:rPr>
            <w:rFonts w:ascii="Times New Roman" w:cs="Times New Roman" w:eastAsia="Times New Roman" w:hAnsi="Times New Roman"/>
            <w:sz w:val="16"/>
            <w:szCs w:val="16"/>
            <w:u w:val="single" w:color="auto"/>
            <w:color w:val="0000FF"/>
          </w:rPr>
          <w:t>herein by reference to Exhibit 4.38 to the Registrant’s Annual Report on Form 20-F (File No. 001-39081), filed with the SEC on March 27,</w:t>
        </w:r>
      </w:hyperlink>
      <w:r>
        <w:rPr>
          <w:rFonts w:ascii="Times New Roman" w:cs="Times New Roman" w:eastAsia="Times New Roman" w:hAnsi="Times New Roman"/>
          <w:sz w:val="16"/>
          <w:szCs w:val="16"/>
          <w:u w:val="single" w:color="auto"/>
          <w:color w:val="0000FF"/>
        </w:rPr>
        <w:t xml:space="preserve"> </w:t>
      </w:r>
      <w:hyperlink r:id="rId293">
        <w:r>
          <w:rPr>
            <w:rFonts w:ascii="Times New Roman" w:cs="Times New Roman" w:eastAsia="Times New Roman" w:hAnsi="Times New Roman"/>
            <w:sz w:val="16"/>
            <w:szCs w:val="16"/>
            <w:u w:val="single" w:color="auto"/>
            <w:color w:val="0000FF"/>
          </w:rPr>
          <w:t>2023)</w:t>
        </w:r>
      </w:hyperlink>
    </w:p>
    <w:p>
      <w:pPr>
        <w:spacing w:after="0" w:line="242" w:lineRule="exact"/>
        <w:rPr>
          <w:rFonts w:ascii="Times New Roman" w:cs="Times New Roman" w:eastAsia="Times New Roman" w:hAnsi="Times New Roman"/>
          <w:sz w:val="16"/>
          <w:szCs w:val="16"/>
          <w:u w:val="single" w:color="auto"/>
          <w:color w:val="0000FF"/>
        </w:rPr>
      </w:pPr>
    </w:p>
    <w:p>
      <w:pPr>
        <w:ind w:right="100"/>
        <w:spacing w:after="0" w:line="234" w:lineRule="auto"/>
        <w:rPr>
          <w:rFonts w:ascii="Times New Roman" w:cs="Times New Roman" w:eastAsia="Times New Roman" w:hAnsi="Times New Roman"/>
          <w:sz w:val="16"/>
          <w:szCs w:val="16"/>
          <w:u w:val="single" w:color="auto"/>
          <w:color w:val="0000FF"/>
        </w:rPr>
      </w:pPr>
      <w:hyperlink r:id="rId294">
        <w:r>
          <w:rPr>
            <w:rFonts w:ascii="Times New Roman" w:cs="Times New Roman" w:eastAsia="Times New Roman" w:hAnsi="Times New Roman"/>
            <w:sz w:val="16"/>
            <w:szCs w:val="16"/>
            <w:u w:val="single" w:color="auto"/>
            <w:color w:val="0000FF"/>
          </w:rPr>
          <w:t>Transfer of Source Code for MyMUT Software Versions by and between the Registrant and TRON gGmbH, dated as of May 5, 2021</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(incorporated herein by reference to Exhibit 4.39 to the Registrant’s Annual Report on Form 20-F (File No. 001-39081), filed with the SEC on</w:t>
        </w:r>
      </w:hyperlink>
      <w:r>
        <w:rPr>
          <w:rFonts w:ascii="Times New Roman" w:cs="Times New Roman" w:eastAsia="Times New Roman" w:hAnsi="Times New Roman"/>
          <w:sz w:val="16"/>
          <w:szCs w:val="16"/>
          <w:u w:val="single" w:color="auto"/>
          <w:color w:val="0000FF"/>
        </w:rPr>
        <w:t xml:space="preserve"> </w:t>
      </w:r>
      <w:hyperlink r:id="rId294">
        <w:r>
          <w:rPr>
            <w:rFonts w:ascii="Times New Roman" w:cs="Times New Roman" w:eastAsia="Times New Roman" w:hAnsi="Times New Roman"/>
            <w:sz w:val="16"/>
            <w:szCs w:val="16"/>
            <w:u w:val="single" w:color="auto"/>
            <w:color w:val="0000FF"/>
          </w:rPr>
          <w:t>March 27, 2023)</w:t>
        </w:r>
      </w:hyperlink>
    </w:p>
    <w:p>
      <w:pPr>
        <w:spacing w:after="0" w:line="242" w:lineRule="exact"/>
        <w:rPr>
          <w:rFonts w:ascii="Times New Roman" w:cs="Times New Roman" w:eastAsia="Times New Roman" w:hAnsi="Times New Roman"/>
          <w:sz w:val="16"/>
          <w:szCs w:val="16"/>
          <w:u w:val="single" w:color="auto"/>
          <w:color w:val="0000FF"/>
        </w:rPr>
      </w:pPr>
    </w:p>
    <w:p>
      <w:pPr>
        <w:ind w:right="300"/>
        <w:spacing w:after="0" w:line="234" w:lineRule="auto"/>
        <w:rPr>
          <w:rFonts w:ascii="Times New Roman" w:cs="Times New Roman" w:eastAsia="Times New Roman" w:hAnsi="Times New Roman"/>
          <w:sz w:val="16"/>
          <w:szCs w:val="16"/>
          <w:u w:val="single" w:color="auto"/>
          <w:color w:val="0000FF"/>
        </w:rPr>
      </w:pPr>
      <w:hyperlink r:id="rId295">
        <w:r>
          <w:rPr>
            <w:rFonts w:ascii="Times New Roman" w:cs="Times New Roman" w:eastAsia="Times New Roman" w:hAnsi="Times New Roman"/>
            <w:sz w:val="16"/>
            <w:szCs w:val="16"/>
            <w:u w:val="single" w:color="auto"/>
            <w:color w:val="0000FF"/>
          </w:rPr>
          <w:t>Amendment No. 6 to Lease Agreement by and between the Registrant and Tech Park 270, LLC, dated as of August 2, 2021 (incorporated</w:t>
        </w:r>
      </w:hyperlink>
      <w:r>
        <w:rPr>
          <w:rFonts w:ascii="Times New Roman" w:cs="Times New Roman" w:eastAsia="Times New Roman" w:hAnsi="Times New Roman"/>
          <w:sz w:val="16"/>
          <w:szCs w:val="16"/>
          <w:u w:val="single" w:color="auto"/>
          <w:color w:val="0000FF"/>
        </w:rPr>
        <w:t xml:space="preserve"> </w:t>
      </w:r>
      <w:hyperlink r:id="rId295">
        <w:r>
          <w:rPr>
            <w:rFonts w:ascii="Times New Roman" w:cs="Times New Roman" w:eastAsia="Times New Roman" w:hAnsi="Times New Roman"/>
            <w:sz w:val="16"/>
            <w:szCs w:val="16"/>
            <w:u w:val="single" w:color="auto"/>
            <w:color w:val="0000FF"/>
          </w:rPr>
          <w:t>herein by reference to Exhibit 4.40 to the Registrant’s Annual Report on Form 20-F (File No. 001-39081), filed with the SEC on March 27,</w:t>
        </w:r>
      </w:hyperlink>
      <w:r>
        <w:rPr>
          <w:rFonts w:ascii="Times New Roman" w:cs="Times New Roman" w:eastAsia="Times New Roman" w:hAnsi="Times New Roman"/>
          <w:sz w:val="16"/>
          <w:szCs w:val="16"/>
          <w:u w:val="single" w:color="auto"/>
          <w:color w:val="0000FF"/>
        </w:rPr>
        <w:t xml:space="preserve"> </w:t>
      </w:r>
      <w:hyperlink r:id="rId295">
        <w:r>
          <w:rPr>
            <w:rFonts w:ascii="Times New Roman" w:cs="Times New Roman" w:eastAsia="Times New Roman" w:hAnsi="Times New Roman"/>
            <w:sz w:val="16"/>
            <w:szCs w:val="16"/>
            <w:u w:val="single" w:color="auto"/>
            <w:color w:val="0000FF"/>
          </w:rPr>
          <w:t>2023)</w:t>
        </w:r>
      </w:hyperlink>
    </w:p>
    <w:p>
      <w:pPr>
        <w:spacing w:after="0" w:line="242" w:lineRule="exact"/>
        <w:rPr>
          <w:rFonts w:ascii="Times New Roman" w:cs="Times New Roman" w:eastAsia="Times New Roman" w:hAnsi="Times New Roman"/>
          <w:sz w:val="16"/>
          <w:szCs w:val="16"/>
          <w:u w:val="single" w:color="auto"/>
          <w:color w:val="0000FF"/>
        </w:rPr>
      </w:pPr>
    </w:p>
    <w:p>
      <w:pPr>
        <w:ind w:right="180"/>
        <w:spacing w:after="0" w:line="234" w:lineRule="auto"/>
        <w:rPr>
          <w:rFonts w:ascii="Times New Roman" w:cs="Times New Roman" w:eastAsia="Times New Roman" w:hAnsi="Times New Roman"/>
          <w:sz w:val="16"/>
          <w:szCs w:val="16"/>
          <w:u w:val="single" w:color="auto"/>
          <w:color w:val="0000FF"/>
        </w:rPr>
      </w:pPr>
      <w:hyperlink r:id="rId296">
        <w:r>
          <w:rPr>
            <w:rFonts w:ascii="Times New Roman" w:cs="Times New Roman" w:eastAsia="Times New Roman" w:hAnsi="Times New Roman"/>
            <w:sz w:val="16"/>
            <w:szCs w:val="16"/>
            <w:u w:val="single" w:color="auto"/>
            <w:color w:val="0000FF"/>
          </w:rPr>
          <w:t>Side Letter No. 5 to License and Collaboration Agreement by and between Registrant and Genmab A/S, dated August 12, 2021 (incorporated</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herein by reference to Exhibit 4.41 to the Registrant’s Annual Report on Form 20-F (File No. 001-39081), filed with the SEC on March 27,</w:t>
        </w:r>
      </w:hyperlink>
      <w:r>
        <w:rPr>
          <w:rFonts w:ascii="Times New Roman" w:cs="Times New Roman" w:eastAsia="Times New Roman" w:hAnsi="Times New Roman"/>
          <w:sz w:val="16"/>
          <w:szCs w:val="16"/>
          <w:u w:val="single" w:color="auto"/>
          <w:color w:val="0000FF"/>
        </w:rPr>
        <w:t xml:space="preserve"> </w:t>
      </w:r>
      <w:hyperlink r:id="rId296">
        <w:r>
          <w:rPr>
            <w:rFonts w:ascii="Times New Roman" w:cs="Times New Roman" w:eastAsia="Times New Roman" w:hAnsi="Times New Roman"/>
            <w:sz w:val="16"/>
            <w:szCs w:val="16"/>
            <w:u w:val="single" w:color="auto"/>
            <w:color w:val="0000FF"/>
          </w:rPr>
          <w:t>2023)</w:t>
        </w:r>
      </w:hyperlink>
    </w:p>
    <w:p>
      <w:pPr>
        <w:spacing w:after="0" w:line="110" w:lineRule="exact"/>
        <w:rPr>
          <w:rFonts w:ascii="Times New Roman" w:cs="Times New Roman" w:eastAsia="Times New Roman" w:hAnsi="Times New Roman"/>
          <w:sz w:val="16"/>
          <w:szCs w:val="16"/>
          <w:u w:val="single" w:color="auto"/>
          <w:color w:val="0000FF"/>
        </w:rPr>
      </w:pPr>
    </w:p>
    <w:p>
      <w:pPr>
        <w:jc w:val="both"/>
        <w:ind w:right="40"/>
        <w:spacing w:after="0" w:line="234" w:lineRule="auto"/>
        <w:rPr>
          <w:rFonts w:ascii="Times New Roman" w:cs="Times New Roman" w:eastAsia="Times New Roman" w:hAnsi="Times New Roman"/>
          <w:sz w:val="16"/>
          <w:szCs w:val="16"/>
          <w:u w:val="single" w:color="auto"/>
          <w:color w:val="0000FF"/>
        </w:rPr>
      </w:pPr>
      <w:hyperlink r:id="rId297">
        <w:r>
          <w:rPr>
            <w:rFonts w:ascii="Times New Roman" w:cs="Times New Roman" w:eastAsia="Times New Roman" w:hAnsi="Times New Roman"/>
            <w:sz w:val="16"/>
            <w:szCs w:val="16"/>
            <w:u w:val="single" w:color="auto"/>
            <w:color w:val="0000FF"/>
          </w:rPr>
          <w:t>Amendment No. 1 to Collaboration and License Agreement by and between the Registrant and the Trustees of the University of Pennsylvania,</w:t>
        </w:r>
      </w:hyperlink>
      <w:r>
        <w:rPr>
          <w:rFonts w:ascii="Times New Roman" w:cs="Times New Roman" w:eastAsia="Times New Roman" w:hAnsi="Times New Roman"/>
          <w:sz w:val="16"/>
          <w:szCs w:val="16"/>
          <w:u w:val="single" w:color="auto"/>
          <w:color w:val="0000FF"/>
        </w:rPr>
        <w:t xml:space="preserve"> </w:t>
      </w:r>
      <w:hyperlink r:id="rId297">
        <w:r>
          <w:rPr>
            <w:rFonts w:ascii="Times New Roman" w:cs="Times New Roman" w:eastAsia="Times New Roman" w:hAnsi="Times New Roman"/>
            <w:sz w:val="16"/>
            <w:szCs w:val="16"/>
            <w:u w:val="single" w:color="auto"/>
            <w:color w:val="0000FF"/>
          </w:rPr>
          <w:t>dated as of September 8, 2021 (incorporated herein by reference to Exhibit 4.42 to the Registrant’s Annual Report on Form 20-F (File No. 001</w:t>
        </w:r>
      </w:hyperlink>
      <w:r>
        <w:rPr>
          <w:rFonts w:ascii="Times New Roman" w:cs="Times New Roman" w:eastAsia="Times New Roman" w:hAnsi="Times New Roman"/>
          <w:sz w:val="16"/>
          <w:szCs w:val="16"/>
          <w:u w:val="single" w:color="auto"/>
          <w:color w:val="0000FF"/>
        </w:rPr>
        <w:t>-</w:t>
      </w:r>
      <w:hyperlink r:id="rId297">
        <w:r>
          <w:rPr>
            <w:rFonts w:ascii="Times New Roman" w:cs="Times New Roman" w:eastAsia="Times New Roman" w:hAnsi="Times New Roman"/>
            <w:sz w:val="16"/>
            <w:szCs w:val="16"/>
            <w:u w:val="single" w:color="auto"/>
            <w:color w:val="0000FF"/>
          </w:rPr>
          <w:t>39081), filed 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ind w:right="100"/>
        <w:spacing w:after="0" w:line="234" w:lineRule="auto"/>
        <w:rPr>
          <w:rFonts w:ascii="Times New Roman" w:cs="Times New Roman" w:eastAsia="Times New Roman" w:hAnsi="Times New Roman"/>
          <w:sz w:val="16"/>
          <w:szCs w:val="16"/>
          <w:u w:val="single" w:color="auto"/>
          <w:color w:val="0000FF"/>
        </w:rPr>
      </w:pPr>
      <w:hyperlink r:id="rId298">
        <w:r>
          <w:rPr>
            <w:rFonts w:ascii="Times New Roman" w:cs="Times New Roman" w:eastAsia="Times New Roman" w:hAnsi="Times New Roman"/>
            <w:sz w:val="16"/>
            <w:szCs w:val="16"/>
            <w:u w:val="single" w:color="auto"/>
            <w:color w:val="0000FF"/>
          </w:rPr>
          <w:t>Transfer of Source Code MyMUT Software Versions by and between the Registrant and TRON gGmbH, dated as of September 10, 2021</w:t>
        </w:r>
      </w:hyperlink>
      <w:r>
        <w:rPr>
          <w:rFonts w:ascii="Times New Roman" w:cs="Times New Roman" w:eastAsia="Times New Roman" w:hAnsi="Times New Roman"/>
          <w:sz w:val="16"/>
          <w:szCs w:val="16"/>
          <w:u w:val="single" w:color="auto"/>
          <w:color w:val="0000FF"/>
        </w:rPr>
        <w:t xml:space="preserve"> </w:t>
      </w:r>
      <w:hyperlink r:id="rId298">
        <w:r>
          <w:rPr>
            <w:rFonts w:ascii="Times New Roman" w:cs="Times New Roman" w:eastAsia="Times New Roman" w:hAnsi="Times New Roman"/>
            <w:sz w:val="16"/>
            <w:szCs w:val="16"/>
            <w:u w:val="single" w:color="auto"/>
            <w:color w:val="0000FF"/>
          </w:rPr>
          <w:t>(incorporated herein by reference to Exhibit 4.43 to the Registrant’s Annual Report on Form 20-F (File No. 001-39081), filed with the SEC on</w:t>
        </w:r>
      </w:hyperlink>
      <w:r>
        <w:rPr>
          <w:rFonts w:ascii="Times New Roman" w:cs="Times New Roman" w:eastAsia="Times New Roman" w:hAnsi="Times New Roman"/>
          <w:sz w:val="16"/>
          <w:szCs w:val="16"/>
          <w:u w:val="single" w:color="auto"/>
          <w:color w:val="0000FF"/>
        </w:rPr>
        <w:t xml:space="preserve"> </w:t>
      </w:r>
      <w:hyperlink r:id="rId298">
        <w:r>
          <w:rPr>
            <w:rFonts w:ascii="Times New Roman" w:cs="Times New Roman" w:eastAsia="Times New Roman" w:hAnsi="Times New Roman"/>
            <w:sz w:val="16"/>
            <w:szCs w:val="16"/>
            <w:u w:val="single" w:color="auto"/>
            <w:color w:val="0000FF"/>
          </w:rPr>
          <w:t>March 27, 2023)</w:t>
        </w:r>
      </w:hyperlink>
    </w:p>
    <w:p>
      <w:pPr>
        <w:spacing w:after="0" w:line="110" w:lineRule="exact"/>
        <w:rPr>
          <w:rFonts w:ascii="Times New Roman" w:cs="Times New Roman" w:eastAsia="Times New Roman" w:hAnsi="Times New Roman"/>
          <w:sz w:val="16"/>
          <w:szCs w:val="16"/>
          <w:u w:val="single" w:color="auto"/>
          <w:color w:val="0000FF"/>
        </w:rPr>
      </w:pPr>
    </w:p>
    <w:p>
      <w:pPr>
        <w:ind w:right="100"/>
        <w:spacing w:after="0" w:line="234" w:lineRule="auto"/>
        <w:rPr>
          <w:rFonts w:ascii="Times New Roman" w:cs="Times New Roman" w:eastAsia="Times New Roman" w:hAnsi="Times New Roman"/>
          <w:sz w:val="16"/>
          <w:szCs w:val="16"/>
          <w:u w:val="single" w:color="auto"/>
          <w:color w:val="0000FF"/>
        </w:rPr>
      </w:pPr>
      <w:hyperlink r:id="rId299">
        <w:r>
          <w:rPr>
            <w:rFonts w:ascii="Times New Roman" w:cs="Times New Roman" w:eastAsia="Times New Roman" w:hAnsi="Times New Roman"/>
            <w:sz w:val="16"/>
            <w:szCs w:val="16"/>
            <w:u w:val="single" w:color="auto"/>
            <w:color w:val="0000FF"/>
          </w:rPr>
          <w:t>Amendment No. 2 to Collaboration and License Agreement by and between the Registrant and the Trustees of the University of Pennsylvania,</w:t>
        </w:r>
      </w:hyperlink>
      <w:r>
        <w:rPr>
          <w:rFonts w:ascii="Times New Roman" w:cs="Times New Roman" w:eastAsia="Times New Roman" w:hAnsi="Times New Roman"/>
          <w:sz w:val="16"/>
          <w:szCs w:val="16"/>
          <w:u w:val="single" w:color="auto"/>
          <w:color w:val="0000FF"/>
        </w:rPr>
        <w:t xml:space="preserve"> </w:t>
      </w:r>
      <w:hyperlink r:id="rId299">
        <w:r>
          <w:rPr>
            <w:rFonts w:ascii="Times New Roman" w:cs="Times New Roman" w:eastAsia="Times New Roman" w:hAnsi="Times New Roman"/>
            <w:sz w:val="16"/>
            <w:szCs w:val="16"/>
            <w:u w:val="single" w:color="auto"/>
            <w:color w:val="0000FF"/>
          </w:rPr>
          <w:t>dated as of December 22, 2021 (incorporated herein by reference to Exhibit 4.44 to the Registrant’s Annual Report on Form 20-F (File No.</w:t>
        </w:r>
      </w:hyperlink>
      <w:r>
        <w:rPr>
          <w:rFonts w:ascii="Times New Roman" w:cs="Times New Roman" w:eastAsia="Times New Roman" w:hAnsi="Times New Roman"/>
          <w:sz w:val="16"/>
          <w:szCs w:val="16"/>
          <w:u w:val="single" w:color="auto"/>
          <w:color w:val="0000FF"/>
        </w:rPr>
        <w:t xml:space="preserve"> </w:t>
      </w:r>
      <w:hyperlink r:id="rId299">
        <w:r>
          <w:rPr>
            <w:rFonts w:ascii="Times New Roman" w:cs="Times New Roman" w:eastAsia="Times New Roman" w:hAnsi="Times New Roman"/>
            <w:sz w:val="16"/>
            <w:szCs w:val="16"/>
            <w:u w:val="single" w:color="auto"/>
            <w:color w:val="0000FF"/>
          </w:rPr>
          <w:t>001-39081), filed 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ind w:right="60"/>
        <w:spacing w:after="0" w:line="234" w:lineRule="auto"/>
        <w:rPr>
          <w:rFonts w:ascii="Times New Roman" w:cs="Times New Roman" w:eastAsia="Times New Roman" w:hAnsi="Times New Roman"/>
          <w:sz w:val="16"/>
          <w:szCs w:val="16"/>
          <w:u w:val="single" w:color="auto"/>
          <w:color w:val="0000FF"/>
        </w:rPr>
      </w:pPr>
      <w:hyperlink r:id="rId300">
        <w:r>
          <w:rPr>
            <w:rFonts w:ascii="Times New Roman" w:cs="Times New Roman" w:eastAsia="Times New Roman" w:hAnsi="Times New Roman"/>
            <w:sz w:val="16"/>
            <w:szCs w:val="16"/>
            <w:u w:val="single" w:color="auto"/>
            <w:color w:val="0000FF"/>
          </w:rPr>
          <w:t>Lease for Areas and Rooms in Building 536 and 537 by and between the Pharmaserv GmbH and Novartis Manufacturing GmbH, dated as of</w:t>
        </w:r>
      </w:hyperlink>
      <w:r>
        <w:rPr>
          <w:rFonts w:ascii="Times New Roman" w:cs="Times New Roman" w:eastAsia="Times New Roman" w:hAnsi="Times New Roman"/>
          <w:sz w:val="16"/>
          <w:szCs w:val="16"/>
          <w:u w:val="single" w:color="auto"/>
          <w:color w:val="0000FF"/>
        </w:rPr>
        <w:t xml:space="preserve"> </w:t>
      </w:r>
      <w:hyperlink r:id="rId300">
        <w:r>
          <w:rPr>
            <w:rFonts w:ascii="Times New Roman" w:cs="Times New Roman" w:eastAsia="Times New Roman" w:hAnsi="Times New Roman"/>
            <w:sz w:val="16"/>
            <w:szCs w:val="16"/>
            <w:u w:val="single" w:color="auto"/>
            <w:color w:val="0000FF"/>
          </w:rPr>
          <w:t>January 19, 2022 (incorporated herein by reference to Exhibit 4.45 to the Registrant’s Annual Report on Form 20-F (File No. 001-39081), filed</w:t>
        </w:r>
      </w:hyperlink>
      <w:r>
        <w:rPr>
          <w:rFonts w:ascii="Times New Roman" w:cs="Times New Roman" w:eastAsia="Times New Roman" w:hAnsi="Times New Roman"/>
          <w:sz w:val="16"/>
          <w:szCs w:val="16"/>
          <w:u w:val="single" w:color="auto"/>
          <w:color w:val="0000FF"/>
        </w:rPr>
        <w:t xml:space="preserve"> </w:t>
      </w:r>
      <w:hyperlink r:id="rId300">
        <w:r>
          <w:rPr>
            <w:rFonts w:ascii="Times New Roman" w:cs="Times New Roman" w:eastAsia="Times New Roman" w:hAnsi="Times New Roman"/>
            <w:sz w:val="16"/>
            <w:szCs w:val="16"/>
            <w:u w:val="single" w:color="auto"/>
            <w:color w:val="0000FF"/>
          </w:rPr>
          <w:t>with the SEC on March 27, 2023)</w:t>
        </w:r>
      </w:hyperlink>
    </w:p>
    <w:p>
      <w:pPr>
        <w:spacing w:after="0" w:line="110" w:lineRule="exact"/>
        <w:rPr>
          <w:rFonts w:ascii="Times New Roman" w:cs="Times New Roman" w:eastAsia="Times New Roman" w:hAnsi="Times New Roman"/>
          <w:sz w:val="16"/>
          <w:szCs w:val="16"/>
          <w:u w:val="single" w:color="auto"/>
          <w:color w:val="0000FF"/>
        </w:rPr>
      </w:pPr>
    </w:p>
    <w:p>
      <w:pPr>
        <w:ind w:right="140"/>
        <w:spacing w:after="0" w:line="234" w:lineRule="auto"/>
        <w:rPr>
          <w:rFonts w:ascii="Times New Roman" w:cs="Times New Roman" w:eastAsia="Times New Roman" w:hAnsi="Times New Roman"/>
          <w:sz w:val="16"/>
          <w:szCs w:val="16"/>
          <w:u w:val="single" w:color="auto"/>
          <w:color w:val="0000FF"/>
        </w:rPr>
      </w:pPr>
      <w:hyperlink r:id="rId301">
        <w:r>
          <w:rPr>
            <w:rFonts w:ascii="Times New Roman" w:cs="Times New Roman" w:eastAsia="Times New Roman" w:hAnsi="Times New Roman"/>
            <w:sz w:val="16"/>
            <w:szCs w:val="16"/>
            <w:u w:val="single" w:color="auto"/>
            <w:color w:val="0000FF"/>
          </w:rPr>
          <w:t>Amended and Restated License and Collaboration Agreement, by and between BioNTech SE and Genmab A/S, entered into July 18, 2022,</w:t>
        </w:r>
      </w:hyperlink>
      <w:r>
        <w:rPr>
          <w:rFonts w:ascii="Times New Roman" w:cs="Times New Roman" w:eastAsia="Times New Roman" w:hAnsi="Times New Roman"/>
          <w:sz w:val="16"/>
          <w:szCs w:val="16"/>
          <w:u w:val="single" w:color="auto"/>
          <w:color w:val="0000FF"/>
        </w:rPr>
        <w:t xml:space="preserve"> </w:t>
      </w:r>
      <w:hyperlink r:id="rId301">
        <w:r>
          <w:rPr>
            <w:rFonts w:ascii="Times New Roman" w:cs="Times New Roman" w:eastAsia="Times New Roman" w:hAnsi="Times New Roman"/>
            <w:sz w:val="16"/>
            <w:szCs w:val="16"/>
            <w:u w:val="single" w:color="auto"/>
            <w:color w:val="0000FF"/>
          </w:rPr>
          <w:t>effective as of May 19, 2015 (incorporated herein by reference to Exhibit 4.46 to the Registrant’s Annual Report on Form 20-F (File No. 001-</w:t>
        </w:r>
      </w:hyperlink>
      <w:hyperlink r:id="rId301">
        <w:r>
          <w:rPr>
            <w:rFonts w:ascii="Times New Roman" w:cs="Times New Roman" w:eastAsia="Times New Roman" w:hAnsi="Times New Roman"/>
            <w:sz w:val="16"/>
            <w:szCs w:val="16"/>
            <w:u w:val="single" w:color="auto"/>
            <w:color w:val="0000FF"/>
          </w:rPr>
          <w:t>39081), filed with the SEC on March 27, 2023)</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94" w:lineRule="exact"/>
        <w:rPr>
          <w:rFonts w:ascii="Times New Roman" w:cs="Times New Roman" w:eastAsia="Times New Roman" w:hAnsi="Times New Roman"/>
          <w:sz w:val="16"/>
          <w:szCs w:val="16"/>
          <w:u w:val="single" w:color="auto"/>
          <w:color w:val="0000FF"/>
        </w:rPr>
      </w:pPr>
    </w:p>
    <w:p>
      <w:pPr>
        <w:ind w:left="3700"/>
        <w:spacing w:after="0"/>
        <w:rPr>
          <w:sz w:val="20"/>
          <w:szCs w:val="20"/>
          <w:color w:val="auto"/>
        </w:rPr>
      </w:pPr>
      <w:r>
        <w:rPr>
          <w:rFonts w:ascii="Times New Roman" w:cs="Times New Roman" w:eastAsia="Times New Roman" w:hAnsi="Times New Roman"/>
          <w:sz w:val="16"/>
          <w:szCs w:val="16"/>
          <w:color w:val="auto"/>
        </w:rPr>
        <w:t>235</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-935355</wp:posOffset>
            </wp:positionH>
            <wp:positionV relativeFrom="paragraph">
              <wp:posOffset>46355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940" w:space="500"/>
            <w:col w:w="9000"/>
          </w:cols>
          <w:pgMar w:left="680" w:top="557" w:right="780" w:bottom="1440" w:gutter="0" w:footer="0" w:header="0"/>
          <w:type w:val="continuous"/>
        </w:sectPr>
      </w:pPr>
    </w:p>
    <w:bookmarkStart w:id="238" w:name="page239"/>
    <w:bookmarkEnd w:id="238"/>
    <w:p>
      <w:pPr>
        <w:ind w:left="38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14"/>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2"/>
        </w:trPr>
        <w:tc>
          <w:tcPr>
            <w:tcW w:w="1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4.46†</w:t>
            </w:r>
          </w:p>
        </w:tc>
        <w:tc>
          <w:tcPr>
            <w:tcW w:w="9020" w:type="dxa"/>
            <w:vAlign w:val="bottom"/>
            <w:gridSpan w:val="20"/>
          </w:tcPr>
          <w:p>
            <w:pPr>
              <w:spacing w:after="0" w:line="182" w:lineRule="exact"/>
              <w:rPr>
                <w:rFonts w:ascii="Times New Roman" w:cs="Times New Roman" w:eastAsia="Times New Roman" w:hAnsi="Times New Roman"/>
                <w:sz w:val="16"/>
                <w:szCs w:val="16"/>
                <w:color w:val="0000FF"/>
                <w:w w:val="98"/>
              </w:rPr>
            </w:pPr>
            <w:hyperlink r:id="rId303">
              <w:r>
                <w:rPr>
                  <w:rFonts w:ascii="Times New Roman" w:cs="Times New Roman" w:eastAsia="Times New Roman" w:hAnsi="Times New Roman"/>
                  <w:sz w:val="16"/>
                  <w:szCs w:val="16"/>
                  <w:color w:val="0000FF"/>
                  <w:w w:val="98"/>
                </w:rPr>
                <w:t>Real Estate Purchase Contract with Conveyance Together with Inventory Purchase Contract by and between Santo Service GmbH, BioNTech</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6"/>
                <w:szCs w:val="16"/>
                <w:color w:val="0000FF"/>
                <w:w w:val="96"/>
              </w:rPr>
            </w:pPr>
            <w:hyperlink r:id="rId303">
              <w:r>
                <w:rPr>
                  <w:rFonts w:ascii="Times New Roman" w:cs="Times New Roman" w:eastAsia="Times New Roman" w:hAnsi="Times New Roman"/>
                  <w:sz w:val="16"/>
                  <w:szCs w:val="16"/>
                  <w:color w:val="0000FF"/>
                  <w:w w:val="96"/>
                </w:rPr>
                <w:t>Real Estate An der Goldgrube 12 GmbH &amp; Co. KG and BioNTech Manufacturing GmbH, dated as of December 12, 2022 (incorporated 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940" w:type="dxa"/>
            <w:vAlign w:val="bottom"/>
            <w:gridSpan w:val="17"/>
          </w:tcPr>
          <w:p>
            <w:pPr>
              <w:spacing w:after="0" w:line="148"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by reference to Exhibit 4.47 to the Registrant’s Annual Report on Form 20-F (File No. 001-39081), filed with the SEC on March 27,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4.47*†</w:t>
            </w:r>
          </w:p>
        </w:tc>
        <w:tc>
          <w:tcPr>
            <w:tcW w:w="9020" w:type="dxa"/>
            <w:vAlign w:val="bottom"/>
            <w:gridSpan w:val="2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Deed of Amendment of Agreement related to the Sale and Purchase of Certain Shares of the Issued Share Capital of InstaDeep Ltd by and</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640" w:type="dxa"/>
            <w:vAlign w:val="bottom"/>
            <w:tcBorders>
              <w:top w:val="single" w:sz="8" w:color="0000FF"/>
            </w:tcBorders>
            <w:gridSpan w:val="11"/>
          </w:tcPr>
          <w:p>
            <w:pPr>
              <w:spacing w:after="0" w:line="14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among the Registrant, InstaDeep Ltd and the Sellers set forth therein, dated as of July 31, 2023</w:t>
              </w:r>
            </w:hyperlink>
          </w:p>
        </w:tc>
        <w:tc>
          <w:tcPr>
            <w:tcW w:w="1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4.48*†</w:t>
            </w:r>
          </w:p>
        </w:tc>
        <w:tc>
          <w:tcPr>
            <w:tcW w:w="9020" w:type="dxa"/>
            <w:vAlign w:val="bottom"/>
            <w:gridSpan w:val="2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License and Collaboration Agreement, by and between the Registrant and OncoC4, Inc., dated as of March 17, 202</w:t>
              </w:r>
            </w:hyperlink>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4.49*†</w:t>
            </w:r>
          </w:p>
        </w:tc>
        <w:tc>
          <w:tcPr>
            <w:tcW w:w="9020" w:type="dxa"/>
            <w:vAlign w:val="bottom"/>
            <w:gridSpan w:val="20"/>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Amendment No. 1 to the License and Collaboration Agreement, by and between the Registrant and OncoC4, Inc., dated as of February 14, 202</w:t>
              </w:r>
            </w:hyperlink>
            <w:r>
              <w:rPr>
                <w:rFonts w:ascii="Times New Roman" w:cs="Times New Roman" w:eastAsia="Times New Roman" w:hAnsi="Times New Roman"/>
                <w:sz w:val="16"/>
                <w:szCs w:val="16"/>
                <w:color w:val="0000FF"/>
                <w:w w:val="97"/>
              </w:rPr>
              <w:t>4</w:t>
            </w: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4.50*†</w:t>
            </w:r>
          </w:p>
        </w:tc>
        <w:tc>
          <w:tcPr>
            <w:tcW w:w="8960" w:type="dxa"/>
            <w:vAlign w:val="bottom"/>
            <w:tcBorders>
              <w:top w:val="single" w:sz="8" w:color="0000FF"/>
            </w:tcBorders>
            <w:gridSpan w:val="18"/>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License and Collaboration Agreement (HER2), by and between the Registrant and Duality Biologics (Suzhou) Co. Ltd., dated as of March 16,</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6"/>
                <w:szCs w:val="16"/>
                <w:color w:val="0000FF"/>
                <w:w w:val="93"/>
              </w:rPr>
            </w:pPr>
            <w:hyperlink w:anchor="page1">
              <w:r>
                <w:rPr>
                  <w:rFonts w:ascii="Times New Roman" w:cs="Times New Roman" w:eastAsia="Times New Roman" w:hAnsi="Times New Roman"/>
                  <w:sz w:val="16"/>
                  <w:szCs w:val="16"/>
                  <w:color w:val="0000FF"/>
                  <w:w w:val="93"/>
                </w:rPr>
                <w:t>2023</w:t>
              </w:r>
            </w:hyperlink>
          </w:p>
        </w:tc>
        <w:tc>
          <w:tcPr>
            <w:tcW w:w="16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4.51*†</w:t>
            </w:r>
          </w:p>
        </w:tc>
        <w:tc>
          <w:tcPr>
            <w:tcW w:w="9020" w:type="dxa"/>
            <w:vAlign w:val="bottom"/>
            <w:gridSpan w:val="2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License and Collaboration Agreement (B7H3), by and between the Registrant and Duality Biologics (Suzhou) Co. Ltd., dated as of March 31,</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6"/>
                <w:szCs w:val="16"/>
                <w:color w:val="0000FF"/>
                <w:w w:val="93"/>
              </w:rPr>
            </w:pPr>
            <w:hyperlink w:anchor="page1">
              <w:r>
                <w:rPr>
                  <w:rFonts w:ascii="Times New Roman" w:cs="Times New Roman" w:eastAsia="Times New Roman" w:hAnsi="Times New Roman"/>
                  <w:sz w:val="16"/>
                  <w:szCs w:val="16"/>
                  <w:color w:val="0000FF"/>
                  <w:w w:val="93"/>
                </w:rPr>
                <w:t>2023</w:t>
              </w:r>
            </w:hyperlink>
          </w:p>
        </w:tc>
        <w:tc>
          <w:tcPr>
            <w:tcW w:w="16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4.52*†</w:t>
            </w:r>
          </w:p>
        </w:tc>
        <w:tc>
          <w:tcPr>
            <w:tcW w:w="9020" w:type="dxa"/>
            <w:vAlign w:val="bottom"/>
            <w:gridSpan w:val="2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License and Collaboration Agreement (TROP2), by and between the Registrant and Duality Biologics (Suzhou) Co. Ltd., dated as of August 4,</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6"/>
                <w:szCs w:val="16"/>
                <w:color w:val="0000FF"/>
                <w:w w:val="93"/>
              </w:rPr>
            </w:pPr>
            <w:hyperlink w:anchor="page1">
              <w:r>
                <w:rPr>
                  <w:rFonts w:ascii="Times New Roman" w:cs="Times New Roman" w:eastAsia="Times New Roman" w:hAnsi="Times New Roman"/>
                  <w:sz w:val="16"/>
                  <w:szCs w:val="16"/>
                  <w:color w:val="0000FF"/>
                  <w:w w:val="93"/>
                </w:rPr>
                <w:t>2023</w:t>
              </w:r>
            </w:hyperlink>
          </w:p>
        </w:tc>
        <w:tc>
          <w:tcPr>
            <w:tcW w:w="16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4.53*†</w:t>
            </w:r>
          </w:p>
        </w:tc>
        <w:tc>
          <w:tcPr>
            <w:tcW w:w="9020" w:type="dxa"/>
            <w:vAlign w:val="bottom"/>
            <w:gridSpan w:val="2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 xml:space="preserve">Collaboration, </w:t>
              </w:r>
            </w:hyperlink>
            <w:r>
              <w:rPr>
                <w:rFonts w:ascii="Times New Roman" w:cs="Times New Roman" w:eastAsia="Times New Roman" w:hAnsi="Times New Roman"/>
                <w:sz w:val="16"/>
                <w:szCs w:val="16"/>
                <w:color w:val="0000FF"/>
              </w:rPr>
              <w:t xml:space="preserve">License </w:t>
            </w:r>
            <w:hyperlink w:anchor="page1">
              <w:r>
                <w:rPr>
                  <w:rFonts w:ascii="Times New Roman" w:cs="Times New Roman" w:eastAsia="Times New Roman" w:hAnsi="Times New Roman"/>
                  <w:sz w:val="16"/>
                  <w:szCs w:val="16"/>
                  <w:color w:val="0000FF"/>
                </w:rPr>
                <w:t>and Option Agreement, by and between the Registrant and Biotheus Inc., dated as of October 26, 2023</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4.54*†</w:t>
            </w:r>
          </w:p>
        </w:tc>
        <w:tc>
          <w:tcPr>
            <w:tcW w:w="9020" w:type="dxa"/>
            <w:vAlign w:val="bottom"/>
            <w:gridSpan w:val="2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License and Option Agreement, by and among Autolus Limited, Autolus Holdings (UK) Limited and the Registrant, dated as of February 6,</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6"/>
                <w:szCs w:val="16"/>
                <w:color w:val="0000FF"/>
                <w:w w:val="93"/>
              </w:rPr>
            </w:pPr>
            <w:hyperlink w:anchor="page1">
              <w:r>
                <w:rPr>
                  <w:rFonts w:ascii="Times New Roman" w:cs="Times New Roman" w:eastAsia="Times New Roman" w:hAnsi="Times New Roman"/>
                  <w:sz w:val="16"/>
                  <w:szCs w:val="16"/>
                  <w:color w:val="0000FF"/>
                  <w:w w:val="93"/>
                </w:rPr>
                <w:t>2024</w:t>
              </w:r>
            </w:hyperlink>
          </w:p>
        </w:tc>
        <w:tc>
          <w:tcPr>
            <w:tcW w:w="16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8*</w:t>
            </w:r>
          </w:p>
        </w:tc>
        <w:tc>
          <w:tcPr>
            <w:tcW w:w="23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List of Subsidiaries of the Registrant</w:t>
              </w:r>
            </w:hyperlink>
          </w:p>
        </w:tc>
        <w:tc>
          <w:tcPr>
            <w:tcW w:w="67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12.1*</w:t>
            </w:r>
          </w:p>
        </w:tc>
        <w:tc>
          <w:tcPr>
            <w:tcW w:w="9020" w:type="dxa"/>
            <w:vAlign w:val="bottom"/>
            <w:gridSpan w:val="2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Pursuant to Section 302 of the Sarbanes-Oxley Act of 2002</w:t>
              </w:r>
            </w:hyperlink>
          </w:p>
        </w:tc>
        <w:tc>
          <w:tcPr>
            <w:tcW w:w="52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12.2*</w:t>
            </w:r>
          </w:p>
        </w:tc>
        <w:tc>
          <w:tcPr>
            <w:tcW w:w="9020" w:type="dxa"/>
            <w:vAlign w:val="bottom"/>
            <w:gridSpan w:val="2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Pursuant to Section 302 of the Sarbanes-Oxley Act of 2002</w:t>
              </w:r>
            </w:hyperlink>
          </w:p>
        </w:tc>
        <w:tc>
          <w:tcPr>
            <w:tcW w:w="5160" w:type="dxa"/>
            <w:vAlign w:val="bottom"/>
            <w:tcBorders>
              <w:top w:val="single" w:sz="8" w:color="0000FF"/>
            </w:tcBorders>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13.1*</w:t>
            </w:r>
          </w:p>
        </w:tc>
        <w:tc>
          <w:tcPr>
            <w:tcW w:w="9020" w:type="dxa"/>
            <w:vAlign w:val="bottom"/>
            <w:gridSpan w:val="20"/>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980" w:type="dxa"/>
            <w:vAlign w:val="bottom"/>
            <w:tcBorders>
              <w:top w:val="single" w:sz="8" w:color="0000FF"/>
            </w:tcBorders>
            <w:gridSpan w:val="19"/>
          </w:tcPr>
          <w:p>
            <w:pPr>
              <w:spacing w:after="0" w:line="14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of 2002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13.2*</w:t>
            </w:r>
          </w:p>
        </w:tc>
        <w:tc>
          <w:tcPr>
            <w:tcW w:w="9020" w:type="dxa"/>
            <w:vAlign w:val="bottom"/>
            <w:gridSpan w:val="2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940" w:type="dxa"/>
            <w:vAlign w:val="bottom"/>
            <w:tcBorders>
              <w:top w:val="single" w:sz="8" w:color="0000FF"/>
            </w:tcBorders>
            <w:gridSpan w:val="17"/>
          </w:tcPr>
          <w:p>
            <w:pPr>
              <w:spacing w:after="0" w:line="14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of 2002</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15.1*</w:t>
            </w: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400" w:type="dxa"/>
            <w:vAlign w:val="bottom"/>
            <w:vMerge w:val="continue"/>
          </w:tcPr>
          <w:p>
            <w:pPr>
              <w:spacing w:after="0"/>
              <w:rPr>
                <w:sz w:val="24"/>
                <w:szCs w:val="24"/>
                <w:color w:val="auto"/>
              </w:rPr>
            </w:pPr>
          </w:p>
        </w:tc>
        <w:tc>
          <w:tcPr>
            <w:tcW w:w="9020" w:type="dxa"/>
            <w:vAlign w:val="bottom"/>
            <w:gridSpan w:val="20"/>
            <w:vMerge w:val="restart"/>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Consent of EY GmbH &amp; Co. KG Wirtschaftsprüfungsgesellschaf</w:t>
              </w:r>
            </w:hyperlink>
            <w:r>
              <w:rPr>
                <w:rFonts w:ascii="Times New Roman" w:cs="Times New Roman" w:eastAsia="Times New Roman" w:hAnsi="Times New Roman"/>
                <w:sz w:val="16"/>
                <w:szCs w:val="16"/>
                <w:color w:val="0000FF"/>
              </w:rPr>
              <w:t>t</w:t>
            </w:r>
          </w:p>
        </w:tc>
        <w:tc>
          <w:tcPr>
            <w:tcW w:w="0" w:type="dxa"/>
            <w:vAlign w:val="bottom"/>
          </w:tcPr>
          <w:p>
            <w:pPr>
              <w:spacing w:after="0"/>
              <w:rPr>
                <w:sz w:val="1"/>
                <w:szCs w:val="1"/>
                <w:color w:val="auto"/>
              </w:rPr>
            </w:pPr>
          </w:p>
        </w:tc>
      </w:tr>
      <w:tr>
        <w:trPr>
          <w:trHeight w:val="62"/>
        </w:trPr>
        <w:tc>
          <w:tcPr>
            <w:tcW w:w="1400" w:type="dxa"/>
            <w:vAlign w:val="bottom"/>
          </w:tcPr>
          <w:p>
            <w:pPr>
              <w:spacing w:after="0"/>
              <w:rPr>
                <w:sz w:val="5"/>
                <w:szCs w:val="5"/>
                <w:color w:val="auto"/>
              </w:rPr>
            </w:pPr>
          </w:p>
        </w:tc>
        <w:tc>
          <w:tcPr>
            <w:tcW w:w="90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97*</w:t>
            </w:r>
          </w:p>
        </w:tc>
        <w:tc>
          <w:tcPr>
            <w:tcW w:w="20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Compensation Clawback Policy</w:t>
              </w:r>
            </w:hyperlink>
          </w:p>
        </w:tc>
        <w:tc>
          <w:tcPr>
            <w:tcW w:w="2100" w:type="dxa"/>
            <w:vAlign w:val="bottom"/>
            <w:tcBorders>
              <w:top w:val="single" w:sz="8" w:color="0000FF"/>
            </w:tcBorders>
            <w:gridSpan w:val="3"/>
          </w:tcPr>
          <w:p>
            <w:pPr>
              <w:spacing w:after="0"/>
              <w:rPr>
                <w:sz w:val="24"/>
                <w:szCs w:val="24"/>
                <w:color w:val="auto"/>
              </w:rPr>
            </w:pPr>
          </w:p>
        </w:tc>
        <w:tc>
          <w:tcPr>
            <w:tcW w:w="4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312"/>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0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46355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80" w:top="557" w:right="800" w:bottom="1440" w:gutter="0" w:footer="0" w:header="0"/>
        </w:sectPr>
      </w:pPr>
    </w:p>
    <w:bookmarkStart w:id="239" w:name="page240"/>
    <w:bookmarkEnd w:id="239"/>
    <w:p>
      <w:pPr>
        <w:ind w:left="394"/>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14" w:hanging="214"/>
        <w:spacing w:after="0"/>
        <w:tabs>
          <w:tab w:leader="none" w:pos="214"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5" w:lineRule="exact"/>
        <w:rPr>
          <w:sz w:val="20"/>
          <w:szCs w:val="20"/>
          <w:color w:val="auto"/>
        </w:rPr>
      </w:pPr>
    </w:p>
    <w:p>
      <w:pPr>
        <w:ind w:left="214" w:hanging="214"/>
        <w:spacing w:after="0"/>
        <w:tabs>
          <w:tab w:leader="none" w:pos="214"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has been excluded from the exhibit because it is both (i) not material and (ii) the type of information that the Registrant treats as private or confidential.</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42" w:lineRule="exact"/>
        <w:rPr>
          <w:rFonts w:ascii="Times New Roman" w:cs="Times New Roman" w:eastAsia="Times New Roman" w:hAnsi="Times New Roman"/>
          <w:sz w:val="14"/>
          <w:szCs w:val="14"/>
          <w:color w:val="auto"/>
        </w:rPr>
      </w:pPr>
    </w:p>
    <w:p>
      <w:pPr>
        <w:ind w:left="515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94"/>
          </w:cols>
          <w:pgMar w:left="666" w:top="557" w:right="1140" w:bottom="1440" w:gutter="0" w:footer="0" w:header="0"/>
        </w:sectPr>
      </w:pPr>
    </w:p>
    <w:bookmarkStart w:id="240" w:name="page241"/>
    <w:bookmarkEnd w:id="240"/>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BioNTech SE</w:t>
      </w:r>
    </w:p>
    <w:p>
      <w:pPr>
        <w:spacing w:after="0" w:line="272" w:lineRule="exact"/>
        <w:rPr>
          <w:sz w:val="20"/>
          <w:szCs w:val="20"/>
          <w:color w:val="auto"/>
        </w:rPr>
      </w:pPr>
    </w:p>
    <w:p>
      <w:pPr>
        <w:ind w:left="20"/>
        <w:spacing w:after="0"/>
        <w:tabs>
          <w:tab w:leader="none" w:pos="5880" w:val="left"/>
          <w:tab w:leader="none" w:pos="7480" w:val="left"/>
        </w:tabs>
        <w:rPr>
          <w:sz w:val="20"/>
          <w:szCs w:val="20"/>
          <w:color w:val="auto"/>
        </w:rPr>
      </w:pPr>
      <w:r>
        <w:rPr>
          <w:rFonts w:ascii="Times New Roman" w:cs="Times New Roman" w:eastAsia="Times New Roman" w:hAnsi="Times New Roman"/>
          <w:sz w:val="16"/>
          <w:szCs w:val="16"/>
          <w:color w:val="auto"/>
        </w:rPr>
        <w:t>Date: March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Prof. Ugur Sahin, M.D.</w:t>
      </w:r>
    </w:p>
    <w:p>
      <w:pPr>
        <w:spacing w:after="0" w:line="4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Prof. Ugur Sahin, M.D.</w:t>
      </w:r>
    </w:p>
    <w:p>
      <w:pPr>
        <w:spacing w:after="0" w:line="3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1" w:name="page242"/>
    <w:bookmarkEnd w:id="241"/>
    <w:p>
      <w:pPr>
        <w:ind w:left="38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97" w:lineRule="exact"/>
        <w:rPr>
          <w:sz w:val="20"/>
          <w:szCs w:val="20"/>
          <w:color w:val="auto"/>
        </w:rPr>
      </w:pPr>
    </w:p>
    <w:p>
      <w:pPr>
        <w:spacing w:after="0"/>
        <w:rPr>
          <w:rFonts w:ascii="Times New Roman" w:cs="Times New Roman" w:eastAsia="Times New Roman" w:hAnsi="Times New Roman"/>
          <w:sz w:val="16"/>
          <w:szCs w:val="16"/>
          <w:u w:val="single" w:color="auto"/>
          <w:color w:val="0563C1"/>
        </w:rPr>
      </w:pPr>
      <w:hyperlink w:anchor="page242">
        <w:r>
          <w:rPr>
            <w:rFonts w:ascii="Times New Roman" w:cs="Times New Roman" w:eastAsia="Times New Roman" w:hAnsi="Times New Roman"/>
            <w:sz w:val="16"/>
            <w:szCs w:val="16"/>
            <w:u w:val="single" w:color="auto"/>
            <w:color w:val="0563C1"/>
          </w:rPr>
          <w:t>Reports of Independent Registered Public Accounting Firm (PCAOB ID: 01251)</w:t>
        </w:r>
      </w:hyperlink>
    </w:p>
    <w:p>
      <w:pPr>
        <w:spacing w:after="0" w:line="332" w:lineRule="exact"/>
        <w:rPr>
          <w:sz w:val="20"/>
          <w:szCs w:val="20"/>
          <w:color w:val="auto"/>
        </w:rPr>
      </w:pPr>
    </w:p>
    <w:p>
      <w:pPr>
        <w:spacing w:after="0"/>
        <w:rPr>
          <w:rFonts w:ascii="Times New Roman" w:cs="Times New Roman" w:eastAsia="Times New Roman" w:hAnsi="Times New Roman"/>
          <w:sz w:val="16"/>
          <w:szCs w:val="16"/>
          <w:u w:val="single" w:color="auto"/>
          <w:color w:val="0563C1"/>
        </w:rPr>
      </w:pPr>
      <w:hyperlink w:anchor="page247">
        <w:r>
          <w:rPr>
            <w:rFonts w:ascii="Times New Roman" w:cs="Times New Roman" w:eastAsia="Times New Roman" w:hAnsi="Times New Roman"/>
            <w:sz w:val="16"/>
            <w:szCs w:val="16"/>
            <w:u w:val="single" w:color="auto"/>
            <w:color w:val="0563C1"/>
          </w:rPr>
          <w:t xml:space="preserve">Consolidated Statements of Profit or Loss for the Years ended </w:t>
        </w:r>
      </w:hyperlink>
      <w:r>
        <w:rPr>
          <w:rFonts w:ascii="Times New Roman" w:cs="Times New Roman" w:eastAsia="Times New Roman" w:hAnsi="Times New Roman"/>
          <w:sz w:val="16"/>
          <w:szCs w:val="16"/>
          <w:u w:val="single" w:color="auto"/>
          <w:color w:val="0563C1"/>
        </w:rPr>
        <w:t>December 31, 2023, 2022 and 2021</w:t>
      </w:r>
    </w:p>
    <w:p>
      <w:pPr>
        <w:spacing w:after="0" w:line="392" w:lineRule="exact"/>
        <w:rPr>
          <w:sz w:val="20"/>
          <w:szCs w:val="20"/>
          <w:color w:val="auto"/>
        </w:rPr>
      </w:pPr>
    </w:p>
    <w:p>
      <w:pPr>
        <w:spacing w:after="0"/>
        <w:rPr>
          <w:rFonts w:ascii="Times New Roman" w:cs="Times New Roman" w:eastAsia="Times New Roman" w:hAnsi="Times New Roman"/>
          <w:sz w:val="16"/>
          <w:szCs w:val="16"/>
          <w:u w:val="single" w:color="auto"/>
          <w:color w:val="0563C1"/>
        </w:rPr>
      </w:pPr>
      <w:hyperlink w:anchor="page252">
        <w:r>
          <w:rPr>
            <w:rFonts w:ascii="Times New Roman" w:cs="Times New Roman" w:eastAsia="Times New Roman" w:hAnsi="Times New Roman"/>
            <w:sz w:val="16"/>
            <w:szCs w:val="16"/>
            <w:u w:val="single" w:color="auto"/>
            <w:color w:val="0563C1"/>
          </w:rPr>
          <w:t xml:space="preserve">Consolidated Statements of Financial Position as of </w:t>
        </w:r>
      </w:hyperlink>
      <w:r>
        <w:rPr>
          <w:rFonts w:ascii="Times New Roman" w:cs="Times New Roman" w:eastAsia="Times New Roman" w:hAnsi="Times New Roman"/>
          <w:sz w:val="16"/>
          <w:szCs w:val="16"/>
          <w:u w:val="single" w:color="auto"/>
          <w:color w:val="0563C1"/>
        </w:rPr>
        <w:t>December 31, 2023 and 2022</w:t>
      </w:r>
    </w:p>
    <w:p>
      <w:pPr>
        <w:spacing w:after="0" w:line="332" w:lineRule="exact"/>
        <w:rPr>
          <w:sz w:val="20"/>
          <w:szCs w:val="20"/>
          <w:color w:val="auto"/>
        </w:rPr>
      </w:pPr>
    </w:p>
    <w:p>
      <w:pPr>
        <w:spacing w:after="0"/>
        <w:rPr>
          <w:rFonts w:ascii="Times New Roman" w:cs="Times New Roman" w:eastAsia="Times New Roman" w:hAnsi="Times New Roman"/>
          <w:sz w:val="14"/>
          <w:szCs w:val="14"/>
          <w:u w:val="single" w:color="auto"/>
          <w:color w:val="0563C1"/>
        </w:rPr>
      </w:pPr>
      <w:hyperlink w:anchor="page250">
        <w:r>
          <w:rPr>
            <w:rFonts w:ascii="Times New Roman" w:cs="Times New Roman" w:eastAsia="Times New Roman" w:hAnsi="Times New Roman"/>
            <w:sz w:val="14"/>
            <w:szCs w:val="14"/>
            <w:u w:val="single" w:color="auto"/>
            <w:color w:val="0563C1"/>
          </w:rPr>
          <w:t xml:space="preserve">Consolidated Statements of Changes in Stockholders’ Equity for the Years ended </w:t>
        </w:r>
      </w:hyperlink>
      <w:r>
        <w:rPr>
          <w:rFonts w:ascii="Times New Roman" w:cs="Times New Roman" w:eastAsia="Times New Roman" w:hAnsi="Times New Roman"/>
          <w:sz w:val="14"/>
          <w:szCs w:val="14"/>
          <w:u w:val="single" w:color="auto"/>
          <w:color w:val="0563C1"/>
        </w:rPr>
        <w:t>December 31, 2023, 2022 and 2021</w:t>
      </w:r>
    </w:p>
    <w:p>
      <w:pPr>
        <w:spacing w:after="0" w:line="355" w:lineRule="exact"/>
        <w:rPr>
          <w:sz w:val="20"/>
          <w:szCs w:val="20"/>
          <w:color w:val="auto"/>
        </w:rPr>
      </w:pPr>
    </w:p>
    <w:p>
      <w:pPr>
        <w:spacing w:after="0"/>
        <w:rPr>
          <w:rFonts w:ascii="Times New Roman" w:cs="Times New Roman" w:eastAsia="Times New Roman" w:hAnsi="Times New Roman"/>
          <w:sz w:val="16"/>
          <w:szCs w:val="16"/>
          <w:u w:val="single" w:color="auto"/>
          <w:color w:val="0563C1"/>
        </w:rPr>
      </w:pPr>
      <w:hyperlink w:anchor="page251">
        <w:r>
          <w:rPr>
            <w:rFonts w:ascii="Times New Roman" w:cs="Times New Roman" w:eastAsia="Times New Roman" w:hAnsi="Times New Roman"/>
            <w:sz w:val="16"/>
            <w:szCs w:val="16"/>
            <w:u w:val="single" w:color="auto"/>
            <w:color w:val="0563C1"/>
          </w:rPr>
          <w:t xml:space="preserve">Consolidated Statements of Cash Flows for the Years ended </w:t>
        </w:r>
      </w:hyperlink>
      <w:r>
        <w:rPr>
          <w:rFonts w:ascii="Times New Roman" w:cs="Times New Roman" w:eastAsia="Times New Roman" w:hAnsi="Times New Roman"/>
          <w:sz w:val="16"/>
          <w:szCs w:val="16"/>
          <w:u w:val="single" w:color="auto"/>
          <w:color w:val="0563C1"/>
        </w:rPr>
        <w:t>December 31, 2023, 2022 and 2021</w:t>
      </w:r>
    </w:p>
    <w:p>
      <w:pPr>
        <w:spacing w:after="0" w:line="332" w:lineRule="exact"/>
        <w:rPr>
          <w:sz w:val="20"/>
          <w:szCs w:val="20"/>
          <w:color w:val="auto"/>
        </w:rPr>
      </w:pPr>
    </w:p>
    <w:p>
      <w:pPr>
        <w:spacing w:after="0"/>
        <w:rPr>
          <w:rFonts w:ascii="Times New Roman" w:cs="Times New Roman" w:eastAsia="Times New Roman" w:hAnsi="Times New Roman"/>
          <w:sz w:val="16"/>
          <w:szCs w:val="16"/>
          <w:u w:val="single" w:color="auto"/>
          <w:color w:val="0563C1"/>
        </w:rPr>
      </w:pPr>
      <w:hyperlink w:anchor="page252">
        <w:r>
          <w:rPr>
            <w:rFonts w:ascii="Times New Roman" w:cs="Times New Roman" w:eastAsia="Times New Roman" w:hAnsi="Times New Roman"/>
            <w:sz w:val="16"/>
            <w:szCs w:val="16"/>
            <w:u w:val="single" w:color="auto"/>
            <w:color w:val="0563C1"/>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76835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w:t>
      </w:r>
      <w:hyperlink w:anchor="page242">
        <w:r>
          <w:rPr>
            <w:rFonts w:ascii="Times New Roman" w:cs="Times New Roman" w:eastAsia="Times New Roman" w:hAnsi="Times New Roman"/>
            <w:sz w:val="16"/>
            <w:szCs w:val="16"/>
            <w:u w:val="single" w:color="auto"/>
            <w:color w:val="auto"/>
          </w:rPr>
          <w:t>2</w:t>
        </w:r>
      </w:hyperlink>
    </w:p>
    <w:p>
      <w:pPr>
        <w:spacing w:after="0" w:line="332" w:lineRule="exact"/>
        <w:rPr>
          <w:sz w:val="20"/>
          <w:szCs w:val="20"/>
          <w:color w:val="auto"/>
        </w:rPr>
      </w:pPr>
    </w:p>
    <w:p>
      <w:pPr>
        <w:ind w:left="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w:t>
      </w:r>
      <w:hyperlink w:anchor="page247">
        <w:r>
          <w:rPr>
            <w:rFonts w:ascii="Times New Roman" w:cs="Times New Roman" w:eastAsia="Times New Roman" w:hAnsi="Times New Roman"/>
            <w:sz w:val="16"/>
            <w:szCs w:val="16"/>
            <w:u w:val="single" w:color="auto"/>
            <w:color w:val="auto"/>
          </w:rPr>
          <w:t>7</w:t>
        </w:r>
      </w:hyperlink>
    </w:p>
    <w:p>
      <w:pPr>
        <w:spacing w:after="0" w:line="344" w:lineRule="exact"/>
        <w:rPr>
          <w:sz w:val="20"/>
          <w:szCs w:val="20"/>
          <w:color w:val="auto"/>
        </w:rPr>
      </w:pPr>
    </w:p>
    <w:p>
      <w:pPr>
        <w:ind w:left="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w:t>
      </w:r>
      <w:hyperlink w:anchor="page249">
        <w:r>
          <w:rPr>
            <w:rFonts w:ascii="Times New Roman" w:cs="Times New Roman" w:eastAsia="Times New Roman" w:hAnsi="Times New Roman"/>
            <w:sz w:val="16"/>
            <w:szCs w:val="16"/>
            <w:u w:val="single" w:color="auto"/>
            <w:color w:val="auto"/>
          </w:rPr>
          <w:t>9</w:t>
        </w:r>
      </w:hyperlink>
    </w:p>
    <w:p>
      <w:pPr>
        <w:spacing w:after="0" w:line="332" w:lineRule="exact"/>
        <w:rPr>
          <w:sz w:val="20"/>
          <w:szCs w:val="20"/>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w:t>
      </w:r>
      <w:hyperlink w:anchor="page250">
        <w:r>
          <w:rPr>
            <w:rFonts w:ascii="Times New Roman" w:cs="Times New Roman" w:eastAsia="Times New Roman" w:hAnsi="Times New Roman"/>
            <w:sz w:val="14"/>
            <w:szCs w:val="14"/>
            <w:u w:val="single" w:color="auto"/>
            <w:color w:val="auto"/>
          </w:rPr>
          <w:t>10</w:t>
        </w:r>
      </w:hyperlink>
    </w:p>
    <w:p>
      <w:pPr>
        <w:spacing w:after="0" w:line="355" w:lineRule="exact"/>
        <w:rPr>
          <w:sz w:val="20"/>
          <w:szCs w:val="20"/>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w:t>
      </w:r>
      <w:hyperlink w:anchor="page251">
        <w:r>
          <w:rPr>
            <w:rFonts w:ascii="Times New Roman" w:cs="Times New Roman" w:eastAsia="Times New Roman" w:hAnsi="Times New Roman"/>
            <w:sz w:val="14"/>
            <w:szCs w:val="14"/>
            <w:u w:val="single" w:color="auto"/>
            <w:color w:val="auto"/>
          </w:rPr>
          <w:t>11</w:t>
        </w:r>
      </w:hyperlink>
    </w:p>
    <w:p>
      <w:pPr>
        <w:spacing w:after="0" w:line="355" w:lineRule="exact"/>
        <w:rPr>
          <w:sz w:val="20"/>
          <w:szCs w:val="20"/>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w:t>
      </w:r>
      <w:hyperlink w:anchor="page252">
        <w:r>
          <w:rPr>
            <w:rFonts w:ascii="Times New Roman" w:cs="Times New Roman" w:eastAsia="Times New Roman" w:hAnsi="Times New Roman"/>
            <w:sz w:val="14"/>
            <w:szCs w:val="14"/>
            <w:u w:val="single" w:color="auto"/>
            <w:color w:val="auto"/>
          </w:rPr>
          <w:t>12</w:t>
        </w:r>
      </w:hyperlink>
    </w:p>
    <w:p>
      <w:pPr>
        <w:sectPr>
          <w:pgSz w:w="11900" w:h="16840" w:orient="portrait"/>
          <w:cols w:equalWidth="0" w:num="2">
            <w:col w:w="9520" w:space="720"/>
            <w:col w:w="300"/>
          </w:cols>
          <w:pgMar w:left="680" w:top="557" w:right="680" w:bottom="1440" w:gutter="0" w:footer="0" w:header="0"/>
        </w:sectPr>
      </w:pPr>
    </w:p>
    <w:bookmarkStart w:id="242" w:name="page243"/>
    <w:bookmarkEnd w:id="24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the Shareholders and Supervisory Boards of BioNTech SE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position of BioNTech SE (the Company) as of December 31, 2023 and 2022, the related consolidated statements of profit or loss,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International Financial Reporting Standards (IFRS) as issued by the International Accounting Standard Board.</w:t>
      </w:r>
    </w:p>
    <w:p>
      <w:pPr>
        <w:spacing w:after="0" w:line="7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20, 2024, expressed an unqualified opinion thereon.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3" w:name="page244"/>
    <w:bookmarkEnd w:id="243"/>
    <w:p>
      <w:pPr>
        <w:ind w:left="38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6"/>
          <w:szCs w:val="16"/>
          <w:b w:val="1"/>
          <w:bCs w:val="1"/>
          <w:i w:val="1"/>
          <w:iCs w:val="1"/>
          <w:color w:val="auto"/>
        </w:rPr>
        <w:t>Valuation of Intangible assets acquired within Business Combination of InstaDeep Ltd.</w:t>
      </w:r>
    </w:p>
    <w:p>
      <w:pPr>
        <w:sectPr>
          <w:pgSz w:w="11900" w:h="16840" w:orient="portrait"/>
          <w:cols w:equalWidth="0" w:num="1">
            <w:col w:w="10520"/>
          </w:cols>
          <w:pgMar w:left="680" w:top="557" w:right="700"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spacing w:after="0" w:line="316"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described in more detail in Note 5 to the consolidated financial statements, in July 2023 the Company completed its acquisition of InstaDeep Ltd. for a total purchase price of €517.5 million. As a result of the acquisition, the Company acquired Intangible assets including the DeepChain technology.</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Auditing the valuation of the acquired intangible assets was complex due to the significant estimation uncertainty in determining the fair value of the intangible assets. The fair value determination is based on a discounted cash flow model using certain assumptions containing high subjectivity, such as future cost savings that are based on number of candidate discoveries and probability of technical success to which royalty rates are applied. These significant assumptions are forward-looking and could be affected by future economic and market conditions.</w:t>
      </w:r>
    </w:p>
    <w:p>
      <w:pPr>
        <w:spacing w:after="0" w:line="33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controls over the Company's process for evaluating the intangible assets acquired within the Business Combination. This included testing controls over management’s review of assumptions and inputs used to calculate the valuation of the acquired intangible assets.</w:t>
      </w:r>
    </w:p>
    <w:p>
      <w:pPr>
        <w:spacing w:after="0" w:line="6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Our audit procedures included, among others, evaluating management’s approach to determine expected number of candidate discoveries by comparing it to historical data. We tested the probability of technical success by comparing the rates used to past results of similar products in development within the industry. For royalty rates applied we benchmarked those against comparable license agreements.</w:t>
      </w:r>
    </w:p>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procedures included sensitivity analysis of the significant assumptions to evaluate the change in the fair value of the acquired intangible assets resulting from changing the assumptions.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with the assistance of our valuation specialists, we assessed the appropriateness of the valuation method used and the discount rate utilized by comparing to underlying source information.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evaluated the adequacy of the Company’s disclosures in relation to these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 from collaboration partner’s COVID-19 vaccine sales</w:t>
      </w:r>
    </w:p>
    <w:p>
      <w:pPr>
        <w:spacing w:after="0" w:line="3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described in more detail in Note 6 to the consolidated financial statements, the Company recognizes revenues associated with COVID-19 vaccine sales in a total amount of €3.8 billion. This includes €3.0 billion from the Company’s share of its collaboration partner´s gross profit.</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Company is contractually eligible to receive a share of the collaboration partner’s gross profit from vaccine sales in the collaboration partner’s territories. Such gross profit share is recognized as collaboration revenue. In order to determine the gross profit share, the Company uses certain information from the collaboration partner, including vaccine sales outside of the United States and associated production costs, some of which is based on preliminary data shared by the partner and might differ once final data is available.</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Auditing revenue recognition specific to the gross profit share was complex due to the significant estimation uncertainty in inputs to the calculation. Specifically, the collaboration partner’s vaccine sales outside of the United States and associated manufacturing and shipping costs are partially estimated for the last month in the period based on historical information and could change based on the actual vaccine sales and costs incurred.</w:t>
      </w:r>
    </w:p>
    <w:p>
      <w:pPr>
        <w:spacing w:after="0" w:line="200" w:lineRule="exact"/>
        <w:rPr>
          <w:sz w:val="20"/>
          <w:szCs w:val="20"/>
          <w:color w:val="auto"/>
        </w:rPr>
      </w:pPr>
    </w:p>
    <w:p>
      <w:pPr>
        <w:sectPr>
          <w:pgSz w:w="11900" w:h="16840" w:orient="portrait"/>
          <w:cols w:equalWidth="0" w:num="2">
            <w:col w:w="1580" w:space="300"/>
            <w:col w:w="8640"/>
          </w:cols>
          <w:pgMar w:left="680" w:top="557" w:right="7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91440</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80" w:top="557" w:right="700" w:bottom="1440" w:gutter="0" w:footer="0" w:header="0"/>
          <w:type w:val="continuous"/>
        </w:sectPr>
      </w:pPr>
    </w:p>
    <w:bookmarkStart w:id="244" w:name="page245"/>
    <w:bookmarkEnd w:id="244"/>
    <w:p>
      <w:pPr>
        <w:jc w:val="center"/>
        <w:ind w:left="28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right="140"/>
        <w:spacing w:after="0" w:line="316"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right="140"/>
        <w:spacing w:after="0" w:line="316"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the Company’s controls related to revenue recognition from the collaboration partner’s vaccine sales outside of the United States. For example, we tested controls over management’s review of the significant assumptions used to determine the gross profit share the Company is eligible to receive.</w:t>
      </w:r>
    </w:p>
    <w:p>
      <w:pPr>
        <w:spacing w:after="0" w:line="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audit procedures included, among others, reading the contract with the collaboration partner to understand key terms and obtaining an understanding of management’s methodology and assumptions used to calculate the gross profit share. We performed a hindsight analysis to assess management’s accuracy in estimating the collaboration partner’s vaccine sales outside of the United States and manufacturing and shipping costs. We obtained a confirmation directly from the collaboration partner regarding vaccine sales and cost inputs used to estimate the profit share. We performed a sensitivity analysis of the significant assumptions to evaluate the change in the gross profit share resulting from changing the assumptions, as well as an analysis of previous estimation compared to the actual payments obtained to date. We tested the completeness and accuracy of the Company’s gross profit share calculation. We evaluated the Company’s related disclosures in the consolidated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Claims and legal contingencies</w:t>
      </w:r>
    </w:p>
    <w:p>
      <w:pPr>
        <w:spacing w:after="0" w:line="37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As described in more detail in Note 18 to the consolidated financial statements, the Company is involved in various claims and litigation specifically related to patent infringements and product liability matters. The Company, assisted by their internal and external legal counsel, assesses the need to record a provision or disclose a contingency on a case-by-case basis considering the underlying facts of each matter. The Company discloses contingent liabilities in circumstances where a cash outflow is probable, but management is unable to make a reasonable estimate of the expected financial effect that will result from ultimate resolution of the proceeding, or a cash outflow is reasonably possible. A provision is recorded when a cash outflow is deemed probable and reasonably estimable.</w:t>
      </w:r>
    </w:p>
    <w:p>
      <w:pPr>
        <w:spacing w:after="0" w:line="4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Auditing management's determination of whether a loss of such patent or product liability matters is probable and reasonably estimable, reasonably possible or remote, and the related disclosures, is highly subjective and requires significant judgement.</w:t>
      </w:r>
    </w:p>
    <w:p>
      <w:pPr>
        <w:spacing w:after="0" w:line="34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in assessing the completeness, valuation, presentation and disclosures with respect to such claims and legal proceedings. For example, this included testing controls related to the Company’s process for identification, recognition, measurement and disclosure of claims and legal contingencies.</w:t>
      </w:r>
    </w:p>
    <w:p>
      <w:pPr>
        <w:spacing w:after="0" w:line="3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assessed the completeness of the claims and legal proceedings subject to evaluation by the Company and assessed their determination of the probability of their outcomes through review of presentations for board meetings and inspection of responses to inquiry letters received from both internal and external legal counsels. Further, we held discussions with internal and external legal counsels to confirm our understanding of the allegations, reviewed legal expenses incurred, evaluated resolutions of claims already concluded against management’s assessment and obtained written representations from executives of the Company confirming the completeness and accuracy of the information provided.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evaluated the adequacy of the Company’s disclosures in relation to these matters.</w:t>
      </w:r>
    </w:p>
    <w:p>
      <w:pPr>
        <w:spacing w:after="0" w:line="200" w:lineRule="exact"/>
        <w:rPr>
          <w:sz w:val="20"/>
          <w:szCs w:val="20"/>
          <w:color w:val="auto"/>
        </w:rPr>
      </w:pPr>
    </w:p>
    <w:p>
      <w:pPr>
        <w:sectPr>
          <w:pgSz w:w="11900" w:h="16840" w:orient="portrait"/>
          <w:cols w:equalWidth="0" w:num="2">
            <w:col w:w="1600" w:space="300"/>
            <w:col w:w="8660"/>
          </w:cols>
          <w:pgMar w:left="660" w:top="557" w:right="680"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EY GmbH &amp; Co. KG Wirtschaftsprüfungsgesellschaft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Cologne, Germany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20, 2024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type w:val="continuous"/>
        </w:sectPr>
      </w:pPr>
    </w:p>
    <w:bookmarkStart w:id="245" w:name="page246"/>
    <w:bookmarkEnd w:id="24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the Shareholders and Supervisory Board of BioNTech SE</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94" w:lineRule="exact"/>
        <w:rPr>
          <w:sz w:val="20"/>
          <w:szCs w:val="20"/>
          <w:color w:val="auto"/>
        </w:rPr>
      </w:pPr>
    </w:p>
    <w:p>
      <w:pPr>
        <w:jc w:val="both"/>
        <w:ind w:firstLine="384"/>
        <w:spacing w:after="0" w:line="299" w:lineRule="auto"/>
        <w:rPr>
          <w:sz w:val="20"/>
          <w:szCs w:val="20"/>
          <w:color w:val="auto"/>
        </w:rPr>
      </w:pPr>
      <w:r>
        <w:rPr>
          <w:rFonts w:ascii="Times New Roman" w:cs="Times New Roman" w:eastAsia="Times New Roman" w:hAnsi="Times New Roman"/>
          <w:sz w:val="14"/>
          <w:szCs w:val="14"/>
          <w:color w:val="auto"/>
        </w:rPr>
        <w:t>We have audited BioNTech SE’s internal control over financial reporting as of December 31, 2023, based on criteria established in Internal Control—Integrated Framework issued by the Committee of Sponsoring Organizations of the Treadway Commission “(2013 framework),” (the COSO criteria). In our opinion, BioNTech SE (the Company) maintained, in all material respects, effective internal control over financial reporting as of December 31, 2023, based on the COSO criteria.</w:t>
      </w:r>
    </w:p>
    <w:p>
      <w:pPr>
        <w:spacing w:after="0" w:line="3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InstaDeep Ltd., which is included in the 2023 consolidated financial statements of the Company and constituted 2.2% of total assets, respectively, as of December 31, 2023 and 0.1% of revenues and constituted € 31.7 million of net loss included within the €930.3 million total profit for the year then ended. Our audit of internal control over financial reporting of the Company also did not include an evaluation of the internal control over financial reporting of InstaDeep Ltd.</w:t>
      </w:r>
    </w:p>
    <w:p>
      <w:pPr>
        <w:spacing w:after="0" w:line="73"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statements of financial position of the Company as of December 31, 2023 and 2022, the related consolidated statements of profit or loss, comprehensive income, changes in stockholders’ equity and cash flows for each of the three years in the period ended December 31, 2023, and the related notes and our report dated March 20, 2024 expressed an unqualified opinion thereon.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6" w:name="page247"/>
    <w:bookmarkEnd w:id="24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EY GmbH &amp; Co. KG Wirtschaftsprüfungsgesellschaft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Cologne, Germany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20,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57" w:right="1440" w:bottom="1440" w:gutter="0" w:footer="0" w:header="0"/>
        </w:sectPr>
      </w:pPr>
    </w:p>
    <w:bookmarkStart w:id="247" w:name="page248"/>
    <w:bookmarkEnd w:id="24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20" w:type="dxa"/>
            <w:vAlign w:val="bottom"/>
          </w:tcPr>
          <w:p>
            <w:pPr>
              <w:spacing w:after="0"/>
              <w:rPr>
                <w:sz w:val="17"/>
                <w:szCs w:val="17"/>
                <w:color w:val="auto"/>
              </w:rPr>
            </w:pPr>
          </w:p>
        </w:tc>
        <w:tc>
          <w:tcPr>
            <w:tcW w:w="384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_Consolidated Statements of Profit or Loss</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5"/>
        </w:trPr>
        <w:tc>
          <w:tcPr>
            <w:tcW w:w="32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280" w:type="dxa"/>
            <w:vAlign w:val="bottom"/>
          </w:tcPr>
          <w:p>
            <w:pPr>
              <w:spacing w:after="0"/>
              <w:rPr>
                <w:sz w:val="23"/>
                <w:szCs w:val="23"/>
                <w:color w:val="auto"/>
              </w:rPr>
            </w:pPr>
          </w:p>
        </w:tc>
      </w:tr>
      <w:tr>
        <w:trPr>
          <w:trHeight w:val="206"/>
        </w:trPr>
        <w:tc>
          <w:tcPr>
            <w:tcW w:w="3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spacing w:after="0"/>
              <w:rPr>
                <w:sz w:val="17"/>
                <w:szCs w:val="17"/>
                <w:color w:val="auto"/>
              </w:rPr>
            </w:pPr>
          </w:p>
        </w:tc>
      </w:tr>
      <w:tr>
        <w:trPr>
          <w:trHeight w:val="217"/>
        </w:trPr>
        <w:tc>
          <w:tcPr>
            <w:tcW w:w="3220" w:type="dxa"/>
            <w:vAlign w:val="bottom"/>
          </w:tcPr>
          <w:p>
            <w:pPr>
              <w:spacing w:after="0"/>
              <w:rPr>
                <w:sz w:val="18"/>
                <w:szCs w:val="18"/>
                <w:color w:val="auto"/>
              </w:rPr>
            </w:pPr>
          </w:p>
        </w:tc>
        <w:tc>
          <w:tcPr>
            <w:tcW w:w="3480" w:type="dxa"/>
            <w:vAlign w:val="bottom"/>
            <w:tcBorders>
              <w:right w:val="single" w:sz="8" w:color="70AD47"/>
            </w:tcBorders>
          </w:tcPr>
          <w:p>
            <w:pPr>
              <w:spacing w:after="0"/>
              <w:rPr>
                <w:sz w:val="18"/>
                <w:szCs w:val="18"/>
                <w:color w:val="auto"/>
              </w:rPr>
            </w:pPr>
          </w:p>
        </w:tc>
        <w:tc>
          <w:tcPr>
            <w:tcW w:w="360" w:type="dxa"/>
            <w:vAlign w:val="bottom"/>
            <w:shd w:val="clear" w:color="auto" w:fill="C5E0B4"/>
          </w:tcPr>
          <w:p>
            <w:pPr>
              <w:spacing w:after="0"/>
              <w:rPr>
                <w:sz w:val="18"/>
                <w:szCs w:val="18"/>
                <w:color w:val="auto"/>
              </w:rPr>
            </w:pPr>
          </w:p>
        </w:tc>
        <w:tc>
          <w:tcPr>
            <w:tcW w:w="9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5"/>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 except per share data)</w:t>
            </w:r>
          </w:p>
        </w:tc>
        <w:tc>
          <w:tcPr>
            <w:tcW w:w="3480" w:type="dxa"/>
            <w:vAlign w:val="bottom"/>
            <w:tcBorders>
              <w:bottom w:val="single" w:sz="8" w:color="70AD47"/>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spacing w:after="0"/>
              <w:rPr>
                <w:sz w:val="18"/>
                <w:szCs w:val="18"/>
                <w:color w:val="auto"/>
              </w:rPr>
            </w:pPr>
          </w:p>
        </w:tc>
        <w:tc>
          <w:tcPr>
            <w:tcW w:w="1300" w:type="dxa"/>
            <w:vAlign w:val="bottom"/>
            <w:tcBorders>
              <w:bottom w:val="single" w:sz="8" w:color="70AD47"/>
              <w:right w:val="single" w:sz="8" w:color="70AD47"/>
            </w:tcBorders>
          </w:tcPr>
          <w:p>
            <w:pPr>
              <w:spacing w:after="0"/>
              <w:rPr>
                <w:sz w:val="18"/>
                <w:szCs w:val="18"/>
                <w:color w:val="auto"/>
              </w:rPr>
            </w:pPr>
          </w:p>
        </w:tc>
        <w:tc>
          <w:tcPr>
            <w:tcW w:w="1280" w:type="dxa"/>
            <w:vAlign w:val="bottom"/>
            <w:tcBorders>
              <w:bottom w:val="single" w:sz="8" w:color="70AD47"/>
              <w:right w:val="single" w:sz="8" w:color="70AD47"/>
            </w:tcBorders>
          </w:tcPr>
          <w:p>
            <w:pPr>
              <w:spacing w:after="0"/>
              <w:rPr>
                <w:sz w:val="18"/>
                <w:szCs w:val="18"/>
                <w:color w:val="auto"/>
              </w:rPr>
            </w:pPr>
          </w:p>
        </w:tc>
      </w:tr>
      <w:tr>
        <w:trPr>
          <w:trHeight w:val="43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80" w:type="dxa"/>
            <w:vAlign w:val="bottom"/>
            <w:tcBorders>
              <w:right w:val="single" w:sz="8" w:color="70AD47"/>
            </w:tcBorders>
          </w:tcPr>
          <w:p>
            <w:pPr>
              <w:spacing w:after="0"/>
              <w:rPr>
                <w:sz w:val="24"/>
                <w:szCs w:val="24"/>
                <w:color w:val="auto"/>
              </w:rPr>
            </w:pPr>
          </w:p>
        </w:tc>
        <w:tc>
          <w:tcPr>
            <w:tcW w:w="360" w:type="dxa"/>
            <w:vAlign w:val="bottom"/>
            <w:shd w:val="clear" w:color="auto" w:fill="C6E0B4"/>
          </w:tcPr>
          <w:p>
            <w:pPr>
              <w:spacing w:after="0"/>
              <w:rPr>
                <w:sz w:val="24"/>
                <w:szCs w:val="24"/>
                <w:color w:val="auto"/>
              </w:rPr>
            </w:pPr>
          </w:p>
        </w:tc>
        <w:tc>
          <w:tcPr>
            <w:tcW w:w="940" w:type="dxa"/>
            <w:vAlign w:val="bottom"/>
            <w:tcBorders>
              <w:right w:val="single" w:sz="8" w:color="70AD47"/>
            </w:tcBorders>
            <w:shd w:val="clear" w:color="auto" w:fill="C6E0B4"/>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1280" w:type="dxa"/>
            <w:vAlign w:val="bottom"/>
            <w:tcBorders>
              <w:right w:val="single" w:sz="8" w:color="70AD47"/>
            </w:tcBorders>
          </w:tcPr>
          <w:p>
            <w:pPr>
              <w:spacing w:after="0"/>
              <w:rPr>
                <w:sz w:val="24"/>
                <w:szCs w:val="24"/>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revenues</w:t>
            </w:r>
          </w:p>
        </w:tc>
        <w:tc>
          <w:tcPr>
            <w:tcW w:w="3480" w:type="dxa"/>
            <w:vAlign w:val="bottom"/>
            <w:tcBorders>
              <w:right w:val="single" w:sz="8" w:color="70AD47"/>
            </w:tcBorders>
          </w:tcPr>
          <w:p>
            <w:pPr>
              <w:jc w:val="center"/>
              <w:ind w:left="2242"/>
              <w:spacing w:after="0"/>
              <w:rPr>
                <w:sz w:val="20"/>
                <w:szCs w:val="20"/>
                <w:color w:val="auto"/>
              </w:rPr>
            </w:pPr>
            <w:r>
              <w:rPr>
                <w:rFonts w:ascii="Times New Roman" w:cs="Times New Roman" w:eastAsia="Times New Roman" w:hAnsi="Times New Roman"/>
                <w:sz w:val="16"/>
                <w:szCs w:val="16"/>
                <w:color w:val="auto"/>
                <w:w w:val="99"/>
              </w:rPr>
              <w:t>6</w:t>
            </w:r>
          </w:p>
        </w:tc>
        <w:tc>
          <w:tcPr>
            <w:tcW w:w="360" w:type="dxa"/>
            <w:vAlign w:val="bottom"/>
            <w:shd w:val="clear" w:color="auto" w:fill="C6E0B4"/>
          </w:tcPr>
          <w:p>
            <w:pPr>
              <w:spacing w:after="0"/>
              <w:rPr>
                <w:sz w:val="18"/>
                <w:szCs w:val="18"/>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3,815.5</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17,194.6</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18,874.0</w:t>
            </w:r>
          </w:p>
        </w:tc>
      </w:tr>
      <w:tr>
        <w:trPr>
          <w:trHeight w:val="217"/>
        </w:trPr>
        <w:tc>
          <w:tcPr>
            <w:tcW w:w="322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Research &amp; development revenues</w:t>
            </w:r>
          </w:p>
        </w:tc>
        <w:tc>
          <w:tcPr>
            <w:tcW w:w="3480" w:type="dxa"/>
            <w:vAlign w:val="bottom"/>
            <w:tcBorders>
              <w:bottom w:val="single" w:sz="8" w:color="70AD47"/>
              <w:right w:val="single" w:sz="8" w:color="70AD47"/>
            </w:tcBorders>
          </w:tcPr>
          <w:p>
            <w:pPr>
              <w:jc w:val="center"/>
              <w:ind w:left="2242"/>
              <w:spacing w:after="0"/>
              <w:rPr>
                <w:sz w:val="20"/>
                <w:szCs w:val="20"/>
                <w:color w:val="auto"/>
              </w:rPr>
            </w:pPr>
            <w:r>
              <w:rPr>
                <w:rFonts w:ascii="Times New Roman" w:cs="Times New Roman" w:eastAsia="Times New Roman" w:hAnsi="Times New Roman"/>
                <w:sz w:val="16"/>
                <w:szCs w:val="16"/>
                <w:color w:val="auto"/>
                <w:w w:val="99"/>
              </w:rPr>
              <w:t>6</w:t>
            </w: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08"/>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480" w:type="dxa"/>
            <w:vAlign w:val="bottom"/>
            <w:tcBorders>
              <w:bottom w:val="single" w:sz="8" w:color="70AD47"/>
              <w:right w:val="single" w:sz="8" w:color="70AD47"/>
            </w:tcBorders>
          </w:tcPr>
          <w:p>
            <w:pPr>
              <w:spacing w:after="0"/>
              <w:rPr>
                <w:sz w:val="18"/>
                <w:szCs w:val="18"/>
                <w:color w:val="auto"/>
              </w:rPr>
            </w:pP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3,819.0</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17,310.6</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18,976.7</w:t>
            </w:r>
          </w:p>
        </w:tc>
      </w:tr>
      <w:tr>
        <w:trPr>
          <w:trHeight w:val="43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7.1</w:t>
            </w:r>
          </w:p>
        </w:tc>
        <w:tc>
          <w:tcPr>
            <w:tcW w:w="360" w:type="dxa"/>
            <w:vAlign w:val="bottom"/>
            <w:shd w:val="clear" w:color="auto" w:fill="C6E0B4"/>
          </w:tcPr>
          <w:p>
            <w:pPr>
              <w:spacing w:after="0"/>
              <w:rPr>
                <w:sz w:val="24"/>
                <w:szCs w:val="24"/>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(2,995.0)</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(2,911.5)</w:t>
            </w: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7.1</w:t>
            </w:r>
          </w:p>
        </w:tc>
        <w:tc>
          <w:tcPr>
            <w:tcW w:w="360" w:type="dxa"/>
            <w:vAlign w:val="bottom"/>
            <w:shd w:val="clear" w:color="auto" w:fill="C6E0B4"/>
          </w:tcPr>
          <w:p>
            <w:pPr>
              <w:spacing w:after="0"/>
              <w:rPr>
                <w:sz w:val="18"/>
                <w:szCs w:val="18"/>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(949.2)</w:t>
            </w: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7.1</w:t>
            </w:r>
          </w:p>
        </w:tc>
        <w:tc>
          <w:tcPr>
            <w:tcW w:w="360" w:type="dxa"/>
            <w:vAlign w:val="bottom"/>
            <w:shd w:val="clear" w:color="auto" w:fill="C6E0B4"/>
          </w:tcPr>
          <w:p>
            <w:pPr>
              <w:spacing w:after="0"/>
              <w:rPr>
                <w:sz w:val="18"/>
                <w:szCs w:val="18"/>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312"/>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9"/>
                <w:szCs w:val="9"/>
                <w:color w:val="auto"/>
              </w:rPr>
              <w:t>(1)</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7.1</w:t>
            </w:r>
          </w:p>
        </w:tc>
        <w:tc>
          <w:tcPr>
            <w:tcW w:w="360" w:type="dxa"/>
            <w:vAlign w:val="bottom"/>
            <w:shd w:val="clear" w:color="auto" w:fill="C6E0B4"/>
          </w:tcPr>
          <w:p>
            <w:pPr>
              <w:spacing w:after="0"/>
              <w:rPr>
                <w:sz w:val="24"/>
                <w:szCs w:val="24"/>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324"/>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operating expenses </w:t>
            </w:r>
            <w:r>
              <w:rPr>
                <w:rFonts w:ascii="Times New Roman" w:cs="Times New Roman" w:eastAsia="Times New Roman" w:hAnsi="Times New Roman"/>
                <w:sz w:val="9"/>
                <w:szCs w:val="9"/>
                <w:color w:val="auto"/>
              </w:rPr>
              <w:t>(1)</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7.2</w:t>
            </w:r>
          </w:p>
        </w:tc>
        <w:tc>
          <w:tcPr>
            <w:tcW w:w="360" w:type="dxa"/>
            <w:vAlign w:val="bottom"/>
            <w:shd w:val="clear" w:color="auto" w:fill="C6E0B4"/>
          </w:tcPr>
          <w:p>
            <w:pPr>
              <w:spacing w:after="0"/>
              <w:rPr>
                <w:sz w:val="24"/>
                <w:szCs w:val="24"/>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29"/>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operating income</w:t>
            </w:r>
          </w:p>
        </w:tc>
        <w:tc>
          <w:tcPr>
            <w:tcW w:w="3480" w:type="dxa"/>
            <w:vAlign w:val="bottom"/>
            <w:tcBorders>
              <w:bottom w:val="single" w:sz="8" w:color="70AD47"/>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7.3</w:t>
            </w:r>
          </w:p>
        </w:tc>
        <w:tc>
          <w:tcPr>
            <w:tcW w:w="360" w:type="dxa"/>
            <w:vAlign w:val="bottom"/>
            <w:tcBorders>
              <w:bottom w:val="single" w:sz="8" w:color="70AD47"/>
            </w:tcBorders>
            <w:shd w:val="clear" w:color="auto" w:fill="C6E0B4"/>
          </w:tcPr>
          <w:p>
            <w:pPr>
              <w:spacing w:after="0"/>
              <w:rPr>
                <w:sz w:val="19"/>
                <w:szCs w:val="19"/>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598.4</w:t>
            </w:r>
          </w:p>
        </w:tc>
      </w:tr>
      <w:tr>
        <w:trPr>
          <w:trHeight w:val="208"/>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80" w:type="dxa"/>
            <w:vAlign w:val="bottom"/>
            <w:tcBorders>
              <w:bottom w:val="single" w:sz="8" w:color="70AD47"/>
              <w:right w:val="single" w:sz="8" w:color="70AD47"/>
            </w:tcBorders>
          </w:tcPr>
          <w:p>
            <w:pPr>
              <w:spacing w:after="0"/>
              <w:rPr>
                <w:sz w:val="18"/>
                <w:szCs w:val="18"/>
                <w:color w:val="auto"/>
              </w:rPr>
            </w:pPr>
          </w:p>
        </w:tc>
        <w:tc>
          <w:tcPr>
            <w:tcW w:w="360" w:type="dxa"/>
            <w:vAlign w:val="bottom"/>
            <w:tcBorders>
              <w:bottom w:val="single" w:sz="8" w:color="70AD47"/>
            </w:tcBorders>
            <w:shd w:val="clear" w:color="auto" w:fill="C5E0B4"/>
          </w:tcPr>
          <w:p>
            <w:pPr>
              <w:spacing w:after="0"/>
              <w:rPr>
                <w:sz w:val="18"/>
                <w:szCs w:val="18"/>
                <w:color w:val="auto"/>
              </w:rPr>
            </w:pPr>
          </w:p>
        </w:tc>
        <w:tc>
          <w:tcPr>
            <w:tcW w:w="9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690.4</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12,642.7</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15,283.8</w:t>
            </w:r>
          </w:p>
        </w:tc>
      </w:tr>
      <w:tr>
        <w:trPr>
          <w:trHeight w:val="221"/>
        </w:trPr>
        <w:tc>
          <w:tcPr>
            <w:tcW w:w="3220" w:type="dxa"/>
            <w:vAlign w:val="bottom"/>
          </w:tcPr>
          <w:p>
            <w:pPr>
              <w:spacing w:after="0"/>
              <w:rPr>
                <w:sz w:val="19"/>
                <w:szCs w:val="19"/>
                <w:color w:val="auto"/>
              </w:rPr>
            </w:pPr>
          </w:p>
        </w:tc>
        <w:tc>
          <w:tcPr>
            <w:tcW w:w="3480" w:type="dxa"/>
            <w:vAlign w:val="bottom"/>
            <w:tcBorders>
              <w:right w:val="single" w:sz="8" w:color="70AD47"/>
            </w:tcBorders>
          </w:tcPr>
          <w:p>
            <w:pPr>
              <w:spacing w:after="0"/>
              <w:rPr>
                <w:sz w:val="19"/>
                <w:szCs w:val="19"/>
                <w:color w:val="auto"/>
              </w:rPr>
            </w:pPr>
          </w:p>
        </w:tc>
        <w:tc>
          <w:tcPr>
            <w:tcW w:w="360" w:type="dxa"/>
            <w:vAlign w:val="bottom"/>
            <w:shd w:val="clear" w:color="auto" w:fill="C5E0B4"/>
          </w:tcPr>
          <w:p>
            <w:pPr>
              <w:spacing w:after="0"/>
              <w:rPr>
                <w:sz w:val="19"/>
                <w:szCs w:val="19"/>
                <w:color w:val="auto"/>
              </w:rPr>
            </w:pPr>
          </w:p>
        </w:tc>
        <w:tc>
          <w:tcPr>
            <w:tcW w:w="940" w:type="dxa"/>
            <w:vAlign w:val="bottom"/>
            <w:tcBorders>
              <w:right w:val="single" w:sz="8" w:color="70AD47"/>
            </w:tcBorders>
            <w:shd w:val="clear" w:color="auto" w:fill="C5E0B4"/>
          </w:tcPr>
          <w:p>
            <w:pPr>
              <w:spacing w:after="0"/>
              <w:rPr>
                <w:sz w:val="19"/>
                <w:szCs w:val="19"/>
                <w:color w:val="auto"/>
              </w:rPr>
            </w:pPr>
          </w:p>
        </w:tc>
        <w:tc>
          <w:tcPr>
            <w:tcW w:w="1300" w:type="dxa"/>
            <w:vAlign w:val="bottom"/>
            <w:tcBorders>
              <w:right w:val="single" w:sz="8" w:color="70AD47"/>
            </w:tcBorders>
          </w:tcPr>
          <w:p>
            <w:pPr>
              <w:spacing w:after="0"/>
              <w:rPr>
                <w:sz w:val="19"/>
                <w:szCs w:val="19"/>
                <w:color w:val="auto"/>
              </w:rPr>
            </w:pPr>
          </w:p>
        </w:tc>
        <w:tc>
          <w:tcPr>
            <w:tcW w:w="1280" w:type="dxa"/>
            <w:vAlign w:val="bottom"/>
            <w:tcBorders>
              <w:right w:val="single" w:sz="8" w:color="70AD47"/>
            </w:tcBorders>
          </w:tcPr>
          <w:p>
            <w:pPr>
              <w:spacing w:after="0"/>
              <w:rPr>
                <w:sz w:val="19"/>
                <w:szCs w:val="19"/>
                <w:color w:val="auto"/>
              </w:rPr>
            </w:pPr>
          </w:p>
        </w:tc>
      </w:tr>
      <w:tr>
        <w:trPr>
          <w:trHeight w:val="214"/>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3480" w:type="dxa"/>
            <w:vAlign w:val="bottom"/>
            <w:tcBorders>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7.4</w:t>
            </w:r>
          </w:p>
        </w:tc>
        <w:tc>
          <w:tcPr>
            <w:tcW w:w="360" w:type="dxa"/>
            <w:vAlign w:val="bottom"/>
            <w:shd w:val="clear" w:color="auto" w:fill="C6E0B4"/>
          </w:tcPr>
          <w:p>
            <w:pPr>
              <w:spacing w:after="0"/>
              <w:rPr>
                <w:sz w:val="18"/>
                <w:szCs w:val="18"/>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17"/>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Finance expenses</w:t>
            </w:r>
          </w:p>
        </w:tc>
        <w:tc>
          <w:tcPr>
            <w:tcW w:w="3480" w:type="dxa"/>
            <w:vAlign w:val="bottom"/>
            <w:tcBorders>
              <w:bottom w:val="single" w:sz="8" w:color="70AD47"/>
              <w:right w:val="single" w:sz="8" w:color="70AD47"/>
            </w:tcBorders>
          </w:tcPr>
          <w:p>
            <w:pPr>
              <w:jc w:val="center"/>
              <w:ind w:left="2262"/>
              <w:spacing w:after="0"/>
              <w:rPr>
                <w:sz w:val="20"/>
                <w:szCs w:val="20"/>
                <w:color w:val="auto"/>
              </w:rPr>
            </w:pPr>
            <w:r>
              <w:rPr>
                <w:rFonts w:ascii="Times New Roman" w:cs="Times New Roman" w:eastAsia="Times New Roman" w:hAnsi="Times New Roman"/>
                <w:sz w:val="16"/>
                <w:szCs w:val="16"/>
                <w:color w:val="auto"/>
                <w:w w:val="89"/>
              </w:rPr>
              <w:t>7.5</w:t>
            </w: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(305.1)</w:t>
            </w:r>
          </w:p>
        </w:tc>
      </w:tr>
      <w:tr>
        <w:trPr>
          <w:trHeight w:val="208"/>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3480" w:type="dxa"/>
            <w:vAlign w:val="bottom"/>
            <w:tcBorders>
              <w:bottom w:val="single" w:sz="8" w:color="70AD47"/>
              <w:right w:val="single" w:sz="8" w:color="70AD47"/>
            </w:tcBorders>
          </w:tcPr>
          <w:p>
            <w:pPr>
              <w:spacing w:after="0"/>
              <w:rPr>
                <w:sz w:val="18"/>
                <w:szCs w:val="18"/>
                <w:color w:val="auto"/>
              </w:rPr>
            </w:pPr>
          </w:p>
        </w:tc>
        <w:tc>
          <w:tcPr>
            <w:tcW w:w="360" w:type="dxa"/>
            <w:vAlign w:val="bottom"/>
            <w:tcBorders>
              <w:bottom w:val="single" w:sz="8" w:color="70AD47"/>
            </w:tcBorders>
            <w:shd w:val="clear" w:color="auto" w:fill="C5E0B4"/>
          </w:tcPr>
          <w:p>
            <w:pPr>
              <w:spacing w:after="0"/>
              <w:rPr>
                <w:sz w:val="18"/>
                <w:szCs w:val="18"/>
                <w:color w:val="auto"/>
              </w:rPr>
            </w:pPr>
          </w:p>
        </w:tc>
        <w:tc>
          <w:tcPr>
            <w:tcW w:w="9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1,186.1</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12,954.1</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15,046.4</w:t>
            </w:r>
          </w:p>
        </w:tc>
      </w:tr>
      <w:tr>
        <w:trPr>
          <w:trHeight w:val="221"/>
        </w:trPr>
        <w:tc>
          <w:tcPr>
            <w:tcW w:w="3220" w:type="dxa"/>
            <w:vAlign w:val="bottom"/>
          </w:tcPr>
          <w:p>
            <w:pPr>
              <w:spacing w:after="0"/>
              <w:rPr>
                <w:sz w:val="19"/>
                <w:szCs w:val="19"/>
                <w:color w:val="auto"/>
              </w:rPr>
            </w:pPr>
          </w:p>
        </w:tc>
        <w:tc>
          <w:tcPr>
            <w:tcW w:w="3480" w:type="dxa"/>
            <w:vAlign w:val="bottom"/>
            <w:tcBorders>
              <w:right w:val="single" w:sz="8" w:color="70AD47"/>
            </w:tcBorders>
          </w:tcPr>
          <w:p>
            <w:pPr>
              <w:spacing w:after="0"/>
              <w:rPr>
                <w:sz w:val="19"/>
                <w:szCs w:val="19"/>
                <w:color w:val="auto"/>
              </w:rPr>
            </w:pPr>
          </w:p>
        </w:tc>
        <w:tc>
          <w:tcPr>
            <w:tcW w:w="360" w:type="dxa"/>
            <w:vAlign w:val="bottom"/>
            <w:shd w:val="clear" w:color="auto" w:fill="C5E0B4"/>
          </w:tcPr>
          <w:p>
            <w:pPr>
              <w:spacing w:after="0"/>
              <w:rPr>
                <w:sz w:val="19"/>
                <w:szCs w:val="19"/>
                <w:color w:val="auto"/>
              </w:rPr>
            </w:pPr>
          </w:p>
        </w:tc>
        <w:tc>
          <w:tcPr>
            <w:tcW w:w="940" w:type="dxa"/>
            <w:vAlign w:val="bottom"/>
            <w:tcBorders>
              <w:right w:val="single" w:sz="8" w:color="70AD47"/>
            </w:tcBorders>
            <w:shd w:val="clear" w:color="auto" w:fill="C5E0B4"/>
          </w:tcPr>
          <w:p>
            <w:pPr>
              <w:spacing w:after="0"/>
              <w:rPr>
                <w:sz w:val="19"/>
                <w:szCs w:val="19"/>
                <w:color w:val="auto"/>
              </w:rPr>
            </w:pPr>
          </w:p>
        </w:tc>
        <w:tc>
          <w:tcPr>
            <w:tcW w:w="1300" w:type="dxa"/>
            <w:vAlign w:val="bottom"/>
            <w:tcBorders>
              <w:right w:val="single" w:sz="8" w:color="70AD47"/>
            </w:tcBorders>
          </w:tcPr>
          <w:p>
            <w:pPr>
              <w:spacing w:after="0"/>
              <w:rPr>
                <w:sz w:val="19"/>
                <w:szCs w:val="19"/>
                <w:color w:val="auto"/>
              </w:rPr>
            </w:pPr>
          </w:p>
        </w:tc>
        <w:tc>
          <w:tcPr>
            <w:tcW w:w="1280" w:type="dxa"/>
            <w:vAlign w:val="bottom"/>
            <w:tcBorders>
              <w:right w:val="single" w:sz="8" w:color="70AD47"/>
            </w:tcBorders>
          </w:tcPr>
          <w:p>
            <w:pPr>
              <w:spacing w:after="0"/>
              <w:rPr>
                <w:sz w:val="19"/>
                <w:szCs w:val="19"/>
                <w:color w:val="auto"/>
              </w:rPr>
            </w:pPr>
          </w:p>
        </w:tc>
      </w:tr>
      <w:tr>
        <w:trPr>
          <w:trHeight w:val="215"/>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80" w:type="dxa"/>
            <w:vAlign w:val="bottom"/>
            <w:tcBorders>
              <w:bottom w:val="single" w:sz="8" w:color="70AD47"/>
              <w:right w:val="single" w:sz="8" w:color="70AD47"/>
            </w:tcBorders>
          </w:tcPr>
          <w:p>
            <w:pPr>
              <w:jc w:val="center"/>
              <w:ind w:left="2242"/>
              <w:spacing w:after="0"/>
              <w:rPr>
                <w:sz w:val="20"/>
                <w:szCs w:val="20"/>
                <w:color w:val="auto"/>
              </w:rPr>
            </w:pPr>
            <w:r>
              <w:rPr>
                <w:rFonts w:ascii="Times New Roman" w:cs="Times New Roman" w:eastAsia="Times New Roman" w:hAnsi="Times New Roman"/>
                <w:sz w:val="16"/>
                <w:szCs w:val="16"/>
                <w:color w:val="auto"/>
                <w:w w:val="99"/>
              </w:rPr>
              <w:t>8</w:t>
            </w: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(3,519.7)</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(4,753.9)</w:t>
            </w:r>
          </w:p>
        </w:tc>
      </w:tr>
      <w:tr>
        <w:trPr>
          <w:trHeight w:val="208"/>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3480" w:type="dxa"/>
            <w:vAlign w:val="bottom"/>
            <w:tcBorders>
              <w:bottom w:val="single" w:sz="8" w:color="70AD47"/>
              <w:right w:val="single" w:sz="8" w:color="70AD47"/>
            </w:tcBorders>
          </w:tcPr>
          <w:p>
            <w:pPr>
              <w:spacing w:after="0"/>
              <w:rPr>
                <w:sz w:val="18"/>
                <w:szCs w:val="18"/>
                <w:color w:val="auto"/>
              </w:rPr>
            </w:pPr>
          </w:p>
        </w:tc>
        <w:tc>
          <w:tcPr>
            <w:tcW w:w="360" w:type="dxa"/>
            <w:vAlign w:val="bottom"/>
            <w:tcBorders>
              <w:bottom w:val="single" w:sz="8" w:color="70AD47"/>
            </w:tcBorders>
            <w:shd w:val="clear" w:color="auto" w:fill="C5E0B4"/>
          </w:tcPr>
          <w:p>
            <w:pPr>
              <w:spacing w:after="0"/>
              <w:rPr>
                <w:sz w:val="18"/>
                <w:szCs w:val="18"/>
                <w:color w:val="auto"/>
              </w:rPr>
            </w:pPr>
          </w:p>
        </w:tc>
        <w:tc>
          <w:tcPr>
            <w:tcW w:w="9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930.3</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9,434.4</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10,292.5</w:t>
            </w:r>
          </w:p>
        </w:tc>
      </w:tr>
      <w:tr>
        <w:trPr>
          <w:trHeight w:val="43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480" w:type="dxa"/>
            <w:vAlign w:val="bottom"/>
            <w:tcBorders>
              <w:right w:val="single" w:sz="8" w:color="70AD47"/>
            </w:tcBorders>
          </w:tcPr>
          <w:p>
            <w:pPr>
              <w:spacing w:after="0"/>
              <w:rPr>
                <w:sz w:val="24"/>
                <w:szCs w:val="24"/>
                <w:color w:val="auto"/>
              </w:rPr>
            </w:pPr>
          </w:p>
        </w:tc>
        <w:tc>
          <w:tcPr>
            <w:tcW w:w="360" w:type="dxa"/>
            <w:vAlign w:val="bottom"/>
            <w:shd w:val="clear" w:color="auto" w:fill="C5E0B4"/>
          </w:tcPr>
          <w:p>
            <w:pPr>
              <w:spacing w:after="0"/>
              <w:rPr>
                <w:sz w:val="24"/>
                <w:szCs w:val="24"/>
                <w:color w:val="auto"/>
              </w:rPr>
            </w:pPr>
          </w:p>
        </w:tc>
        <w:tc>
          <w:tcPr>
            <w:tcW w:w="940" w:type="dxa"/>
            <w:vAlign w:val="bottom"/>
            <w:tcBorders>
              <w:right w:val="single" w:sz="8" w:color="70AD47"/>
            </w:tcBorders>
            <w:shd w:val="clear" w:color="auto" w:fill="C5E0B4"/>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1280" w:type="dxa"/>
            <w:vAlign w:val="bottom"/>
            <w:tcBorders>
              <w:right w:val="single" w:sz="8" w:color="70AD47"/>
            </w:tcBorders>
          </w:tcPr>
          <w:p>
            <w:pPr>
              <w:spacing w:after="0"/>
              <w:rPr>
                <w:sz w:val="24"/>
                <w:szCs w:val="24"/>
                <w:color w:val="auto"/>
              </w:rPr>
            </w:pPr>
          </w:p>
        </w:tc>
      </w:tr>
      <w:tr>
        <w:trPr>
          <w:trHeight w:val="214"/>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for the period per share</w:t>
            </w:r>
          </w:p>
        </w:tc>
        <w:tc>
          <w:tcPr>
            <w:tcW w:w="3480" w:type="dxa"/>
            <w:vAlign w:val="bottom"/>
            <w:tcBorders>
              <w:right w:val="single" w:sz="8" w:color="70AD47"/>
            </w:tcBorders>
          </w:tcPr>
          <w:p>
            <w:pPr>
              <w:jc w:val="center"/>
              <w:ind w:left="2242"/>
              <w:spacing w:after="0"/>
              <w:rPr>
                <w:sz w:val="20"/>
                <w:szCs w:val="20"/>
                <w:color w:val="auto"/>
              </w:rPr>
            </w:pPr>
            <w:r>
              <w:rPr>
                <w:rFonts w:ascii="Times New Roman" w:cs="Times New Roman" w:eastAsia="Times New Roman" w:hAnsi="Times New Roman"/>
                <w:sz w:val="16"/>
                <w:szCs w:val="16"/>
                <w:color w:val="auto"/>
                <w:w w:val="99"/>
              </w:rPr>
              <w:t>9</w:t>
            </w:r>
          </w:p>
        </w:tc>
        <w:tc>
          <w:tcPr>
            <w:tcW w:w="360" w:type="dxa"/>
            <w:vAlign w:val="bottom"/>
            <w:shd w:val="clear" w:color="auto" w:fill="C6E0B4"/>
          </w:tcPr>
          <w:p>
            <w:pPr>
              <w:spacing w:after="0"/>
              <w:rPr>
                <w:sz w:val="18"/>
                <w:szCs w:val="18"/>
                <w:color w:val="auto"/>
              </w:rPr>
            </w:pP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2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17"/>
        </w:trPr>
        <w:tc>
          <w:tcPr>
            <w:tcW w:w="32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Diluted earnings for the period per share</w:t>
            </w:r>
          </w:p>
        </w:tc>
        <w:tc>
          <w:tcPr>
            <w:tcW w:w="3480" w:type="dxa"/>
            <w:vAlign w:val="bottom"/>
            <w:tcBorders>
              <w:bottom w:val="single" w:sz="8" w:color="70AD47"/>
              <w:right w:val="single" w:sz="8" w:color="70AD47"/>
            </w:tcBorders>
          </w:tcPr>
          <w:p>
            <w:pPr>
              <w:jc w:val="center"/>
              <w:ind w:left="2242"/>
              <w:spacing w:after="0"/>
              <w:rPr>
                <w:sz w:val="20"/>
                <w:szCs w:val="20"/>
                <w:color w:val="auto"/>
              </w:rPr>
            </w:pPr>
            <w:r>
              <w:rPr>
                <w:rFonts w:ascii="Times New Roman" w:cs="Times New Roman" w:eastAsia="Times New Roman" w:hAnsi="Times New Roman"/>
                <w:sz w:val="16"/>
                <w:szCs w:val="16"/>
                <w:color w:val="auto"/>
                <w:w w:val="99"/>
              </w:rPr>
              <w:t>9</w:t>
            </w:r>
          </w:p>
        </w:tc>
        <w:tc>
          <w:tcPr>
            <w:tcW w:w="360" w:type="dxa"/>
            <w:vAlign w:val="bottom"/>
            <w:tcBorders>
              <w:bottom w:val="single" w:sz="8" w:color="70AD47"/>
            </w:tcBorders>
            <w:shd w:val="clear" w:color="auto" w:fill="C6E0B4"/>
          </w:tcPr>
          <w:p>
            <w:pPr>
              <w:spacing w:after="0"/>
              <w:rPr>
                <w:sz w:val="18"/>
                <w:szCs w:val="18"/>
                <w:color w:val="auto"/>
              </w:rPr>
            </w:pP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2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r>
    </w:tbl>
    <w:p>
      <w:pPr>
        <w:spacing w:after="0" w:line="78" w:lineRule="exact"/>
        <w:rPr>
          <w:sz w:val="20"/>
          <w:szCs w:val="20"/>
          <w:color w:val="auto"/>
        </w:rPr>
      </w:pPr>
    </w:p>
    <w:p>
      <w:pPr>
        <w:ind w:left="220" w:hanging="214"/>
        <w:spacing w:after="0"/>
        <w:tabs>
          <w:tab w:leader="none" w:pos="220" w:val="left"/>
        </w:tabs>
        <w:numPr>
          <w:ilvl w:val="0"/>
          <w:numId w:val="1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Adjustments to prior-year figures due to change in functional allocation of general and administrative expenses and other operating expenses (see Note 7.2).</w:t>
      </w:r>
    </w:p>
    <w:p>
      <w:pPr>
        <w:spacing w:after="0" w:line="171" w:lineRule="exact"/>
        <w:rPr>
          <w:rFonts w:ascii="Times New Roman" w:cs="Times New Roman" w:eastAsia="Times New Roman" w:hAnsi="Times New Roman"/>
          <w:sz w:val="19"/>
          <w:szCs w:val="19"/>
          <w:color w:val="auto"/>
          <w:vertAlign w:val="superscript"/>
        </w:rPr>
      </w:pPr>
    </w:p>
    <w:p>
      <w:pPr>
        <w:ind w:left="40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5640" w:type="dxa"/>
            <w:vAlign w:val="bottom"/>
            <w:gridSpan w:val="2"/>
          </w:tcPr>
          <w:p>
            <w:pPr>
              <w:spacing w:after="0"/>
              <w:rPr>
                <w:rFonts w:ascii="Times New Roman" w:cs="Times New Roman" w:eastAsia="Times New Roman" w:hAnsi="Times New Roman"/>
                <w:sz w:val="16"/>
                <w:szCs w:val="16"/>
                <w:color w:val="0000FF"/>
              </w:rPr>
            </w:pPr>
            <w:hyperlink w:anchor="page2">
              <w:r>
                <w:rPr>
                  <w:rFonts w:ascii="Times New Roman" w:cs="Times New Roman" w:eastAsia="Times New Roman" w:hAnsi="Times New Roman"/>
                  <w:sz w:val="16"/>
                  <w:szCs w:val="16"/>
                  <w:color w:val="0000FF"/>
                </w:rPr>
                <w:t>Table of Contents</w:t>
              </w:r>
            </w:hyperlink>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8"/>
        </w:trPr>
        <w:tc>
          <w:tcPr>
            <w:tcW w:w="40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540" w:type="dxa"/>
            <w:vAlign w:val="bottom"/>
            <w:gridSpan w:val="3"/>
          </w:tcPr>
          <w:p>
            <w:pPr>
              <w:jc w:val="center"/>
              <w:ind w:left="962"/>
              <w:spacing w:after="0"/>
              <w:rPr>
                <w:sz w:val="20"/>
                <w:szCs w:val="20"/>
                <w:color w:val="auto"/>
              </w:rPr>
            </w:pPr>
            <w:r>
              <w:rPr>
                <w:rFonts w:ascii="Times New Roman" w:cs="Times New Roman" w:eastAsia="Times New Roman" w:hAnsi="Times New Roman"/>
                <w:sz w:val="16"/>
                <w:szCs w:val="16"/>
                <w:b w:val="1"/>
                <w:bCs w:val="1"/>
                <w:color w:val="auto"/>
                <w:w w:val="97"/>
              </w:rPr>
              <w:t>Consolidated Statements of Comprehensive Income</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4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5"/>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840" w:type="dxa"/>
            <w:vAlign w:val="bottom"/>
            <w:tcBorders>
              <w:bottom w:val="single" w:sz="8" w:color="70AD47"/>
              <w:right w:val="single" w:sz="8" w:color="70AD47"/>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60" w:type="dxa"/>
            <w:vAlign w:val="bottom"/>
            <w:tcBorders>
              <w:bottom w:val="single" w:sz="8" w:color="70AD47"/>
              <w:right w:val="single" w:sz="8" w:color="70AD47"/>
            </w:tcBorders>
            <w:shd w:val="clear" w:color="auto" w:fill="C6E0B4"/>
          </w:tcPr>
          <w:p>
            <w:pPr>
              <w:spacing w:after="0"/>
              <w:rPr>
                <w:sz w:val="18"/>
                <w:szCs w:val="18"/>
                <w:color w:val="auto"/>
              </w:rPr>
            </w:pPr>
          </w:p>
        </w:tc>
        <w:tc>
          <w:tcPr>
            <w:tcW w:w="1240" w:type="dxa"/>
            <w:vAlign w:val="bottom"/>
            <w:tcBorders>
              <w:bottom w:val="single" w:sz="8" w:color="70AD47"/>
              <w:right w:val="single" w:sz="8" w:color="70AD47"/>
            </w:tcBorders>
          </w:tcPr>
          <w:p>
            <w:pPr>
              <w:spacing w:after="0"/>
              <w:rPr>
                <w:sz w:val="18"/>
                <w:szCs w:val="18"/>
                <w:color w:val="auto"/>
              </w:rPr>
            </w:pPr>
          </w:p>
        </w:tc>
        <w:tc>
          <w:tcPr>
            <w:tcW w:w="1300" w:type="dxa"/>
            <w:vAlign w:val="bottom"/>
            <w:tcBorders>
              <w:bottom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840" w:type="dxa"/>
            <w:vAlign w:val="bottom"/>
            <w:tcBorders>
              <w:bottom w:val="single" w:sz="8" w:color="70AD47"/>
              <w:right w:val="single" w:sz="8" w:color="70AD47"/>
            </w:tcBorders>
          </w:tcPr>
          <w:p>
            <w:pPr>
              <w:spacing w:after="0"/>
              <w:rPr>
                <w:sz w:val="18"/>
                <w:szCs w:val="18"/>
                <w:color w:val="auto"/>
              </w:rPr>
            </w:pP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930.3</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9,434.4</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10,292.5</w:t>
            </w:r>
          </w:p>
        </w:tc>
        <w:tc>
          <w:tcPr>
            <w:tcW w:w="0" w:type="dxa"/>
            <w:vAlign w:val="bottom"/>
          </w:tcPr>
          <w:p>
            <w:pPr>
              <w:spacing w:after="0"/>
              <w:rPr>
                <w:sz w:val="1"/>
                <w:szCs w:val="1"/>
                <w:color w:val="auto"/>
              </w:rPr>
            </w:pPr>
          </w:p>
        </w:tc>
      </w:tr>
      <w:tr>
        <w:trPr>
          <w:trHeight w:val="435"/>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840" w:type="dxa"/>
            <w:vAlign w:val="bottom"/>
            <w:tcBorders>
              <w:right w:val="single" w:sz="8" w:color="70AD47"/>
            </w:tcBorders>
          </w:tcPr>
          <w:p>
            <w:pPr>
              <w:spacing w:after="0"/>
              <w:rPr>
                <w:sz w:val="24"/>
                <w:szCs w:val="24"/>
                <w:color w:val="auto"/>
              </w:rPr>
            </w:pPr>
          </w:p>
        </w:tc>
        <w:tc>
          <w:tcPr>
            <w:tcW w:w="1160" w:type="dxa"/>
            <w:vAlign w:val="bottom"/>
            <w:tcBorders>
              <w:right w:val="single" w:sz="8" w:color="70AD47"/>
            </w:tcBorders>
            <w:shd w:val="clear" w:color="auto" w:fill="C5E0B4"/>
          </w:tcPr>
          <w:p>
            <w:pPr>
              <w:spacing w:after="0"/>
              <w:rPr>
                <w:sz w:val="24"/>
                <w:szCs w:val="24"/>
                <w:color w:val="auto"/>
              </w:rPr>
            </w:pPr>
          </w:p>
        </w:tc>
        <w:tc>
          <w:tcPr>
            <w:tcW w:w="1240" w:type="dxa"/>
            <w:vAlign w:val="bottom"/>
            <w:tcBorders>
              <w:right w:val="single" w:sz="8" w:color="70AD47"/>
            </w:tcBorders>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04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6"/>
                <w:szCs w:val="16"/>
                <w:i w:val="1"/>
                <w:iCs w:val="1"/>
                <w:color w:val="auto"/>
              </w:rPr>
              <w:t>Other comprehensive income that may be reclassified to profit or loss in subsequent</w:t>
            </w:r>
          </w:p>
        </w:tc>
        <w:tc>
          <w:tcPr>
            <w:tcW w:w="840" w:type="dxa"/>
            <w:vAlign w:val="bottom"/>
            <w:tcBorders>
              <w:right w:val="single" w:sz="8" w:color="70AD47"/>
            </w:tcBorders>
          </w:tcPr>
          <w:p>
            <w:pPr>
              <w:spacing w:after="0"/>
              <w:rPr>
                <w:sz w:val="15"/>
                <w:szCs w:val="15"/>
                <w:color w:val="auto"/>
              </w:rPr>
            </w:pPr>
          </w:p>
        </w:tc>
        <w:tc>
          <w:tcPr>
            <w:tcW w:w="1160" w:type="dxa"/>
            <w:vAlign w:val="bottom"/>
            <w:tcBorders>
              <w:right w:val="single" w:sz="8" w:color="70AD47"/>
            </w:tcBorders>
            <w:shd w:val="clear" w:color="auto" w:fill="C5E0B4"/>
          </w:tcPr>
          <w:p>
            <w:pPr>
              <w:spacing w:after="0"/>
              <w:rPr>
                <w:sz w:val="15"/>
                <w:szCs w:val="15"/>
                <w:color w:val="auto"/>
              </w:rPr>
            </w:pPr>
          </w:p>
        </w:tc>
        <w:tc>
          <w:tcPr>
            <w:tcW w:w="1240" w:type="dxa"/>
            <w:vAlign w:val="bottom"/>
            <w:tcBorders>
              <w:right w:val="single" w:sz="8" w:color="70AD47"/>
            </w:tcBorders>
          </w:tcPr>
          <w:p>
            <w:pPr>
              <w:spacing w:after="0"/>
              <w:rPr>
                <w:sz w:val="15"/>
                <w:szCs w:val="15"/>
                <w:color w:val="auto"/>
              </w:rPr>
            </w:pPr>
          </w:p>
        </w:tc>
        <w:tc>
          <w:tcPr>
            <w:tcW w:w="130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periods, net of tax</w:t>
            </w:r>
          </w:p>
        </w:tc>
        <w:tc>
          <w:tcPr>
            <w:tcW w:w="84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shd w:val="clear" w:color="auto" w:fill="C5E0B4"/>
          </w:tcPr>
          <w:p>
            <w:pPr>
              <w:spacing w:after="0"/>
              <w:rPr>
                <w:sz w:val="18"/>
                <w:szCs w:val="18"/>
                <w:color w:val="auto"/>
              </w:rPr>
            </w:pPr>
          </w:p>
        </w:tc>
        <w:tc>
          <w:tcPr>
            <w:tcW w:w="124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color w:val="auto"/>
              </w:rPr>
              <w:t>Exchange differences on translation of foreign operations</w:t>
            </w:r>
          </w:p>
        </w:tc>
        <w:tc>
          <w:tcPr>
            <w:tcW w:w="840" w:type="dxa"/>
            <w:vAlign w:val="bottom"/>
            <w:tcBorders>
              <w:bottom w:val="single" w:sz="8" w:color="70AD47"/>
              <w:right w:val="single" w:sz="8" w:color="70AD47"/>
            </w:tcBorders>
          </w:tcPr>
          <w:p>
            <w:pPr>
              <w:spacing w:after="0"/>
              <w:rPr>
                <w:sz w:val="18"/>
                <w:szCs w:val="18"/>
                <w:color w:val="auto"/>
              </w:rPr>
            </w:pP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70"/>
        </w:trPr>
        <w:tc>
          <w:tcPr>
            <w:tcW w:w="60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Net other comprehensive income / (loss) that may be reclassified to profit or loss in</w:t>
            </w:r>
          </w:p>
        </w:tc>
        <w:tc>
          <w:tcPr>
            <w:tcW w:w="840" w:type="dxa"/>
            <w:vAlign w:val="bottom"/>
            <w:tcBorders>
              <w:right w:val="single" w:sz="8" w:color="70AD47"/>
            </w:tcBorders>
          </w:tcPr>
          <w:p>
            <w:pPr>
              <w:spacing w:after="0"/>
              <w:rPr>
                <w:sz w:val="14"/>
                <w:szCs w:val="14"/>
                <w:color w:val="auto"/>
              </w:rPr>
            </w:pPr>
          </w:p>
        </w:tc>
        <w:tc>
          <w:tcPr>
            <w:tcW w:w="11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12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13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0" w:type="dxa"/>
            <w:vAlign w:val="bottom"/>
          </w:tcPr>
          <w:p>
            <w:pPr>
              <w:spacing w:after="0"/>
              <w:rPr>
                <w:sz w:val="1"/>
                <w:szCs w:val="1"/>
                <w:color w:val="auto"/>
              </w:rPr>
            </w:pPr>
          </w:p>
        </w:tc>
      </w:tr>
      <w:tr>
        <w:trPr>
          <w:trHeight w:val="121"/>
        </w:trPr>
        <w:tc>
          <w:tcPr>
            <w:tcW w:w="6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subsequent periods</w:t>
            </w:r>
          </w:p>
        </w:tc>
        <w:tc>
          <w:tcPr>
            <w:tcW w:w="840" w:type="dxa"/>
            <w:vAlign w:val="bottom"/>
            <w:tcBorders>
              <w:right w:val="single" w:sz="8" w:color="70AD47"/>
            </w:tcBorders>
          </w:tcPr>
          <w:p>
            <w:pPr>
              <w:spacing w:after="0"/>
              <w:rPr>
                <w:sz w:val="10"/>
                <w:szCs w:val="10"/>
                <w:color w:val="auto"/>
              </w:rPr>
            </w:pPr>
          </w:p>
        </w:tc>
        <w:tc>
          <w:tcPr>
            <w:tcW w:w="1160" w:type="dxa"/>
            <w:vAlign w:val="bottom"/>
            <w:tcBorders>
              <w:right w:val="single" w:sz="8" w:color="70AD47"/>
            </w:tcBorders>
            <w:vMerge w:val="continue"/>
            <w:shd w:val="clear" w:color="auto" w:fill="C6E0B4"/>
          </w:tcPr>
          <w:p>
            <w:pPr>
              <w:spacing w:after="0"/>
              <w:rPr>
                <w:sz w:val="10"/>
                <w:szCs w:val="10"/>
                <w:color w:val="auto"/>
              </w:rPr>
            </w:pPr>
          </w:p>
        </w:tc>
        <w:tc>
          <w:tcPr>
            <w:tcW w:w="1240" w:type="dxa"/>
            <w:vAlign w:val="bottom"/>
            <w:tcBorders>
              <w:right w:val="single" w:sz="8" w:color="70AD47"/>
            </w:tcBorders>
            <w:vMerge w:val="continue"/>
          </w:tcPr>
          <w:p>
            <w:pPr>
              <w:spacing w:after="0"/>
              <w:rPr>
                <w:sz w:val="10"/>
                <w:szCs w:val="10"/>
                <w:color w:val="auto"/>
              </w:rPr>
            </w:pPr>
          </w:p>
        </w:tc>
        <w:tc>
          <w:tcPr>
            <w:tcW w:w="130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40" w:type="dxa"/>
            <w:vAlign w:val="bottom"/>
            <w:tcBorders>
              <w:bottom w:val="single" w:sz="8" w:color="70AD47"/>
            </w:tcBorders>
            <w:gridSpan w:val="3"/>
            <w:vMerge w:val="continue"/>
          </w:tcPr>
          <w:p>
            <w:pPr>
              <w:spacing w:after="0"/>
              <w:rPr>
                <w:sz w:val="7"/>
                <w:szCs w:val="7"/>
                <w:color w:val="auto"/>
              </w:rPr>
            </w:pPr>
          </w:p>
        </w:tc>
        <w:tc>
          <w:tcPr>
            <w:tcW w:w="840" w:type="dxa"/>
            <w:vAlign w:val="bottom"/>
            <w:tcBorders>
              <w:bottom w:val="single" w:sz="8" w:color="70AD47"/>
              <w:right w:val="single" w:sz="8" w:color="70AD47"/>
            </w:tcBorders>
          </w:tcPr>
          <w:p>
            <w:pPr>
              <w:spacing w:after="0"/>
              <w:rPr>
                <w:sz w:val="7"/>
                <w:szCs w:val="7"/>
                <w:color w:val="auto"/>
              </w:rPr>
            </w:pPr>
          </w:p>
        </w:tc>
        <w:tc>
          <w:tcPr>
            <w:tcW w:w="1160" w:type="dxa"/>
            <w:vAlign w:val="bottom"/>
            <w:tcBorders>
              <w:bottom w:val="single" w:sz="8" w:color="70AD47"/>
              <w:right w:val="single" w:sz="8" w:color="70AD47"/>
            </w:tcBorders>
            <w:shd w:val="clear" w:color="auto" w:fill="C6E0B4"/>
          </w:tcPr>
          <w:p>
            <w:pPr>
              <w:spacing w:after="0"/>
              <w:rPr>
                <w:sz w:val="7"/>
                <w:szCs w:val="7"/>
                <w:color w:val="auto"/>
              </w:rPr>
            </w:pPr>
          </w:p>
        </w:tc>
        <w:tc>
          <w:tcPr>
            <w:tcW w:w="1240" w:type="dxa"/>
            <w:vAlign w:val="bottom"/>
            <w:tcBorders>
              <w:bottom w:val="single" w:sz="8" w:color="70AD47"/>
              <w:right w:val="single" w:sz="8" w:color="70AD47"/>
            </w:tcBorders>
          </w:tcPr>
          <w:p>
            <w:pPr>
              <w:spacing w:after="0"/>
              <w:rPr>
                <w:sz w:val="7"/>
                <w:szCs w:val="7"/>
                <w:color w:val="auto"/>
              </w:rPr>
            </w:pPr>
          </w:p>
        </w:tc>
        <w:tc>
          <w:tcPr>
            <w:tcW w:w="130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Other comprehensive loss that will not be reclassified to profit or loss in subsequent</w:t>
            </w:r>
          </w:p>
        </w:tc>
        <w:tc>
          <w:tcPr>
            <w:tcW w:w="840" w:type="dxa"/>
            <w:vAlign w:val="bottom"/>
            <w:tcBorders>
              <w:right w:val="single" w:sz="8" w:color="70AD47"/>
            </w:tcBorders>
          </w:tcPr>
          <w:p>
            <w:pPr>
              <w:spacing w:after="0"/>
              <w:rPr>
                <w:sz w:val="24"/>
                <w:szCs w:val="24"/>
                <w:color w:val="auto"/>
              </w:rPr>
            </w:pPr>
          </w:p>
        </w:tc>
        <w:tc>
          <w:tcPr>
            <w:tcW w:w="1160" w:type="dxa"/>
            <w:vAlign w:val="bottom"/>
            <w:tcBorders>
              <w:right w:val="single" w:sz="8" w:color="70AD47"/>
            </w:tcBorders>
            <w:shd w:val="clear" w:color="auto" w:fill="C5E0B4"/>
          </w:tcPr>
          <w:p>
            <w:pPr>
              <w:spacing w:after="0"/>
              <w:rPr>
                <w:sz w:val="24"/>
                <w:szCs w:val="24"/>
                <w:color w:val="auto"/>
              </w:rPr>
            </w:pPr>
          </w:p>
        </w:tc>
        <w:tc>
          <w:tcPr>
            <w:tcW w:w="1240" w:type="dxa"/>
            <w:vAlign w:val="bottom"/>
            <w:tcBorders>
              <w:right w:val="single" w:sz="8" w:color="70AD47"/>
            </w:tcBorders>
          </w:tcPr>
          <w:p>
            <w:pPr>
              <w:spacing w:after="0"/>
              <w:rPr>
                <w:sz w:val="24"/>
                <w:szCs w:val="24"/>
                <w:color w:val="auto"/>
              </w:rPr>
            </w:pPr>
          </w:p>
        </w:tc>
        <w:tc>
          <w:tcPr>
            <w:tcW w:w="130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periods, net of tax</w:t>
            </w:r>
          </w:p>
        </w:tc>
        <w:tc>
          <w:tcPr>
            <w:tcW w:w="840" w:type="dxa"/>
            <w:vAlign w:val="bottom"/>
            <w:tcBorders>
              <w:right w:val="single" w:sz="8" w:color="70AD47"/>
            </w:tcBorders>
          </w:tcPr>
          <w:p>
            <w:pPr>
              <w:spacing w:after="0"/>
              <w:rPr>
                <w:sz w:val="18"/>
                <w:szCs w:val="18"/>
                <w:color w:val="auto"/>
              </w:rPr>
            </w:pPr>
          </w:p>
        </w:tc>
        <w:tc>
          <w:tcPr>
            <w:tcW w:w="1160" w:type="dxa"/>
            <w:vAlign w:val="bottom"/>
            <w:tcBorders>
              <w:right w:val="single" w:sz="8" w:color="70AD47"/>
            </w:tcBorders>
            <w:shd w:val="clear" w:color="auto" w:fill="C5E0B4"/>
          </w:tcPr>
          <w:p>
            <w:pPr>
              <w:spacing w:after="0"/>
              <w:rPr>
                <w:sz w:val="18"/>
                <w:szCs w:val="18"/>
                <w:color w:val="auto"/>
              </w:rPr>
            </w:pPr>
          </w:p>
        </w:tc>
        <w:tc>
          <w:tcPr>
            <w:tcW w:w="124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4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6"/>
                <w:szCs w:val="16"/>
                <w:color w:val="auto"/>
              </w:rPr>
              <w:t>Net gain on equity instruments designated at fair value through other comprehensive</w:t>
            </w:r>
          </w:p>
        </w:tc>
        <w:tc>
          <w:tcPr>
            <w:tcW w:w="840" w:type="dxa"/>
            <w:vAlign w:val="bottom"/>
            <w:tcBorders>
              <w:right w:val="single" w:sz="8" w:color="70AD47"/>
            </w:tcBorders>
          </w:tcPr>
          <w:p>
            <w:pPr>
              <w:spacing w:after="0"/>
              <w:rPr>
                <w:sz w:val="15"/>
                <w:szCs w:val="15"/>
                <w:color w:val="auto"/>
              </w:rPr>
            </w:pPr>
          </w:p>
        </w:tc>
        <w:tc>
          <w:tcPr>
            <w:tcW w:w="11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3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9"/>
        </w:trPr>
        <w:tc>
          <w:tcPr>
            <w:tcW w:w="6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840" w:type="dxa"/>
            <w:vAlign w:val="bottom"/>
            <w:tcBorders>
              <w:right w:val="single" w:sz="8" w:color="70AD47"/>
            </w:tcBorders>
          </w:tcPr>
          <w:p>
            <w:pPr>
              <w:spacing w:after="0"/>
              <w:rPr>
                <w:sz w:val="10"/>
                <w:szCs w:val="10"/>
                <w:color w:val="auto"/>
              </w:rPr>
            </w:pPr>
          </w:p>
        </w:tc>
        <w:tc>
          <w:tcPr>
            <w:tcW w:w="1160" w:type="dxa"/>
            <w:vAlign w:val="bottom"/>
            <w:tcBorders>
              <w:right w:val="single" w:sz="8" w:color="70AD47"/>
            </w:tcBorders>
            <w:vMerge w:val="continue"/>
            <w:shd w:val="clear" w:color="auto" w:fill="C6E0B4"/>
          </w:tcPr>
          <w:p>
            <w:pPr>
              <w:spacing w:after="0"/>
              <w:rPr>
                <w:sz w:val="10"/>
                <w:szCs w:val="10"/>
                <w:color w:val="auto"/>
              </w:rPr>
            </w:pPr>
          </w:p>
        </w:tc>
        <w:tc>
          <w:tcPr>
            <w:tcW w:w="1240" w:type="dxa"/>
            <w:vAlign w:val="bottom"/>
            <w:tcBorders>
              <w:right w:val="single" w:sz="8" w:color="70AD47"/>
            </w:tcBorders>
            <w:vMerge w:val="continue"/>
          </w:tcPr>
          <w:p>
            <w:pPr>
              <w:spacing w:after="0"/>
              <w:rPr>
                <w:sz w:val="10"/>
                <w:szCs w:val="10"/>
                <w:color w:val="auto"/>
              </w:rPr>
            </w:pPr>
          </w:p>
        </w:tc>
        <w:tc>
          <w:tcPr>
            <w:tcW w:w="130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040" w:type="dxa"/>
            <w:vAlign w:val="bottom"/>
            <w:gridSpan w:val="3"/>
            <w:vMerge w:val="continue"/>
          </w:tcPr>
          <w:p>
            <w:pPr>
              <w:spacing w:after="0"/>
              <w:rPr>
                <w:sz w:val="7"/>
                <w:szCs w:val="7"/>
                <w:color w:val="auto"/>
              </w:rPr>
            </w:pPr>
          </w:p>
        </w:tc>
        <w:tc>
          <w:tcPr>
            <w:tcW w:w="840" w:type="dxa"/>
            <w:vAlign w:val="bottom"/>
            <w:tcBorders>
              <w:right w:val="single" w:sz="8" w:color="70AD47"/>
            </w:tcBorders>
          </w:tcPr>
          <w:p>
            <w:pPr>
              <w:spacing w:after="0"/>
              <w:rPr>
                <w:sz w:val="7"/>
                <w:szCs w:val="7"/>
                <w:color w:val="auto"/>
              </w:rPr>
            </w:pPr>
          </w:p>
        </w:tc>
        <w:tc>
          <w:tcPr>
            <w:tcW w:w="1160" w:type="dxa"/>
            <w:vAlign w:val="bottom"/>
            <w:tcBorders>
              <w:right w:val="single" w:sz="8" w:color="70AD47"/>
            </w:tcBorders>
            <w:shd w:val="clear" w:color="auto" w:fill="C6E0B4"/>
          </w:tcPr>
          <w:p>
            <w:pPr>
              <w:spacing w:after="0"/>
              <w:rPr>
                <w:sz w:val="7"/>
                <w:szCs w:val="7"/>
                <w:color w:val="auto"/>
              </w:rPr>
            </w:pPr>
          </w:p>
        </w:tc>
        <w:tc>
          <w:tcPr>
            <w:tcW w:w="1240" w:type="dxa"/>
            <w:vAlign w:val="bottom"/>
            <w:tcBorders>
              <w:right w:val="single" w:sz="8" w:color="70AD47"/>
            </w:tcBorders>
          </w:tcPr>
          <w:p>
            <w:pPr>
              <w:spacing w:after="0"/>
              <w:rPr>
                <w:sz w:val="7"/>
                <w:szCs w:val="7"/>
                <w:color w:val="auto"/>
              </w:rPr>
            </w:pPr>
          </w:p>
        </w:tc>
        <w:tc>
          <w:tcPr>
            <w:tcW w:w="1300" w:type="dxa"/>
            <w:vAlign w:val="bottom"/>
            <w:tcBorders>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color w:val="auto"/>
              </w:rPr>
              <w:t>Remeasurement gain on defined benefit plans</w:t>
            </w:r>
          </w:p>
        </w:tc>
        <w:tc>
          <w:tcPr>
            <w:tcW w:w="840" w:type="dxa"/>
            <w:vAlign w:val="bottom"/>
            <w:tcBorders>
              <w:bottom w:val="single" w:sz="8" w:color="70AD47"/>
              <w:right w:val="single" w:sz="8" w:color="70AD47"/>
            </w:tcBorders>
          </w:tcPr>
          <w:p>
            <w:pPr>
              <w:spacing w:after="0"/>
              <w:rPr>
                <w:sz w:val="18"/>
                <w:szCs w:val="18"/>
                <w:color w:val="auto"/>
              </w:rPr>
            </w:pP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70"/>
        </w:trPr>
        <w:tc>
          <w:tcPr>
            <w:tcW w:w="60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Net other comprehensive income that will not be reclassified to profit or loss in</w:t>
            </w:r>
          </w:p>
        </w:tc>
        <w:tc>
          <w:tcPr>
            <w:tcW w:w="840" w:type="dxa"/>
            <w:vAlign w:val="bottom"/>
            <w:tcBorders>
              <w:right w:val="single" w:sz="8" w:color="70AD47"/>
            </w:tcBorders>
          </w:tcPr>
          <w:p>
            <w:pPr>
              <w:spacing w:after="0"/>
              <w:rPr>
                <w:sz w:val="14"/>
                <w:szCs w:val="14"/>
                <w:color w:val="auto"/>
              </w:rPr>
            </w:pPr>
          </w:p>
        </w:tc>
        <w:tc>
          <w:tcPr>
            <w:tcW w:w="11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2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13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0" w:type="dxa"/>
            <w:vAlign w:val="bottom"/>
          </w:tcPr>
          <w:p>
            <w:pPr>
              <w:spacing w:after="0"/>
              <w:rPr>
                <w:sz w:val="1"/>
                <w:szCs w:val="1"/>
                <w:color w:val="auto"/>
              </w:rPr>
            </w:pPr>
          </w:p>
        </w:tc>
      </w:tr>
      <w:tr>
        <w:trPr>
          <w:trHeight w:val="121"/>
        </w:trPr>
        <w:tc>
          <w:tcPr>
            <w:tcW w:w="6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subsequent periods</w:t>
            </w:r>
          </w:p>
        </w:tc>
        <w:tc>
          <w:tcPr>
            <w:tcW w:w="840" w:type="dxa"/>
            <w:vAlign w:val="bottom"/>
            <w:tcBorders>
              <w:right w:val="single" w:sz="8" w:color="70AD47"/>
            </w:tcBorders>
          </w:tcPr>
          <w:p>
            <w:pPr>
              <w:spacing w:after="0"/>
              <w:rPr>
                <w:sz w:val="10"/>
                <w:szCs w:val="10"/>
                <w:color w:val="auto"/>
              </w:rPr>
            </w:pPr>
          </w:p>
        </w:tc>
        <w:tc>
          <w:tcPr>
            <w:tcW w:w="1160" w:type="dxa"/>
            <w:vAlign w:val="bottom"/>
            <w:tcBorders>
              <w:right w:val="single" w:sz="8" w:color="70AD47"/>
            </w:tcBorders>
            <w:vMerge w:val="continue"/>
            <w:shd w:val="clear" w:color="auto" w:fill="C6E0B4"/>
          </w:tcPr>
          <w:p>
            <w:pPr>
              <w:spacing w:after="0"/>
              <w:rPr>
                <w:sz w:val="10"/>
                <w:szCs w:val="10"/>
                <w:color w:val="auto"/>
              </w:rPr>
            </w:pPr>
          </w:p>
        </w:tc>
        <w:tc>
          <w:tcPr>
            <w:tcW w:w="1240" w:type="dxa"/>
            <w:vAlign w:val="bottom"/>
            <w:tcBorders>
              <w:right w:val="single" w:sz="8" w:color="70AD47"/>
            </w:tcBorders>
            <w:vMerge w:val="continue"/>
          </w:tcPr>
          <w:p>
            <w:pPr>
              <w:spacing w:after="0"/>
              <w:rPr>
                <w:sz w:val="10"/>
                <w:szCs w:val="10"/>
                <w:color w:val="auto"/>
              </w:rPr>
            </w:pPr>
          </w:p>
        </w:tc>
        <w:tc>
          <w:tcPr>
            <w:tcW w:w="130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40" w:type="dxa"/>
            <w:vAlign w:val="bottom"/>
            <w:tcBorders>
              <w:bottom w:val="single" w:sz="8" w:color="70AD47"/>
            </w:tcBorders>
            <w:gridSpan w:val="3"/>
            <w:vMerge w:val="continue"/>
          </w:tcPr>
          <w:p>
            <w:pPr>
              <w:spacing w:after="0"/>
              <w:rPr>
                <w:sz w:val="7"/>
                <w:szCs w:val="7"/>
                <w:color w:val="auto"/>
              </w:rPr>
            </w:pPr>
          </w:p>
        </w:tc>
        <w:tc>
          <w:tcPr>
            <w:tcW w:w="840" w:type="dxa"/>
            <w:vAlign w:val="bottom"/>
            <w:tcBorders>
              <w:bottom w:val="single" w:sz="8" w:color="70AD47"/>
              <w:right w:val="single" w:sz="8" w:color="70AD47"/>
            </w:tcBorders>
          </w:tcPr>
          <w:p>
            <w:pPr>
              <w:spacing w:after="0"/>
              <w:rPr>
                <w:sz w:val="7"/>
                <w:szCs w:val="7"/>
                <w:color w:val="auto"/>
              </w:rPr>
            </w:pPr>
          </w:p>
        </w:tc>
        <w:tc>
          <w:tcPr>
            <w:tcW w:w="1160" w:type="dxa"/>
            <w:vAlign w:val="bottom"/>
            <w:tcBorders>
              <w:bottom w:val="single" w:sz="8" w:color="70AD47"/>
              <w:right w:val="single" w:sz="8" w:color="70AD47"/>
            </w:tcBorders>
            <w:shd w:val="clear" w:color="auto" w:fill="C6E0B4"/>
          </w:tcPr>
          <w:p>
            <w:pPr>
              <w:spacing w:after="0"/>
              <w:rPr>
                <w:sz w:val="7"/>
                <w:szCs w:val="7"/>
                <w:color w:val="auto"/>
              </w:rPr>
            </w:pPr>
          </w:p>
        </w:tc>
        <w:tc>
          <w:tcPr>
            <w:tcW w:w="1240" w:type="dxa"/>
            <w:vAlign w:val="bottom"/>
            <w:tcBorders>
              <w:bottom w:val="single" w:sz="8" w:color="70AD47"/>
              <w:right w:val="single" w:sz="8" w:color="70AD47"/>
            </w:tcBorders>
          </w:tcPr>
          <w:p>
            <w:pPr>
              <w:spacing w:after="0"/>
              <w:rPr>
                <w:sz w:val="7"/>
                <w:szCs w:val="7"/>
                <w:color w:val="auto"/>
              </w:rPr>
            </w:pPr>
          </w:p>
        </w:tc>
        <w:tc>
          <w:tcPr>
            <w:tcW w:w="130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00" w:type="dxa"/>
            <w:vAlign w:val="bottom"/>
            <w:tcBorders>
              <w:bottom w:val="single" w:sz="8" w:color="70AD47"/>
            </w:tcBorders>
          </w:tcPr>
          <w:p>
            <w:pPr>
              <w:spacing w:after="0"/>
              <w:rPr>
                <w:sz w:val="19"/>
                <w:szCs w:val="19"/>
                <w:color w:val="auto"/>
              </w:rPr>
            </w:pPr>
          </w:p>
        </w:tc>
        <w:tc>
          <w:tcPr>
            <w:tcW w:w="1100" w:type="dxa"/>
            <w:vAlign w:val="bottom"/>
            <w:tcBorders>
              <w:bottom w:val="single" w:sz="8" w:color="70AD47"/>
            </w:tcBorders>
          </w:tcPr>
          <w:p>
            <w:pPr>
              <w:spacing w:after="0"/>
              <w:rPr>
                <w:sz w:val="19"/>
                <w:szCs w:val="19"/>
                <w:color w:val="auto"/>
              </w:rPr>
            </w:pPr>
          </w:p>
        </w:tc>
        <w:tc>
          <w:tcPr>
            <w:tcW w:w="4540" w:type="dxa"/>
            <w:vAlign w:val="bottom"/>
            <w:tcBorders>
              <w:bottom w:val="single" w:sz="8" w:color="70AD47"/>
            </w:tcBorders>
          </w:tcPr>
          <w:p>
            <w:pPr>
              <w:spacing w:after="0"/>
              <w:rPr>
                <w:sz w:val="19"/>
                <w:szCs w:val="19"/>
                <w:color w:val="auto"/>
              </w:rPr>
            </w:pPr>
          </w:p>
        </w:tc>
        <w:tc>
          <w:tcPr>
            <w:tcW w:w="840" w:type="dxa"/>
            <w:vAlign w:val="bottom"/>
            <w:tcBorders>
              <w:bottom w:val="single" w:sz="8" w:color="70AD47"/>
              <w:right w:val="single" w:sz="8" w:color="70AD47"/>
            </w:tcBorders>
          </w:tcPr>
          <w:p>
            <w:pPr>
              <w:spacing w:after="0"/>
              <w:rPr>
                <w:sz w:val="19"/>
                <w:szCs w:val="19"/>
                <w:color w:val="auto"/>
              </w:rPr>
            </w:pPr>
          </w:p>
        </w:tc>
        <w:tc>
          <w:tcPr>
            <w:tcW w:w="1160" w:type="dxa"/>
            <w:vAlign w:val="bottom"/>
            <w:tcBorders>
              <w:bottom w:val="single" w:sz="8" w:color="70AD47"/>
              <w:right w:val="single" w:sz="8" w:color="70AD47"/>
            </w:tcBorders>
            <w:shd w:val="clear" w:color="auto" w:fill="C5E0B4"/>
          </w:tcPr>
          <w:p>
            <w:pPr>
              <w:spacing w:after="0"/>
              <w:rPr>
                <w:sz w:val="19"/>
                <w:szCs w:val="19"/>
                <w:color w:val="auto"/>
              </w:rPr>
            </w:pPr>
          </w:p>
        </w:tc>
        <w:tc>
          <w:tcPr>
            <w:tcW w:w="1240" w:type="dxa"/>
            <w:vAlign w:val="bottom"/>
            <w:tcBorders>
              <w:bottom w:val="single" w:sz="8" w:color="70AD47"/>
              <w:right w:val="single" w:sz="8" w:color="70AD47"/>
            </w:tcBorders>
          </w:tcPr>
          <w:p>
            <w:pPr>
              <w:spacing w:after="0"/>
              <w:rPr>
                <w:sz w:val="19"/>
                <w:szCs w:val="19"/>
                <w:color w:val="auto"/>
              </w:rPr>
            </w:pPr>
          </w:p>
        </w:tc>
        <w:tc>
          <w:tcPr>
            <w:tcW w:w="1300" w:type="dxa"/>
            <w:vAlign w:val="bottom"/>
            <w:tcBorders>
              <w:bottom w:val="single" w:sz="8" w:color="70AD47"/>
              <w:right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 (loss) for the period, net of tax</w:t>
            </w:r>
          </w:p>
        </w:tc>
        <w:tc>
          <w:tcPr>
            <w:tcW w:w="840" w:type="dxa"/>
            <w:vAlign w:val="bottom"/>
            <w:tcBorders>
              <w:bottom w:val="single" w:sz="8" w:color="70AD47"/>
              <w:right w:val="single" w:sz="8" w:color="70AD47"/>
            </w:tcBorders>
          </w:tcPr>
          <w:p>
            <w:pPr>
              <w:spacing w:after="0"/>
              <w:rPr>
                <w:sz w:val="18"/>
                <w:szCs w:val="18"/>
                <w:color w:val="auto"/>
              </w:rPr>
            </w:pP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0" w:type="dxa"/>
            <w:vAlign w:val="bottom"/>
          </w:tcPr>
          <w:p>
            <w:pPr>
              <w:spacing w:after="0"/>
              <w:rPr>
                <w:sz w:val="1"/>
                <w:szCs w:val="1"/>
                <w:color w:val="auto"/>
              </w:rPr>
            </w:pPr>
          </w:p>
        </w:tc>
      </w:tr>
      <w:tr>
        <w:trPr>
          <w:trHeight w:val="221"/>
        </w:trPr>
        <w:tc>
          <w:tcPr>
            <w:tcW w:w="6040" w:type="dxa"/>
            <w:vAlign w:val="bottom"/>
            <w:tcBorders>
              <w:bottom w:val="single" w:sz="8" w:color="70AD47"/>
            </w:tcBorders>
            <w:gridSpan w:val="3"/>
          </w:tcPr>
          <w:p>
            <w:pPr>
              <w:spacing w:after="0"/>
              <w:rPr>
                <w:sz w:val="19"/>
                <w:szCs w:val="19"/>
                <w:color w:val="auto"/>
              </w:rPr>
            </w:pPr>
          </w:p>
        </w:tc>
        <w:tc>
          <w:tcPr>
            <w:tcW w:w="840" w:type="dxa"/>
            <w:vAlign w:val="bottom"/>
            <w:tcBorders>
              <w:bottom w:val="single" w:sz="8" w:color="70AD47"/>
              <w:right w:val="single" w:sz="8" w:color="70AD47"/>
            </w:tcBorders>
          </w:tcPr>
          <w:p>
            <w:pPr>
              <w:spacing w:after="0"/>
              <w:rPr>
                <w:sz w:val="19"/>
                <w:szCs w:val="19"/>
                <w:color w:val="auto"/>
              </w:rPr>
            </w:pPr>
          </w:p>
        </w:tc>
        <w:tc>
          <w:tcPr>
            <w:tcW w:w="1160" w:type="dxa"/>
            <w:vAlign w:val="bottom"/>
            <w:tcBorders>
              <w:bottom w:val="single" w:sz="8" w:color="70AD47"/>
              <w:right w:val="single" w:sz="8" w:color="70AD47"/>
            </w:tcBorders>
            <w:shd w:val="clear" w:color="auto" w:fill="C5E0B4"/>
          </w:tcPr>
          <w:p>
            <w:pPr>
              <w:spacing w:after="0"/>
              <w:rPr>
                <w:sz w:val="19"/>
                <w:szCs w:val="19"/>
                <w:color w:val="auto"/>
              </w:rPr>
            </w:pPr>
          </w:p>
        </w:tc>
        <w:tc>
          <w:tcPr>
            <w:tcW w:w="1240" w:type="dxa"/>
            <w:vAlign w:val="bottom"/>
            <w:tcBorders>
              <w:bottom w:val="single" w:sz="8" w:color="70AD47"/>
              <w:right w:val="single" w:sz="8" w:color="70AD47"/>
            </w:tcBorders>
          </w:tcPr>
          <w:p>
            <w:pPr>
              <w:spacing w:after="0"/>
              <w:rPr>
                <w:sz w:val="19"/>
                <w:szCs w:val="19"/>
                <w:color w:val="auto"/>
              </w:rPr>
            </w:pPr>
          </w:p>
        </w:tc>
        <w:tc>
          <w:tcPr>
            <w:tcW w:w="1300" w:type="dxa"/>
            <w:vAlign w:val="bottom"/>
            <w:tcBorders>
              <w:bottom w:val="single" w:sz="8" w:color="70AD47"/>
              <w:right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70AD47"/>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for the period, net of tax</w:t>
            </w:r>
          </w:p>
        </w:tc>
        <w:tc>
          <w:tcPr>
            <w:tcW w:w="840" w:type="dxa"/>
            <w:vAlign w:val="bottom"/>
            <w:tcBorders>
              <w:bottom w:val="single" w:sz="8" w:color="70AD47"/>
              <w:right w:val="single" w:sz="8" w:color="70AD47"/>
            </w:tcBorders>
          </w:tcPr>
          <w:p>
            <w:pPr>
              <w:spacing w:after="0"/>
              <w:rPr>
                <w:sz w:val="18"/>
                <w:szCs w:val="18"/>
                <w:color w:val="auto"/>
              </w:rPr>
            </w:pPr>
          </w:p>
        </w:tc>
        <w:tc>
          <w:tcPr>
            <w:tcW w:w="11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914.5</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9,456.7</w:t>
            </w:r>
          </w:p>
        </w:tc>
        <w:tc>
          <w:tcPr>
            <w:tcW w:w="13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10,301.2</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The accompanying notes form an integral part of these consolidated financial statements.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6"/>
        </w:trPr>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40" w:type="dxa"/>
            <w:vAlign w:val="bottom"/>
          </w:tcPr>
          <w:p>
            <w:pPr>
              <w:jc w:val="center"/>
              <w:ind w:left="2942"/>
              <w:spacing w:after="0"/>
              <w:rPr>
                <w:sz w:val="20"/>
                <w:szCs w:val="20"/>
                <w:color w:val="auto"/>
              </w:rPr>
            </w:pPr>
            <w:r>
              <w:rPr>
                <w:rFonts w:ascii="Times New Roman" w:cs="Times New Roman" w:eastAsia="Times New Roman" w:hAnsi="Times New Roman"/>
                <w:sz w:val="16"/>
                <w:szCs w:val="16"/>
                <w:color w:val="auto"/>
                <w:w w:val="89"/>
              </w:rPr>
              <w:t>F-8</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0" w:type="dxa"/>
            <w:vAlign w:val="bottom"/>
            <w:tcBorders>
              <w:bottom w:val="single" w:sz="8" w:color="EEEEEE"/>
            </w:tcBorders>
          </w:tcPr>
          <w:p>
            <w:pPr>
              <w:spacing w:after="0"/>
              <w:rPr>
                <w:sz w:val="11"/>
                <w:szCs w:val="11"/>
                <w:color w:val="auto"/>
              </w:rPr>
            </w:pPr>
          </w:p>
        </w:tc>
        <w:tc>
          <w:tcPr>
            <w:tcW w:w="1100" w:type="dxa"/>
            <w:vAlign w:val="bottom"/>
            <w:tcBorders>
              <w:bottom w:val="single" w:sz="8" w:color="EEEEEE"/>
            </w:tcBorders>
          </w:tcPr>
          <w:p>
            <w:pPr>
              <w:spacing w:after="0"/>
              <w:rPr>
                <w:sz w:val="11"/>
                <w:szCs w:val="11"/>
                <w:color w:val="auto"/>
              </w:rPr>
            </w:pPr>
          </w:p>
        </w:tc>
        <w:tc>
          <w:tcPr>
            <w:tcW w:w="4540" w:type="dxa"/>
            <w:vAlign w:val="bottom"/>
            <w:tcBorders>
              <w:bottom w:val="single" w:sz="8" w:color="EEEEEE"/>
            </w:tcBorders>
          </w:tcPr>
          <w:p>
            <w:pPr>
              <w:spacing w:after="0"/>
              <w:rPr>
                <w:sz w:val="11"/>
                <w:szCs w:val="11"/>
                <w:color w:val="auto"/>
              </w:rPr>
            </w:pPr>
          </w:p>
        </w:tc>
        <w:tc>
          <w:tcPr>
            <w:tcW w:w="840" w:type="dxa"/>
            <w:vAlign w:val="bottom"/>
            <w:tcBorders>
              <w:bottom w:val="single" w:sz="8" w:color="EEEEEE"/>
            </w:tcBorders>
          </w:tcPr>
          <w:p>
            <w:pPr>
              <w:spacing w:after="0"/>
              <w:rPr>
                <w:sz w:val="11"/>
                <w:szCs w:val="11"/>
                <w:color w:val="auto"/>
              </w:rPr>
            </w:pPr>
          </w:p>
        </w:tc>
        <w:tc>
          <w:tcPr>
            <w:tcW w:w="1160" w:type="dxa"/>
            <w:vAlign w:val="bottom"/>
            <w:tcBorders>
              <w:bottom w:val="single" w:sz="8" w:color="EEEEEE"/>
            </w:tcBorders>
          </w:tcPr>
          <w:p>
            <w:pPr>
              <w:spacing w:after="0"/>
              <w:rPr>
                <w:sz w:val="11"/>
                <w:szCs w:val="11"/>
                <w:color w:val="auto"/>
              </w:rPr>
            </w:pPr>
          </w:p>
        </w:tc>
        <w:tc>
          <w:tcPr>
            <w:tcW w:w="1240" w:type="dxa"/>
            <w:vAlign w:val="bottom"/>
            <w:tcBorders>
              <w:bottom w:val="single" w:sz="8" w:color="EEEEEE"/>
            </w:tcBorders>
          </w:tcPr>
          <w:p>
            <w:pPr>
              <w:spacing w:after="0"/>
              <w:rPr>
                <w:sz w:val="11"/>
                <w:szCs w:val="11"/>
                <w:color w:val="auto"/>
              </w:rPr>
            </w:pPr>
          </w:p>
        </w:tc>
        <w:tc>
          <w:tcPr>
            <w:tcW w:w="1300" w:type="dxa"/>
            <w:vAlign w:val="bottom"/>
            <w:tcBorders>
              <w:bottom w:val="single" w:sz="8" w:color="EEEEEE"/>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42" w:right="680" w:bottom="1440" w:gutter="0" w:footer="0" w:header="0"/>
        </w:sectPr>
      </w:pPr>
    </w:p>
    <w:bookmarkStart w:id="249" w:name="page250"/>
    <w:bookmarkEnd w:id="24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80" w:type="dxa"/>
            <w:vAlign w:val="bottom"/>
          </w:tcPr>
          <w:p>
            <w:pPr>
              <w:spacing w:after="0"/>
              <w:rPr>
                <w:sz w:val="16"/>
                <w:szCs w:val="16"/>
                <w:color w:val="auto"/>
              </w:rPr>
            </w:pPr>
          </w:p>
        </w:tc>
        <w:tc>
          <w:tcPr>
            <w:tcW w:w="3040" w:type="dxa"/>
            <w:vAlign w:val="bottom"/>
            <w:tcBorders>
              <w:right w:val="single" w:sz="8" w:color="70AD47"/>
            </w:tcBorders>
          </w:tcPr>
          <w:p>
            <w:pPr>
              <w:spacing w:after="0"/>
              <w:rPr>
                <w:sz w:val="16"/>
                <w:szCs w:val="16"/>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40" w:type="dxa"/>
            <w:vAlign w:val="bottom"/>
            <w:tcBorders>
              <w:bottom w:val="single" w:sz="8" w:color="70AD47"/>
              <w:right w:val="single" w:sz="8" w:color="70AD47"/>
            </w:tcBorders>
          </w:tcPr>
          <w:p>
            <w:pPr>
              <w:ind w:left="21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680" w:type="dxa"/>
            <w:vAlign w:val="bottom"/>
            <w:tcBorders>
              <w:bottom w:val="single" w:sz="8" w:color="70AD47"/>
              <w:right w:val="single" w:sz="8" w:color="70AD47"/>
            </w:tcBorders>
            <w:shd w:val="clear" w:color="auto" w:fill="C6E0B4"/>
          </w:tcPr>
          <w:p>
            <w:pPr>
              <w:spacing w:after="0"/>
              <w:rPr>
                <w:sz w:val="17"/>
                <w:szCs w:val="17"/>
                <w:color w:val="auto"/>
              </w:rPr>
            </w:pPr>
          </w:p>
        </w:tc>
        <w:tc>
          <w:tcPr>
            <w:tcW w:w="1680" w:type="dxa"/>
            <w:vAlign w:val="bottom"/>
            <w:tcBorders>
              <w:bottom w:val="single" w:sz="8" w:color="70AD47"/>
              <w:right w:val="single" w:sz="8" w:color="70AD47"/>
            </w:tcBorders>
          </w:tcPr>
          <w:p>
            <w:pPr>
              <w:spacing w:after="0"/>
              <w:rPr>
                <w:sz w:val="17"/>
                <w:szCs w:val="17"/>
                <w:color w:val="auto"/>
              </w:rPr>
            </w:pP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70AD47"/>
              </w:rPr>
              <w:t>Non-current assets</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spacing w:after="0"/>
              <w:rPr>
                <w:sz w:val="15"/>
                <w:szCs w:val="15"/>
                <w:color w:val="auto"/>
              </w:rPr>
            </w:pPr>
          </w:p>
        </w:tc>
        <w:tc>
          <w:tcPr>
            <w:tcW w:w="1680" w:type="dxa"/>
            <w:vAlign w:val="bottom"/>
            <w:tcBorders>
              <w:right w:val="single" w:sz="8" w:color="70AD47"/>
            </w:tcBorders>
          </w:tcPr>
          <w:p>
            <w:pPr>
              <w:spacing w:after="0"/>
              <w:rPr>
                <w:sz w:val="15"/>
                <w:szCs w:val="15"/>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10</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362.5</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61.2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intangible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10</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804.1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158.5</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11</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757.2</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609.2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20</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214.4</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211.9</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financial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80.2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non-financial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14</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040" w:type="dxa"/>
            <w:vAlign w:val="bottom"/>
            <w:tcBorders>
              <w:bottom w:val="single" w:sz="8" w:color="70AD47"/>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8</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229.6</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3,479.0</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1,357.1</w:t>
            </w: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70AD47"/>
              </w:rPr>
              <w:t>Current assets</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spacing w:after="0"/>
              <w:rPr>
                <w:sz w:val="15"/>
                <w:szCs w:val="15"/>
                <w:color w:val="auto"/>
              </w:rPr>
            </w:pPr>
          </w:p>
        </w:tc>
        <w:tc>
          <w:tcPr>
            <w:tcW w:w="1680" w:type="dxa"/>
            <w:vAlign w:val="bottom"/>
            <w:tcBorders>
              <w:right w:val="single" w:sz="8" w:color="70AD47"/>
            </w:tcBorders>
          </w:tcPr>
          <w:p>
            <w:pPr>
              <w:spacing w:after="0"/>
              <w:rPr>
                <w:sz w:val="15"/>
                <w:szCs w:val="15"/>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13</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357.7</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439.6</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 and other receivables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2,155.7</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7,145.6</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assets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6</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financial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4,885.3</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189.4</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non-financial assets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14</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271.9</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assets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8</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40" w:type="dxa"/>
            <w:vAlign w:val="bottom"/>
            <w:tcBorders>
              <w:bottom w:val="single" w:sz="8" w:color="70AD47"/>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11,663.7</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13,875.1</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19,527.3</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21,922.0</w:t>
            </w:r>
          </w:p>
        </w:tc>
      </w:tr>
      <w:tr>
        <w:trPr>
          <w:trHeight w:val="18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23,006.3</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23,279.1</w:t>
            </w:r>
          </w:p>
        </w:tc>
      </w:tr>
      <w:tr>
        <w:trPr>
          <w:trHeight w:val="218"/>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Equity and liabilities</w:t>
            </w:r>
          </w:p>
        </w:tc>
        <w:tc>
          <w:tcPr>
            <w:tcW w:w="3040" w:type="dxa"/>
            <w:vAlign w:val="bottom"/>
            <w:tcBorders>
              <w:bottom w:val="single" w:sz="8" w:color="70AD47"/>
              <w:right w:val="single" w:sz="8" w:color="70AD47"/>
            </w:tcBorders>
          </w:tcPr>
          <w:p>
            <w:pPr>
              <w:spacing w:after="0"/>
              <w:rPr>
                <w:sz w:val="18"/>
                <w:szCs w:val="18"/>
                <w:color w:val="auto"/>
              </w:rPr>
            </w:pPr>
          </w:p>
        </w:tc>
        <w:tc>
          <w:tcPr>
            <w:tcW w:w="1680" w:type="dxa"/>
            <w:vAlign w:val="bottom"/>
            <w:tcBorders>
              <w:bottom w:val="single" w:sz="8" w:color="70AD47"/>
              <w:right w:val="single" w:sz="8" w:color="70AD47"/>
            </w:tcBorders>
            <w:shd w:val="clear" w:color="auto" w:fill="C6E0B4"/>
          </w:tcPr>
          <w:p>
            <w:pPr>
              <w:spacing w:after="0"/>
              <w:rPr>
                <w:sz w:val="18"/>
                <w:szCs w:val="18"/>
                <w:color w:val="auto"/>
              </w:rPr>
            </w:pPr>
          </w:p>
        </w:tc>
        <w:tc>
          <w:tcPr>
            <w:tcW w:w="1680" w:type="dxa"/>
            <w:vAlign w:val="bottom"/>
            <w:tcBorders>
              <w:bottom w:val="single" w:sz="8" w:color="70AD47"/>
              <w:right w:val="single" w:sz="8" w:color="70AD47"/>
            </w:tcBorders>
          </w:tcPr>
          <w:p>
            <w:pPr>
              <w:spacing w:after="0"/>
              <w:rPr>
                <w:sz w:val="18"/>
                <w:szCs w:val="18"/>
                <w:color w:val="auto"/>
              </w:rPr>
            </w:pP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70AD47"/>
              </w:rPr>
              <w:t>Equity</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spacing w:after="0"/>
              <w:rPr>
                <w:sz w:val="15"/>
                <w:szCs w:val="15"/>
                <w:color w:val="auto"/>
              </w:rPr>
            </w:pPr>
          </w:p>
        </w:tc>
        <w:tc>
          <w:tcPr>
            <w:tcW w:w="1680" w:type="dxa"/>
            <w:vAlign w:val="bottom"/>
            <w:tcBorders>
              <w:right w:val="single" w:sz="8" w:color="70AD47"/>
            </w:tcBorders>
          </w:tcPr>
          <w:p>
            <w:pPr>
              <w:spacing w:after="0"/>
              <w:rPr>
                <w:sz w:val="15"/>
                <w:szCs w:val="15"/>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capital</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248.6</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reserve</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1,229.4</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1,828.2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shares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15</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3040" w:type="dxa"/>
            <w:vAlign w:val="bottom"/>
            <w:tcBorders>
              <w:right w:val="single" w:sz="8" w:color="70AD47"/>
            </w:tcBorders>
          </w:tcPr>
          <w:p>
            <w:pPr>
              <w:spacing w:after="0"/>
              <w:rPr>
                <w:sz w:val="16"/>
                <w:szCs w:val="16"/>
                <w:color w:val="auto"/>
              </w:rPr>
            </w:pP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19,763.3</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18,833.0</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Other reserves</w:t>
            </w:r>
          </w:p>
        </w:tc>
        <w:tc>
          <w:tcPr>
            <w:tcW w:w="3040" w:type="dxa"/>
            <w:vAlign w:val="bottom"/>
            <w:tcBorders>
              <w:bottom w:val="single" w:sz="8" w:color="70AD47"/>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16</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(984.6)</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(848.9)</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20,245.9</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20,055.6</w:t>
            </w: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70AD47"/>
              </w:rPr>
              <w:t>Non-current liabilities</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spacing w:after="0"/>
              <w:rPr>
                <w:sz w:val="15"/>
                <w:szCs w:val="15"/>
                <w:color w:val="auto"/>
              </w:rPr>
            </w:pPr>
          </w:p>
        </w:tc>
        <w:tc>
          <w:tcPr>
            <w:tcW w:w="1680" w:type="dxa"/>
            <w:vAlign w:val="bottom"/>
            <w:tcBorders>
              <w:right w:val="single" w:sz="8" w:color="70AD47"/>
            </w:tcBorders>
          </w:tcPr>
          <w:p>
            <w:pPr>
              <w:spacing w:after="0"/>
              <w:rPr>
                <w:sz w:val="15"/>
                <w:szCs w:val="15"/>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 loans and borrowings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176.2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liabilities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8</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17</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liabilities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6</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48.4</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non-financial liabilities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19</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040" w:type="dxa"/>
            <w:vAlign w:val="bottom"/>
            <w:tcBorders>
              <w:bottom w:val="single" w:sz="8" w:color="70AD47"/>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8</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689.9</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272.9</w:t>
            </w:r>
          </w:p>
        </w:tc>
      </w:tr>
      <w:tr>
        <w:trPr>
          <w:trHeight w:val="18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70AD47"/>
              </w:rPr>
              <w:t>Current liabilities</w:t>
            </w:r>
          </w:p>
        </w:tc>
        <w:tc>
          <w:tcPr>
            <w:tcW w:w="3040" w:type="dxa"/>
            <w:vAlign w:val="bottom"/>
            <w:tcBorders>
              <w:right w:val="single" w:sz="8" w:color="70AD47"/>
            </w:tcBorders>
          </w:tcPr>
          <w:p>
            <w:pPr>
              <w:spacing w:after="0"/>
              <w:rPr>
                <w:sz w:val="15"/>
                <w:szCs w:val="15"/>
                <w:color w:val="auto"/>
              </w:rPr>
            </w:pPr>
          </w:p>
        </w:tc>
        <w:tc>
          <w:tcPr>
            <w:tcW w:w="1680" w:type="dxa"/>
            <w:vAlign w:val="bottom"/>
            <w:tcBorders>
              <w:right w:val="single" w:sz="8" w:color="70AD47"/>
            </w:tcBorders>
            <w:shd w:val="clear" w:color="auto" w:fill="C6E0B4"/>
          </w:tcPr>
          <w:p>
            <w:pPr>
              <w:spacing w:after="0"/>
              <w:rPr>
                <w:sz w:val="15"/>
                <w:szCs w:val="15"/>
                <w:color w:val="auto"/>
              </w:rPr>
            </w:pPr>
          </w:p>
        </w:tc>
        <w:tc>
          <w:tcPr>
            <w:tcW w:w="1680" w:type="dxa"/>
            <w:vAlign w:val="bottom"/>
            <w:tcBorders>
              <w:right w:val="single" w:sz="8" w:color="70AD47"/>
            </w:tcBorders>
          </w:tcPr>
          <w:p>
            <w:pPr>
              <w:spacing w:after="0"/>
              <w:rPr>
                <w:sz w:val="15"/>
                <w:szCs w:val="15"/>
                <w:color w:val="auto"/>
              </w:rPr>
            </w:pP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 loans and borrowings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 payables and other payables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354.0</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204.1</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12</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415.2</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785.1</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Refund liabilities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6</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liabilities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8</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525.5</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595.9</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Provisions</w:t>
            </w:r>
          </w:p>
        </w:tc>
        <w:tc>
          <w:tcPr>
            <w:tcW w:w="3040" w:type="dxa"/>
            <w:vAlign w:val="bottom"/>
            <w:tcBorders>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17</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367.2</w:t>
            </w:r>
          </w:p>
        </w:tc>
      </w:tr>
      <w:tr>
        <w:trPr>
          <w:trHeight w:val="192"/>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liabilities</w:t>
            </w:r>
          </w:p>
        </w:tc>
        <w:tc>
          <w:tcPr>
            <w:tcW w:w="3040" w:type="dxa"/>
            <w:vAlign w:val="bottom"/>
            <w:tcBorders>
              <w:right w:val="single" w:sz="8" w:color="70AD47"/>
            </w:tcBorders>
          </w:tcPr>
          <w:p>
            <w:pPr>
              <w:jc w:val="center"/>
              <w:ind w:left="1434"/>
              <w:spacing w:after="0"/>
              <w:rPr>
                <w:sz w:val="20"/>
                <w:szCs w:val="20"/>
                <w:color w:val="auto"/>
              </w:rPr>
            </w:pPr>
            <w:r>
              <w:rPr>
                <w:rFonts w:ascii="Times New Roman" w:cs="Times New Roman" w:eastAsia="Times New Roman" w:hAnsi="Times New Roman"/>
                <w:sz w:val="13"/>
                <w:szCs w:val="13"/>
                <w:color w:val="auto"/>
                <w:w w:val="91"/>
              </w:rPr>
              <w:t>6</w:t>
            </w:r>
          </w:p>
        </w:tc>
        <w:tc>
          <w:tcPr>
            <w:tcW w:w="16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16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96"/>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Other non-financial liabilities</w:t>
            </w:r>
          </w:p>
        </w:tc>
        <w:tc>
          <w:tcPr>
            <w:tcW w:w="3040" w:type="dxa"/>
            <w:vAlign w:val="bottom"/>
            <w:tcBorders>
              <w:bottom w:val="single" w:sz="8" w:color="70AD47"/>
              <w:right w:val="single" w:sz="8" w:color="70AD47"/>
            </w:tcBorders>
          </w:tcPr>
          <w:p>
            <w:pPr>
              <w:jc w:val="center"/>
              <w:ind w:left="1454"/>
              <w:spacing w:after="0"/>
              <w:rPr>
                <w:sz w:val="20"/>
                <w:szCs w:val="20"/>
                <w:color w:val="auto"/>
              </w:rPr>
            </w:pPr>
            <w:r>
              <w:rPr>
                <w:rFonts w:ascii="Times New Roman" w:cs="Times New Roman" w:eastAsia="Times New Roman" w:hAnsi="Times New Roman"/>
                <w:sz w:val="13"/>
                <w:szCs w:val="13"/>
                <w:color w:val="auto"/>
                <w:w w:val="91"/>
              </w:rPr>
              <w:t>19</w:t>
            </w:r>
          </w:p>
        </w:tc>
        <w:tc>
          <w:tcPr>
            <w:tcW w:w="16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860.8</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2,070.5</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2,950.6</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2,760.4</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3,223.5</w:t>
            </w:r>
          </w:p>
        </w:tc>
      </w:tr>
      <w:tr>
        <w:trPr>
          <w:trHeight w:val="184"/>
        </w:trPr>
        <w:tc>
          <w:tcPr>
            <w:tcW w:w="41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304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3"/>
                <w:szCs w:val="13"/>
                <w:b w:val="1"/>
                <w:bCs w:val="1"/>
                <w:color w:val="auto"/>
              </w:rPr>
              <w:t>23,006.3</w:t>
            </w:r>
          </w:p>
        </w:tc>
        <w:tc>
          <w:tcPr>
            <w:tcW w:w="16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23,279.1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-3635375</wp:posOffset>
            </wp:positionV>
            <wp:extent cx="7620"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620" cy="304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-3635375</wp:posOffset>
            </wp:positionV>
            <wp:extent cx="7620"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7620" cy="30480"/>
                    </a:xfrm>
                    <a:prstGeom prst="rect">
                      <a:avLst/>
                    </a:prstGeom>
                    <a:noFill/>
                  </pic:spPr>
                </pic:pic>
              </a:graphicData>
            </a:graphic>
          </wp:anchor>
        </w:drawing>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0" w:name="page251"/>
    <w:bookmarkEnd w:id="25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800" w:type="dxa"/>
            <w:vAlign w:val="bottom"/>
            <w:tcBorders>
              <w:right w:val="single" w:sz="8" w:color="70AD47"/>
            </w:tcBorders>
          </w:tcPr>
          <w:p>
            <w:pPr>
              <w:spacing w:after="0"/>
              <w:rPr>
                <w:sz w:val="15"/>
                <w:szCs w:val="15"/>
                <w:color w:val="auto"/>
              </w:rPr>
            </w:pPr>
          </w:p>
        </w:tc>
        <w:tc>
          <w:tcPr>
            <w:tcW w:w="1060" w:type="dxa"/>
            <w:vAlign w:val="bottom"/>
            <w:tcBorders>
              <w:top w:val="single" w:sz="8" w:color="70AD47"/>
              <w:bottom w:val="single" w:sz="8" w:color="70AD47"/>
            </w:tcBorders>
          </w:tcPr>
          <w:p>
            <w:pPr>
              <w:spacing w:after="0"/>
              <w:rPr>
                <w:sz w:val="15"/>
                <w:szCs w:val="15"/>
                <w:color w:val="auto"/>
              </w:rPr>
            </w:pPr>
          </w:p>
        </w:tc>
        <w:tc>
          <w:tcPr>
            <w:tcW w:w="3320" w:type="dxa"/>
            <w:vAlign w:val="bottom"/>
            <w:tcBorders>
              <w:top w:val="single" w:sz="8" w:color="70AD47"/>
              <w:bottom w:val="single" w:sz="8" w:color="70AD47"/>
            </w:tcBorders>
            <w:gridSpan w:val="3"/>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Equity attributable to equity holders of the parent</w:t>
            </w:r>
          </w:p>
        </w:tc>
        <w:tc>
          <w:tcPr>
            <w:tcW w:w="1140" w:type="dxa"/>
            <w:vAlign w:val="bottom"/>
            <w:tcBorders>
              <w:top w:val="single" w:sz="8" w:color="70AD47"/>
              <w:bottom w:val="single" w:sz="8" w:color="70AD47"/>
            </w:tcBorders>
          </w:tcPr>
          <w:p>
            <w:pPr>
              <w:spacing w:after="0"/>
              <w:rPr>
                <w:sz w:val="15"/>
                <w:szCs w:val="15"/>
                <w:color w:val="auto"/>
              </w:rPr>
            </w:pPr>
          </w:p>
        </w:tc>
        <w:tc>
          <w:tcPr>
            <w:tcW w:w="1160" w:type="dxa"/>
            <w:vAlign w:val="bottom"/>
            <w:tcBorders>
              <w:bottom w:val="single" w:sz="8" w:color="70AD47"/>
            </w:tcBorders>
          </w:tcPr>
          <w:p>
            <w:pPr>
              <w:spacing w:after="0"/>
              <w:rPr>
                <w:sz w:val="15"/>
                <w:szCs w:val="15"/>
                <w:color w:val="auto"/>
              </w:rPr>
            </w:pPr>
          </w:p>
        </w:tc>
      </w:tr>
      <w:tr>
        <w:trPr>
          <w:trHeight w:val="162"/>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millions €)</w:t>
            </w:r>
          </w:p>
        </w:tc>
        <w:tc>
          <w:tcPr>
            <w:tcW w:w="800" w:type="dxa"/>
            <w:vAlign w:val="bottom"/>
            <w:tcBorders>
              <w:bottom w:val="single" w:sz="8" w:color="70AD47"/>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060" w:type="dxa"/>
            <w:vAlign w:val="bottom"/>
            <w:tcBorders>
              <w:bottom w:val="single" w:sz="8" w:color="70AD47"/>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020" w:type="dxa"/>
            <w:vAlign w:val="bottom"/>
            <w:tcBorders>
              <w:bottom w:val="single" w:sz="8" w:color="70AD47"/>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Capital reserve</w:t>
            </w:r>
          </w:p>
        </w:tc>
        <w:tc>
          <w:tcPr>
            <w:tcW w:w="1160" w:type="dxa"/>
            <w:vAlign w:val="bottom"/>
            <w:tcBorders>
              <w:bottom w:val="single" w:sz="8" w:color="70AD47"/>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140" w:type="dxa"/>
            <w:vAlign w:val="bottom"/>
            <w:tcBorders>
              <w:bottom w:val="single" w:sz="8" w:color="70AD47"/>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140" w:type="dxa"/>
            <w:vAlign w:val="bottom"/>
            <w:tcBorders>
              <w:bottom w:val="single" w:sz="8" w:color="70AD47"/>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Other reserves</w:t>
            </w:r>
          </w:p>
        </w:tc>
        <w:tc>
          <w:tcPr>
            <w:tcW w:w="1160" w:type="dxa"/>
            <w:vAlign w:val="bottom"/>
            <w:tcBorders>
              <w:bottom w:val="single" w:sz="8" w:color="70AD47"/>
              <w:right w:val="single" w:sz="8" w:color="70AD47"/>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 equity</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 of January 1, 2021</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246.3</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1,514.5</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(409.6)</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25.4</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1,371.8</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Profit for the period</w:t>
            </w:r>
          </w:p>
        </w:tc>
        <w:tc>
          <w:tcPr>
            <w:tcW w:w="800" w:type="dxa"/>
            <w:vAlign w:val="bottom"/>
            <w:tcBorders>
              <w:right w:val="single" w:sz="8" w:color="70AD47"/>
            </w:tcBorders>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10,292.5</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10,292.5</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0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10,292.5</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10,301.2</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treasury shares</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163.6</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Transaction costs</w:t>
            </w:r>
          </w:p>
        </w:tc>
        <w:tc>
          <w:tcPr>
            <w:tcW w:w="800" w:type="dxa"/>
            <w:vAlign w:val="bottom"/>
            <w:tcBorders>
              <w:right w:val="single" w:sz="8" w:color="70AD47"/>
            </w:tcBorders>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Share-based payments</w:t>
            </w:r>
          </w:p>
        </w:tc>
        <w:tc>
          <w:tcPr>
            <w:tcW w:w="800" w:type="dxa"/>
            <w:vAlign w:val="bottom"/>
            <w:tcBorders>
              <w:bottom w:val="single" w:sz="8" w:color="70AD47"/>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16</w:t>
            </w: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59.8</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246.3</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1,674.4</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9,882.9</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93.9</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11,893.7</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Profit for the period</w:t>
            </w:r>
          </w:p>
        </w:tc>
        <w:tc>
          <w:tcPr>
            <w:tcW w:w="800" w:type="dxa"/>
            <w:vAlign w:val="bottom"/>
            <w:tcBorders>
              <w:right w:val="single" w:sz="8" w:color="70AD47"/>
            </w:tcBorders>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9,434.4</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9,434.4</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0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22.3</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9,434.4</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22.3</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9,456.7</w:t>
            </w:r>
          </w:p>
        </w:tc>
      </w:tr>
      <w:tr>
        <w:trPr>
          <w:trHeight w:val="162"/>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share capital</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67.6</w:t>
            </w:r>
          </w:p>
        </w:tc>
      </w:tr>
      <w:tr>
        <w:trPr>
          <w:trHeight w:val="16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of convertible note</w:t>
            </w:r>
          </w:p>
        </w:tc>
        <w:tc>
          <w:tcPr>
            <w:tcW w:w="80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12</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233.2</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235.0</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repurchase program</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(979.5)</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(986.4)</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Transaction costs</w:t>
            </w:r>
          </w:p>
        </w:tc>
        <w:tc>
          <w:tcPr>
            <w:tcW w:w="800" w:type="dxa"/>
            <w:vAlign w:val="bottom"/>
            <w:tcBorders>
              <w:right w:val="single" w:sz="8" w:color="70AD47"/>
            </w:tcBorders>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(484.3)</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payments</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16</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833.1</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(1,519.8)</w:t>
            </w:r>
          </w:p>
        </w:tc>
        <w:tc>
          <w:tcPr>
            <w:tcW w:w="11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(681.3)</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800" w:type="dxa"/>
            <w:vAlign w:val="bottom"/>
            <w:tcBorders>
              <w:bottom w:val="single" w:sz="8" w:color="70AD47"/>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rPr>
              <w:t>8</w:t>
            </w: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color w:val="auto"/>
              </w:rPr>
              <w:t>554.7</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554.7</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248.6</w:t>
            </w:r>
          </w:p>
        </w:tc>
        <w:tc>
          <w:tcPr>
            <w:tcW w:w="10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1,828.2</w:t>
            </w:r>
          </w:p>
        </w:tc>
        <w:tc>
          <w:tcPr>
            <w:tcW w:w="11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18,833.0</w:t>
            </w:r>
          </w:p>
        </w:tc>
        <w:tc>
          <w:tcPr>
            <w:tcW w:w="11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(848.9)</w:t>
            </w:r>
          </w:p>
        </w:tc>
        <w:tc>
          <w:tcPr>
            <w:tcW w:w="11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20,055.6</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Profit for the period</w:t>
            </w:r>
          </w:p>
        </w:tc>
        <w:tc>
          <w:tcPr>
            <w:tcW w:w="800" w:type="dxa"/>
            <w:vAlign w:val="bottom"/>
            <w:tcBorders>
              <w:right w:val="single" w:sz="8" w:color="70AD47"/>
            </w:tcBorders>
          </w:tcPr>
          <w:p>
            <w:pPr>
              <w:spacing w:after="0"/>
              <w:rPr>
                <w:sz w:val="13"/>
                <w:szCs w:val="13"/>
                <w:color w:val="auto"/>
              </w:rPr>
            </w:pPr>
          </w:p>
        </w:tc>
        <w:tc>
          <w:tcPr>
            <w:tcW w:w="10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930.3</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930.3</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00" w:type="dxa"/>
            <w:vAlign w:val="bottom"/>
            <w:tcBorders>
              <w:bottom w:val="single" w:sz="8" w:color="70AD47"/>
              <w:right w:val="single" w:sz="8" w:color="70AD47"/>
            </w:tcBorders>
          </w:tcPr>
          <w:p>
            <w:pPr>
              <w:spacing w:after="0"/>
              <w:rPr>
                <w:sz w:val="14"/>
                <w:szCs w:val="14"/>
                <w:color w:val="auto"/>
              </w:rPr>
            </w:pPr>
          </w:p>
        </w:tc>
        <w:tc>
          <w:tcPr>
            <w:tcW w:w="10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(15.8)</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profit / (loss)</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930.3</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(15.8)</w:t>
            </w: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914.5</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repurchase program</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15</w:t>
            </w:r>
          </w:p>
        </w:tc>
        <w:tc>
          <w:tcPr>
            <w:tcW w:w="10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(731.6)</w:t>
            </w:r>
          </w:p>
        </w:tc>
        <w:tc>
          <w:tcPr>
            <w:tcW w:w="11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(738.5)</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payments</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16</w:t>
            </w:r>
          </w:p>
        </w:tc>
        <w:tc>
          <w:tcPr>
            <w:tcW w:w="10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1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15.4</w:t>
            </w: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and deferred taxes</w:t>
            </w:r>
          </w:p>
        </w:tc>
        <w:tc>
          <w:tcPr>
            <w:tcW w:w="800" w:type="dxa"/>
            <w:vAlign w:val="bottom"/>
            <w:tcBorders>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rPr>
              <w:t>8</w:t>
            </w:r>
          </w:p>
        </w:tc>
        <w:tc>
          <w:tcPr>
            <w:tcW w:w="10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1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(104.8)</w:t>
            </w:r>
          </w:p>
        </w:tc>
      </w:tr>
      <w:tr>
        <w:trPr>
          <w:trHeight w:val="17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color w:val="auto"/>
              </w:rPr>
              <w:t>Treasury shares used for acquisition of business combination</w:t>
            </w:r>
          </w:p>
        </w:tc>
        <w:tc>
          <w:tcPr>
            <w:tcW w:w="800" w:type="dxa"/>
            <w:vAlign w:val="bottom"/>
            <w:tcBorders>
              <w:bottom w:val="single" w:sz="8" w:color="70AD47"/>
              <w:right w:val="single" w:sz="8" w:color="70AD47"/>
            </w:tcBorders>
          </w:tcPr>
          <w:p>
            <w:pPr>
              <w:jc w:val="center"/>
              <w:ind w:left="286"/>
              <w:spacing w:after="0"/>
              <w:rPr>
                <w:sz w:val="20"/>
                <w:szCs w:val="20"/>
                <w:color w:val="auto"/>
              </w:rPr>
            </w:pPr>
            <w:r>
              <w:rPr>
                <w:rFonts w:ascii="Times New Roman" w:cs="Times New Roman" w:eastAsia="Times New Roman" w:hAnsi="Times New Roman"/>
                <w:sz w:val="11"/>
                <w:szCs w:val="11"/>
                <w:color w:val="auto"/>
              </w:rPr>
              <w:t>5</w:t>
            </w:r>
          </w:p>
        </w:tc>
        <w:tc>
          <w:tcPr>
            <w:tcW w:w="10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102.6</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103.7</w:t>
            </w:r>
          </w:p>
        </w:tc>
      </w:tr>
      <w:tr>
        <w:trPr>
          <w:trHeight w:val="160"/>
        </w:trPr>
        <w:tc>
          <w:tcPr>
            <w:tcW w:w="31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800" w:type="dxa"/>
            <w:vAlign w:val="bottom"/>
            <w:tcBorders>
              <w:bottom w:val="single" w:sz="8" w:color="70AD47"/>
              <w:right w:val="single" w:sz="8" w:color="70AD47"/>
            </w:tcBorders>
          </w:tcPr>
          <w:p>
            <w:pPr>
              <w:spacing w:after="0"/>
              <w:rPr>
                <w:sz w:val="13"/>
                <w:szCs w:val="13"/>
                <w:color w:val="auto"/>
              </w:rPr>
            </w:pPr>
          </w:p>
        </w:tc>
        <w:tc>
          <w:tcPr>
            <w:tcW w:w="10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248.6</w:t>
            </w:r>
          </w:p>
        </w:tc>
        <w:tc>
          <w:tcPr>
            <w:tcW w:w="10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1,229.4</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(10.8)</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19,763.3</w:t>
            </w:r>
          </w:p>
        </w:tc>
        <w:tc>
          <w:tcPr>
            <w:tcW w:w="11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(984.6)</w:t>
            </w:r>
          </w:p>
        </w:tc>
        <w:tc>
          <w:tcPr>
            <w:tcW w:w="11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1"/>
                <w:szCs w:val="11"/>
                <w:b w:val="1"/>
                <w:bCs w:val="1"/>
                <w:color w:val="auto"/>
              </w:rPr>
              <w:t>20,245.9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5987415</wp:posOffset>
            </wp:positionH>
            <wp:positionV relativeFrom="paragraph">
              <wp:posOffset>-3101340</wp:posOffset>
            </wp:positionV>
            <wp:extent cx="7620" cy="1219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620" cy="12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1" w:name="page252"/>
    <w:bookmarkEnd w:id="25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60" w:type="dxa"/>
            <w:vAlign w:val="bottom"/>
            <w:tcBorders>
              <w:right w:val="single" w:sz="8" w:color="70AD47"/>
            </w:tcBorders>
          </w:tcPr>
          <w:p>
            <w:pPr>
              <w:spacing w:after="0"/>
              <w:rPr>
                <w:sz w:val="16"/>
                <w:szCs w:val="16"/>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w:t>
            </w:r>
          </w:p>
        </w:tc>
        <w:tc>
          <w:tcPr>
            <w:tcW w:w="1580" w:type="dxa"/>
            <w:vAlign w:val="bottom"/>
            <w:tcBorders>
              <w:bottom w:val="single" w:sz="8" w:color="70AD47"/>
              <w:right w:val="single" w:sz="8" w:color="70AD47"/>
            </w:tcBorders>
            <w:shd w:val="clear" w:color="auto" w:fill="C6E0B4"/>
          </w:tcPr>
          <w:p>
            <w:pPr>
              <w:spacing w:after="0"/>
              <w:rPr>
                <w:sz w:val="17"/>
                <w:szCs w:val="17"/>
                <w:color w:val="auto"/>
              </w:rPr>
            </w:pPr>
          </w:p>
        </w:tc>
        <w:tc>
          <w:tcPr>
            <w:tcW w:w="1600" w:type="dxa"/>
            <w:vAlign w:val="bottom"/>
            <w:tcBorders>
              <w:bottom w:val="single" w:sz="8" w:color="70AD47"/>
              <w:right w:val="single" w:sz="8" w:color="70AD47"/>
            </w:tcBorders>
          </w:tcPr>
          <w:p>
            <w:pPr>
              <w:spacing w:after="0"/>
              <w:rPr>
                <w:sz w:val="17"/>
                <w:szCs w:val="17"/>
                <w:color w:val="auto"/>
              </w:rPr>
            </w:pPr>
          </w:p>
        </w:tc>
        <w:tc>
          <w:tcPr>
            <w:tcW w:w="1640" w:type="dxa"/>
            <w:vAlign w:val="bottom"/>
            <w:tcBorders>
              <w:bottom w:val="single" w:sz="8" w:color="70AD47"/>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580" w:type="dxa"/>
            <w:vAlign w:val="bottom"/>
            <w:tcBorders>
              <w:right w:val="single" w:sz="8" w:color="70AD47"/>
            </w:tcBorders>
            <w:shd w:val="clear" w:color="auto" w:fill="C6E0B4"/>
          </w:tcPr>
          <w:p>
            <w:pPr>
              <w:spacing w:after="0"/>
              <w:rPr>
                <w:sz w:val="15"/>
                <w:szCs w:val="15"/>
                <w:color w:val="auto"/>
              </w:rPr>
            </w:pPr>
          </w:p>
        </w:tc>
        <w:tc>
          <w:tcPr>
            <w:tcW w:w="1600" w:type="dxa"/>
            <w:vAlign w:val="bottom"/>
            <w:tcBorders>
              <w:right w:val="single" w:sz="8" w:color="70AD47"/>
            </w:tcBorders>
          </w:tcPr>
          <w:p>
            <w:pPr>
              <w:spacing w:after="0"/>
              <w:rPr>
                <w:sz w:val="15"/>
                <w:szCs w:val="15"/>
                <w:color w:val="auto"/>
              </w:rPr>
            </w:pPr>
          </w:p>
        </w:tc>
        <w:tc>
          <w:tcPr>
            <w:tcW w:w="164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Profit for the period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930.3</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9,434.4</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10,292.5</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255.8</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3,519.7</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4,753.9</w:t>
            </w:r>
          </w:p>
        </w:tc>
        <w:tc>
          <w:tcPr>
            <w:tcW w:w="0" w:type="dxa"/>
            <w:vAlign w:val="bottom"/>
          </w:tcPr>
          <w:p>
            <w:pPr>
              <w:spacing w:after="0"/>
              <w:rPr>
                <w:sz w:val="1"/>
                <w:szCs w:val="1"/>
                <w:color w:val="auto"/>
              </w:rPr>
            </w:pPr>
          </w:p>
        </w:tc>
      </w:tr>
      <w:tr>
        <w:trPr>
          <w:trHeight w:val="184"/>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Profit before tax</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1,186.1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12,954.1</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15,046.4</w:t>
            </w:r>
          </w:p>
        </w:tc>
        <w:tc>
          <w:tcPr>
            <w:tcW w:w="0" w:type="dxa"/>
            <w:vAlign w:val="bottom"/>
          </w:tcPr>
          <w:p>
            <w:pPr>
              <w:spacing w:after="0"/>
              <w:rPr>
                <w:sz w:val="1"/>
                <w:szCs w:val="1"/>
                <w:color w:val="auto"/>
              </w:rPr>
            </w:pPr>
          </w:p>
        </w:tc>
      </w:tr>
      <w:tr>
        <w:trPr>
          <w:trHeight w:val="180"/>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Adjustments to reconcile profit before tax to net cash flows:</w:t>
            </w:r>
          </w:p>
        </w:tc>
        <w:tc>
          <w:tcPr>
            <w:tcW w:w="1580" w:type="dxa"/>
            <w:vAlign w:val="bottom"/>
            <w:tcBorders>
              <w:right w:val="single" w:sz="8" w:color="70AD47"/>
            </w:tcBorders>
            <w:shd w:val="clear" w:color="auto" w:fill="C6E0B4"/>
          </w:tcPr>
          <w:p>
            <w:pPr>
              <w:spacing w:after="0"/>
              <w:rPr>
                <w:sz w:val="15"/>
                <w:szCs w:val="15"/>
                <w:color w:val="auto"/>
              </w:rPr>
            </w:pPr>
          </w:p>
        </w:tc>
        <w:tc>
          <w:tcPr>
            <w:tcW w:w="1600" w:type="dxa"/>
            <w:vAlign w:val="bottom"/>
            <w:tcBorders>
              <w:right w:val="single" w:sz="8" w:color="70AD47"/>
            </w:tcBorders>
          </w:tcPr>
          <w:p>
            <w:pPr>
              <w:spacing w:after="0"/>
              <w:rPr>
                <w:sz w:val="15"/>
                <w:szCs w:val="15"/>
                <w:color w:val="auto"/>
              </w:rPr>
            </w:pPr>
          </w:p>
        </w:tc>
        <w:tc>
          <w:tcPr>
            <w:tcW w:w="164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 of property, plant, equipment, intangible assets and right-of-use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Share-based payment expenses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Net foreign exchange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625.5</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Finance income excluding foreign exchange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Finance expense excluding foreign exchange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305.2</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Movements in government grants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Other non-cash income / (loss)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Net (gain) / loss on derivative instruments at fair value through profit or loss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Working capital adjustments:</w:t>
            </w:r>
          </w:p>
        </w:tc>
        <w:tc>
          <w:tcPr>
            <w:tcW w:w="1580" w:type="dxa"/>
            <w:vAlign w:val="bottom"/>
            <w:tcBorders>
              <w:right w:val="single" w:sz="8" w:color="70AD47"/>
            </w:tcBorders>
            <w:shd w:val="clear" w:color="auto" w:fill="C6E0B4"/>
          </w:tcPr>
          <w:p>
            <w:pPr>
              <w:spacing w:after="0"/>
              <w:rPr>
                <w:sz w:val="16"/>
                <w:szCs w:val="16"/>
                <w:color w:val="auto"/>
              </w:rPr>
            </w:pPr>
          </w:p>
        </w:tc>
        <w:tc>
          <w:tcPr>
            <w:tcW w:w="1600" w:type="dxa"/>
            <w:vAlign w:val="bottom"/>
            <w:tcBorders>
              <w:right w:val="single" w:sz="8" w:color="70AD47"/>
            </w:tcBorders>
          </w:tcPr>
          <w:p>
            <w:pPr>
              <w:spacing w:after="0"/>
              <w:rPr>
                <w:sz w:val="16"/>
                <w:szCs w:val="16"/>
                <w:color w:val="auto"/>
              </w:rPr>
            </w:pPr>
          </w:p>
        </w:tc>
        <w:tc>
          <w:tcPr>
            <w:tcW w:w="1640" w:type="dxa"/>
            <w:vAlign w:val="bottom"/>
            <w:tcBorders>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Decrease / (increase) in trade and other receivables, contract assets and other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5,374.0</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4,369.9</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(11,808.1)</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Decrease / (increase) in inventories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(438.4)</w:t>
            </w:r>
          </w:p>
        </w:tc>
        <w:tc>
          <w:tcPr>
            <w:tcW w:w="0" w:type="dxa"/>
            <w:vAlign w:val="bottom"/>
          </w:tcPr>
          <w:p>
            <w:pPr>
              <w:spacing w:after="0"/>
              <w:rPr>
                <w:sz w:val="1"/>
                <w:szCs w:val="1"/>
                <w:color w:val="auto"/>
              </w:rPr>
            </w:pPr>
          </w:p>
        </w:tc>
      </w:tr>
      <w:tr>
        <w:trPr>
          <w:trHeight w:val="164"/>
        </w:trPr>
        <w:tc>
          <w:tcPr>
            <w:tcW w:w="57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3"/>
                <w:szCs w:val="13"/>
                <w:color w:val="auto"/>
              </w:rPr>
              <w:t>Increase in trade payables, other financial liabilities, other liabilities, contract liabilities, refund liabilities</w:t>
            </w: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6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6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1,516.1</w:t>
            </w:r>
          </w:p>
        </w:tc>
        <w:tc>
          <w:tcPr>
            <w:tcW w:w="0" w:type="dxa"/>
            <w:vAlign w:val="bottom"/>
          </w:tcPr>
          <w:p>
            <w:pPr>
              <w:spacing w:after="0"/>
              <w:rPr>
                <w:sz w:val="1"/>
                <w:szCs w:val="1"/>
                <w:color w:val="auto"/>
              </w:rPr>
            </w:pPr>
          </w:p>
        </w:tc>
      </w:tr>
      <w:tr>
        <w:trPr>
          <w:trHeight w:val="100"/>
        </w:trPr>
        <w:tc>
          <w:tcPr>
            <w:tcW w:w="5760" w:type="dxa"/>
            <w:vAlign w:val="bottom"/>
            <w:tcBorders>
              <w:right w:val="single" w:sz="8" w:color="70AD47"/>
            </w:tcBorders>
            <w:vMerge w:val="restart"/>
          </w:tcPr>
          <w:p>
            <w:pPr>
              <w:ind w:left="120"/>
              <w:spacing w:after="0"/>
              <w:rPr>
                <w:sz w:val="20"/>
                <w:szCs w:val="20"/>
                <w:color w:val="auto"/>
              </w:rPr>
            </w:pPr>
            <w:r>
              <w:rPr>
                <w:rFonts w:ascii="Times New Roman" w:cs="Times New Roman" w:eastAsia="Times New Roman" w:hAnsi="Times New Roman"/>
                <w:sz w:val="13"/>
                <w:szCs w:val="13"/>
                <w:color w:val="auto"/>
              </w:rPr>
              <w:t>and provisions</w:t>
            </w:r>
          </w:p>
        </w:tc>
        <w:tc>
          <w:tcPr>
            <w:tcW w:w="1580" w:type="dxa"/>
            <w:vAlign w:val="bottom"/>
            <w:tcBorders>
              <w:right w:val="single" w:sz="8" w:color="70AD47"/>
            </w:tcBorders>
            <w:vMerge w:val="continue"/>
            <w:shd w:val="clear" w:color="auto" w:fill="C6E0B4"/>
          </w:tcPr>
          <w:p>
            <w:pPr>
              <w:spacing w:after="0"/>
              <w:rPr>
                <w:sz w:val="8"/>
                <w:szCs w:val="8"/>
                <w:color w:val="auto"/>
              </w:rPr>
            </w:pPr>
          </w:p>
        </w:tc>
        <w:tc>
          <w:tcPr>
            <w:tcW w:w="1600" w:type="dxa"/>
            <w:vAlign w:val="bottom"/>
            <w:tcBorders>
              <w:right w:val="single" w:sz="8" w:color="70AD47"/>
            </w:tcBorders>
            <w:vMerge w:val="continue"/>
          </w:tcPr>
          <w:p>
            <w:pPr>
              <w:spacing w:after="0"/>
              <w:rPr>
                <w:sz w:val="8"/>
                <w:szCs w:val="8"/>
                <w:color w:val="auto"/>
              </w:rPr>
            </w:pPr>
          </w:p>
        </w:tc>
        <w:tc>
          <w:tcPr>
            <w:tcW w:w="1640" w:type="dxa"/>
            <w:vAlign w:val="bottom"/>
            <w:tcBorders>
              <w:right w:val="single" w:sz="8" w:color="70AD4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5760" w:type="dxa"/>
            <w:vAlign w:val="bottom"/>
            <w:tcBorders>
              <w:right w:val="single" w:sz="8" w:color="70AD47"/>
            </w:tcBorders>
            <w:vMerge w:val="continue"/>
          </w:tcPr>
          <w:p>
            <w:pPr>
              <w:spacing w:after="0"/>
              <w:rPr>
                <w:sz w:val="6"/>
                <w:szCs w:val="6"/>
                <w:color w:val="auto"/>
              </w:rPr>
            </w:pPr>
          </w:p>
        </w:tc>
        <w:tc>
          <w:tcPr>
            <w:tcW w:w="1580" w:type="dxa"/>
            <w:vAlign w:val="bottom"/>
            <w:tcBorders>
              <w:right w:val="single" w:sz="8" w:color="70AD47"/>
            </w:tcBorders>
            <w:shd w:val="clear" w:color="auto" w:fill="C6E0B4"/>
          </w:tcPr>
          <w:p>
            <w:pPr>
              <w:spacing w:after="0"/>
              <w:rPr>
                <w:sz w:val="6"/>
                <w:szCs w:val="6"/>
                <w:color w:val="auto"/>
              </w:rPr>
            </w:pPr>
          </w:p>
        </w:tc>
        <w:tc>
          <w:tcPr>
            <w:tcW w:w="1600" w:type="dxa"/>
            <w:vAlign w:val="bottom"/>
            <w:tcBorders>
              <w:right w:val="single" w:sz="8" w:color="70AD47"/>
            </w:tcBorders>
          </w:tcPr>
          <w:p>
            <w:pPr>
              <w:spacing w:after="0"/>
              <w:rPr>
                <w:sz w:val="6"/>
                <w:szCs w:val="6"/>
                <w:color w:val="auto"/>
              </w:rPr>
            </w:pPr>
          </w:p>
        </w:tc>
        <w:tc>
          <w:tcPr>
            <w:tcW w:w="1640" w:type="dxa"/>
            <w:vAlign w:val="bottom"/>
            <w:tcBorders>
              <w:right w:val="single" w:sz="8" w:color="70AD47"/>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Interest received and realized gains from cash and cash equivalents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Interest paid and realized losses from cash and cash equivalents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Income tax paid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(482.9)</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(4,222.1)</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(3,457.9)</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(766.2)</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84"/>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flows from operating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5,371.4</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13,577.4</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889.7</w:t>
            </w:r>
          </w:p>
        </w:tc>
        <w:tc>
          <w:tcPr>
            <w:tcW w:w="0" w:type="dxa"/>
            <w:vAlign w:val="bottom"/>
          </w:tcPr>
          <w:p>
            <w:pPr>
              <w:spacing w:after="0"/>
              <w:rPr>
                <w:sz w:val="1"/>
                <w:szCs w:val="1"/>
                <w:color w:val="auto"/>
              </w:rPr>
            </w:pPr>
          </w:p>
        </w:tc>
      </w:tr>
      <w:tr>
        <w:trPr>
          <w:trHeight w:val="288"/>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5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6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Purchase of intangible assets and right-of-use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(455.4)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Acquisition of subsidiaries and businesses, net of cash acquired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Investment in other financial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(7,128.4)</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Proceeds from maturity of other financial assets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1,216.3</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0" w:type="dxa"/>
            <w:vAlign w:val="bottom"/>
          </w:tcPr>
          <w:p>
            <w:pPr>
              <w:spacing w:after="0"/>
              <w:rPr>
                <w:sz w:val="1"/>
                <w:szCs w:val="1"/>
                <w:color w:val="auto"/>
              </w:rPr>
            </w:pPr>
          </w:p>
        </w:tc>
      </w:tr>
      <w:tr>
        <w:trPr>
          <w:trHeight w:val="184"/>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flows used in investing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(6,954.5)</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(566.1)</w:t>
            </w:r>
          </w:p>
        </w:tc>
        <w:tc>
          <w:tcPr>
            <w:tcW w:w="0" w:type="dxa"/>
            <w:vAlign w:val="bottom"/>
          </w:tcPr>
          <w:p>
            <w:pPr>
              <w:spacing w:after="0"/>
              <w:rPr>
                <w:sz w:val="1"/>
                <w:szCs w:val="1"/>
                <w:color w:val="auto"/>
              </w:rPr>
            </w:pPr>
          </w:p>
        </w:tc>
      </w:tr>
      <w:tr>
        <w:trPr>
          <w:trHeight w:val="31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580" w:type="dxa"/>
            <w:vAlign w:val="bottom"/>
            <w:tcBorders>
              <w:right w:val="single" w:sz="8" w:color="70AD47"/>
            </w:tcBorders>
            <w:shd w:val="clear" w:color="auto" w:fill="C6E0B4"/>
          </w:tcPr>
          <w:p>
            <w:pPr>
              <w:spacing w:after="0"/>
              <w:rPr>
                <w:sz w:val="24"/>
                <w:szCs w:val="24"/>
                <w:color w:val="auto"/>
              </w:rPr>
            </w:pPr>
          </w:p>
        </w:tc>
        <w:tc>
          <w:tcPr>
            <w:tcW w:w="1600" w:type="dxa"/>
            <w:vAlign w:val="bottom"/>
            <w:tcBorders>
              <w:right w:val="single" w:sz="8" w:color="70AD47"/>
            </w:tcBorders>
          </w:tcPr>
          <w:p>
            <w:pPr>
              <w:spacing w:after="0"/>
              <w:rPr>
                <w:sz w:val="24"/>
                <w:szCs w:val="24"/>
                <w:color w:val="auto"/>
              </w:rPr>
            </w:pPr>
          </w:p>
        </w:tc>
        <w:tc>
          <w:tcPr>
            <w:tcW w:w="16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Proceeds from issuance of share capital and treasury shares, net of costs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Proceeds from loans and borrowings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Repayment of loans and borrowings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Payments related to lease liabilities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Share repurchase program</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(738.5)</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(986.4)</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(484.3)</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flows from / (used in) financing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(778.6)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(1,419.3)</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94.2</w:t>
            </w:r>
          </w:p>
        </w:tc>
        <w:tc>
          <w:tcPr>
            <w:tcW w:w="0" w:type="dxa"/>
            <w:vAlign w:val="bottom"/>
          </w:tcPr>
          <w:p>
            <w:pPr>
              <w:spacing w:after="0"/>
              <w:rPr>
                <w:sz w:val="1"/>
                <w:szCs w:val="1"/>
                <w:color w:val="auto"/>
              </w:rPr>
            </w:pPr>
          </w:p>
        </w:tc>
      </w:tr>
      <w:tr>
        <w:trPr>
          <w:trHeight w:val="288"/>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Net increase / (decrease) in cash and cash equivalents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(2,361.7)</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12,122.8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Change in cash and cash equivalents resulting from exchange rate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92"/>
        </w:trPr>
        <w:tc>
          <w:tcPr>
            <w:tcW w:w="5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Change in cash and cash equivalents resulting from other valuation effects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the beginning of the period</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13,875.1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1,692.7</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1,210.2</w:t>
            </w:r>
          </w:p>
        </w:tc>
        <w:tc>
          <w:tcPr>
            <w:tcW w:w="0" w:type="dxa"/>
            <w:vAlign w:val="bottom"/>
          </w:tcPr>
          <w:p>
            <w:pPr>
              <w:spacing w:after="0"/>
              <w:rPr>
                <w:sz w:val="1"/>
                <w:szCs w:val="1"/>
                <w:color w:val="auto"/>
              </w:rPr>
            </w:pPr>
          </w:p>
        </w:tc>
      </w:tr>
      <w:tr>
        <w:trPr>
          <w:trHeight w:val="186"/>
        </w:trPr>
        <w:tc>
          <w:tcPr>
            <w:tcW w:w="5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as of December 31</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11,663.7</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13,875.1</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1,692.7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52" w:name="page253"/>
    <w:bookmarkEnd w:id="25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76" w:lineRule="exact"/>
        <w:rPr>
          <w:sz w:val="20"/>
          <w:szCs w:val="20"/>
          <w:color w:val="auto"/>
        </w:rPr>
      </w:pPr>
    </w:p>
    <w:p>
      <w:pPr>
        <w:ind w:left="240" w:hanging="234"/>
        <w:spacing w:after="0"/>
        <w:tabs>
          <w:tab w:leader="none" w:pos="240" w:val="left"/>
        </w:tabs>
        <w:numPr>
          <w:ilvl w:val="0"/>
          <w:numId w:val="1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Information</w:t>
      </w:r>
    </w:p>
    <w:p>
      <w:pPr>
        <w:spacing w:after="0" w:line="8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BioNTech SE is a limited company incorporated and domiciled in Germany. American Depositary Shares (ADS) representing BioNTech SE’s ordinary shares have been publicly traded on the Nasdaq Global Select Market since October 10, 2019. The registered office is located in Mainz, Germany (An der Goldgrube 12, 55131 Mainz). BioNTech SE is registered in the commercial register B of the Mainz Local Court under the number HRB 48720. The accompanying consolidated financial statements, which were prepared in accordance with International Financial Reporting Standards (IFRS), present the financial position and the results of operations of BioNTech SE and its subsidiaries, hereinafter also referred to as “BioNTech,” the “Group,” “we” or “us.”</w:t>
      </w:r>
    </w:p>
    <w:p>
      <w:pPr>
        <w:spacing w:after="0" w:line="169"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Our consolidated financial statements for the year ended December 31, 2023, were authorized for issue in accordance with a resolution of the Supervisory Board on March 19, 2024.</w:t>
      </w:r>
    </w:p>
    <w:p>
      <w:pPr>
        <w:spacing w:after="0" w:line="153" w:lineRule="exact"/>
        <w:rPr>
          <w:sz w:val="20"/>
          <w:szCs w:val="20"/>
          <w:color w:val="auto"/>
        </w:rPr>
      </w:pPr>
    </w:p>
    <w:p>
      <w:pPr>
        <w:ind w:right="8280" w:firstLine="6"/>
        <w:spacing w:after="0" w:line="344" w:lineRule="auto"/>
        <w:tabs>
          <w:tab w:leader="none" w:pos="234"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2.1 Basis of Preparation</w:t>
      </w:r>
    </w:p>
    <w:p>
      <w:pPr>
        <w:ind w:left="4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the International Financial Reporting Standards (IFRS) as issued by the International Accounting Standards Board (IASB).</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prepare and publish our consolidated financial statements in Euros and round numbers to thousands or millions of Euros, respectively. Accordingly, numerical figures shown as totals in some tables may not be exact arithmetic aggregations of the figures that preceded them and figures presented in the explanatory notes may not add up to the rounded arithmetic aggregations. Rounding applied may differ from rounding published in different units in the previous years.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Decisions with respect to business operations and resource allocations are made by our Management Board, as the chief operating decision maker (CODM) based on BioNTech as a whole. Accordingly, we operate and make decisions as a single operating segment, which is also our reporting segment.</w:t>
      </w:r>
    </w:p>
    <w:p>
      <w:pPr>
        <w:spacing w:after="0" w:line="1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Basis of Consolidation</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consolidated financial statements comprise the financial statements of BioNTech SE and its controlled investees (subsidiaries).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Group controls an investee if, and only if, the Group has</w:t>
      </w:r>
    </w:p>
    <w:p>
      <w:pPr>
        <w:spacing w:after="0" w:line="90" w:lineRule="exact"/>
        <w:rPr>
          <w:sz w:val="20"/>
          <w:szCs w:val="20"/>
          <w:color w:val="auto"/>
        </w:rPr>
      </w:pPr>
    </w:p>
    <w:p>
      <w:pPr>
        <w:ind w:left="720" w:hanging="282"/>
        <w:spacing w:after="0"/>
        <w:tabs>
          <w:tab w:leader="none" w:pos="7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over the investee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existing rights that give it the current ability to direct the relevant activities of the investee);</w:t>
      </w:r>
    </w:p>
    <w:p>
      <w:pPr>
        <w:spacing w:after="0" w:line="94"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or rights, to variable returns from its involvement with the investee; and</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use its power over the investee to affect its returns.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Generally, there is a presumption that a majority of voting rights results in control.</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Whether an investee is controlled is re-assessed if facts and circumstances indicate that there are changes to one or more of the three elements of control.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Consolidation of a subsidiary begins when control is obtained over the subsidiary and ceases when control over the subsidiary is lost.</w:t>
      </w:r>
    </w:p>
    <w:p>
      <w:pPr>
        <w:spacing w:after="0" w:line="170"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profit / (loss) and each component of other comprehensive income / (loss) for the period are attributed to the equity holders of the parent of the Group and to the non-controlling interests, even if this results in the non- controlling interests having a deficit balance. When necessary, adjustments are made to the consolidated financial statements of subsidiaries to bring their accounting policies in line with the Group’s accounting policies. All intra-group assets and liabilities, equity, income, expenses and cash flows relating to transactions between members of the Group are eliminated on consolidation.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3" w:name="page254"/>
    <w:bookmarkEnd w:id="25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change in the ownership interest of a subsidiary, without a loss of control, is accounted for as an equity transaction.</w:t>
      </w:r>
    </w:p>
    <w:p>
      <w:pPr>
        <w:spacing w:after="0" w:line="188"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If control over a subsidiary is lost, the related assets (including goodwill), liabilities, non- controlling interests and other components of equity are derecognized, while any resultant gain or loss is recognized in the consolidated statements of profit or loss. Any investment retained is recognized at fair value.</w:t>
      </w:r>
    </w:p>
    <w:p>
      <w:pPr>
        <w:spacing w:after="0" w:line="1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4"/>
          <w:szCs w:val="14"/>
          <w:b w:val="1"/>
          <w:bCs w:val="1"/>
          <w:color w:val="auto"/>
        </w:rPr>
        <w:t>Summary of Material Accounting Policies</w:t>
      </w:r>
    </w:p>
    <w:p>
      <w:pPr>
        <w:spacing w:after="0" w:line="176"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2.3.1</w:t>
      </w:r>
      <w:r>
        <w:rPr>
          <w:sz w:val="20"/>
          <w:szCs w:val="20"/>
          <w:color w:val="auto"/>
        </w:rPr>
        <w:tab/>
      </w:r>
      <w:r>
        <w:rPr>
          <w:rFonts w:ascii="Times New Roman" w:cs="Times New Roman" w:eastAsia="Times New Roman" w:hAnsi="Times New Roman"/>
          <w:sz w:val="14"/>
          <w:szCs w:val="14"/>
          <w:b w:val="1"/>
          <w:bCs w:val="1"/>
          <w:color w:val="auto"/>
        </w:rPr>
        <w:t>Foreign Currencies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Our consolidated financial statements are presented in Euros, which is also our functional currency. For each entity, the Group determines the functional currency, and items included in the consolidated financial statements of such entities are measured using that functional currency. We use the direct method of consolidation and, on disposal of a foreign operation, the gain or loss that is reclassified to the consolidated statements of profit or loss reflects the amount that arises from using this method.</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Transactions and Balances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Transactions in foreign currencies are initially recorded by the Group’s entities at their respective functional currency spot rates at the date the transaction first qualifies for recognition.</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Monetary assets and liabilities denominated in foreign currencies are translated at the functional currency spot rates of exchange at the reporting date.</w:t>
      </w:r>
    </w:p>
    <w:p>
      <w:pPr>
        <w:spacing w:after="0" w:line="18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Non-monetary items that are measured in terms of historical cost in a foreign currency are translated using the exchange rates at the dates of the initial transactions.</w:t>
      </w:r>
    </w:p>
    <w:p>
      <w:pPr>
        <w:spacing w:after="0" w:line="1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Foreign currency translation effects from the translation of operating activities include foreign exchange differences arising on operating items such as trade receivables and trade payables and are either shown as other operating income or expenses on a cumulative basis. Foreign currency translation effects presented within finance income and expenses include foreign exchange differences arising on financing items such as loans and borrowings as well as foreign exchange differences arising on cash and cash equivalents and are either shown as finance income or expenses on a cumulative basis.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Foreign Currency Translation on Consolidation</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Upon consolidation, the assets and liabilities of foreign operations are translated into Euros at the rate of exchange prevailing at the reporting date and the transactions recorded in their consolidated statements of profit or loss are translated at exchange rates prevailing at the dates of the transactions.</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153"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2.3.2</w:t>
      </w:r>
      <w:r>
        <w:rPr>
          <w:sz w:val="20"/>
          <w:szCs w:val="20"/>
          <w:color w:val="auto"/>
        </w:rPr>
        <w:tab/>
      </w:r>
      <w:r>
        <w:rPr>
          <w:rFonts w:ascii="Times New Roman" w:cs="Times New Roman" w:eastAsia="Times New Roman" w:hAnsi="Times New Roman"/>
          <w:sz w:val="14"/>
          <w:szCs w:val="14"/>
          <w:b w:val="1"/>
          <w:bCs w:val="1"/>
          <w:color w:val="auto"/>
        </w:rPr>
        <w:t>Current versus Non-Current Classifications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Assets and liabilities in the consolidated statements of financial position are presented based on current or non-current classification.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4" w:name="page255"/>
    <w:bookmarkEnd w:id="25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An asset is current when it is either: (i) expected to be realized or intended to be sold or consumed in the normal operating cycle, (ii) held primarily for the purpose of trading, (iii) expected to be realized within twelve months after the reporting period, or (iv) cash or cash equivalents, unless it is restricted from being exchanged or used to settle a liability for at least twelve months after the reporting period. All other assets are classified as non-current.</w:t>
      </w:r>
    </w:p>
    <w:p>
      <w:pPr>
        <w:spacing w:after="0" w:line="16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liability is current when it is either: (i) expected to be settled in the normal operating cycle, (ii) held primarily for the purpose of trading, (iii) due to be settled within twelve months after the reporting period, or (iv) there is no unconditional right to defer the settlement of the liability for at least twelve months after the reporting period. The terms of the liability that could, at the option of the counterparty, result in its settlement by the issue of equity instruments do not affect its classification. The Group classifies all other liabilities as non-current.</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tax assets and liabilities are classified as non-current assets and liabilities, respectively.</w:t>
      </w:r>
    </w:p>
    <w:p>
      <w:pPr>
        <w:spacing w:after="0" w:line="186"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2.3.3</w:t>
      </w:r>
      <w:r>
        <w:rPr>
          <w:sz w:val="20"/>
          <w:szCs w:val="20"/>
          <w:color w:val="auto"/>
        </w:rPr>
        <w:tab/>
      </w:r>
      <w:r>
        <w:rPr>
          <w:rFonts w:ascii="Times New Roman" w:cs="Times New Roman" w:eastAsia="Times New Roman" w:hAnsi="Times New Roman"/>
          <w:sz w:val="14"/>
          <w:szCs w:val="14"/>
          <w:b w:val="1"/>
          <w:bCs w:val="1"/>
          <w:color w:val="auto"/>
        </w:rPr>
        <w:t>Revenue from Contracts with Customers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Identification of the Contract</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We generate revenues from collaboration and license agreements, which contain multiple elements, including licenses to use, research, develop, manufacture and commercialize candidates and products, research and development services as well as obligations to develop and manufacture preclinical and clinical material and products. We determined that those collaboration and license agreements qualify as contracts with customers. A contract is an agreement between two or more parties that establishes enforceable rights and obligations.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Identification of Performance Obligations</w:t>
      </w:r>
    </w:p>
    <w:p>
      <w:pPr>
        <w:spacing w:after="0" w:line="9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customer contracts often include bundles of licenses, goods and services. If the granting of a license is bundled together with delivering of goods and or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Determining Transaction Prices</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apply judgment when determining the consideration that is expected to be received. If the consideration in an agreement includes a variable amount, we estimate the amount of consideration to which we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revenues reversal in the amount of cumulative revenues recognized will not occur when the associated uncertainty with respect to the variable consideration is subsequently resolved. The estimated revenues are updated at each reporting date to reflect the current facts and circumstances.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Allocation of Transaction Prices</w:t>
      </w:r>
    </w:p>
    <w:p>
      <w:pPr>
        <w:spacing w:after="0" w:line="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If a contract with a customer contains more than one performance obligation, the transaction price is allocated to each performance obligation based on relative standalone selling prices. We have established the following hierarchy to determine the standalone selling prices.</w:t>
      </w:r>
    </w:p>
    <w:p>
      <w:pPr>
        <w:spacing w:after="0" w:line="59" w:lineRule="exact"/>
        <w:rPr>
          <w:sz w:val="20"/>
          <w:szCs w:val="20"/>
          <w:color w:val="auto"/>
        </w:rPr>
      </w:pPr>
    </w:p>
    <w:p>
      <w:pPr>
        <w:jc w:val="both"/>
        <w:ind w:left="720" w:hanging="282"/>
        <w:spacing w:after="0" w:line="247" w:lineRule="auto"/>
        <w:tabs>
          <w:tab w:leader="none" w:pos="7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standalone selling prices for offered licenses, goods or services are observable and reasonably consistent across customers, our standalone selling price estimates are derived from our respective pricing history. However, due to the limited number of customers and the limited company history, this approach can rarely be used.</w:t>
      </w:r>
    </w:p>
    <w:p>
      <w:pPr>
        <w:spacing w:after="0" w:line="6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sales prices for an offering are not directly observable or highly variable across customers, we follow a cost-plus-margin approach.</w:t>
      </w:r>
    </w:p>
    <w:p>
      <w:pPr>
        <w:spacing w:after="0" w:line="92" w:lineRule="exact"/>
        <w:rPr>
          <w:rFonts w:ascii="Times New Roman" w:cs="Times New Roman" w:eastAsia="Times New Roman" w:hAnsi="Times New Roman"/>
          <w:sz w:val="16"/>
          <w:szCs w:val="16"/>
          <w:color w:val="auto"/>
        </w:rPr>
      </w:pPr>
    </w:p>
    <w:p>
      <w:pPr>
        <w:ind w:left="720" w:right="20" w:hanging="282"/>
        <w:spacing w:after="0" w:line="259" w:lineRule="auto"/>
        <w:tabs>
          <w:tab w:leader="none" w:pos="7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offerings that have highly variable pricing and lack substantial direct costs to estimate based on a cost-plus-margin approach, we allocate the transaction price by applying a residual approach.</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Judgment is required when estimating standalone selling prices.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5" w:name="page256"/>
    <w:bookmarkEnd w:id="25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Recognition of Revenues</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For each separate performance obligation, it is evaluated whether control is transferred either at a point in time or over time. For performance obligations that are satisfied over time, revenues are recognized based on a measure of progress, which depicts the performance in transferring control to the customer. Under the terms of our licensing arrangements, we provide the licensee with a research and development license, which represents a right to access our intellectual property as it exists throughout the license period (as our intellectual property is still subject to further research). Therefore, the promise to grant a license is accounted for as a performance obligation satisfied over time as our customers simultaneously receive and consume the benefits from our performance.</w:t>
      </w:r>
    </w:p>
    <w:p>
      <w:pPr>
        <w:spacing w:after="0" w:line="16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Revenues based on the collaboration partners’ gross profit, which is shared under the respective collaboration agreements, are recognized based on the sales-based or usage- based royalty exemption;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when the underlying sales occur, which is when the performance obligation has been satisfied. As described further in Note 3, judgment is applied to certain aspects when accounting for the collaboration agreements.</w:t>
      </w:r>
    </w:p>
    <w:p>
      <w:pPr>
        <w:spacing w:after="0" w:line="16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Revenue arrangements that involve two or more partners who contribute to the provision of a specific good or service to a customer are assessed in terms of principal-agent considerations in order to determine the appropriate treatment for the transactions between us and the collaborator and the transactions between us and other third parties. The classification of transactions under such arrangements is determined based on the nature and contractual terms of the arrangement along with the nature of the operations of the participants. Any consideration related to activities in which we are considered the principal, which includes being in control of the good or service before such good or service is transferred to the customer, is accounted for as gross revenues. Any consideration related to activities in which we are considered the agent is accounted for as net revenues.</w:t>
      </w:r>
    </w:p>
    <w:p>
      <w:pPr>
        <w:spacing w:after="0" w:line="171" w:lineRule="exact"/>
        <w:rPr>
          <w:sz w:val="20"/>
          <w:szCs w:val="20"/>
          <w:color w:val="auto"/>
        </w:rPr>
      </w:pPr>
    </w:p>
    <w:p>
      <w:pPr>
        <w:jc w:val="both"/>
        <w:ind w:firstLine="384"/>
        <w:spacing w:after="0" w:line="281" w:lineRule="auto"/>
        <w:rPr>
          <w:sz w:val="20"/>
          <w:szCs w:val="20"/>
          <w:color w:val="auto"/>
        </w:rPr>
      </w:pPr>
      <w:r>
        <w:rPr>
          <w:rFonts w:ascii="Times New Roman" w:cs="Times New Roman" w:eastAsia="Times New Roman" w:hAnsi="Times New Roman"/>
          <w:sz w:val="14"/>
          <w:szCs w:val="14"/>
          <w:color w:val="auto"/>
        </w:rPr>
        <w:t>Revenues from the sale of pharmaceutical and medical products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COVID-19 vaccine sales and other sales of peptides and retroviral vectors for clinical supply) are recognized when we transfer control of the product to the customer. Control of the product normally transfers when the customer gains physical possession and we have not retained any significant risks of ownership or future obligations with respect to the product. In general, payments from customers are due within 30 days after invoice. However, with respect to our collaboration with Pfizer Inc., or Pfizer, there is a significant time lag between when revenues are recognized and the payments are received. The contractual settlement of the gross profit share has a temporal offset of more than one calendar quarter. As Pfizer’s financial quarter for subsidiaries outside the United States differs from ours, it creates an additional time lag between the recognition of revenues and the payment receipt.</w:t>
      </w:r>
    </w:p>
    <w:p>
      <w:pPr>
        <w:spacing w:after="0" w:line="143" w:lineRule="exact"/>
        <w:rPr>
          <w:sz w:val="20"/>
          <w:szCs w:val="20"/>
          <w:color w:val="auto"/>
        </w:rPr>
      </w:pPr>
    </w:p>
    <w:p>
      <w:pPr>
        <w:jc w:val="both"/>
        <w:ind w:firstLine="384"/>
        <w:spacing w:after="0" w:line="281" w:lineRule="auto"/>
        <w:rPr>
          <w:sz w:val="20"/>
          <w:szCs w:val="20"/>
          <w:color w:val="auto"/>
        </w:rPr>
      </w:pPr>
      <w:r>
        <w:rPr>
          <w:rFonts w:ascii="Times New Roman" w:cs="Times New Roman" w:eastAsia="Times New Roman" w:hAnsi="Times New Roman"/>
          <w:sz w:val="14"/>
          <w:szCs w:val="14"/>
          <w:color w:val="auto"/>
        </w:rPr>
        <w:t>For certain contracts, the finished product may temporarily be stored at our location under a bill-and-hold arrangement. Revenues from bill-and-hold arrangements are recognized at the point in time when the customer obtains control of the product and all of the following criteria have been met: (i) the arrangement is substantive;</w:t>
      </w:r>
    </w:p>
    <w:p>
      <w:pPr>
        <w:spacing w:after="0" w:line="1" w:lineRule="exact"/>
        <w:rPr>
          <w:sz w:val="20"/>
          <w:szCs w:val="20"/>
          <w:color w:val="auto"/>
        </w:rPr>
      </w:pPr>
    </w:p>
    <w:p>
      <w:pPr>
        <w:jc w:val="both"/>
        <w:ind w:right="20" w:firstLine="6"/>
        <w:spacing w:after="0" w:line="237" w:lineRule="auto"/>
        <w:tabs>
          <w:tab w:leader="none" w:pos="232"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 is identified separately as belonging to the customer; (iii) the product is ready for physical transfer to the customer; and (iv) we do not have the ability to use the product or direct it to another customer. In determining when the customer obtains control of the product, we consider certain indicators, including whether title and significant risks and rewards of ownership have transferred to the customer and whether customer acceptance has been received.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Contract Balances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Contract Assets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 contract asset is the right to consideration in exchange for goods or services transferred to the customer. If we transfer goods or services to a customer before the customer pays the respective consideration or before payment is due, a contract asset is recognized for the earned consideration that is conditional.</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Trade Receivables</w:t>
      </w:r>
    </w:p>
    <w:p>
      <w:pPr>
        <w:spacing w:after="0" w:line="9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6"/>
          <w:szCs w:val="16"/>
          <w:color w:val="auto"/>
        </w:rPr>
        <w:t>A receivable represents our right to an amount of consideration that is unconditional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only the passage of time is required before payment of the consideration is due).</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Contract Liabilities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 contract liability is the obligation to transfer goods or services to a customer for which we have received consideration (or an amount of consideration is due) from the customer. If a customer pays consideration before we transfer goods or services to the customer, a contract liability is recognized when the payment is made or when the payment is due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6" w:name="page257"/>
    <w:bookmarkEnd w:id="25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(whichever is earlier). Contract liabilities are recognized as revenue when we fulfill our performance obligations under the contract.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Refund Liabilities</w:t>
      </w:r>
    </w:p>
    <w:p>
      <w:pPr>
        <w:spacing w:after="0" w:line="96"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 refund liability is a consideration which has been received but which will need to be refunded to the customer in the future as it represents an amount to which we are ultimately not entitled under the contract. A refund liability is measured at the amount of consideration received (or receivable) to which we do not expect to be entitled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 amounts not included in the transaction price). We update our estimates of refund liabilities (and the corresponding change in the transaction price) at the end of each reporting period.</w:t>
      </w:r>
    </w:p>
    <w:p>
      <w:pPr>
        <w:spacing w:after="0" w:line="165"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2.3.4</w:t>
      </w:r>
      <w:r>
        <w:rPr>
          <w:sz w:val="20"/>
          <w:szCs w:val="20"/>
          <w:color w:val="auto"/>
        </w:rPr>
        <w:tab/>
      </w:r>
      <w:r>
        <w:rPr>
          <w:rFonts w:ascii="Times New Roman" w:cs="Times New Roman" w:eastAsia="Times New Roman" w:hAnsi="Times New Roman"/>
          <w:sz w:val="14"/>
          <w:szCs w:val="14"/>
          <w:b w:val="1"/>
          <w:bCs w:val="1"/>
          <w:color w:val="auto"/>
        </w:rPr>
        <w:t>Research and Development Expenses</w:t>
      </w:r>
    </w:p>
    <w:p>
      <w:pPr>
        <w:spacing w:after="0" w:line="94"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Research and development costs are expensed in the period in which they are incurred. Regarding internal projects, we consider that regulatory approval and other uncertainties inherent in the development of new products preclude the capitalization of internal development expenses as an intangible asset until marketing approval from a regulatory authority is obtained. Payments made to third parties, such as contract research and development organizations as compensation for subcontracted research and development, that are deemed not to transfer intellectual property are expensed as internal research and development expenses in the period in which they are incurred. Such payments are only capitalized if they meet the criteria for recognition of an internally generated intangible asset, usually when marketing approval has been received from a regulatory authority. We have entered into agreements under which third parties grant licenses to us, which are known as in-license agreements. If in-licensing results in consideration for the acquisition of intellectual property that meets the definition of an identifiable asset, this is capitalized as an intangible asset unless the respective intellectual property is mainly used as part of our general ongoing research and development activities without any intent to market the respective product as such. If the transaction also includes research and development services to be provided by the licensor, the share of consideration attributable to these services is recognized in research and development expenses in line with the performance of the services. Sales-based milestone or royalty payments incurred under license agreements after the approval date of the respective pharmaceutical product are recognized as expenses in cost of sales as incurred.</w:t>
      </w:r>
    </w:p>
    <w:p>
      <w:pPr>
        <w:spacing w:after="0" w:line="328" w:lineRule="exact"/>
        <w:rPr>
          <w:sz w:val="20"/>
          <w:szCs w:val="20"/>
          <w:color w:val="auto"/>
        </w:rPr>
      </w:pPr>
    </w:p>
    <w:p>
      <w:pPr>
        <w:jc w:val="both"/>
        <w:ind w:right="20" w:firstLine="384"/>
        <w:spacing w:after="0" w:line="331" w:lineRule="auto"/>
        <w:rPr>
          <w:sz w:val="20"/>
          <w:szCs w:val="20"/>
          <w:color w:val="auto"/>
        </w:rPr>
      </w:pPr>
      <w:r>
        <w:rPr>
          <w:rFonts w:ascii="Times New Roman" w:cs="Times New Roman" w:eastAsia="Times New Roman" w:hAnsi="Times New Roman"/>
          <w:sz w:val="14"/>
          <w:szCs w:val="14"/>
          <w:color w:val="auto"/>
        </w:rPr>
        <w:t>Subsequent internal research and development costs in relation to intellectual property rights are expensed because the technical feasibility of the internal research and development activity can only be demonstrated by the receipt of marketing approval for a related product from a regulatory authority in a major market.</w:t>
      </w:r>
    </w:p>
    <w:p>
      <w:pPr>
        <w:spacing w:after="0" w:line="108"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Prior to the second quarter of 2023, we had assessed that inventory produced prior to successful regulatory approval did not meet thecriteria for capitalization as an asset, and accordingly expensed the costs of pre -launch inventory as research and development costs. Based on the experience of the past years and the developments since our COVID-19 vaccine was first authorized or approved for emergency or temporary use, our assessment regarding the potential to produce economic benefits changed. Beginning with the second quarter of 2023, pre-launch products from the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product family with their potential for economic benefit fulfill the recognition criteria for an asset under the IFRS Conceptual Framework. At each reporting date, the respective inventory is measured at the lower of cost and net realizable value. However, because it is not probable until regulatory approval is obtained, we consider the net realizable value to be zero, as this is the probable amount expected to be realized from its sale until approval is obtained. The write-down is recognized in the statements of profit or loss as research and development expenses. If regulatory approval for a product candidate is obtained, the relevant write- down would be reversed to a maximum of the original cost. Subsequently, inventory is recognized as cost of sales. This reassessment has been treated as a change in estimate and the impacts on current period inventories, cost of sales and research and development expenses are described in Note 7.1.</w:t>
      </w:r>
    </w:p>
    <w:p>
      <w:pPr>
        <w:spacing w:after="0" w:line="174"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2.3.5</w:t>
      </w:r>
      <w:r>
        <w:rPr>
          <w:sz w:val="20"/>
          <w:szCs w:val="20"/>
          <w:color w:val="auto"/>
        </w:rPr>
        <w:tab/>
      </w:r>
      <w:r>
        <w:rPr>
          <w:rFonts w:ascii="Times New Roman" w:cs="Times New Roman" w:eastAsia="Times New Roman" w:hAnsi="Times New Roman"/>
          <w:sz w:val="14"/>
          <w:szCs w:val="14"/>
          <w:b w:val="1"/>
          <w:bCs w:val="1"/>
          <w:color w:val="auto"/>
        </w:rPr>
        <w:t>Government Grants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Government grants and similar grants which are accounted for in accordance with IAS 20 are recognized where there is reasonable assurance that the grant will be received and all attached conditions will be complied with. When the grant relates to an expense item, it is recognized as other income on a systematic basis over the periods that the related costs for which the grant is intended to compensate are expensed. When the grant relates to an asset, it is recognized as deferred income within the consolidated statements of financial position. Other income is subsequently recognized in our consolidated statements of profit or loss over the useful life of the underlying asset subject to funding.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7" w:name="page258"/>
    <w:bookmarkEnd w:id="25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2.3.6</w:t>
      </w:r>
      <w:r>
        <w:rPr>
          <w:sz w:val="20"/>
          <w:szCs w:val="20"/>
          <w:color w:val="auto"/>
        </w:rPr>
        <w:tab/>
      </w:r>
      <w:r>
        <w:rPr>
          <w:rFonts w:ascii="Times New Roman" w:cs="Times New Roman" w:eastAsia="Times New Roman" w:hAnsi="Times New Roman"/>
          <w:sz w:val="14"/>
          <w:szCs w:val="14"/>
          <w:b w:val="1"/>
          <w:bCs w:val="1"/>
          <w:color w:val="auto"/>
        </w:rPr>
        <w:t>Taxes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Current Income Tax</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current income taxes presented for the period include adjustments for uncertain tax payments or tax refunds for periods not yet finally assessed by tax authorities, excluding interest expenses and penalties on the underpayment of taxes. In the event that amounts included in the tax return are considered unlikely to be accepted by the tax authorities (uncertain tax positions), a provision for income taxes is recognized.</w:t>
      </w:r>
    </w:p>
    <w:p>
      <w:pPr>
        <w:spacing w:after="0" w:line="16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Management periodically evaluates positions taken in the tax returns with respect to situations in which applicable tax regulations are subject to interpretation and establishes provisions where appropriate.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Deferred Tax</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Deferred tax is provided using the liability method on temporary differences between the tax bases of assets and liabilities and their carrying amounts for financial reporting purposes at the reporting date.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tax liabilities are recognized for all taxable temporary differences, except:</w:t>
      </w:r>
    </w:p>
    <w:p>
      <w:pPr>
        <w:spacing w:after="0" w:line="92" w:lineRule="exact"/>
        <w:rPr>
          <w:sz w:val="20"/>
          <w:szCs w:val="20"/>
          <w:color w:val="auto"/>
        </w:rPr>
      </w:pPr>
    </w:p>
    <w:p>
      <w:pPr>
        <w:ind w:left="720" w:right="20" w:hanging="282"/>
        <w:spacing w:after="0" w:line="259" w:lineRule="auto"/>
        <w:tabs>
          <w:tab w:leader="none" w:pos="7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59" w:lineRule="exact"/>
        <w:rPr>
          <w:rFonts w:ascii="Times New Roman" w:cs="Times New Roman" w:eastAsia="Times New Roman" w:hAnsi="Times New Roman"/>
          <w:sz w:val="16"/>
          <w:szCs w:val="16"/>
          <w:color w:val="auto"/>
        </w:rPr>
      </w:pPr>
    </w:p>
    <w:p>
      <w:pPr>
        <w:ind w:left="720" w:right="20" w:hanging="282"/>
        <w:spacing w:after="0" w:line="259" w:lineRule="auto"/>
        <w:tabs>
          <w:tab w:leader="none" w:pos="7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68" w:lineRule="exact"/>
        <w:rPr>
          <w:sz w:val="20"/>
          <w:szCs w:val="20"/>
          <w:color w:val="auto"/>
        </w:rPr>
      </w:pPr>
    </w:p>
    <w:p>
      <w:pPr>
        <w:ind w:left="720" w:hanging="282"/>
        <w:spacing w:after="0" w:line="259" w:lineRule="auto"/>
        <w:tabs>
          <w:tab w:leader="none" w:pos="72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59" w:lineRule="exact"/>
        <w:rPr>
          <w:rFonts w:ascii="Times New Roman" w:cs="Times New Roman" w:eastAsia="Times New Roman" w:hAnsi="Times New Roman"/>
          <w:sz w:val="16"/>
          <w:szCs w:val="16"/>
          <w:color w:val="auto"/>
        </w:rPr>
      </w:pPr>
    </w:p>
    <w:p>
      <w:pPr>
        <w:jc w:val="both"/>
        <w:ind w:left="720" w:hanging="282"/>
        <w:spacing w:after="0" w:line="247" w:lineRule="auto"/>
        <w:tabs>
          <w:tab w:leader="none" w:pos="72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deductible temporary differences associated with investments in subsidiaries, deferred tax assets are recognized only to the extent that it is probable that the temporary differences will reverse in the foreseeable future and taxable profit will be available against which the temporary differences can be utilized.</w:t>
      </w:r>
    </w:p>
    <w:p>
      <w:pPr>
        <w:spacing w:after="0" w:line="16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Unrecognized deferred tax assets are re-assessed at each reporting date and are recognized to the extent that it has become probable that future taxable profits will allow the deferred tax asset to be recovered.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Recognition of Taxes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Current and deferred tax items are recognized similarly to the underlying transaction either in profit or loss, other comprehensive income or directly in equity.</w:t>
      </w:r>
    </w:p>
    <w:p>
      <w:pPr>
        <w:spacing w:after="0" w:line="188" w:lineRule="exact"/>
        <w:rPr>
          <w:sz w:val="20"/>
          <w:szCs w:val="20"/>
          <w:color w:val="auto"/>
        </w:rPr>
      </w:pPr>
    </w:p>
    <w:p>
      <w:pPr>
        <w:jc w:val="both"/>
        <w:ind w:right="20" w:firstLine="384"/>
        <w:spacing w:after="0" w:line="299" w:lineRule="auto"/>
        <w:rPr>
          <w:sz w:val="20"/>
          <w:szCs w:val="20"/>
          <w:color w:val="auto"/>
        </w:rPr>
      </w:pPr>
      <w:r>
        <w:rPr>
          <w:rFonts w:ascii="Times New Roman" w:cs="Times New Roman" w:eastAsia="Times New Roman" w:hAnsi="Times New Roman"/>
          <w:sz w:val="14"/>
          <w:szCs w:val="14"/>
          <w:color w:val="auto"/>
        </w:rPr>
        <w:t>Current tax assets and current tax liabilities are offset if, and only if, we have a legally enforceable right to set off the recognized amounts and intend either to settle on a net basis, or to realize the asset and settle the liability simultaneously. Deferred tax assets and deferred tax liabilities are only offset when we have a legally enforceable right to set off current tax assets and current tax liabilities and the deferred tax assets and deferred tax liabilities relate to income taxes levied by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8" w:name="page259"/>
    <w:bookmarkEnd w:id="25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same taxation authority on either (i) the same taxable entity or (ii)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Sales Tax</w:t>
      </w:r>
    </w:p>
    <w:p>
      <w:pPr>
        <w:spacing w:after="0" w:line="9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Expenses and assets are recognized net of sales tax, except when the sales tax incurred on a purchase of assets or services is not recoverable from the taxation authority.</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net amount of sales tax recoverable from, or payable to, the taxation authority is included as part of receivables or payables in the consolidated statements of financial position.</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Future Tax Legislation</w:t>
      </w:r>
    </w:p>
    <w:p>
      <w:pPr>
        <w:spacing w:after="0" w:line="94"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Based on the Organisation for Economic Co- operation and Development (OECD) Base Erosion and Profit Shifting (BEPS) project to tackle tax avoidance, the OECD/G20 Inclusive Framework (an association of about 140 countries) decided to introduce a global minimum taxation for large multinational groups (known as Pillar 2). The Global Anti -Base Erosion Rules are intended to ensure that large multinational groups pay a minimum level of tax on the income arising in each jurisdiction where they operate. In December 2021, the OECD published its Model Rules, which serve as a draft bill for implementation into national domestic law, followed by guidelines and commentaries published in March 2022. In December 2022, the EU adopted a corresponding directive (EU 2022/2523) that obliges EU member states to transpose the rules into national domestic law. If the effective tax rate in any jurisdiction is below the minimum rate (15%), the Group may be subject to the so-called top-up tax or a so-called qualified domestic minimum top-up tax.</w:t>
      </w:r>
    </w:p>
    <w:p>
      <w:pPr>
        <w:spacing w:after="0" w:line="170" w:lineRule="exact"/>
        <w:rPr>
          <w:sz w:val="20"/>
          <w:szCs w:val="20"/>
          <w:color w:val="auto"/>
        </w:rPr>
      </w:pPr>
    </w:p>
    <w:p>
      <w:pPr>
        <w:jc w:val="both"/>
        <w:ind w:firstLine="384"/>
        <w:spacing w:after="0" w:line="280" w:lineRule="auto"/>
        <w:rPr>
          <w:sz w:val="20"/>
          <w:szCs w:val="20"/>
          <w:color w:val="auto"/>
        </w:rPr>
      </w:pPr>
      <w:r>
        <w:rPr>
          <w:rFonts w:ascii="Times New Roman" w:cs="Times New Roman" w:eastAsia="Times New Roman" w:hAnsi="Times New Roman"/>
          <w:sz w:val="14"/>
          <w:szCs w:val="14"/>
          <w:color w:val="auto"/>
        </w:rPr>
        <w:t>Several jurisdictions in which the Group operates have transposed the OECD Model Rules into national domestic law and brought them into force. In addition, the Group is closely following the progress of the legislative process in each country in which the Group operates. As of the balance sheet date, the BEPS Pillar 2 regulations (MinBestRL UmsG) had already been transposed into German law (MinStG). The date of application of the law in Germany is for financial years beginning after December 30, 2023. Subsequently, as the OECD Model Rules have entered into force in Germany, the Group is obliged to file top-up tax information returns for all entities which are part of the Group, beginning in financial year 2024. The Group falls within the scope of these regulations. The Group carried out an analysis as of the reporting date to determine the fundamental impact and the jurisdictions in which the Group is exposed to possible effects in connection with a Pillar 2 top-up tax.</w:t>
      </w:r>
    </w:p>
    <w:p>
      <w:pPr>
        <w:spacing w:after="0" w:line="145" w:lineRule="exact"/>
        <w:rPr>
          <w:sz w:val="20"/>
          <w:szCs w:val="20"/>
          <w:color w:val="auto"/>
        </w:rPr>
      </w:pPr>
    </w:p>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t>Based on this analysis, no countries were identified in which the Group would be materially affected by a Pillar 2 top-up tax. Consequently, the average effective Group tax rate would not have changed if the Pillar 2 legislation had already been in force on the balance sheet date. BioNTech applies the exception in IAS 12, according to which no deferred tax assets and liabilities in connection with the second income taxes of the second pillar of the OECD are recognized and no disclosures are made.</w:t>
      </w:r>
    </w:p>
    <w:p>
      <w:pPr>
        <w:spacing w:after="0" w:line="69"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2.3.7</w:t>
      </w:r>
      <w:r>
        <w:rPr>
          <w:sz w:val="20"/>
          <w:szCs w:val="20"/>
          <w:color w:val="auto"/>
        </w:rPr>
        <w:tab/>
      </w:r>
      <w:r>
        <w:rPr>
          <w:rFonts w:ascii="Times New Roman" w:cs="Times New Roman" w:eastAsia="Times New Roman" w:hAnsi="Times New Roman"/>
          <w:sz w:val="14"/>
          <w:szCs w:val="14"/>
          <w:b w:val="1"/>
          <w:bCs w:val="1"/>
          <w:color w:val="auto"/>
        </w:rPr>
        <w:t>Business Combinations and Goodwill</w:t>
      </w:r>
    </w:p>
    <w:p>
      <w:pPr>
        <w:spacing w:after="0" w:line="94"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Costs related to executing business combinations are recognized when they are incurred and are classified as general and administrative expenses.</w:t>
      </w:r>
    </w:p>
    <w:p>
      <w:pPr>
        <w:spacing w:after="0" w:line="188"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After initial recognition, goodwill is tested at least annually or when there is an indication for impairment. See Note 2.3.10.For the purpose of impairment testing, goodwill acquired in a business combination is, from the acquisition date, allocated to each of the cash-generating units that are expected to benefit from the combination, irrespective of whether other assets or liabilities of the acquiree are assigned to those units.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59" w:name="page260"/>
    <w:bookmarkEnd w:id="25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Where goodwill has been allocated to a cash-generating unit (CGU) and part of the operation within that unit is disposed of, the goodwill associated with the operation disposed of is included in the carrying amount of the operation when determining the gain or loss on disposal. Goodwill disposed of in these circumstances is measured based on the relative values of the operation disposed of and the portion of the cash-generating unit retained.</w:t>
      </w:r>
    </w:p>
    <w:p>
      <w:pPr>
        <w:spacing w:after="0" w:line="162"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2.3.8</w:t>
      </w:r>
      <w:r>
        <w:rPr>
          <w:sz w:val="20"/>
          <w:szCs w:val="20"/>
          <w:color w:val="auto"/>
        </w:rPr>
        <w:tab/>
      </w:r>
      <w:r>
        <w:rPr>
          <w:rFonts w:ascii="Times New Roman" w:cs="Times New Roman" w:eastAsia="Times New Roman" w:hAnsi="Times New Roman"/>
          <w:sz w:val="14"/>
          <w:szCs w:val="14"/>
          <w:b w:val="1"/>
          <w:bCs w:val="1"/>
          <w:color w:val="auto"/>
        </w:rPr>
        <w:t>Intangible Assets</w:t>
      </w:r>
    </w:p>
    <w:p>
      <w:pPr>
        <w:spacing w:after="0" w:line="94" w:lineRule="exact"/>
        <w:rPr>
          <w:sz w:val="20"/>
          <w:szCs w:val="20"/>
          <w:color w:val="auto"/>
        </w:rPr>
      </w:pPr>
    </w:p>
    <w:p>
      <w:pPr>
        <w:jc w:val="both"/>
        <w:ind w:right="20" w:firstLine="384"/>
        <w:spacing w:after="0" w:line="331" w:lineRule="auto"/>
        <w:rPr>
          <w:sz w:val="20"/>
          <w:szCs w:val="20"/>
          <w:color w:val="auto"/>
        </w:rPr>
      </w:pPr>
      <w:r>
        <w:rPr>
          <w:rFonts w:ascii="Times New Roman" w:cs="Times New Roman" w:eastAsia="Times New Roman" w:hAnsi="Times New Roman"/>
          <w:sz w:val="14"/>
          <w:szCs w:val="14"/>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w:t>
      </w:r>
    </w:p>
    <w:p>
      <w:pPr>
        <w:spacing w:after="0" w:line="12"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4"/>
          <w:szCs w:val="14"/>
          <w:color w:val="auto"/>
        </w:rPr>
        <w:t>The portion of the consideration in in-licensing agreements paid by us to acquire intellectual property is recognized as an intangible asset. If in-licensing includes research and development services, the share of consideration attributable to these services is deferred and recognized in research and development expenses according to the utilization thereof. Payments depending on the achievement of specific milestones as part of the purchase of intangible assets, except for intangible assets acquired in a business combination, are recognized as subsequent acquisition cost of the intangible asset and as a financial liability once the milestone is reached.</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useful lives of intangible assets are assessed as either finite or indefinite.</w:t>
      </w:r>
    </w:p>
    <w:p>
      <w:pPr>
        <w:spacing w:after="0" w:line="18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Intangible assets with finite lives are amortized generally on a straight-line basis over the useful life and assessed for impairment whenever there is an indication that the intangible asset may be impaired. The amortization period and the amortization method for an intangible asset with a finite useful life are reviewed at the end of each reporting period at the least. The amortization expense on intangible assets with finite lives is recognized in the consolidated statements of profit or loss in the expense category that is consistent with the function of the intangible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 summary of the useful lives applied to the Group’s intangible assets is as follows:</w:t>
            </w: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0" w:type="dxa"/>
            <w:vAlign w:val="bottom"/>
          </w:tcPr>
          <w:p>
            <w:pPr>
              <w:spacing w:after="0"/>
              <w:rPr>
                <w:sz w:val="17"/>
                <w:szCs w:val="17"/>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Useful life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20" w:type="dxa"/>
            <w:vAlign w:val="bottom"/>
            <w:tcBorders>
              <w:bottom w:val="single" w:sz="8" w:color="70AD47"/>
            </w:tcBorders>
            <w:vMerge w:val="continue"/>
          </w:tcPr>
          <w:p>
            <w:pPr>
              <w:spacing w:after="0"/>
              <w:rPr>
                <w:sz w:val="18"/>
                <w:szCs w:val="18"/>
                <w:color w:val="auto"/>
              </w:rPr>
            </w:pPr>
          </w:p>
        </w:tc>
        <w:tc>
          <w:tcPr>
            <w:tcW w:w="20" w:type="dxa"/>
            <w:vAlign w:val="bottom"/>
            <w:tcBorders>
              <w:bottom w:val="single" w:sz="8" w:color="70AD47"/>
            </w:tcBorders>
            <w:shd w:val="clear" w:color="auto" w:fill="70AD47"/>
          </w:tcPr>
          <w:p>
            <w:pPr>
              <w:spacing w:after="0"/>
              <w:rPr>
                <w:sz w:val="18"/>
                <w:szCs w:val="18"/>
                <w:color w:val="auto"/>
              </w:rPr>
            </w:pPr>
          </w:p>
        </w:tc>
        <w:tc>
          <w:tcPr>
            <w:tcW w:w="1620" w:type="dxa"/>
            <w:vAlign w:val="bottom"/>
            <w:tcBorders>
              <w:bottom w:val="single" w:sz="8" w:color="70AD47"/>
            </w:tcBorders>
            <w:vMerge w:val="continue"/>
          </w:tcPr>
          <w:p>
            <w:pPr>
              <w:spacing w:after="0"/>
              <w:rPr>
                <w:sz w:val="18"/>
                <w:szCs w:val="18"/>
                <w:color w:val="auto"/>
              </w:rPr>
            </w:pP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20" w:type="dxa"/>
            <w:vAlign w:val="bottom"/>
            <w:shd w:val="clear" w:color="auto" w:fill="70AD47"/>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8-20</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20" w:type="dxa"/>
            <w:vAlign w:val="bottom"/>
            <w:shd w:val="clear" w:color="auto" w:fill="70AD47"/>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3-20</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0" w:type="dxa"/>
            <w:vAlign w:val="bottom"/>
            <w:tcBorders>
              <w:bottom w:val="single" w:sz="8" w:color="70AD47"/>
            </w:tcBorders>
            <w:shd w:val="clear" w:color="auto" w:fill="70AD47"/>
          </w:tcPr>
          <w:p>
            <w:pPr>
              <w:spacing w:after="0"/>
              <w:rPr>
                <w:sz w:val="18"/>
                <w:szCs w:val="18"/>
                <w:color w:val="auto"/>
              </w:rPr>
            </w:pPr>
          </w:p>
        </w:tc>
        <w:tc>
          <w:tcPr>
            <w:tcW w:w="1620" w:type="dxa"/>
            <w:vAlign w:val="bottom"/>
            <w:tcBorders>
              <w:bottom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3"/>
              </w:rPr>
              <w:t>3-8</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Intangible assets with indefinite useful lives are tested for impairment at least annually, or when there is an indication for impairment, either individually or at the level of a cash-generating unit (see Note 2.3.10 for further details). In the case of intangible assets not yet available for use, the point in time from which a capitalized asset can be expected to generate economic benefit for the Group cannot be determined. Such assets are not amortized, and therefore classified as having an indefinite useful life. The intangible assets not yet available for use are tested for impairment annually, or when there is an indication for impairment on an individual basis. The assessment of indefinite life is reviewed annually to determine whether the indefinite life continues to be supportable. If not, the change in useful life from indefinite to finite is made on a prospective basis.</w:t>
      </w:r>
    </w:p>
    <w:p>
      <w:pPr>
        <w:spacing w:after="0" w:line="173"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We have classified advanced payments on intangible assets as intangible assets that are not yet ready for use. Advanced payments on intangible assets are tested for impairment on an annual basis.</w:t>
      </w:r>
    </w:p>
    <w:p>
      <w:pPr>
        <w:spacing w:after="0" w:line="153" w:lineRule="exact"/>
        <w:rPr>
          <w:sz w:val="20"/>
          <w:szCs w:val="20"/>
          <w:color w:val="auto"/>
        </w:rPr>
      </w:pPr>
    </w:p>
    <w:p>
      <w:pPr>
        <w:jc w:val="both"/>
        <w:ind w:right="20" w:firstLine="384"/>
        <w:spacing w:after="0" w:line="248" w:lineRule="auto"/>
        <w:rPr>
          <w:sz w:val="20"/>
          <w:szCs w:val="20"/>
          <w:color w:val="auto"/>
        </w:rPr>
      </w:pPr>
      <w:r>
        <w:rPr>
          <w:rFonts w:ascii="Times New Roman" w:cs="Times New Roman" w:eastAsia="Times New Roman" w:hAnsi="Times New Roman"/>
          <w:sz w:val="16"/>
          <w:szCs w:val="16"/>
          <w:color w:val="auto"/>
        </w:rPr>
        <w:t>An intangible asset is derecognized upon disposal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statements of profit or loss.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Note 2.3.4 for further details in connection with our accounting of internally generated intangible assets.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60" w:name="page261"/>
    <w:bookmarkEnd w:id="26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2.3.9</w:t>
      </w:r>
      <w:r>
        <w:rPr>
          <w:sz w:val="20"/>
          <w:szCs w:val="20"/>
          <w:color w:val="auto"/>
        </w:rPr>
        <w:tab/>
      </w:r>
      <w:r>
        <w:rPr>
          <w:rFonts w:ascii="Times New Roman" w:cs="Times New Roman" w:eastAsia="Times New Roman" w:hAnsi="Times New Roman"/>
          <w:sz w:val="14"/>
          <w:szCs w:val="14"/>
          <w:b w:val="1"/>
          <w:bCs w:val="1"/>
          <w:color w:val="auto"/>
        </w:rPr>
        <w:t>Property, Plant and Equipment</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Construction in progress is stated at cost.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is calculated on a straight-line basis over the estimated useful lives of the assets, as follows:</w:t>
            </w: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20" w:type="dxa"/>
            <w:vAlign w:val="bottom"/>
          </w:tcPr>
          <w:p>
            <w:pPr>
              <w:spacing w:after="0"/>
              <w:rPr>
                <w:sz w:val="17"/>
                <w:szCs w:val="17"/>
                <w:color w:val="auto"/>
              </w:rPr>
            </w:pPr>
          </w:p>
        </w:tc>
        <w:tc>
          <w:tcPr>
            <w:tcW w:w="16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Useful life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20" w:type="dxa"/>
            <w:vAlign w:val="bottom"/>
            <w:tcBorders>
              <w:bottom w:val="single" w:sz="8" w:color="70AD47"/>
            </w:tcBorders>
            <w:vMerge w:val="continue"/>
          </w:tcPr>
          <w:p>
            <w:pPr>
              <w:spacing w:after="0"/>
              <w:rPr>
                <w:sz w:val="18"/>
                <w:szCs w:val="18"/>
                <w:color w:val="auto"/>
              </w:rPr>
            </w:pPr>
          </w:p>
        </w:tc>
        <w:tc>
          <w:tcPr>
            <w:tcW w:w="20" w:type="dxa"/>
            <w:vAlign w:val="bottom"/>
            <w:tcBorders>
              <w:bottom w:val="single" w:sz="8" w:color="70AD47"/>
            </w:tcBorders>
            <w:shd w:val="clear" w:color="auto" w:fill="70AD47"/>
          </w:tcPr>
          <w:p>
            <w:pPr>
              <w:spacing w:after="0"/>
              <w:rPr>
                <w:sz w:val="18"/>
                <w:szCs w:val="18"/>
                <w:color w:val="auto"/>
              </w:rPr>
            </w:pPr>
          </w:p>
        </w:tc>
        <w:tc>
          <w:tcPr>
            <w:tcW w:w="1620" w:type="dxa"/>
            <w:vAlign w:val="bottom"/>
            <w:tcBorders>
              <w:bottom w:val="single" w:sz="8" w:color="70AD47"/>
            </w:tcBorders>
            <w:vMerge w:val="continue"/>
          </w:tcPr>
          <w:p>
            <w:pPr>
              <w:spacing w:after="0"/>
              <w:rPr>
                <w:sz w:val="18"/>
                <w:szCs w:val="18"/>
                <w:color w:val="auto"/>
              </w:rPr>
            </w:pP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 w:type="dxa"/>
            <w:vAlign w:val="bottom"/>
            <w:shd w:val="clear" w:color="auto" w:fill="70AD47"/>
          </w:tcPr>
          <w:p>
            <w:pPr>
              <w:spacing w:after="0"/>
              <w:rPr>
                <w:sz w:val="18"/>
                <w:szCs w:val="18"/>
                <w:color w:val="auto"/>
              </w:rPr>
            </w:pPr>
          </w:p>
        </w:tc>
        <w:tc>
          <w:tcPr>
            <w:tcW w:w="16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10-33</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Equipment, tools and installations</w:t>
            </w:r>
          </w:p>
        </w:tc>
        <w:tc>
          <w:tcPr>
            <w:tcW w:w="20" w:type="dxa"/>
            <w:vAlign w:val="bottom"/>
            <w:tcBorders>
              <w:bottom w:val="single" w:sz="8" w:color="70AD47"/>
            </w:tcBorders>
            <w:shd w:val="clear" w:color="auto" w:fill="70AD47"/>
          </w:tcPr>
          <w:p>
            <w:pPr>
              <w:spacing w:after="0"/>
              <w:rPr>
                <w:sz w:val="18"/>
                <w:szCs w:val="18"/>
                <w:color w:val="auto"/>
              </w:rPr>
            </w:pPr>
          </w:p>
        </w:tc>
        <w:tc>
          <w:tcPr>
            <w:tcW w:w="1620" w:type="dxa"/>
            <w:vAlign w:val="bottom"/>
            <w:tcBorders>
              <w:bottom w:val="single" w:sz="8" w:color="70AD47"/>
            </w:tcBorders>
          </w:tcPr>
          <w:p>
            <w:pPr>
              <w:jc w:val="right"/>
              <w:ind w:right="602"/>
              <w:spacing w:after="0"/>
              <w:rPr>
                <w:sz w:val="20"/>
                <w:szCs w:val="20"/>
                <w:color w:val="auto"/>
              </w:rPr>
            </w:pPr>
            <w:r>
              <w:rPr>
                <w:rFonts w:ascii="Times New Roman" w:cs="Times New Roman" w:eastAsia="Times New Roman" w:hAnsi="Times New Roman"/>
                <w:sz w:val="16"/>
                <w:szCs w:val="16"/>
                <w:color w:val="auto"/>
              </w:rPr>
              <w:t>7-18</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Operating and business equipment has a useful life of 1-10 years and is reported under equipment, tools and installations due to immateriality.</w:t>
      </w:r>
    </w:p>
    <w:p>
      <w:pPr>
        <w:spacing w:after="0" w:line="186"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An item of property, plant and equipment initially recognized is derecognized upon disposal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consolidated statements of profit or loss when the asset is derecognized.</w:t>
      </w:r>
    </w:p>
    <w:p>
      <w:pPr>
        <w:spacing w:after="0" w:line="16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The residual values, useful lives and methods of depreciation of property, plant and equipment are reviewed at each financial year-end and adjusted prospectively, if appropriate.</w:t>
      </w:r>
    </w:p>
    <w:p>
      <w:pPr>
        <w:spacing w:after="0" w:line="153"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2.3.10</w:t>
      </w:r>
      <w:r>
        <w:rPr>
          <w:sz w:val="20"/>
          <w:szCs w:val="20"/>
          <w:color w:val="auto"/>
        </w:rPr>
        <w:tab/>
      </w:r>
      <w:r>
        <w:rPr>
          <w:rFonts w:ascii="Times New Roman" w:cs="Times New Roman" w:eastAsia="Times New Roman" w:hAnsi="Times New Roman"/>
          <w:sz w:val="14"/>
          <w:szCs w:val="14"/>
          <w:b w:val="1"/>
          <w:bCs w:val="1"/>
          <w:color w:val="auto"/>
        </w:rPr>
        <w:t>Impairment of Non-Financial Assets</w:t>
      </w:r>
    </w:p>
    <w:p>
      <w:pPr>
        <w:spacing w:after="0" w:line="94" w:lineRule="exact"/>
        <w:rPr>
          <w:sz w:val="20"/>
          <w:szCs w:val="20"/>
          <w:color w:val="auto"/>
        </w:rPr>
      </w:pPr>
    </w:p>
    <w:p>
      <w:pPr>
        <w:jc w:val="both"/>
        <w:ind w:firstLine="384"/>
        <w:spacing w:after="0" w:line="278" w:lineRule="auto"/>
        <w:rPr>
          <w:sz w:val="20"/>
          <w:szCs w:val="20"/>
          <w:color w:val="auto"/>
        </w:rPr>
      </w:pPr>
      <w:r>
        <w:rPr>
          <w:rFonts w:ascii="Times New Roman" w:cs="Times New Roman" w:eastAsia="Times New Roman" w:hAnsi="Times New Roman"/>
          <w:sz w:val="14"/>
          <w:szCs w:val="14"/>
          <w:color w:val="auto"/>
        </w:rPr>
        <w:t>At each reporting date, we assess whether there is an indication that a non -financial asset may be impaired. Goodwill is tested for impairment at least annually. Impairment is determined for goodwill by assessing the recoverable amount of each cash-generating unit (or group of CGUs) to which the goodwill relates. If any indication exists, or when annual impairment testing is performed, we estimate the asset’s or CGU’s recoverable amount. The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If the asset does not generate independent cash inflows, the impairment test is performed for the smallest group of assets that generate largely independent cash inflows from other assets (CGU) . When the carrying amount of an asset or cash-generating unit exceeds its recoverable amount, the asset or the non-current assets of the CGU are considered impaired and written down to their recoverable amount.</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Impairment losses are recognized in the consolidated statements of profit or loss in expense categories consistent with the function of the impaired asset.</w:t>
      </w:r>
    </w:p>
    <w:p>
      <w:pPr>
        <w:spacing w:after="0" w:line="18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Intangible assets with an indefinite useful life are tested for impairment annually at the CGU level, as appropriate, and when circumstances indicate that the carrying value may be impaired.</w:t>
      </w:r>
    </w:p>
    <w:p>
      <w:pPr>
        <w:spacing w:after="0" w:line="155"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Intangible assets not yet available for use are not amortized, but rather tested for impairment when a triggering event arises or at least once a year. The identification of triggering events takes place on a quarterly or on an ad hoc basis with the involvement of the responsible departments, taking internal and external information sources into consideration. The impairment test is performed annually or if there are indications of impairment by determining the asset’s value in use. In assessing value in use, the estimated discounted future cash flows are based on long-term forecast calculations reflecting the asset’s estimated product life cycles. The assumptions are based on internal estimates along with external market studies. The result of the valuation depends to a large extent on the estimates by the management of the future cash flows of the assets and the discount rate applied, and is therefore subject to uncertainty.</w:t>
      </w:r>
    </w:p>
    <w:p>
      <w:pPr>
        <w:spacing w:after="0" w:line="171"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2.3.11</w:t>
      </w:r>
      <w:r>
        <w:rPr>
          <w:sz w:val="20"/>
          <w:szCs w:val="20"/>
          <w:color w:val="auto"/>
        </w:rPr>
        <w:tab/>
      </w:r>
      <w:r>
        <w:rPr>
          <w:rFonts w:ascii="Times New Roman" w:cs="Times New Roman" w:eastAsia="Times New Roman" w:hAnsi="Times New Roman"/>
          <w:sz w:val="14"/>
          <w:szCs w:val="14"/>
          <w:b w:val="1"/>
          <w:bCs w:val="1"/>
          <w:color w:val="auto"/>
        </w:rPr>
        <w:t>Financial Instruments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financial instrument is any contract that gives rise to a financial asset of one entity and a financial liability or equity instrument of another entity.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1" w:name="page262"/>
    <w:bookmarkEnd w:id="26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 Financial Assets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Initial Recognition and Measurement</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Financial assets mainly include money market funds, bank deposits and reverse repos, security investments, trade receivables, cash at banks as well as equity investments. Financial assets are initially measured at fair value as of the trade date and – depending on their classification – subsequently measured at amortized cost, fair value through other comprehensive income (OCI) or fair value through profit or loss.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Subsequent Measurement</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measurement of financial assets depends on their classification, as described below.</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Measured at Amortized Cost</w:t>
      </w:r>
    </w:p>
    <w:p>
      <w:pPr>
        <w:spacing w:after="0" w:line="96"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Financial assets measured at amortized cost include trade receivables and other financial assetsare generally measured using the effective interest rate (EIR) method. With respect to trade receivables, we applied the practical expedient, which means that they are measured at the transaction price determined in accordance with IFRS 15. Refer to the accounting policies in Note 2.3.3. Other financial assets measured at amortized cost are held to collect contractual cash flows, which are solely payments of principal and interest. Gains and losses are recognized in our consolidated statements of profit or loss when the financial asset is derecognized, modified or impaired.</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Designated at Fair Value through OCI (Equity Instruments)</w:t>
      </w:r>
    </w:p>
    <w:p>
      <w:pPr>
        <w:spacing w:after="0" w:line="96"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Upon initial recognition, we can irrevocably elect to classify equity investments as equity instruments designated at fair value through OCI if they meet the definition of equity under IAS 32 and are not held for trading. The classification is determined on an instrument-by- instrument basis. Gains and losses on these financial assets are never recycled to profit or loss. Dividends are recognized as other income in the consolidated statements of profit or loss when the right of payment has been established. Equity instruments designated at fair value through OCI are not subject to impairment assessment. We elected to irrevocably classify our non-listed and listed equity investments under this category. They are recognized using trade date accounting.</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at Fair Value through Profit or Loss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Derivatives not designated as hedging instruments are measured at fair value through profit or loss. A financial asset exists if the derivative has a positive fair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value.</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Derecognition</w:t>
      </w:r>
    </w:p>
    <w:p>
      <w:pPr>
        <w:spacing w:after="0" w:line="92"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 xml:space="preserve">A financial asset (or, where applicable, a part of a financial asset or part of a group of similar financial assets) is primarily derecognized </w:t>
      </w:r>
      <w:r>
        <w:rPr>
          <w:rFonts w:ascii="Times New Roman" w:cs="Times New Roman" w:eastAsia="Times New Roman" w:hAnsi="Times New Roman"/>
          <w:sz w:val="16"/>
          <w:szCs w:val="16"/>
          <w:i w:val="1"/>
          <w:iCs w:val="1"/>
          <w:color w:val="auto"/>
        </w:rPr>
        <w:t>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w:t>
      </w:r>
      <w:r>
        <w:rPr>
          <w:rFonts w:ascii="Times New Roman" w:cs="Times New Roman" w:eastAsia="Times New Roman" w:hAnsi="Times New Roman"/>
          <w:sz w:val="16"/>
          <w:szCs w:val="16"/>
          <w:color w:val="auto"/>
        </w:rPr>
        <w:t>, removed from the consolidated statements of financial position) when the rights to receive cash flows from the asset have expired or have been transferred in terms of fulfilling the derecognition criteria.</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Impairment of Financial Assets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An allowance for expected credit losses (ECLs) is considered for all non-derivative financial debt investments, including cash, time deposits and debt securities of the Group.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6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Since our financial debt investments are considered to be investments with low risk, the expected credit loss in the upcoming twelve months is used to determine the impairment loss. Wherever a considerable increase in the default risk is assumed, the lifetime expected credit loss of the financial asset is considered.</w:t>
      </w:r>
    </w:p>
    <w:p>
      <w:pPr>
        <w:spacing w:after="0" w:line="1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For trade receivables and contract assets, the Group applies a simplified approach in calculating ECLs. This means that the Group does not track changes in credit risk, but instead recognizes a loss allowance based on lifetime ECLs at each reporting date. We have established an ECL model that is based on the probability of default (PD), considers the respective country default probabilities and takes the maturities into account. In order to determine the PD of companies, we use the maturities of the trade receivables and the score of the companies.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2" w:name="page263"/>
    <w:bookmarkEnd w:id="26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If there is objective evidence that certain trade receivables or contract assets are fully or partially impaired, additional loss allowances are recognized to account for expected credit losses. A debtor’s creditworthiness is assumed to be impaired if there are objective indications that the debtor is in financial difficulties, such as the disappearance of an active market for its products or impending insolvency.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ii) Financial Liabilities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Financial liabilities are generally measured at amortized cost using the effective interest rate (EIR) method. Derivatives with negative fair values not designated as hedging instruments and liabilities for contingent consideration in business combinations are measured at fair value.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financial liabilities are recognized initially at fair value and, in the case of loans and borrowings and payables, net of directly attributable transaction costs.</w:t>
      </w:r>
    </w:p>
    <w:p>
      <w:pPr>
        <w:spacing w:after="0" w:line="9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Financial liabilities measured at amortized cost include loans and borrowings, trade payables and other financial liabilities. They are measured at amortized cost using the EIR method. Gains and losses are recognized in the consolidated statements of profit or loss when the liabilities are derecognized as well as through the EIR amortization process.</w:t>
      </w:r>
    </w:p>
    <w:p>
      <w:pPr>
        <w:spacing w:after="0" w:line="16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Amortized cost is calculated by taking into account any discount or premium on acquisition and fees or costs that are an integral part of the EIR. The EIR amortization is included as finance costs in the consolidated statements of profit or loss.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Derecognition</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consolidated statements of profit or loss.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iii) Expenses and Income from Exchange Forward Contracts</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Effects from foreign exchange forward contracts, which are measured at fair value through profit or loss, are shown as either other operating income or other operating expenses on a cumulative basis and might switch between those two items during the year-to-date reporting periods.</w:t>
      </w:r>
    </w:p>
    <w:p>
      <w:pPr>
        <w:spacing w:after="0" w:line="153"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2.3.12</w:t>
      </w:r>
      <w:r>
        <w:rPr>
          <w:sz w:val="20"/>
          <w:szCs w:val="20"/>
          <w:color w:val="auto"/>
        </w:rPr>
        <w:tab/>
      </w:r>
      <w:r>
        <w:rPr>
          <w:rFonts w:ascii="Times New Roman" w:cs="Times New Roman" w:eastAsia="Times New Roman" w:hAnsi="Times New Roman"/>
          <w:sz w:val="14"/>
          <w:szCs w:val="14"/>
          <w:b w:val="1"/>
          <w:bCs w:val="1"/>
          <w:color w:val="auto"/>
        </w:rPr>
        <w:t>Fair Value Measurement</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68" w:lineRule="exact"/>
        <w:rPr>
          <w:sz w:val="20"/>
          <w:szCs w:val="20"/>
          <w:color w:val="auto"/>
        </w:rPr>
      </w:pPr>
    </w:p>
    <w:p>
      <w:pPr>
        <w:ind w:left="720" w:hanging="282"/>
        <w:spacing w:after="0"/>
        <w:tabs>
          <w:tab w:leader="none" w:pos="72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contains the use of quoted prices in active markets for identical assets or liabilities.</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inputs are inputs other than quoted prices included within Level 1 that are observable for the asset or liability either directly or indirectly.</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inputs are unobservable.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Within this hierarchy, estimated values are made by management based on reasonable assumptions, including other fair value methods.</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For assets and liabilities that are recognized in the financial statements at fair value on a recurring basis, we determine whether transfers have occurred between levels in the fair value hierarchy by re-assessing categorization (based on the lowest level input that is significant to the fair value measurement as a whole) at the end of each reporting period.</w:t>
      </w:r>
    </w:p>
    <w:p>
      <w:pPr>
        <w:spacing w:after="0" w:line="16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For the purpose of fair value disclosures, classes of assets and liabilities have been determined on the basis of the nature, characteristics and risks of the asset or liability and the level of the fair value hierarchy, as explained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3" w:name="page264"/>
    <w:bookmarkEnd w:id="26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2.3.13</w:t>
      </w:r>
      <w:r>
        <w:rPr>
          <w:sz w:val="20"/>
          <w:szCs w:val="20"/>
          <w:color w:val="auto"/>
        </w:rPr>
        <w:tab/>
      </w:r>
      <w:r>
        <w:rPr>
          <w:rFonts w:ascii="Times New Roman" w:cs="Times New Roman" w:eastAsia="Times New Roman" w:hAnsi="Times New Roman"/>
          <w:sz w:val="14"/>
          <w:szCs w:val="14"/>
          <w:b w:val="1"/>
          <w:bCs w:val="1"/>
          <w:color w:val="auto"/>
        </w:rPr>
        <w:t>Inventories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Inventories are valued at the lower of cost and net realizable value.</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Costs incurred in bringing each product to its present location and condition are accounted for as follows:</w:t>
      </w:r>
    </w:p>
    <w:p>
      <w:pPr>
        <w:spacing w:after="0" w:line="92" w:lineRule="exact"/>
        <w:rPr>
          <w:sz w:val="20"/>
          <w:szCs w:val="20"/>
          <w:color w:val="auto"/>
        </w:rPr>
      </w:pPr>
    </w:p>
    <w:p>
      <w:pPr>
        <w:ind w:left="720" w:hanging="282"/>
        <w:spacing w:after="0"/>
        <w:tabs>
          <w:tab w:leader="none" w:pos="72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raw materials and supplies: purchase cost on a first-in / first-out basis; or</w:t>
      </w:r>
    </w:p>
    <w:p>
      <w:pPr>
        <w:spacing w:after="0" w:line="92" w:lineRule="exact"/>
        <w:rPr>
          <w:rFonts w:ascii="Times New Roman" w:cs="Times New Roman" w:eastAsia="Times New Roman" w:hAnsi="Times New Roman"/>
          <w:sz w:val="16"/>
          <w:szCs w:val="16"/>
          <w:color w:val="auto"/>
        </w:rPr>
      </w:pPr>
    </w:p>
    <w:p>
      <w:pPr>
        <w:ind w:left="720" w:right="20" w:hanging="282"/>
        <w:spacing w:after="0" w:line="259" w:lineRule="auto"/>
        <w:tabs>
          <w:tab w:leader="none" w:pos="72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unfinished goods and finished goods: cost of direct materials and labor, including both internal manufacturing and third-party contract manufacturing organizations, or CMOs, and a proportion of manufacturing overheads based on the normal operating capacity, but excluding borrowing costs.</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Net realizable value is the estimated selling price in the ordinary course of business less estimated costs of completion and the estimated costs necessary to make the sale. Write-offs are recorded if inventories are expected to be unsaleable, do not fulfill the specification defined by our quality standards or if their shelf-life has expired. For our inventories subject to the collaboration partners’ gross profit share mechanism, we consider the contractual compensation payments in the estimate of the net realizable value.</w:t>
      </w:r>
    </w:p>
    <w:p>
      <w:pPr>
        <w:spacing w:after="0" w:line="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Beginning with the second quarter of 2023, pre-launch products from the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product family with their potential for economic benefit fulfill the recognition criteria for an asset under the IFRS Conceptual Framework. At each reporting date, the respective inventory is measured at the lower of cost and net realizable value. However, because is not probable until regulatory approval is obtained, we consider the net realizable value to be zero, as this is the probable amount expected to be realized from its sale until approval is obtained (see also Note 2.3.4 for further information on our assessment regarding the potential of our pre-launch products to produce economic benefits).</w:t>
      </w:r>
    </w:p>
    <w:p>
      <w:pPr>
        <w:spacing w:after="0" w:line="169"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2.3.14</w:t>
      </w:r>
      <w:r>
        <w:rPr>
          <w:sz w:val="20"/>
          <w:szCs w:val="20"/>
          <w:color w:val="auto"/>
        </w:rPr>
        <w:tab/>
      </w:r>
      <w:r>
        <w:rPr>
          <w:rFonts w:ascii="Times New Roman" w:cs="Times New Roman" w:eastAsia="Times New Roman" w:hAnsi="Times New Roman"/>
          <w:sz w:val="14"/>
          <w:szCs w:val="14"/>
          <w:b w:val="1"/>
          <w:bCs w:val="1"/>
          <w:color w:val="auto"/>
        </w:rPr>
        <w:t>Cash and Cash Equivalents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Cash and cash equivalents comprise cash at banks and on hand and short -term investments that we consider to be highly liquid (including deposits, money market funds and reverse repos) with an original maturity of three months or less that are readily convertible to a known amount of cash and subject to an insignificant risk of changes in value. Deposits with an original maturity of more than three months are recognized as other financial assets.</w:t>
      </w:r>
    </w:p>
    <w:p>
      <w:pPr>
        <w:spacing w:after="0" w:line="162"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2.3.15</w:t>
      </w:r>
      <w:r>
        <w:rPr>
          <w:sz w:val="20"/>
          <w:szCs w:val="20"/>
          <w:color w:val="auto"/>
        </w:rPr>
        <w:tab/>
      </w:r>
      <w:r>
        <w:rPr>
          <w:rFonts w:ascii="Times New Roman" w:cs="Times New Roman" w:eastAsia="Times New Roman" w:hAnsi="Times New Roman"/>
          <w:sz w:val="14"/>
          <w:szCs w:val="14"/>
          <w:b w:val="1"/>
          <w:bCs w:val="1"/>
          <w:color w:val="auto"/>
        </w:rPr>
        <w:t>Treasury Share</w:t>
      </w:r>
      <w:r>
        <w:rPr>
          <w:rFonts w:ascii="Times New Roman" w:cs="Times New Roman" w:eastAsia="Times New Roman" w:hAnsi="Times New Roman"/>
          <w:sz w:val="14"/>
          <w:szCs w:val="14"/>
          <w:color w:val="auto"/>
        </w:rPr>
        <w:t>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We apply the par value method to our repurchases of outstanding American Depositary Shares, or ADSs. Accordingly, the nominal value of acquired treasury shares is deducted from equity and shown in the separate item “Treasury shares”. Any premium paid in excess of the nominal value of a repurchased ADS is deducted from the capital reserve. On the trade date, we recognize a liability, and on the settlement date, we settle in cash. We recognize the foreign exchange differences that may occur between the trade and settlement date as profit or loss.</w:t>
      </w:r>
    </w:p>
    <w:p>
      <w:pPr>
        <w:spacing w:after="0" w:line="165"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2.3.16</w:t>
      </w:r>
      <w:r>
        <w:rPr>
          <w:sz w:val="20"/>
          <w:szCs w:val="20"/>
          <w:color w:val="auto"/>
        </w:rPr>
        <w:tab/>
      </w:r>
      <w:r>
        <w:rPr>
          <w:rFonts w:ascii="Times New Roman" w:cs="Times New Roman" w:eastAsia="Times New Roman" w:hAnsi="Times New Roman"/>
          <w:sz w:val="14"/>
          <w:szCs w:val="14"/>
          <w:b w:val="1"/>
          <w:bCs w:val="1"/>
          <w:color w:val="auto"/>
        </w:rPr>
        <w:t>Leases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At the inception of a contract, we assess whether the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68" w:lineRule="exact"/>
        <w:rPr>
          <w:sz w:val="20"/>
          <w:szCs w:val="20"/>
          <w:color w:val="auto"/>
        </w:rPr>
      </w:pPr>
    </w:p>
    <w:p>
      <w:pPr>
        <w:ind w:left="720" w:right="20" w:hanging="282"/>
        <w:spacing w:after="0" w:line="259" w:lineRule="auto"/>
        <w:tabs>
          <w:tab w:leader="none" w:pos="7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involves the use of an identified asset – this may be specified explicitly or implicitly and should be physically distinct or represent substantially all of the capacity of a physically distinct asset. If the supplier has a substantive substitution right, then the asset is not identified;</w:t>
      </w:r>
    </w:p>
    <w:p>
      <w:pPr>
        <w:spacing w:after="0" w:line="59"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the right to obtain substantially all of the economic benefits from the use of the asset throughout the period of use; and</w:t>
      </w:r>
    </w:p>
    <w:p>
      <w:pPr>
        <w:spacing w:after="0" w:line="92" w:lineRule="exact"/>
        <w:rPr>
          <w:rFonts w:ascii="Times New Roman" w:cs="Times New Roman" w:eastAsia="Times New Roman" w:hAnsi="Times New Roman"/>
          <w:sz w:val="16"/>
          <w:szCs w:val="16"/>
          <w:color w:val="auto"/>
        </w:rPr>
      </w:pPr>
    </w:p>
    <w:p>
      <w:pPr>
        <w:jc w:val="both"/>
        <w:ind w:left="720" w:right="20" w:hanging="282"/>
        <w:spacing w:after="0" w:line="247" w:lineRule="auto"/>
        <w:tabs>
          <w:tab w:leader="none" w:pos="7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the right to direct the use of the asset. We possess this right when we hold the decision-making rights that are most relevant to changing how and for what purpose the asset is used. In rare cases where the decision about how and for what purpose the asset is used is predetermined, the Group has the right to direct the use of the asset if either:</w:t>
      </w:r>
    </w:p>
    <w:p>
      <w:pPr>
        <w:spacing w:after="0" w:line="68"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the right to operate the asset; or</w:t>
      </w:r>
    </w:p>
    <w:p>
      <w:pPr>
        <w:spacing w:after="0" w:line="92"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designed the asset in a way that predetermines how and for what purpose it will be used.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4" w:name="page265"/>
    <w:bookmarkEnd w:id="26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At inception or on reassessment of a contract that contains a lease component, the consideration in the contract is allocated to each lease component on the basis of their relative standalone prices. However, for leases of land and buildings in which we are a lessee, we have elected not to separate non-lease components, and instead account for the lease and non-lease components as a single lease component.</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recognize a right-of-use asset and a lease liability at the lease commencement date.</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right- of-use asset is initially measured at cost, which comprises the initial amount of the lease liability adjusted for any lease payments made at or before the commencement date, plus any initial direct costs incurred and an estimate of the costs to dismantle and remove the underlying asset or to restore the underlying asset or the site on which it is located, less any lease incentives received by the Group.</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right-of-use asset is subsequently depreciated using the straight-line method from the commencement date to the earlier of the end of the useful life of the right-of-use asset and the end of the lease term. The estimated useful lives of right-of-use assets are determined on the same basis as those of property, plant and equipment. In addition, the right-of-use asset is periodically reduced by impairment losses, if any, and adjusted for certain remeasurements of the lease liability.</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lease liability is initially measured at the present value of the lease payments that are not paid at the commencement date, discounted using the incremental borrowing interest rate implicit in the lease or, if that rate cannot be readily determined, the Group’s incremental borrowing rate. Generally, the incremental borrowing rate is used as the discount rate.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Lease payments included in the measurement of the lease liability comprise the following:</w:t>
      </w:r>
    </w:p>
    <w:p>
      <w:pPr>
        <w:spacing w:after="0" w:line="92" w:lineRule="exact"/>
        <w:rPr>
          <w:sz w:val="20"/>
          <w:szCs w:val="20"/>
          <w:color w:val="auto"/>
        </w:rPr>
      </w:pPr>
    </w:p>
    <w:p>
      <w:pPr>
        <w:ind w:left="720" w:hanging="282"/>
        <w:spacing w:after="0"/>
        <w:tabs>
          <w:tab w:leader="none" w:pos="7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payments, including in-substance fixed payments;</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payments that depend on an index or a rate, initially measured using the index or rate as of the commencement date;</w:t>
      </w:r>
    </w:p>
    <w:p>
      <w:pPr>
        <w:spacing w:after="0" w:line="92"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expected to be payable under a residual value guarantee; and</w:t>
      </w:r>
    </w:p>
    <w:p>
      <w:pPr>
        <w:spacing w:after="0" w:line="92" w:lineRule="exact"/>
        <w:rPr>
          <w:rFonts w:ascii="Times New Roman" w:cs="Times New Roman" w:eastAsia="Times New Roman" w:hAnsi="Times New Roman"/>
          <w:sz w:val="16"/>
          <w:szCs w:val="16"/>
          <w:color w:val="auto"/>
        </w:rPr>
      </w:pPr>
    </w:p>
    <w:p>
      <w:pPr>
        <w:jc w:val="both"/>
        <w:ind w:left="720" w:hanging="282"/>
        <w:spacing w:after="0" w:line="247" w:lineRule="auto"/>
        <w:tabs>
          <w:tab w:leader="none" w:pos="7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under a purchase option that is reasonably certain to be exercised, lease payments in an optional renewal period if it is reasonably certain that the extension option is exercised, and penalties for early termination of a lease unless it is reasonably certain that the contract will not be terminated early.</w:t>
      </w:r>
    </w:p>
    <w:p>
      <w:pPr>
        <w:spacing w:after="0" w:line="164"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4"/>
          <w:szCs w:val="14"/>
          <w:color w:val="auto"/>
        </w:rPr>
        <w:t>The lease liability is subsequently measured at amortized cost using the EIR method. It is remeasured when there is a change in future lease payments arising from a change in an index or rate, if there is a change in the estimate of the amount expected to be payable under a residual value guarantee, or if we change our assessment of whether we will exercise a purchase, extension or termination option. When the lease liability is remeasured, a corresponding adjustment is made to the carrying amount of the right-of-use asset or is recorded in the consolidated statements of profit or loss if the carrying amount of the right-of-use asset has been reduced to zero.</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Right-of-use assets are presented separately and lease liabilities are presented under “Financial liabilities” in the consolidated statements of financial position.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Depreciation is calculated on a straight-line basis over the estimated useful lives of the assets or shorter lease term,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Right-of-use assets</w:t>
            </w:r>
          </w:p>
        </w:tc>
        <w:tc>
          <w:tcPr>
            <w:tcW w:w="234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Useful life or shorter lease term</w:t>
            </w:r>
          </w:p>
        </w:tc>
        <w:tc>
          <w:tcPr>
            <w:tcW w:w="0" w:type="dxa"/>
            <w:vAlign w:val="bottom"/>
          </w:tcPr>
          <w:p>
            <w:pPr>
              <w:spacing w:after="0"/>
              <w:rPr>
                <w:sz w:val="1"/>
                <w:szCs w:val="1"/>
                <w:color w:val="auto"/>
              </w:rPr>
            </w:pPr>
          </w:p>
        </w:tc>
      </w:tr>
      <w:tr>
        <w:trPr>
          <w:trHeight w:val="121"/>
        </w:trPr>
        <w:tc>
          <w:tcPr>
            <w:tcW w:w="8240" w:type="dxa"/>
            <w:vAlign w:val="bottom"/>
            <w:tcBorders>
              <w:right w:val="single" w:sz="8" w:color="70AD47"/>
            </w:tcBorders>
            <w:vMerge w:val="continue"/>
          </w:tcPr>
          <w:p>
            <w:pPr>
              <w:spacing w:after="0"/>
              <w:rPr>
                <w:sz w:val="10"/>
                <w:szCs w:val="10"/>
                <w:color w:val="auto"/>
              </w:rPr>
            </w:pPr>
          </w:p>
        </w:tc>
        <w:tc>
          <w:tcPr>
            <w:tcW w:w="2340" w:type="dxa"/>
            <w:vAlign w:val="bottom"/>
            <w:tcBorders>
              <w:right w:val="single" w:sz="8" w:color="70AD47"/>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0" w:type="dxa"/>
            <w:vAlign w:val="bottom"/>
          </w:tcPr>
          <w:p>
            <w:pPr>
              <w:spacing w:after="0"/>
              <w:rPr>
                <w:sz w:val="1"/>
                <w:szCs w:val="1"/>
                <w:color w:val="auto"/>
              </w:rPr>
            </w:pPr>
          </w:p>
        </w:tc>
      </w:tr>
      <w:tr>
        <w:trPr>
          <w:trHeight w:val="85"/>
        </w:trPr>
        <w:tc>
          <w:tcPr>
            <w:tcW w:w="8240" w:type="dxa"/>
            <w:vAlign w:val="bottom"/>
            <w:tcBorders>
              <w:bottom w:val="single" w:sz="8" w:color="70AD47"/>
              <w:right w:val="single" w:sz="8" w:color="70AD47"/>
            </w:tcBorders>
          </w:tcPr>
          <w:p>
            <w:pPr>
              <w:spacing w:after="0"/>
              <w:rPr>
                <w:sz w:val="7"/>
                <w:szCs w:val="7"/>
                <w:color w:val="auto"/>
              </w:rPr>
            </w:pPr>
          </w:p>
        </w:tc>
        <w:tc>
          <w:tcPr>
            <w:tcW w:w="2340" w:type="dxa"/>
            <w:vAlign w:val="bottom"/>
            <w:tcBorders>
              <w:bottom w:val="single" w:sz="8" w:color="70AD47"/>
              <w:right w:val="single" w:sz="8" w:color="70AD4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82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34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6"/>
        </w:trPr>
        <w:tc>
          <w:tcPr>
            <w:tcW w:w="82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Equipment, tools and installations</w:t>
            </w:r>
          </w:p>
        </w:tc>
        <w:tc>
          <w:tcPr>
            <w:tcW w:w="234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82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Production facilities</w:t>
            </w:r>
          </w:p>
        </w:tc>
        <w:tc>
          <w:tcPr>
            <w:tcW w:w="234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Automobiles</w:t>
            </w:r>
          </w:p>
        </w:tc>
        <w:tc>
          <w:tcPr>
            <w:tcW w:w="234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5" w:name="page266"/>
    <w:bookmarkEnd w:id="26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Short-Term Leases and Leases of Low-Value Assets</w:t>
      </w:r>
    </w:p>
    <w:p>
      <w:pPr>
        <w:spacing w:after="0" w:line="94"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We have elected not to recognize right-of-use assets and lease liabilities for short-term leases of machinery that have a lease term of 12 months or less or leases of low-value assets. We recognize the lease payments associated with these leases as an expense in the consolidated statements of profit or loss on a straight-line basis over the lease term.</w:t>
      </w:r>
    </w:p>
    <w:p>
      <w:pPr>
        <w:spacing w:after="0" w:line="162"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2.3.17</w:t>
      </w:r>
      <w:r>
        <w:rPr>
          <w:sz w:val="20"/>
          <w:szCs w:val="20"/>
          <w:color w:val="auto"/>
        </w:rPr>
        <w:tab/>
      </w:r>
      <w:r>
        <w:rPr>
          <w:rFonts w:ascii="Times New Roman" w:cs="Times New Roman" w:eastAsia="Times New Roman" w:hAnsi="Times New Roman"/>
          <w:sz w:val="14"/>
          <w:szCs w:val="14"/>
          <w:b w:val="1"/>
          <w:bCs w:val="1"/>
          <w:color w:val="auto"/>
        </w:rPr>
        <w:t>Provisions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Provisions are recognized when there is a present obligation (legal or constructive) as a result of a past event, it is probable that an outflow of resources embodying economic benefits will be required to settle the obligation and a reliable estimate can be made of the amount of the obligation. When we expect some or all of a provision to be reimbursed, for example, under an insurance contract, the reimbursement is recognized as a separate asset, but only when the reimbursement is virtually certain.</w:t>
      </w:r>
    </w:p>
    <w:p>
      <w:pPr>
        <w:spacing w:after="0" w:line="167"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A provision is also recognized for certain contracts with suppliers for which the unavoidable costs of meeting the obligations exceed the economic benefits expected to be received. The economic benefits considered in the assessment comprise the future benefits we are directly entitled to under the contract as well as the anticipated future benefits that are the economic consequence of the contract if these benefits can be reliably determined.</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expense relating to a provision is presented in the consolidated statements of profit or loss net of any reimbursement.</w:t>
      </w:r>
    </w:p>
    <w:p>
      <w:pPr>
        <w:spacing w:after="0" w:line="186"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2.3.18</w:t>
      </w:r>
      <w:r>
        <w:rPr>
          <w:sz w:val="20"/>
          <w:szCs w:val="20"/>
          <w:color w:val="auto"/>
        </w:rPr>
        <w:tab/>
      </w:r>
      <w:r>
        <w:rPr>
          <w:rFonts w:ascii="Times New Roman" w:cs="Times New Roman" w:eastAsia="Times New Roman" w:hAnsi="Times New Roman"/>
          <w:sz w:val="14"/>
          <w:szCs w:val="14"/>
          <w:b w:val="1"/>
          <w:bCs w:val="1"/>
          <w:color w:val="auto"/>
        </w:rPr>
        <w:t>Share-Based Payments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Employees (and others providing similar services) receive remuneration in the form of share-based payments, which are settled in equity instruments (equity-settled transactions) or in cash (cash-settled transactions).</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accordance with IFRS 2, share- based payments are generally divided into cash-settled and equity-settled. Both types of payment transactions are measured initially at their fair value as of the grant date. The fair value is determined using an appropriate valuation model, further details of which are given in Note 16. Rights granted under cash -settled transactions are remeasured at fair value at the end of each reporting period until the settlement date. The cost of share-based payment awards is recognized over the relevant service period, applying either the straight-line method or the graded vesting method, where applicable.</w:t>
      </w:r>
    </w:p>
    <w:p>
      <w:pPr>
        <w:spacing w:after="0" w:line="16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These costs are recognized in cost of sales, research and development expenses, sales and marketing expenses or general and administrative expenses, together with a corresponding increase in equity (other reserves) or other liabilities, over the period in which the service is provided (the vesting period). The cumulative expense recognized for cash- and equity-settled transactions at each reporting date until the vesting date reflects the extent to which the vesting period has expired, and also reflects the best estimate of the number of equity instruments expected to ultimately vest.</w:t>
      </w:r>
    </w:p>
    <w:p>
      <w:pPr>
        <w:spacing w:after="0" w:line="167"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Service and non- market performance conditions are not taken into account when determining the grant date fair value of awards, but the likelihood of the conditions being met is assessed as part of our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69"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If we have a choice of settling either in cash or by providing equity instruments, the rights granted are accounted for as an equity-settled transaction, unless there is a present obligation to settle in cash.</w:t>
      </w:r>
    </w:p>
    <w:p>
      <w:pPr>
        <w:spacing w:after="0" w:line="155"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If, due to local tax regulations, an amount is withheld for the employee’s tax obligations and paid directly to the tax authorities in cash on the employee’s behalf, the entire share-based payment program remains an equity- settled plan based on the IFRS 2 classification. Accordingly, the amount withheld for the employee’s tax obligations expected to be paid directly to the tax authorities is reclassified from “Other reserves” to “Other non-financial liabilities”.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66" w:name="page267"/>
    <w:bookmarkEnd w:id="26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2.3.19</w:t>
      </w:r>
      <w:r>
        <w:rPr>
          <w:sz w:val="20"/>
          <w:szCs w:val="20"/>
          <w:color w:val="auto"/>
        </w:rPr>
        <w:tab/>
      </w:r>
      <w:r>
        <w:rPr>
          <w:rFonts w:ascii="Times New Roman" w:cs="Times New Roman" w:eastAsia="Times New Roman" w:hAnsi="Times New Roman"/>
          <w:sz w:val="14"/>
          <w:szCs w:val="14"/>
          <w:b w:val="1"/>
          <w:bCs w:val="1"/>
          <w:color w:val="auto"/>
        </w:rPr>
        <w:t>Cash Dividend</w:t>
      </w:r>
    </w:p>
    <w:p>
      <w:pPr>
        <w:spacing w:after="0" w:line="94"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We recognize a liability to pay a dividend when the distribution is authorized. As per the corporate laws of Germany, a distribution is authorized when it is approved by the general shareholder meeting. A corresponding amount is recognized directly in equity.</w:t>
      </w:r>
    </w:p>
    <w:p>
      <w:pPr>
        <w:spacing w:after="0" w:line="1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2.4</w:t>
      </w:r>
      <w:r>
        <w:rPr>
          <w:sz w:val="20"/>
          <w:szCs w:val="20"/>
          <w:color w:val="auto"/>
        </w:rPr>
        <w:tab/>
      </w:r>
      <w:r>
        <w:rPr>
          <w:rFonts w:ascii="Times New Roman" w:cs="Times New Roman" w:eastAsia="Times New Roman" w:hAnsi="Times New Roman"/>
          <w:sz w:val="14"/>
          <w:szCs w:val="14"/>
          <w:b w:val="1"/>
          <w:bCs w:val="1"/>
          <w:color w:val="auto"/>
        </w:rPr>
        <w:t>Standards Applied for the First Time</w:t>
      </w:r>
    </w:p>
    <w:p>
      <w:pPr>
        <w:spacing w:after="0" w:line="8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In 2023, the following potentially relevant new and amended standards and interpretations became effective, but did not have a material impact on our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Standards / Interpretations</w:t>
            </w:r>
          </w:p>
        </w:tc>
        <w:tc>
          <w:tcPr>
            <w:tcW w:w="218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 application</w:t>
            </w:r>
          </w:p>
        </w:tc>
      </w:tr>
      <w:tr>
        <w:trPr>
          <w:trHeight w:val="206"/>
        </w:trPr>
        <w:tc>
          <w:tcPr>
            <w:tcW w:w="840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IFRS 17 Insurance Contracts</w:t>
            </w:r>
          </w:p>
        </w:tc>
        <w:tc>
          <w:tcPr>
            <w:tcW w:w="218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r>
        <w:trPr>
          <w:trHeight w:val="216"/>
        </w:trPr>
        <w:tc>
          <w:tcPr>
            <w:tcW w:w="840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Amendments to IFRS 17 Insurance contracts: Initial Application of IFRS 17 and IFRS 9 – Comparative Information</w:t>
            </w:r>
          </w:p>
        </w:tc>
        <w:tc>
          <w:tcPr>
            <w:tcW w:w="218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r>
        <w:trPr>
          <w:trHeight w:val="216"/>
        </w:trPr>
        <w:tc>
          <w:tcPr>
            <w:tcW w:w="840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Amendments to IAS 1 and IFRS Practice Statement 2: Disclosure of Accounting Policies</w:t>
            </w:r>
          </w:p>
        </w:tc>
        <w:tc>
          <w:tcPr>
            <w:tcW w:w="218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r>
        <w:trPr>
          <w:trHeight w:val="216"/>
        </w:trPr>
        <w:tc>
          <w:tcPr>
            <w:tcW w:w="840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Amendments to IAS 8 Accounting policies, Changes in Accounting Estimates and Errors: Definition of Accounting Estimates</w:t>
            </w:r>
          </w:p>
        </w:tc>
        <w:tc>
          <w:tcPr>
            <w:tcW w:w="218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Amendments to IAS 12</w:t>
            </w:r>
          </w:p>
        </w:tc>
        <w:tc>
          <w:tcPr>
            <w:tcW w:w="6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Income Taxes: Deferred Tax related to Assets and Liabilities arising from a Single Transaction</w:t>
            </w:r>
          </w:p>
        </w:tc>
        <w:tc>
          <w:tcPr>
            <w:tcW w:w="218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r>
        <w:trPr>
          <w:trHeight w:val="217"/>
        </w:trPr>
        <w:tc>
          <w:tcPr>
            <w:tcW w:w="15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w w:val="97"/>
              </w:rPr>
              <w:t>Amendments to IAS 12</w:t>
            </w:r>
          </w:p>
        </w:tc>
        <w:tc>
          <w:tcPr>
            <w:tcW w:w="6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Income taxes: International Tax Reform – Pillar Two Model Rules</w:t>
            </w:r>
          </w:p>
        </w:tc>
        <w:tc>
          <w:tcPr>
            <w:tcW w:w="218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2023</w:t>
            </w:r>
          </w:p>
        </w:tc>
      </w:tr>
    </w:tbl>
    <w:p>
      <w:pPr>
        <w:spacing w:after="0" w:line="24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4"/>
          <w:szCs w:val="14"/>
          <w:b w:val="1"/>
          <w:bCs w:val="1"/>
          <w:color w:val="auto"/>
        </w:rPr>
        <w:t>Standards Issued but Not Yet Effective</w:t>
      </w:r>
    </w:p>
    <w:p>
      <w:pPr>
        <w:spacing w:after="0" w:line="8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new and amended standards and interpretations that are issued but not yet effective by the date of issuance of the financial statements and that might have an impact on our financial statements are disclosed below. We have not adopted any standards early and intend to adopt these new and amended standards and interpretations, if applicable, when they become effective.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Standards / Interpretations</w:t>
            </w:r>
          </w:p>
        </w:tc>
        <w:tc>
          <w:tcPr>
            <w:tcW w:w="22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of application</w:t>
            </w:r>
          </w:p>
        </w:tc>
      </w:tr>
      <w:tr>
        <w:trPr>
          <w:trHeight w:val="206"/>
        </w:trPr>
        <w:tc>
          <w:tcPr>
            <w:tcW w:w="8360" w:type="dxa"/>
            <w:vAlign w:val="bottom"/>
            <w:tcBorders>
              <w:right w:val="single" w:sz="8" w:color="92D050"/>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Amendments to IFRS 16 Leases: Lease Liability in a Sale and Leaseback</w:t>
            </w:r>
          </w:p>
        </w:tc>
        <w:tc>
          <w:tcPr>
            <w:tcW w:w="22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216"/>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Amendments to IAS 7</w:t>
            </w:r>
          </w:p>
        </w:tc>
        <w:tc>
          <w:tcPr>
            <w:tcW w:w="6920" w:type="dxa"/>
            <w:vAlign w:val="bottom"/>
            <w:tcBorders>
              <w:right w:val="single" w:sz="8" w:color="92D050"/>
            </w:tcBorders>
          </w:tcPr>
          <w:p>
            <w:pPr>
              <w:ind w:left="20"/>
              <w:spacing w:after="0"/>
              <w:rPr>
                <w:sz w:val="20"/>
                <w:szCs w:val="20"/>
                <w:color w:val="auto"/>
              </w:rPr>
            </w:pPr>
            <w:r>
              <w:rPr>
                <w:rFonts w:ascii="Times New Roman" w:cs="Times New Roman" w:eastAsia="Times New Roman" w:hAnsi="Times New Roman"/>
                <w:sz w:val="16"/>
                <w:szCs w:val="16"/>
                <w:color w:val="auto"/>
              </w:rPr>
              <w:t>Statement of Cash Flows and IFRS 7 Financial Instruments: Disclosures: Supplier Finance Arrangements</w:t>
            </w:r>
          </w:p>
        </w:tc>
        <w:tc>
          <w:tcPr>
            <w:tcW w:w="22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216"/>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Amendments to IAS 1</w:t>
            </w:r>
          </w:p>
        </w:tc>
        <w:tc>
          <w:tcPr>
            <w:tcW w:w="6920" w:type="dxa"/>
            <w:vAlign w:val="bottom"/>
            <w:tcBorders>
              <w:right w:val="single" w:sz="8" w:color="92D050"/>
            </w:tcBorders>
          </w:tcPr>
          <w:p>
            <w:pPr>
              <w:ind w:left="20"/>
              <w:spacing w:after="0"/>
              <w:rPr>
                <w:sz w:val="20"/>
                <w:szCs w:val="20"/>
                <w:color w:val="auto"/>
              </w:rPr>
            </w:pPr>
            <w:r>
              <w:rPr>
                <w:rFonts w:ascii="Times New Roman" w:cs="Times New Roman" w:eastAsia="Times New Roman" w:hAnsi="Times New Roman"/>
                <w:sz w:val="16"/>
                <w:szCs w:val="16"/>
                <w:color w:val="auto"/>
              </w:rPr>
              <w:t>Presentation of Financial Statements: Classification of Liabilities as Current or Non-Current</w:t>
            </w:r>
          </w:p>
        </w:tc>
        <w:tc>
          <w:tcPr>
            <w:tcW w:w="22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216"/>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Amendments to IAS 1</w:t>
            </w:r>
          </w:p>
        </w:tc>
        <w:tc>
          <w:tcPr>
            <w:tcW w:w="6920" w:type="dxa"/>
            <w:vAlign w:val="bottom"/>
            <w:tcBorders>
              <w:right w:val="single" w:sz="8" w:color="92D050"/>
            </w:tcBorders>
          </w:tcPr>
          <w:p>
            <w:pPr>
              <w:ind w:left="20"/>
              <w:spacing w:after="0"/>
              <w:rPr>
                <w:sz w:val="20"/>
                <w:szCs w:val="20"/>
                <w:color w:val="auto"/>
              </w:rPr>
            </w:pPr>
            <w:r>
              <w:rPr>
                <w:rFonts w:ascii="Times New Roman" w:cs="Times New Roman" w:eastAsia="Times New Roman" w:hAnsi="Times New Roman"/>
                <w:sz w:val="16"/>
                <w:szCs w:val="16"/>
                <w:color w:val="auto"/>
              </w:rPr>
              <w:t>Presentation of Financial Statements: Non-current Liabilities with Covenants</w:t>
            </w:r>
          </w:p>
        </w:tc>
        <w:tc>
          <w:tcPr>
            <w:tcW w:w="22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2024</w:t>
            </w:r>
          </w:p>
        </w:tc>
      </w:tr>
      <w:tr>
        <w:trPr>
          <w:trHeight w:val="217"/>
        </w:trPr>
        <w:tc>
          <w:tcPr>
            <w:tcW w:w="8360" w:type="dxa"/>
            <w:vAlign w:val="bottom"/>
            <w:tcBorders>
              <w:bottom w:val="single" w:sz="8" w:color="70AD47"/>
              <w:right w:val="single" w:sz="8" w:color="92D050"/>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Amendments to IAS 21 The Effects of Changes in Foreign Exchange Rates: Lack of Exchangeability</w:t>
            </w:r>
          </w:p>
        </w:tc>
        <w:tc>
          <w:tcPr>
            <w:tcW w:w="22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January 1, 2025</w:t>
            </w:r>
          </w:p>
        </w:tc>
      </w:tr>
    </w:tbl>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do not expect a significant impact from the application of any of these standards and amendments.</w:t>
      </w:r>
    </w:p>
    <w:p>
      <w:pPr>
        <w:spacing w:after="0" w:line="186" w:lineRule="exact"/>
        <w:rPr>
          <w:sz w:val="20"/>
          <w:szCs w:val="20"/>
          <w:color w:val="auto"/>
        </w:rPr>
      </w:pPr>
    </w:p>
    <w:p>
      <w:pPr>
        <w:ind w:left="240" w:hanging="234"/>
        <w:spacing w:after="0"/>
        <w:tabs>
          <w:tab w:leader="none" w:pos="240"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Judgements, Estimates and Assumptions</w:t>
      </w:r>
    </w:p>
    <w:p>
      <w:pPr>
        <w:spacing w:after="0" w:line="8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preparation of the consolidated financial statements requires management to make judgments, estimates and assumptions that affect the reported amounts of revenues, expenses, assets and liabilities, the 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Significant accounting judgments, as well as key assumptions concerning the future and other key sources of estimation uncertainty at the reporting date that have a significant risk of causing a material adjustment to the carrying amounts of assets and liabilities within the next financial year, are described below. We based our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7" w:name="page268"/>
    <w:bookmarkEnd w:id="26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Revenues from Contracts with Customers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applied the following judgments, estimates and assumptions that significantly affect the determination of the amount and timing of revenues from contracts with customers: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Identification and Determination of Performance Obligations</w:t>
      </w:r>
    </w:p>
    <w:p>
      <w:pPr>
        <w:spacing w:after="0" w:line="94" w:lineRule="exact"/>
        <w:rPr>
          <w:sz w:val="20"/>
          <w:szCs w:val="20"/>
          <w:color w:val="auto"/>
        </w:rPr>
      </w:pPr>
    </w:p>
    <w:p>
      <w:pPr>
        <w:jc w:val="both"/>
        <w:ind w:right="20" w:firstLine="384"/>
        <w:spacing w:after="0" w:line="238" w:lineRule="auto"/>
        <w:rPr>
          <w:sz w:val="20"/>
          <w:szCs w:val="20"/>
          <w:color w:val="auto"/>
        </w:rPr>
      </w:pPr>
      <w:r>
        <w:rPr>
          <w:rFonts w:ascii="Times New Roman" w:cs="Times New Roman" w:eastAsia="Times New Roman" w:hAnsi="Times New Roman"/>
          <w:sz w:val="16"/>
          <w:szCs w:val="16"/>
          <w:color w:val="auto"/>
        </w:rPr>
        <w:t>We generate revenues from collaboration and license agreements, which contain multiple elements, including licenses to use, research, develop, manufacture and commercialize candidates and products, research and development services as well as obligations to develop and manufacture preclinical and clinical material and products. We determined that those collaboration and license agreements qualify as contracts with customers. A contract is an agreement between two or more parties that establishes enforceable rights and obligations. At inception of each agreement, we apply judgment when determining which promises represent distinct performance obligations. If promises are not distinct, they are combined until the bundle of promised goods and services is distinct. For some agreements, this results in accounting for goods and services promised in a collaboration and license agreement as a single performance obligation with a single measure of progress. For these combined performance obligations, we assess which of these promises is the predominant promise to determine the nature of the performance obligation. When licenses are granted, we determined that the grant of the license is the predominant promise within the combined performance obligations. In our view, we grant our customers a right to access or a right to use our intellectual property due to the collaboration and license agreements.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Measurement of the Transaction Price</w:t>
      </w:r>
    </w:p>
    <w:p>
      <w:pPr>
        <w:spacing w:after="0" w:line="92"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Our collaboration and license agreements often include variable consideration, which is contingent on the occurrence or non-occurrence of a future event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reaching a certain milestone). When determining deferred revenues from a collaboration and license agreement, we need to estimate the amount of consideration to which we will be entitled in exchange for transferring the promised goods or services to our customers.</w:t>
      </w:r>
    </w:p>
    <w:p>
      <w:pPr>
        <w:spacing w:after="0" w:line="162" w:lineRule="exact"/>
        <w:rPr>
          <w:sz w:val="20"/>
          <w:szCs w:val="20"/>
          <w:color w:val="auto"/>
        </w:rPr>
      </w:pPr>
    </w:p>
    <w:p>
      <w:pPr>
        <w:jc w:val="both"/>
        <w:ind w:firstLine="384"/>
        <w:spacing w:after="0"/>
        <w:rPr>
          <w:sz w:val="20"/>
          <w:szCs w:val="20"/>
          <w:color w:val="auto"/>
        </w:rPr>
      </w:pPr>
      <w:r>
        <w:rPr>
          <w:rFonts w:ascii="Times New Roman" w:cs="Times New Roman" w:eastAsia="Times New Roman" w:hAnsi="Times New Roman"/>
          <w:sz w:val="16"/>
          <w:szCs w:val="16"/>
          <w:color w:val="auto"/>
        </w:rPr>
        <w:t>As there are usually only two possible outcomes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milestone is reached or not), we have assessed that the method of the most likely amount is the best method to predict the amount of consideration to which we will be entitled. At contract inception, the most likely amount for milestone payments is estimated to be zero. We have assessed that the likelihood of achieving the respective milestone decreases depending on how far the expected date of achieving the milestone lies in the future. At each reporting date, we use judgment to determine when to include variable consideration in the transaction price in such a way that it is highly probable that a significant revenue reversal in the amount of cumulative revenue recognized will not occur when the associated uncertainty with respect to the variable consideration is subsequently resolved. We have concluded that future milestone payments are fully constrained at the end of the current financial year.</w:t>
      </w:r>
    </w:p>
    <w:p>
      <w:pPr>
        <w:spacing w:after="0" w:line="17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Future milestone payments would become unconstrained upon the satisfaction of the milestone event, specifically a development event, regulatory approval or achievement of a sales milestone.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Allocation of the Transaction Price to Performance Obligations and Revenue Recognition as Performance Obligations are Satisfied</w:t>
      </w:r>
    </w:p>
    <w:p>
      <w:pPr>
        <w:spacing w:after="0" w:line="190"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We allocate the transaction price to performance obligations based on their relative standalone selling prices, which are generally based on our best estimates and interpretations of facts and circumstances of each contractual agreement and may require significant judgment to determine appropriate allocation.</w:t>
      </w:r>
    </w:p>
    <w:p>
      <w:pPr>
        <w:spacing w:after="0" w:line="155"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Upfront payments and reimbursement for expenses are initially deferred on our consolidated statements of financial position. We assessed that no significant financing component exists within our collaboration agreements since the overall business purpose of advanced payments is to support the payment structure rather than to provide a significant benefit of financing. For performance obligations in which the costs vary based on progress, an input-based measure that takes into account cost incurred is the most reliable indicator of the progress of the related research activities. In other cases, revenue recognition on a straight-line basis may be the most reliable indicator of our performance toward complete satisfaction. If the contractual activities progress, the achievement of development milestones will be used to measure the progress toward complete satisfaction. We evaluate the measure of progress in each reporting period and, if necessary, adjust the measure of performance and related revenue recognition. Any such adjustments are recorded on a cumulative catch-up basis, which would affect revenues and net profit or loss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8" w:name="page269"/>
    <w:bookmarkEnd w:id="26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 xml:space="preserve">Upon successfully commercializing a pharmaceutical product, the collaboration and license agreements also provide for additional profit-sharing or tiered royalties earned when customers recognize net sales of licensed products as well as sales milestone payments. Revenue is recognized based on the sales-based or usage-based royalty exemption;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when, or as, the underlying sales occur, which is when the performance obligation has been satisfied.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Principal-Agent Considerations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Collaboration agreements that involve two or more partners who contribute to the provision of a specific good or service to a customer are assessed in terms of principal-agent considerations. Under our current collaboration agreements, the allocation of marketing and distribution rights defines territories in which the collaboration partner acts as a principal in each case. We recognize revenue net based on the collaboration partners’ gross profit in territories where the partner is responsible for supply, and on a gross basis when directly supplying our customers in our territories when control has been transferred. Amounts paid to collaboration partners for their share of our profits earned where we are the principal in the transaction are recorded as cost of sales.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Pfizer Agreement Characteristics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With respect to our collaboration with Pfizer, commercial revenues are recognized based on our collaboration partner’s gross profit from COVID-19 vaccine sales, which is shared under the respective collaboration agreement. In determining commercial revenues pursuant to this collaboration agreement, we are reliant on our collaboration partner for details regarding its gross profit for the period at hand. Some of the information which our collaboration partner provides us with to identify the gross profit is, by necessity, preliminary and subject to change.</w:t>
      </w:r>
    </w:p>
    <w:p>
      <w:pPr>
        <w:spacing w:after="0" w:line="167"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Pfizer’s gross profit share is calculated based on sales and takes into account transfer prices. The latter include manufacturing and shipping costs, which represent standard prices and include mark -ups on manufacturing costs as specified by the terms of the agreement. Manufacturing and shipping cost variances were considered as far as those have been identified. Nevertheless, those input parameters may be adjusted once actual costs are determined. The sales as reported by Pfizer have been used to estimate license obligations in terms of royalties and sales milestones. Sales milestones and royalties are recognized as they are earned by the partners. Sales milestones are shared equally, while royalty payments are borne by the partners on the basis of revenues in the territories for which the partners are responsible and subsequently deducted as cost under the gross profit shared. The estimated royalty fees applied to net sales reflect the license obligations to the extent currently identified from third-party contractual arrangements. Changes in estimates are accounted for prospectively, when determined.</w:t>
      </w:r>
    </w:p>
    <w:p>
      <w:pPr>
        <w:spacing w:after="0" w:line="170"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Manufacturing cost variances include expenses from unused contract manufacturing capacities and overstock inventories finally scrapped. As only materialized costs – which means manufacturing capacities finally lapsed or inventories finally scrapped – are shared with the partner in a cash-effective manner, the gross profit share impact is anticipated once assessed as being highly probable to occur. Therefore, information on Pfizer’s write-downs of inventories is considered. Any changes to this assessment will be recognized prospectively.</w:t>
      </w:r>
    </w:p>
    <w:p>
      <w:pPr>
        <w:spacing w:after="0" w:line="16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Pfizer’s determination of manufacturing and shipping costs also affects the transfer prices that have been charged to COVID-19 vaccine supplies that it manufactures and supplies to us and may be subject to adjustment whenever manufacturing and shipping cost variances are identified. Likewise, our own cost of sales and the respective gross profit share owed to our partner may be adjusted prospectively, when changes are determined.</w:t>
      </w:r>
    </w:p>
    <w:p>
      <w:pPr>
        <w:spacing w:after="0" w:line="164" w:lineRule="exact"/>
        <w:rPr>
          <w:sz w:val="20"/>
          <w:szCs w:val="20"/>
          <w:color w:val="auto"/>
        </w:rPr>
      </w:pPr>
    </w:p>
    <w:p>
      <w:pPr>
        <w:ind w:right="220" w:firstLine="384"/>
        <w:spacing w:after="0" w:line="259" w:lineRule="auto"/>
        <w:rPr>
          <w:sz w:val="20"/>
          <w:szCs w:val="20"/>
          <w:color w:val="auto"/>
        </w:rPr>
      </w:pPr>
      <w:r>
        <w:rPr>
          <w:rFonts w:ascii="Times New Roman" w:cs="Times New Roman" w:eastAsia="Times New Roman" w:hAnsi="Times New Roman"/>
          <w:sz w:val="16"/>
          <w:szCs w:val="16"/>
          <w:color w:val="auto"/>
        </w:rPr>
        <w:t>For contract balances related to the Pfizer agreement, see Note 6. Judgment is required in determining whether a right to consideration is unconditional and thus qualifies as a receivable.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Provisions and Contingencies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are currently confronted with a number of claims and legal proceedings. They include claims from third parties demanding indemnification for alleged infringement of a third-party patent or other intellectual proprietary rights, as well as product liability claims. In respect of these matters, we assess whether provisions must be recorded and whether contingencies must be reported.</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Due to uncertainties relating to these matters, provisions and contingencies are based on the best information available.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9" w:name="page270"/>
    <w:bookmarkEnd w:id="26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Significant judgment is required in the determination of whether and when a provision is to be recorded and what the appropriate amount for such provision should be. Notably, judgment is required in the following areas:</w:t>
      </w:r>
    </w:p>
    <w:p>
      <w:pPr>
        <w:spacing w:after="0" w:line="59" w:lineRule="exact"/>
        <w:rPr>
          <w:sz w:val="20"/>
          <w:szCs w:val="20"/>
          <w:color w:val="auto"/>
        </w:rPr>
      </w:pPr>
    </w:p>
    <w:p>
      <w:pPr>
        <w:ind w:left="580" w:hanging="286"/>
        <w:spacing w:after="0"/>
        <w:tabs>
          <w:tab w:leader="none" w:pos="5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whether an obligation exists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probability of an outflow of economic benefits</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whether the amount of an obligation is reliably estimable</w:t>
      </w:r>
    </w:p>
    <w:p>
      <w:pPr>
        <w:spacing w:after="0" w:line="92"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Estimating the amount of the expenditure required to settle the present obligation</w:t>
      </w:r>
    </w:p>
    <w:p>
      <w:pPr>
        <w:spacing w:after="0" w:line="18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At the end of each reporting period, we reassess the potential obligations related to our pending claims and litigation and adjust our respective provisions and contingencies to reflect the current best estimate. In addition, we monitor and evaluate new information that we receive after the end of the respective reporting period, but before the consolidated financial statements are authorized for issue, in order to determine whether this provides additional information regarding conditions that existed at the end of the reporting period. Changes to estimates, assumptions and outcomes compared to previous estimates and assumptions could require material adjustments to the carrying amounts of the respective provisions recorded and additional provisions.</w:t>
      </w:r>
    </w:p>
    <w:p>
      <w:pPr>
        <w:spacing w:after="0" w:line="16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expected timing or amounts of any outflows of economic benefits resulting from these lawsuits and claims are uncertain and difficult to estimate or even not estimable, as they generally depend on the duration of the legal proceedings and settlement negotiations required to resolve the litigation and claims and the unpredictability of the outcomes of legal disputes in several jurisdictions.</w:t>
      </w:r>
    </w:p>
    <w:p>
      <w:pPr>
        <w:spacing w:after="0" w:line="16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Disclosures in respect of third-party claims and litigation for which no provisions have been recognized are made in the form of contingent liabilities, unless a potential outflow of resources is considered remote. It is not practicable to estimate the financial impact of contingent liabilities due to the uncertainties around lawsuits and claims as outlined above.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further disclosures and carrying amounts relating to provisions as well as contingencies, see Note17 and Note 18.</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96"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The nature of our business and primary focus of our activities, including development of our platforms and manufacturing technologies, generate a significant amount of research and development expenses. Research costs are expensed as incurred. Development expenditures on an individual project are recognized as an intangible asset if, and only if, the capitalization criteria are met. Based on our assessment, we have concluded that, due to the inherent risk of failure in pharmaceutical development and the uncertainty of approval, these criteria are usually not met before regulatory approval is achieved. The related expenditure is reflected in the consolidated statements of profit or loss in the period in which the expenditure is incurred. We have entered into agreements under which third parties grant licenses to us, which are known as in-license agreements. If in-licensing results in consideration for the acquisition of intellectual property that meets the definition of an identifiable asset, this is capitalized as an intangible asset. If the transaction also includes research and development services to be provided by the licensor, the share of consideration attributable to these services is recognized in research and development expenses in line with the performance of the services. The allocation of consideration attributable to the acquisition of intellectual property and consideration attributable to the research and development services provided by the licensor requires management to make judgements and assumptions. These judgments and assumptions can materially affect our research and development expenses.</w:t>
      </w:r>
    </w:p>
    <w:p>
      <w:pPr>
        <w:spacing w:after="0" w:line="3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96"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our accounting for business combinations, judgment is required in determining whether an intangible asset is identifiable and whether it should be recorded separately from goodwill. Additionally, estimating the acquisition- date fair values in conjunction with purchase price allocation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profit.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96"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Significant assumptions and estimates are required to determine the appropriate amount of amortization of intangible assets. They relate in particular to the determination of the underlying useful life. The useful life of an intangible asset is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0" w:name="page271"/>
    <w:bookmarkEnd w:id="27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our estimates regarding the period over which the intangible asset is expected to generate economic benefits for us.</w:t>
      </w:r>
    </w:p>
    <w:p>
      <w:pPr>
        <w:spacing w:after="0" w:line="18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Significant assumptions and estimates are also required for the identification of a potential need to recognize an impairment loss. These estimates include management’s assumptions regarding future cash flow projections and economic risks that require significant judgment and assumptions about future developments. They can be affected by a variety of factors, including, but not limited to, changes in business strategy, internal forecasts and the estimation of weighted average cost of capital.</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Changes to the assumptions underlying our assessment of the impairment of goodwill and intangible assets could require material adjustments to the carrying amount of our recognized goodwill and intangible assets, as well as to the amounts of impairment charges recognized in profit or loss.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Share-Based Payments</w:t>
      </w:r>
    </w:p>
    <w:p>
      <w:pPr>
        <w:spacing w:after="0" w:line="96" w:lineRule="exact"/>
        <w:rPr>
          <w:sz w:val="20"/>
          <w:szCs w:val="20"/>
          <w:color w:val="auto"/>
        </w:rPr>
      </w:pPr>
    </w:p>
    <w:p>
      <w:pPr>
        <w:jc w:val="both"/>
        <w:ind w:right="20" w:firstLine="384"/>
        <w:spacing w:after="0" w:line="280" w:lineRule="auto"/>
        <w:rPr>
          <w:sz w:val="20"/>
          <w:szCs w:val="20"/>
          <w:color w:val="auto"/>
        </w:rPr>
      </w:pPr>
      <w:r>
        <w:rPr>
          <w:rFonts w:ascii="Times New Roman" w:cs="Times New Roman" w:eastAsia="Times New Roman" w:hAnsi="Times New Roman"/>
          <w:sz w:val="14"/>
          <w:szCs w:val="14"/>
          <w:color w:val="auto"/>
        </w:rPr>
        <w:t>Determining the fair value of share -based payment transactions requires the most appropriate valuation for the specific program, which depends on the underlying terms and conditions. We used valuation models such as a binomial or Monte Carlo simulation model for the measurement of the cash- and equity -settled transactions’ fair value, taking into account certain assumptions relating to a number of factors, including the volatility of the stock price, the determination of an appropriate risk-free interest rate, expected dividends and the probability of reaching a minimum hurdle to exercise the relevant options. For awards which were granted prior to the initial public offering, at a time where no quoted market prices existed, the valuation model assumptions included the option’s underlying share price. For awards which were granted after the initial public offering, the grant date’s share prices on the Nasdaq Global Select Market were included in the valuation.</w:t>
      </w:r>
    </w:p>
    <w:p>
      <w:pPr>
        <w:spacing w:after="0" w:line="14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 fluctuation assumption is applied when estimating the number of equity instruments for which service conditions are expected to be satisfied and will be revised if material differences arise. Ultimately, a true-up to the number satisfied by the settlement date will be recorded.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further disclosures relating to share-based payments, see Note 16.</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96"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We are subject to income taxes in more than one tax jurisdiction. Due to the increasing complexity of tax laws and the corresponding uncertainty regarding the legal interpretation by the fiscal authorities, tax calculations are generally subject to an elevated amount of uncertainty. To the extent necessary, possible tax risks are taken into account in the form of provisions.</w:t>
      </w:r>
    </w:p>
    <w:p>
      <w:pPr>
        <w:spacing w:after="0" w:line="164"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4"/>
          <w:szCs w:val="14"/>
          <w:color w:val="auto"/>
        </w:rPr>
        <w:t>We do not recognize or we would impair deferred tax assets if it is unlikely that a corresponding amount of future taxable profit will be available against which the deductible temporary differences, tax loss carry forwards and tax credits can be utilized. The assessment whether a deferred tax asset can be recognized or is impaired requires significant judgment, as we need to estimate future taxable profits to determine whether the utilization of the deferred tax asset is probable. In evaluating our ability to utilize our deferred tax assets, we consider all available positive and negative evidence, including the level of historical taxable income and projections for future taxable income over the periods in which the deferred tax assets are recoverable. Based on the requirements in IAS 12, to not place reliance on future events that are uncertain as they for example cannot be controlled, managements assessment takes particular into account the fact that there is an inherent risk of failure in pharmaceutical development and an uncertainty of approval which is dependent on external regulatory agencies’ opinions. This also includes management’s assessment on the character and amounts of taxable future profits, the periods in which those profits are expected to occur, and the availability of tax planning opportunities.</w:t>
      </w:r>
    </w:p>
    <w:p>
      <w:pPr>
        <w:spacing w:after="0" w:line="14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management continued to take the view that deferred tax assets on tax losses carried forward that relate to subsidiaries which have a loss-making history cannot be recognized. This includes the assessment that those subsidiaries have neither any taxable temporary differences nor any tax planning opportunities available that could support the recognition of deferred tax assets.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further disclosures relating to deferred taxes, see Note 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1" w:name="page272"/>
    <w:bookmarkEnd w:id="27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hanging="234"/>
        <w:spacing w:after="0"/>
        <w:tabs>
          <w:tab w:leader="none" w:pos="240"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Group Information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Information about Subsidiaries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consolidated financial statements include the following subsidiaries: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2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 equity interest</w:t>
            </w:r>
          </w:p>
        </w:tc>
        <w:tc>
          <w:tcPr>
            <w:tcW w:w="220" w:type="dxa"/>
            <w:vAlign w:val="bottom"/>
          </w:tcPr>
          <w:p>
            <w:pPr>
              <w:spacing w:after="0"/>
              <w:rPr>
                <w:sz w:val="16"/>
                <w:szCs w:val="16"/>
                <w:color w:val="auto"/>
              </w:rPr>
            </w:pPr>
          </w:p>
        </w:tc>
      </w:tr>
      <w:tr>
        <w:trPr>
          <w:trHeight w:val="204"/>
        </w:trPr>
        <w:tc>
          <w:tcPr>
            <w:tcW w:w="4140" w:type="dxa"/>
            <w:vAlign w:val="bottom"/>
            <w:tcBorders>
              <w:bottom w:val="single" w:sz="8" w:color="70AD47"/>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Borders>
              <w:bottom w:val="single" w:sz="8" w:color="70AD47"/>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920" w:type="dxa"/>
            <w:vAlign w:val="bottom"/>
            <w:tcBorders>
              <w:bottom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142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Borders>
              <w:bottom w:val="single" w:sz="8" w:color="70AD47"/>
              <w:right w:val="single" w:sz="8" w:color="70AD47"/>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BioNTainer Holding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Cell &amp; Gene Therapies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Delivery Technologies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Halle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Diagnostics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Europe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Idar-Oberstein Services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Idar-Oberstein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Individualized mRNA Manufacturing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Innovation and Services Marburg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Marburg</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Innovation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Innovative Manufacturing Services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Idar-Oberstein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Manufacturing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Manufacturing Marburg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Marburg</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Real Estate Holding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Holzkirchen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Real Estate Verwaltungs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Holzkirchen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DE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Berlin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(2)</w:t>
            </w: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JPT Peptide Technologies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Berlin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NT Security and Services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reSano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Mainz</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Australia Pty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Australia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Melbourne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R&amp;D (Austria)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Austria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Vienna</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(Shanghai) Pharmaceuticals Co.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China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Shanghai</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France SAS</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France</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Paris</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9"/>
                <w:szCs w:val="9"/>
                <w:color w:val="auto"/>
              </w:rPr>
              <w:t>(2)</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Biopharma BioNTech Israel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Israel</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Tel Aviv</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9"/>
                <w:szCs w:val="9"/>
                <w:color w:val="auto"/>
              </w:rPr>
              <w:t>(1)</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Technologies Re</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Luxembourg</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Luxembourg</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(1)</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Nigeria Limited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Nigeria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Lagos</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(2)</w:t>
            </w: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Rwanda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Rwanda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Kigali</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Sénégal Suarl</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Senegal</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Dakar</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(1)</w:t>
            </w: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Pharmaceuticals Asia Pacific Pte.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Singapore</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Pharmaceuticals Spain S.L</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Spain</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Barcelona</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9"/>
                <w:szCs w:val="9"/>
                <w:color w:val="auto"/>
              </w:rPr>
              <w:t>(1)</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Switzerland GmbH</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Switzerland</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Basel</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9"/>
                <w:szCs w:val="9"/>
                <w:color w:val="auto"/>
              </w:rPr>
              <w:t>(1)</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Taiwan Co.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Taiwan</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Taipei</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(1)</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Tunisia SARL</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Tunisia</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Tunis</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(2)</w:t>
            </w:r>
          </w:p>
        </w:tc>
      </w:tr>
      <w:tr>
        <w:trPr>
          <w:trHeight w:val="156"/>
        </w:trPr>
        <w:tc>
          <w:tcPr>
            <w:tcW w:w="41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BioNTech Turkey Tıbbi Ürünler Ve Klinik Araştirma Ticaret Anonim</w:t>
            </w:r>
          </w:p>
        </w:tc>
        <w:tc>
          <w:tcPr>
            <w:tcW w:w="168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Türkiye</w:t>
            </w:r>
          </w:p>
        </w:tc>
        <w:tc>
          <w:tcPr>
            <w:tcW w:w="1920" w:type="dxa"/>
            <w:vAlign w:val="bottom"/>
            <w:tcBorders>
              <w:right w:val="single" w:sz="8" w:color="70AD47"/>
            </w:tcBorders>
          </w:tcPr>
          <w:p>
            <w:pPr>
              <w:ind w:left="40"/>
              <w:spacing w:after="0" w:line="156" w:lineRule="exact"/>
              <w:rPr>
                <w:sz w:val="20"/>
                <w:szCs w:val="20"/>
                <w:color w:val="auto"/>
              </w:rPr>
            </w:pPr>
            <w:r>
              <w:rPr>
                <w:rFonts w:ascii="Times New Roman" w:cs="Times New Roman" w:eastAsia="Times New Roman" w:hAnsi="Times New Roman"/>
                <w:sz w:val="14"/>
                <w:szCs w:val="14"/>
                <w:color w:val="auto"/>
              </w:rPr>
              <w:t>Istanbul</w:t>
            </w:r>
          </w:p>
        </w:tc>
        <w:tc>
          <w:tcPr>
            <w:tcW w:w="1180" w:type="dxa"/>
            <w:vAlign w:val="bottom"/>
            <w:shd w:val="clear" w:color="auto" w:fill="C6E0B4"/>
          </w:tcPr>
          <w:p>
            <w:pPr>
              <w:jc w:val="right"/>
              <w:spacing w:after="0" w:line="156"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line="156"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Şirketi</w:t>
            </w:r>
          </w:p>
        </w:tc>
        <w:tc>
          <w:tcPr>
            <w:tcW w:w="1680" w:type="dxa"/>
            <w:vAlign w:val="bottom"/>
          </w:tcPr>
          <w:p>
            <w:pPr>
              <w:spacing w:after="0"/>
              <w:rPr>
                <w:sz w:val="16"/>
                <w:szCs w:val="16"/>
                <w:color w:val="auto"/>
              </w:rPr>
            </w:pPr>
          </w:p>
        </w:tc>
        <w:tc>
          <w:tcPr>
            <w:tcW w:w="1920" w:type="dxa"/>
            <w:vAlign w:val="bottom"/>
            <w:tcBorders>
              <w:right w:val="single" w:sz="8" w:color="70AD47"/>
            </w:tcBorders>
          </w:tcPr>
          <w:p>
            <w:pPr>
              <w:spacing w:after="0"/>
              <w:rPr>
                <w:sz w:val="16"/>
                <w:szCs w:val="16"/>
                <w:color w:val="auto"/>
              </w:rPr>
            </w:pPr>
          </w:p>
        </w:tc>
        <w:tc>
          <w:tcPr>
            <w:tcW w:w="1180" w:type="dxa"/>
            <w:vAlign w:val="bottom"/>
            <w:shd w:val="clear" w:color="auto" w:fill="C6E0B4"/>
          </w:tcPr>
          <w:p>
            <w:pPr>
              <w:spacing w:after="0"/>
              <w:rPr>
                <w:sz w:val="16"/>
                <w:szCs w:val="16"/>
                <w:color w:val="auto"/>
              </w:rPr>
            </w:pPr>
          </w:p>
        </w:tc>
        <w:tc>
          <w:tcPr>
            <w:tcW w:w="240" w:type="dxa"/>
            <w:vAlign w:val="bottom"/>
            <w:tcBorders>
              <w:right w:val="single" w:sz="8" w:color="70AD47"/>
            </w:tcBorders>
            <w:shd w:val="clear" w:color="auto" w:fill="C6E0B4"/>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Borders>
              <w:right w:val="single" w:sz="8" w:color="70AD47"/>
            </w:tcBorders>
          </w:tcPr>
          <w:p>
            <w:pPr>
              <w:spacing w:after="0"/>
              <w:rPr>
                <w:sz w:val="16"/>
                <w:szCs w:val="16"/>
                <w:color w:val="auto"/>
              </w:rPr>
            </w:pP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UK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Kingdom</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London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Ltd.</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Kingdom</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London</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5.3%</w:t>
            </w:r>
            <w:r>
              <w:rPr>
                <w:rFonts w:ascii="Times New Roman" w:cs="Times New Roman" w:eastAsia="Times New Roman" w:hAnsi="Times New Roman"/>
                <w:sz w:val="19"/>
                <w:szCs w:val="19"/>
                <w:color w:val="auto"/>
                <w:vertAlign w:val="superscript"/>
              </w:rPr>
              <w:t>(2)</w:t>
            </w:r>
          </w:p>
        </w:tc>
      </w:tr>
      <w:tr>
        <w:trPr>
          <w:trHeight w:val="18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Research and Development, Inc.</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Cambridge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USA Holding, LLC</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Cambridge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US Inc.</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Cambridge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BioNTech Delivery Technologies (US), LLC</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Cambridge</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(2)</w:t>
            </w:r>
          </w:p>
        </w:tc>
      </w:tr>
      <w:tr>
        <w:trPr>
          <w:trHeight w:val="20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InstaDeep LLC</w:t>
            </w:r>
          </w:p>
        </w:tc>
        <w:tc>
          <w:tcPr>
            <w:tcW w:w="1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Dover</w:t>
            </w:r>
          </w:p>
        </w:tc>
        <w:tc>
          <w:tcPr>
            <w:tcW w:w="118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right w:val="single" w:sz="8" w:color="70AD47"/>
            </w:tcBorders>
            <w:gridSpan w:val="2"/>
          </w:tcPr>
          <w:p>
            <w:pPr>
              <w:jc w:val="right"/>
              <w:spacing w:after="0" w:line="204" w:lineRule="exact"/>
              <w:rPr>
                <w:sz w:val="20"/>
                <w:szCs w:val="20"/>
                <w:color w:val="auto"/>
              </w:rPr>
            </w:pPr>
            <w:r>
              <w:rPr>
                <w:rFonts w:ascii="Times New Roman" w:cs="Times New Roman" w:eastAsia="Times New Roman" w:hAnsi="Times New Roman"/>
                <w:sz w:val="14"/>
                <w:szCs w:val="14"/>
                <w:color w:val="auto"/>
              </w:rPr>
              <w:t>n/a</w:t>
            </w:r>
            <w:r>
              <w:rPr>
                <w:rFonts w:ascii="Times New Roman" w:cs="Times New Roman" w:eastAsia="Times New Roman" w:hAnsi="Times New Roman"/>
                <w:sz w:val="19"/>
                <w:szCs w:val="19"/>
                <w:color w:val="auto"/>
                <w:vertAlign w:val="superscript"/>
              </w:rPr>
              <w:t>(2)</w:t>
            </w:r>
          </w:p>
        </w:tc>
      </w:tr>
      <w:tr>
        <w:trPr>
          <w:trHeight w:val="190"/>
        </w:trPr>
        <w:tc>
          <w:tcPr>
            <w:tcW w:w="4140" w:type="dxa"/>
            <w:vAlign w:val="bottom"/>
            <w:tcBorders>
              <w:bottom w:val="single" w:sz="8" w:color="70AD47"/>
            </w:tcBorders>
            <w:gridSpan w:val="2"/>
          </w:tcPr>
          <w:p>
            <w:pPr>
              <w:ind w:left="20"/>
              <w:spacing w:after="0"/>
              <w:rPr>
                <w:sz w:val="20"/>
                <w:szCs w:val="20"/>
                <w:color w:val="auto"/>
              </w:rPr>
            </w:pPr>
            <w:r>
              <w:rPr>
                <w:rFonts w:ascii="Times New Roman" w:cs="Times New Roman" w:eastAsia="Times New Roman" w:hAnsi="Times New Roman"/>
                <w:sz w:val="14"/>
                <w:szCs w:val="14"/>
                <w:color w:val="auto"/>
              </w:rPr>
              <w:t>JPT Peptide Technologies Inc.</w:t>
            </w:r>
          </w:p>
        </w:tc>
        <w:tc>
          <w:tcPr>
            <w:tcW w:w="1680" w:type="dxa"/>
            <w:vAlign w:val="bottom"/>
            <w:tcBorders>
              <w:bottom w:val="single" w:sz="8" w:color="70AD47"/>
            </w:tcBorders>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1920" w:type="dxa"/>
            <w:vAlign w:val="bottom"/>
            <w:tcBorders>
              <w:bottom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4"/>
                <w:szCs w:val="14"/>
                <w:color w:val="auto"/>
              </w:rPr>
              <w:t>Cambridge</w:t>
            </w:r>
          </w:p>
        </w:tc>
        <w:tc>
          <w:tcPr>
            <w:tcW w:w="118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70AD47"/>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0"/>
        </w:trPr>
        <w:tc>
          <w:tcPr>
            <w:tcW w:w="18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Included during the year ended December 31, 2023.</w:t>
            </w:r>
          </w:p>
        </w:tc>
        <w:tc>
          <w:tcPr>
            <w:tcW w:w="1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0"/>
                <w:szCs w:val="10"/>
                <w:color w:val="auto"/>
              </w:rPr>
              <w:t>(2)</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Fully acquired during the year ended December 31, 2023.</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entities listed above are included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72" w:name="page273"/>
    <w:bookmarkEnd w:id="27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Parent Company</w:t>
      </w:r>
    </w:p>
    <w:p>
      <w:pPr>
        <w:spacing w:after="0" w:line="94" w:lineRule="exact"/>
        <w:rPr>
          <w:sz w:val="20"/>
          <w:szCs w:val="20"/>
          <w:color w:val="auto"/>
        </w:rPr>
      </w:pPr>
    </w:p>
    <w:p>
      <w:pPr>
        <w:jc w:val="both"/>
        <w:ind w:right="80" w:firstLine="384"/>
        <w:spacing w:after="0" w:line="247" w:lineRule="auto"/>
        <w:rPr>
          <w:sz w:val="20"/>
          <w:szCs w:val="20"/>
          <w:color w:val="auto"/>
        </w:rPr>
      </w:pPr>
      <w:r>
        <w:rPr>
          <w:rFonts w:ascii="Times New Roman" w:cs="Times New Roman" w:eastAsia="Times New Roman" w:hAnsi="Times New Roman"/>
          <w:sz w:val="16"/>
          <w:szCs w:val="16"/>
          <w:color w:val="auto"/>
        </w:rPr>
        <w:t>ATHOS KG, Holzkirchen, Germany, is the sole shareholder of AT Impf GmbH, Munich, Germany, and beneficial owner of the following percentage of ordinary shares in BioNTech at the dates as indicated. ATHOS KG via AT Impf GmbH has de facto control over BioNTech based on its substantial shareholding, which practically enables it to exercise the majority of voting rights to pass resolutions at our Annual General Meeting, or AGM.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Ownership of ordinary shares in BioNTech (in %)</w:t>
            </w:r>
          </w:p>
        </w:tc>
      </w:tr>
      <w:tr>
        <w:trPr>
          <w:trHeight w:val="204"/>
        </w:trPr>
        <w:tc>
          <w:tcPr>
            <w:tcW w:w="24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Borders>
              <w:bottom w:val="single" w:sz="8" w:color="70AD47"/>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760" w:type="dxa"/>
            <w:vAlign w:val="bottom"/>
            <w:tcBorders>
              <w:bottom w:val="single" w:sz="8" w:color="70AD47"/>
              <w:right w:val="single" w:sz="8" w:color="70AD47"/>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242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4"/>
                <w:szCs w:val="14"/>
                <w:color w:val="auto"/>
              </w:rPr>
              <w:t>AT Impf GmbH</w:t>
            </w:r>
          </w:p>
        </w:tc>
        <w:tc>
          <w:tcPr>
            <w:tcW w:w="3160" w:type="dxa"/>
            <w:vAlign w:val="bottom"/>
            <w:tcBorders>
              <w:bottom w:val="single" w:sz="8" w:color="70AD47"/>
            </w:tcBorders>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1760" w:type="dxa"/>
            <w:vAlign w:val="bottom"/>
            <w:tcBorders>
              <w:bottom w:val="single" w:sz="8" w:color="70AD47"/>
              <w:right w:val="single" w:sz="8" w:color="70AD47"/>
            </w:tcBorders>
          </w:tcPr>
          <w:p>
            <w:pPr>
              <w:ind w:left="100"/>
              <w:spacing w:after="0"/>
              <w:rPr>
                <w:sz w:val="20"/>
                <w:szCs w:val="20"/>
                <w:color w:val="auto"/>
              </w:rPr>
            </w:pPr>
            <w:r>
              <w:rPr>
                <w:rFonts w:ascii="Times New Roman" w:cs="Times New Roman" w:eastAsia="Times New Roman" w:hAnsi="Times New Roman"/>
                <w:sz w:val="14"/>
                <w:szCs w:val="14"/>
                <w:color w:val="auto"/>
              </w:rPr>
              <w:t>Munich</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43.77 %</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43.42 %</w:t>
            </w: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Entity with Significant Influence over the Group</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Medine GmbH, Mainz, Germany, owned the following percentage of ordinary shares in BioNTech at the following dates as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Ownership of ordinary shares in BioNTech (in %)</w:t>
            </w:r>
          </w:p>
        </w:tc>
      </w:tr>
      <w:tr>
        <w:trPr>
          <w:trHeight w:val="204"/>
        </w:trPr>
        <w:tc>
          <w:tcPr>
            <w:tcW w:w="24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tcBorders>
              <w:bottom w:val="single" w:sz="8" w:color="70AD47"/>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760" w:type="dxa"/>
            <w:vAlign w:val="bottom"/>
            <w:tcBorders>
              <w:bottom w:val="single" w:sz="8" w:color="70AD47"/>
              <w:right w:val="single" w:sz="8" w:color="70AD47"/>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240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4"/>
                <w:szCs w:val="14"/>
                <w:color w:val="auto"/>
              </w:rPr>
              <w:t>Medine GmbH</w:t>
            </w:r>
          </w:p>
        </w:tc>
        <w:tc>
          <w:tcPr>
            <w:tcW w:w="3200" w:type="dxa"/>
            <w:vAlign w:val="bottom"/>
            <w:tcBorders>
              <w:bottom w:val="single" w:sz="8" w:color="70AD47"/>
            </w:tcBorders>
          </w:tcPr>
          <w:p>
            <w:pPr>
              <w:ind w:left="1540"/>
              <w:spacing w:after="0"/>
              <w:rPr>
                <w:sz w:val="20"/>
                <w:szCs w:val="20"/>
                <w:color w:val="auto"/>
              </w:rPr>
            </w:pPr>
            <w:r>
              <w:rPr>
                <w:rFonts w:ascii="Times New Roman" w:cs="Times New Roman" w:eastAsia="Times New Roman" w:hAnsi="Times New Roman"/>
                <w:sz w:val="14"/>
                <w:szCs w:val="14"/>
                <w:color w:val="auto"/>
              </w:rPr>
              <w:t>Germany</w:t>
            </w:r>
          </w:p>
        </w:tc>
        <w:tc>
          <w:tcPr>
            <w:tcW w:w="1760" w:type="dxa"/>
            <w:vAlign w:val="bottom"/>
            <w:tcBorders>
              <w:bottom w:val="single" w:sz="8" w:color="70AD47"/>
              <w:right w:val="single" w:sz="8" w:color="70AD47"/>
            </w:tcBorders>
          </w:tcPr>
          <w:p>
            <w:pPr>
              <w:ind w:left="100"/>
              <w:spacing w:after="0"/>
              <w:rPr>
                <w:sz w:val="20"/>
                <w:szCs w:val="20"/>
                <w:color w:val="auto"/>
              </w:rPr>
            </w:pPr>
            <w:r>
              <w:rPr>
                <w:rFonts w:ascii="Times New Roman" w:cs="Times New Roman" w:eastAsia="Times New Roman" w:hAnsi="Times New Roman"/>
                <w:sz w:val="14"/>
                <w:szCs w:val="14"/>
                <w:color w:val="auto"/>
              </w:rPr>
              <w:t>Mainz</w:t>
            </w:r>
          </w:p>
        </w:tc>
        <w:tc>
          <w:tcPr>
            <w:tcW w:w="1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17.01 %</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17.38 %</w:t>
            </w:r>
          </w:p>
        </w:tc>
      </w:tr>
    </w:tbl>
    <w:p>
      <w:pPr>
        <w:spacing w:after="0" w:line="249" w:lineRule="exact"/>
        <w:rPr>
          <w:sz w:val="20"/>
          <w:szCs w:val="20"/>
          <w:color w:val="auto"/>
        </w:rPr>
      </w:pPr>
    </w:p>
    <w:p>
      <w:pPr>
        <w:ind w:left="400" w:right="8360" w:hanging="394"/>
        <w:spacing w:after="0" w:line="413" w:lineRule="auto"/>
        <w:tabs>
          <w:tab w:leader="none" w:pos="250"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Combinations </w:t>
      </w:r>
      <w:r>
        <w:rPr>
          <w:rFonts w:ascii="Times New Roman" w:cs="Times New Roman" w:eastAsia="Times New Roman" w:hAnsi="Times New Roman"/>
          <w:sz w:val="14"/>
          <w:szCs w:val="14"/>
          <w:i w:val="1"/>
          <w:iCs w:val="1"/>
          <w:color w:val="auto"/>
        </w:rPr>
        <w:t>Acquisition of InstaDeep Ltd.</w:t>
      </w:r>
    </w:p>
    <w:p>
      <w:pPr>
        <w:jc w:val="both"/>
        <w:ind w:firstLine="384"/>
        <w:spacing w:after="0" w:line="289" w:lineRule="auto"/>
        <w:rPr>
          <w:sz w:val="20"/>
          <w:szCs w:val="20"/>
          <w:color w:val="auto"/>
        </w:rPr>
      </w:pPr>
      <w:r>
        <w:rPr>
          <w:rFonts w:ascii="Times New Roman" w:cs="Times New Roman" w:eastAsia="Times New Roman" w:hAnsi="Times New Roman"/>
          <w:sz w:val="14"/>
          <w:szCs w:val="14"/>
          <w:color w:val="auto"/>
        </w:rPr>
        <w:t>In July 2023, we acquired InstaDeep Ltd., London, United Kingdom (InstaDeep), a leading global technology company in the field of artificial intelligence (AI) and machine learning, by purchasing 100% of the remaining shares in InstaDeep not already owned by us. The acquisition is intended to create a fully integrated, enterprise- wide capability that leverages AI and machine learning technologies across our therapeutic platforms and operations. InstaDeep also continues to provide its services to clients around the world in diverse industries, including in the technology, transport and logistics, and industrial and financial services sectors.</w:t>
      </w:r>
    </w:p>
    <w:p>
      <w:pPr>
        <w:spacing w:after="0" w:line="137"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completion of the acquisition took place in July 2023. We performed an allocation of the total consideration and the underlying assets acquired (including certain identified intangible assets such as InstaDeep’s DeepChain technology and customer relationships) and liabilities assumed based on their fair values using the information available as of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3" w:name="page274"/>
    <w:bookmarkEnd w:id="27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acquisition date. The total consideration and the fair values in accordance with IFRS 3 of the identified net assets acquired of InstaDeep as of July 31, 2023,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Borders>
              <w:right w:val="single" w:sz="8" w:color="70AD47"/>
            </w:tcBorders>
          </w:tcPr>
          <w:p>
            <w:pPr>
              <w:spacing w:after="0"/>
              <w:rPr>
                <w:sz w:val="16"/>
                <w:szCs w:val="16"/>
                <w:color w:val="auto"/>
              </w:rPr>
            </w:pPr>
          </w:p>
        </w:tc>
        <w:tc>
          <w:tcPr>
            <w:tcW w:w="1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recognized on</w:t>
            </w:r>
          </w:p>
        </w:tc>
      </w:tr>
      <w:tr>
        <w:trPr>
          <w:trHeight w:val="205"/>
        </w:trPr>
        <w:tc>
          <w:tcPr>
            <w:tcW w:w="8860" w:type="dxa"/>
            <w:vAlign w:val="bottom"/>
            <w:tcBorders>
              <w:right w:val="single" w:sz="8" w:color="70AD47"/>
            </w:tcBorders>
          </w:tcPr>
          <w:p>
            <w:pPr>
              <w:spacing w:after="0"/>
              <w:rPr>
                <w:sz w:val="17"/>
                <w:szCs w:val="17"/>
                <w:color w:val="auto"/>
              </w:rPr>
            </w:pPr>
          </w:p>
        </w:tc>
        <w:tc>
          <w:tcPr>
            <w:tcW w:w="1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acquisition</w:t>
            </w:r>
          </w:p>
        </w:tc>
      </w:tr>
      <w:tr>
        <w:trPr>
          <w:trHeight w:val="217"/>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2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6"/>
              </w:rPr>
              <w:t>InstaDeep Ltd.</w:t>
            </w:r>
          </w:p>
        </w:tc>
      </w:tr>
      <w:tr>
        <w:trPr>
          <w:trHeight w:val="207"/>
        </w:trPr>
        <w:tc>
          <w:tcPr>
            <w:tcW w:w="8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720" w:type="dxa"/>
            <w:vAlign w:val="bottom"/>
            <w:tcBorders>
              <w:right w:val="single" w:sz="8" w:color="70AD47"/>
            </w:tcBorders>
          </w:tcPr>
          <w:p>
            <w:pPr>
              <w:spacing w:after="0"/>
              <w:rPr>
                <w:sz w:val="18"/>
                <w:szCs w:val="18"/>
                <w:color w:val="auto"/>
              </w:rPr>
            </w:pP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Right-of-use assets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receivables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Financial assets - current</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7"/>
        </w:trPr>
        <w:tc>
          <w:tcPr>
            <w:tcW w:w="886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assets non-current and current</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8"/>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720" w:type="dxa"/>
            <w:vAlign w:val="bottom"/>
            <w:tcBorders>
              <w:bottom w:val="single" w:sz="8" w:color="70AD47"/>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275.0</w:t>
            </w:r>
          </w:p>
        </w:tc>
      </w:tr>
      <w:tr>
        <w:trPr>
          <w:trHeight w:val="435"/>
        </w:trPr>
        <w:tc>
          <w:tcPr>
            <w:tcW w:w="8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720" w:type="dxa"/>
            <w:vAlign w:val="bottom"/>
            <w:tcBorders>
              <w:right w:val="single" w:sz="8" w:color="70AD47"/>
            </w:tcBorders>
          </w:tcPr>
          <w:p>
            <w:pPr>
              <w:spacing w:after="0"/>
              <w:rPr>
                <w:sz w:val="24"/>
                <w:szCs w:val="24"/>
                <w:color w:val="auto"/>
              </w:rPr>
            </w:pP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7"/>
        </w:trPr>
        <w:tc>
          <w:tcPr>
            <w:tcW w:w="886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 long-term and short-term</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8"/>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720" w:type="dxa"/>
            <w:vAlign w:val="bottom"/>
            <w:tcBorders>
              <w:bottom w:val="single" w:sz="8" w:color="70AD47"/>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64.0</w:t>
            </w:r>
          </w:p>
        </w:tc>
      </w:tr>
      <w:tr>
        <w:trPr>
          <w:trHeight w:val="221"/>
        </w:trPr>
        <w:tc>
          <w:tcPr>
            <w:tcW w:w="8860" w:type="dxa"/>
            <w:vAlign w:val="bottom"/>
            <w:tcBorders>
              <w:bottom w:val="single" w:sz="8" w:color="70AD47"/>
              <w:right w:val="single" w:sz="8" w:color="70AD47"/>
            </w:tcBorders>
          </w:tcPr>
          <w:p>
            <w:pPr>
              <w:spacing w:after="0"/>
              <w:rPr>
                <w:sz w:val="19"/>
                <w:szCs w:val="19"/>
                <w:color w:val="auto"/>
              </w:rPr>
            </w:pPr>
          </w:p>
        </w:tc>
        <w:tc>
          <w:tcPr>
            <w:tcW w:w="1720" w:type="dxa"/>
            <w:vAlign w:val="bottom"/>
            <w:tcBorders>
              <w:bottom w:val="single" w:sz="8" w:color="70AD47"/>
              <w:right w:val="single" w:sz="8" w:color="70AD47"/>
            </w:tcBorders>
          </w:tcPr>
          <w:p>
            <w:pPr>
              <w:spacing w:after="0"/>
              <w:rPr>
                <w:sz w:val="19"/>
                <w:szCs w:val="19"/>
                <w:color w:val="auto"/>
              </w:rPr>
            </w:pPr>
          </w:p>
        </w:tc>
      </w:tr>
      <w:tr>
        <w:trPr>
          <w:trHeight w:val="207"/>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identifiable net assets at fair value</w:t>
            </w:r>
          </w:p>
        </w:tc>
        <w:tc>
          <w:tcPr>
            <w:tcW w:w="1720" w:type="dxa"/>
            <w:vAlign w:val="bottom"/>
            <w:tcBorders>
              <w:bottom w:val="single" w:sz="8" w:color="70AD47"/>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211.0</w:t>
            </w:r>
          </w:p>
        </w:tc>
      </w:tr>
      <w:tr>
        <w:trPr>
          <w:trHeight w:val="436"/>
        </w:trPr>
        <w:tc>
          <w:tcPr>
            <w:tcW w:w="886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Goodwill from the acquisition</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08"/>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720" w:type="dxa"/>
            <w:vAlign w:val="bottom"/>
            <w:tcBorders>
              <w:bottom w:val="single" w:sz="8" w:color="70AD47"/>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517.5</w:t>
            </w:r>
          </w:p>
        </w:tc>
      </w:tr>
      <w:tr>
        <w:trPr>
          <w:trHeight w:val="221"/>
        </w:trPr>
        <w:tc>
          <w:tcPr>
            <w:tcW w:w="8860" w:type="dxa"/>
            <w:vAlign w:val="bottom"/>
            <w:tcBorders>
              <w:bottom w:val="single" w:sz="8" w:color="70AD47"/>
              <w:right w:val="single" w:sz="8" w:color="70AD47"/>
            </w:tcBorders>
          </w:tcPr>
          <w:p>
            <w:pPr>
              <w:spacing w:after="0"/>
              <w:rPr>
                <w:sz w:val="19"/>
                <w:szCs w:val="19"/>
                <w:color w:val="auto"/>
              </w:rPr>
            </w:pPr>
          </w:p>
        </w:tc>
        <w:tc>
          <w:tcPr>
            <w:tcW w:w="1720" w:type="dxa"/>
            <w:vAlign w:val="bottom"/>
            <w:tcBorders>
              <w:bottom w:val="single" w:sz="8" w:color="70AD47"/>
              <w:right w:val="single" w:sz="8" w:color="70AD47"/>
            </w:tcBorders>
          </w:tcPr>
          <w:p>
            <w:pPr>
              <w:spacing w:after="0"/>
              <w:rPr>
                <w:sz w:val="19"/>
                <w:szCs w:val="19"/>
                <w:color w:val="auto"/>
              </w:rPr>
            </w:pPr>
          </w:p>
        </w:tc>
      </w:tr>
      <w:tr>
        <w:trPr>
          <w:trHeight w:val="206"/>
        </w:trPr>
        <w:tc>
          <w:tcPr>
            <w:tcW w:w="8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720" w:type="dxa"/>
            <w:vAlign w:val="bottom"/>
            <w:tcBorders>
              <w:right w:val="single" w:sz="8" w:color="70AD47"/>
            </w:tcBorders>
          </w:tcPr>
          <w:p>
            <w:pPr>
              <w:spacing w:after="0"/>
              <w:rPr>
                <w:sz w:val="17"/>
                <w:szCs w:val="17"/>
                <w:color w:val="auto"/>
              </w:rPr>
            </w:pP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Cash paid</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Cash to be paid in 2024</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Designated FX hedge</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Shares transferred (approx. 1.1 million shares)</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216"/>
        </w:trPr>
        <w:tc>
          <w:tcPr>
            <w:tcW w:w="886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7"/>
        </w:trPr>
        <w:tc>
          <w:tcPr>
            <w:tcW w:w="886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Previously held non-listed equity investment (stake of 5.3%)</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8"/>
        </w:trPr>
        <w:tc>
          <w:tcPr>
            <w:tcW w:w="8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720" w:type="dxa"/>
            <w:vAlign w:val="bottom"/>
            <w:tcBorders>
              <w:bottom w:val="single" w:sz="8" w:color="70AD47"/>
              <w:right w:val="single" w:sz="8" w:color="70AD47"/>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517.5</w:t>
            </w:r>
          </w:p>
        </w:tc>
      </w:tr>
    </w:tbl>
    <w:p>
      <w:pPr>
        <w:spacing w:after="0" w:line="251"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intangible assets acquired comprise DeepChain technology and customer relationships. Their fair values were determined based on the multi-period excess earnings method (MEEM) and amount to €176.0 million and €7.8 million respectively.</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 of the shares transferred is determined based on the number of shares transferred and the closing price of the ADSs as of July 31, 2023.</w:t>
      </w:r>
    </w:p>
    <w:p>
      <w:pPr>
        <w:spacing w:after="0" w:line="188"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The acquisition of InstaDeep is a step acquisition in accordance with IFRS 3.41-3.42A since we already held a 5.3% interest prior to the acquisition. In prior reporting periods, we recognized changes in the value of this equity interest in other comprehensive income. The amount of the remeasurement to fair value that was recognized in other comprehensive income is recognized on the same basis as would be required if we disposed directly of the previously held equity interest. Based on the total consideration for the acquired shares (94.7%), the value of the already held shares is €27.9 million, which results in a loss of €2.2 million shown in other comprehensive income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4" w:name="page275"/>
    <w:bookmarkEnd w:id="27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At the acquisition date, the contingent consideration was recognized at its fair value of €31.8 million based on cash flow projections in connection with performance-based future milestone cash payments to eligible shareholders after a three -year earn- out period. The lower end of the bandwidth of possible outcomes of the contingent consideration is zero; the upper limit is €124.6 million. In addition, € 12.5 million of potential earn-out payments are considered remuneration and will be recognized as personnel expense over a three-year period in which services are to be provided.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Transaction costs of €6.0 million were expensed and are included in general and administrative expenses.</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The goodwill mainly comprises the value of expected synergies from including AI and machine learning technologies across our therapeutic platforms and operations and intangible assets that are not recognized separately, such as the acquired skilled workforce and its know-how. Therefore, the goodwill is allocated almost in full to the CGU immunotherapies and to a minor extent to a CGU comprising the external InstaDeep business. The goodwill is not tax deductible.</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Deferred tax liabilities relating to temporary differences of the assets acquired in the business combination were recognized in an amount of €45.8 million. In line with the deferred tax liabilities assumed, deferred tax assets relating to temporary differences and tax loss carry forwards which existed as of the acquisition date were recognized. The deferred tax assets and liabilities were offset to the extent that the conditions for offsetting were fulfilled.</w:t>
      </w:r>
    </w:p>
    <w:p>
      <w:pPr>
        <w:spacing w:after="0" w:line="164"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Since the acquisition, InstaDeep’s impact on our revenue and profit for the period has been immaterial. Accordingly, hypothetical amounts for our revenue and profit for the financial year, which were calculated on the assumption that the acquisition had taken place at the beginning of the year, would not materially differ from the actual figures reported.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5" w:name="page276"/>
    <w:bookmarkEnd w:id="27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560" w:firstLine="6"/>
        <w:spacing w:after="0" w:line="395" w:lineRule="auto"/>
        <w:tabs>
          <w:tab w:leader="none" w:pos="234" w:val="left"/>
        </w:tabs>
        <w:numPr>
          <w:ilvl w:val="0"/>
          <w:numId w:val="1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 from Contracts with Customers 6.1 Disaggregated Revenue Information</w:t>
      </w: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Set out below is the disaggregation of the Group’s revenues from contracts with customers: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620" w:type="dxa"/>
            <w:vAlign w:val="bottom"/>
          </w:tcPr>
          <w:p>
            <w:pPr>
              <w:spacing w:after="0"/>
              <w:rPr>
                <w:sz w:val="16"/>
                <w:szCs w:val="16"/>
                <w:color w:val="auto"/>
              </w:rPr>
            </w:pPr>
          </w:p>
        </w:tc>
      </w:tr>
      <w:tr>
        <w:trPr>
          <w:trHeight w:val="206"/>
        </w:trPr>
        <w:tc>
          <w:tcPr>
            <w:tcW w:w="5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20" w:type="dxa"/>
            <w:vAlign w:val="bottom"/>
          </w:tcPr>
          <w:p>
            <w:pPr>
              <w:spacing w:after="0"/>
              <w:rPr>
                <w:sz w:val="17"/>
                <w:szCs w:val="17"/>
                <w:color w:val="auto"/>
              </w:rPr>
            </w:pPr>
          </w:p>
        </w:tc>
      </w:tr>
      <w:tr>
        <w:trPr>
          <w:trHeight w:val="217"/>
        </w:trPr>
        <w:tc>
          <w:tcPr>
            <w:tcW w:w="57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7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revenues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3,815.5</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17,194.6</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18,874.0</w:t>
            </w:r>
          </w:p>
        </w:tc>
      </w:tr>
      <w:tr>
        <w:trPr>
          <w:trHeight w:val="216"/>
        </w:trPr>
        <w:tc>
          <w:tcPr>
            <w:tcW w:w="570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COVID-19 vaccine revenues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3,776.2</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17,145.2</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18,806.8</w:t>
            </w:r>
          </w:p>
        </w:tc>
      </w:tr>
      <w:tr>
        <w:trPr>
          <w:trHeight w:val="216"/>
        </w:trPr>
        <w:tc>
          <w:tcPr>
            <w:tcW w:w="570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Sales to collaboration partners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275.3</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1,224.3</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970.9</w:t>
            </w:r>
          </w:p>
        </w:tc>
      </w:tr>
      <w:tr>
        <w:trPr>
          <w:trHeight w:val="216"/>
        </w:trPr>
        <w:tc>
          <w:tcPr>
            <w:tcW w:w="570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Direct product sales to customers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473.6</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3,184.7</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3,007.2</w:t>
            </w:r>
          </w:p>
        </w:tc>
      </w:tr>
      <w:tr>
        <w:trPr>
          <w:trHeight w:val="216"/>
        </w:trPr>
        <w:tc>
          <w:tcPr>
            <w:tcW w:w="5700" w:type="dxa"/>
            <w:vAlign w:val="bottom"/>
            <w:tcBorders>
              <w:right w:val="single" w:sz="8" w:color="70AD47"/>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Share of collaboration partners’ gross profit and sales milestones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3,027.3</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12,736.2</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14,828.7</w:t>
            </w:r>
          </w:p>
        </w:tc>
      </w:tr>
      <w:tr>
        <w:trPr>
          <w:trHeight w:val="216"/>
        </w:trPr>
        <w:tc>
          <w:tcPr>
            <w:tcW w:w="570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sales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17"/>
        </w:trPr>
        <w:tc>
          <w:tcPr>
            <w:tcW w:w="57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Research &amp; development revenues from collaborations</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116.0</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102.7</w:t>
            </w:r>
          </w:p>
        </w:tc>
      </w:tr>
      <w:tr>
        <w:trPr>
          <w:trHeight w:val="208"/>
        </w:trPr>
        <w:tc>
          <w:tcPr>
            <w:tcW w:w="57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3,819.0</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17,310.6</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18,976.7</w:t>
            </w:r>
          </w:p>
        </w:tc>
      </w:tr>
    </w:tbl>
    <w:p>
      <w:pPr>
        <w:spacing w:after="0" w:line="251"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2023, revenues recognized from Pfizer Inc., or Pfizer (€ 3,293.0 million) and the German Federal Ministry of Health (€473.6 million), each account for more than 10% of total revenues. During the year ended December 31, 2022, revenues recognized from Pfizer (€13,795.8 million) and the German Federal Ministry of Health (€3,020.5 million) represented more than 10% of total revenues. During the year ended December 31, 2021, revenues recognized from Pfizer (€ 15,500.0 million) and the German Federal Ministry of Health (€1,945.6 million), accounted for more than 10% of total revenues. During the year ended December 31, 2023, based on the geographic region in which our customers and collaboration partners are located, we mainly recognized revenues in the United States (€3,010.9 million) and Germany (€482.7 million) . During the year ended December 31, 2022, the main geographic regions were United States (€12,709.7 million) and Germany (€3,031.0 million). During the year ended December 31, 2021, the main geographic regions were United States (€14,636.5 million), Germany (€2,241.9 million) and Belgium (€675.0 million).</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Commercial Revenues</w:t>
      </w:r>
    </w:p>
    <w:p>
      <w:pPr>
        <w:spacing w:after="0" w:line="9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2023, commercial revenues were recognized from the supply and sales of our COVID- 19 vaccine worldwide. During the year ended December 31, 2023, our commercial revenues decreased in line with a lower COVID-19 vaccine market demand. In addition, write- downs by our collaboration partner Pfizer Inc. (Pfizer), significantly reduced our gross profit share and hence negatively influenced our revenues for the year ended December 31, 2023. We are the marketing authorization holder in the United States, the European Union, the United Kingdom, Canada and other countries, and holder of emergency use authorizations or equivalents in the United States (jointly with Pfizer) and other countries. Pfizer has marketing and distribution rights worldwide with the exception of China, Germany and Türkiye. Shanghai Fosun Pharmaceutical (Group) Co., Ltd, or Fosun Pharma, has marketing and distribution rights in China, Hong Kong special administrative region, or SAR, Macau SAR and the region of Taiwan. The allocation of marketing and distribution rights defines territories in which the collaboration partners act as a principal.</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Sales to Collaboration Partners</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Sales to collaboration partners represent sales of products manufactured by us to collaboration partners. Whenever responsibilities in the manufacturing and supply process of the COVID-19 vaccine shift and the COVID-19 vaccine is transferred, the vaccine is sold from one partner to the other. Under the collaboration with Pfizer, from time to time, those sales are significantly influenced by amounts due to write-downs of inventories as well as costs related to production capacities derived from contracts with CMOs that became redundant. Those costs represent accrued manufacturing variances and are charged to our partner once finally materialized. These manufacturing variances are reflected as transfer price adjustments once identified. The regular reassessment of these manufacturing variances may result in adjustments to the respective prior-period revenues. Sales to collaboration partners during the years ended December 31, 2023, 2022 and 2021 of €74.5 million, €850.0 million and €31.0 million, respectively, related to the aforementioned manufacturing variances.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6" w:name="page277"/>
    <w:bookmarkEnd w:id="27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Direct Product Sales to Customers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Direct product sales are recognized from supplying COVID-19 vaccine in our territories Germany and Türkiye. During theyears ended December 31, 2023, 2022 and 2021, we recognized €473.6 million, €3,184.7 million and €3,007.2 million of revenues, respectively. The share of gross profit that we owe our collaboration partner Pfizer based on our sales is recognized as cost of sales.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Share of Collaboration Partners’ Gross Profit and Sales Milestones</w:t>
      </w:r>
    </w:p>
    <w:p>
      <w:pPr>
        <w:spacing w:after="0" w:line="190"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Based on COVID- 19 vaccine sales in the collaboration partners’ territories, we are eligible to receive a share of their gross profit, which represents a seasonally affected net figure and is recognized as collaboration revenue during the commercial phase, together with sales milestones. Manufacturing cost variances either reflected as transfer price adjustments as described above or resulting from costs highly probable to be incurred by the partner, were taken into account when determining the gross profit. During the year ended December 31, 2021, those revenues included €476.6 million of sales milestones.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The revenues from contracts with customers disclosed above were recognized as follows:</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660" w:type="dxa"/>
            <w:vAlign w:val="bottom"/>
            <w:tcBorders>
              <w:bottom w:val="single" w:sz="8" w:color="70AD47"/>
            </w:tcBorders>
            <w:shd w:val="clear" w:color="auto" w:fill="C5E0B4"/>
          </w:tcPr>
          <w:p>
            <w:pPr>
              <w:spacing w:after="0"/>
              <w:rPr>
                <w:sz w:val="18"/>
                <w:szCs w:val="18"/>
                <w:color w:val="auto"/>
              </w:rPr>
            </w:pPr>
          </w:p>
        </w:tc>
        <w:tc>
          <w:tcPr>
            <w:tcW w:w="9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7"/>
        </w:trPr>
        <w:tc>
          <w:tcPr>
            <w:tcW w:w="57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1A1A1A"/>
              </w:rPr>
              <w:t>Timing of revenue recognition</w:t>
            </w:r>
          </w:p>
        </w:tc>
        <w:tc>
          <w:tcPr>
            <w:tcW w:w="660" w:type="dxa"/>
            <w:vAlign w:val="bottom"/>
            <w:shd w:val="clear" w:color="auto" w:fill="C6E0B4"/>
          </w:tcPr>
          <w:p>
            <w:pPr>
              <w:spacing w:after="0"/>
              <w:rPr>
                <w:sz w:val="17"/>
                <w:szCs w:val="17"/>
                <w:color w:val="auto"/>
              </w:rPr>
            </w:pPr>
          </w:p>
        </w:tc>
        <w:tc>
          <w:tcPr>
            <w:tcW w:w="920" w:type="dxa"/>
            <w:vAlign w:val="bottom"/>
            <w:tcBorders>
              <w:right w:val="single" w:sz="8" w:color="70AD47"/>
            </w:tcBorders>
            <w:shd w:val="clear" w:color="auto" w:fill="C6E0B4"/>
          </w:tcPr>
          <w:p>
            <w:pPr>
              <w:spacing w:after="0"/>
              <w:rPr>
                <w:sz w:val="17"/>
                <w:szCs w:val="17"/>
                <w:color w:val="auto"/>
              </w:rPr>
            </w:pPr>
          </w:p>
        </w:tc>
        <w:tc>
          <w:tcPr>
            <w:tcW w:w="1640" w:type="dxa"/>
            <w:vAlign w:val="bottom"/>
            <w:tcBorders>
              <w:right w:val="single" w:sz="8" w:color="70AD47"/>
            </w:tcBorders>
          </w:tcPr>
          <w:p>
            <w:pPr>
              <w:spacing w:after="0"/>
              <w:rPr>
                <w:sz w:val="17"/>
                <w:szCs w:val="17"/>
                <w:color w:val="auto"/>
              </w:rPr>
            </w:pPr>
          </w:p>
        </w:tc>
        <w:tc>
          <w:tcPr>
            <w:tcW w:w="164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Goods and services transferred at a point in time</w:t>
            </w:r>
          </w:p>
        </w:tc>
        <w:tc>
          <w:tcPr>
            <w:tcW w:w="660" w:type="dxa"/>
            <w:vAlign w:val="bottom"/>
            <w:shd w:val="clear" w:color="auto" w:fill="C6E0B4"/>
          </w:tcPr>
          <w:p>
            <w:pPr>
              <w:spacing w:after="0"/>
              <w:rPr>
                <w:sz w:val="18"/>
                <w:szCs w:val="18"/>
                <w:color w:val="auto"/>
              </w:rPr>
            </w:pP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4,447.2</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4,034.3</w:t>
            </w:r>
          </w:p>
        </w:tc>
        <w:tc>
          <w:tcPr>
            <w:tcW w:w="0" w:type="dxa"/>
            <w:vAlign w:val="bottom"/>
          </w:tcPr>
          <w:p>
            <w:pPr>
              <w:spacing w:after="0"/>
              <w:rPr>
                <w:sz w:val="1"/>
                <w:szCs w:val="1"/>
                <w:color w:val="auto"/>
              </w:rPr>
            </w:pPr>
          </w:p>
        </w:tc>
      </w:tr>
      <w:tr>
        <w:trPr>
          <w:trHeight w:val="216"/>
        </w:trPr>
        <w:tc>
          <w:tcPr>
            <w:tcW w:w="57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Goods and services transferred over time</w:t>
            </w:r>
          </w:p>
        </w:tc>
        <w:tc>
          <w:tcPr>
            <w:tcW w:w="660" w:type="dxa"/>
            <w:vAlign w:val="bottom"/>
            <w:shd w:val="clear" w:color="auto" w:fill="C6E0B4"/>
          </w:tcPr>
          <w:p>
            <w:pPr>
              <w:spacing w:after="0"/>
              <w:rPr>
                <w:sz w:val="18"/>
                <w:szCs w:val="18"/>
                <w:color w:val="auto"/>
              </w:rPr>
            </w:pP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179"/>
        </w:trPr>
        <w:tc>
          <w:tcPr>
            <w:tcW w:w="5720" w:type="dxa"/>
            <w:vAlign w:val="bottom"/>
            <w:tcBorders>
              <w:right w:val="single" w:sz="8" w:color="70AD47"/>
            </w:tcBorders>
          </w:tcPr>
          <w:p>
            <w:pPr>
              <w:ind w:left="120"/>
              <w:spacing w:after="0" w:line="179" w:lineRule="exact"/>
              <w:rPr>
                <w:sz w:val="20"/>
                <w:szCs w:val="20"/>
                <w:color w:val="auto"/>
              </w:rPr>
            </w:pPr>
            <w:r>
              <w:rPr>
                <w:rFonts w:ascii="Times New Roman" w:cs="Times New Roman" w:eastAsia="Times New Roman" w:hAnsi="Times New Roman"/>
                <w:sz w:val="16"/>
                <w:szCs w:val="16"/>
                <w:i w:val="1"/>
                <w:iCs w:val="1"/>
                <w:color w:val="auto"/>
              </w:rPr>
              <w:t>Revenue recognition applying the sales-based or usage-based royalty recognition</w:t>
            </w:r>
          </w:p>
        </w:tc>
        <w:tc>
          <w:tcPr>
            <w:tcW w:w="660" w:type="dxa"/>
            <w:vAlign w:val="bottom"/>
            <w:shd w:val="clear" w:color="auto" w:fill="C6E0B4"/>
          </w:tcPr>
          <w:p>
            <w:pPr>
              <w:spacing w:after="0"/>
              <w:rPr>
                <w:sz w:val="15"/>
                <w:szCs w:val="15"/>
                <w:color w:val="auto"/>
              </w:rPr>
            </w:pPr>
          </w:p>
        </w:tc>
        <w:tc>
          <w:tcPr>
            <w:tcW w:w="92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3,027.3</w:t>
            </w:r>
          </w:p>
        </w:tc>
        <w:tc>
          <w:tcPr>
            <w:tcW w:w="16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12,736.2</w:t>
            </w:r>
          </w:p>
        </w:tc>
        <w:tc>
          <w:tcPr>
            <w:tcW w:w="16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14,828.7</w:t>
            </w:r>
          </w:p>
        </w:tc>
        <w:tc>
          <w:tcPr>
            <w:tcW w:w="0" w:type="dxa"/>
            <w:vAlign w:val="bottom"/>
          </w:tcPr>
          <w:p>
            <w:pPr>
              <w:spacing w:after="0"/>
              <w:rPr>
                <w:sz w:val="1"/>
                <w:szCs w:val="1"/>
                <w:color w:val="auto"/>
              </w:rPr>
            </w:pPr>
          </w:p>
        </w:tc>
      </w:tr>
      <w:tr>
        <w:trPr>
          <w:trHeight w:val="121"/>
        </w:trPr>
        <w:tc>
          <w:tcPr>
            <w:tcW w:w="5720" w:type="dxa"/>
            <w:vAlign w:val="bottom"/>
            <w:tcBorders>
              <w:right w:val="single" w:sz="8" w:color="70AD47"/>
            </w:tcBorders>
            <w:vMerge w:val="restart"/>
          </w:tcPr>
          <w:p>
            <w:pPr>
              <w:ind w:left="120"/>
              <w:spacing w:after="0" w:line="207" w:lineRule="exact"/>
              <w:rPr>
                <w:sz w:val="20"/>
                <w:szCs w:val="20"/>
                <w:color w:val="auto"/>
              </w:rPr>
            </w:pPr>
            <w:r>
              <w:rPr>
                <w:rFonts w:ascii="Times New Roman" w:cs="Times New Roman" w:eastAsia="Times New Roman" w:hAnsi="Times New Roman"/>
                <w:sz w:val="16"/>
                <w:szCs w:val="16"/>
                <w:i w:val="1"/>
                <w:iCs w:val="1"/>
                <w:color w:val="auto"/>
              </w:rPr>
              <w:t>constraint model</w:t>
            </w:r>
            <w:r>
              <w:rPr>
                <w:rFonts w:ascii="Times New Roman" w:cs="Times New Roman" w:eastAsia="Times New Roman" w:hAnsi="Times New Roman"/>
                <w:sz w:val="21"/>
                <w:szCs w:val="21"/>
                <w:i w:val="1"/>
                <w:iCs w:val="1"/>
                <w:color w:val="auto"/>
                <w:vertAlign w:val="superscript"/>
              </w:rPr>
              <w:t>(1)</w:t>
            </w:r>
          </w:p>
        </w:tc>
        <w:tc>
          <w:tcPr>
            <w:tcW w:w="660" w:type="dxa"/>
            <w:vAlign w:val="bottom"/>
            <w:shd w:val="clear" w:color="auto" w:fill="C6E0B4"/>
          </w:tcPr>
          <w:p>
            <w:pPr>
              <w:spacing w:after="0"/>
              <w:rPr>
                <w:sz w:val="10"/>
                <w:szCs w:val="10"/>
                <w:color w:val="auto"/>
              </w:rPr>
            </w:pPr>
          </w:p>
        </w:tc>
        <w:tc>
          <w:tcPr>
            <w:tcW w:w="920" w:type="dxa"/>
            <w:vAlign w:val="bottom"/>
            <w:tcBorders>
              <w:right w:val="single" w:sz="8" w:color="70AD47"/>
            </w:tcBorders>
            <w:vMerge w:val="continue"/>
            <w:shd w:val="clear" w:color="auto" w:fill="C6E0B4"/>
          </w:tcPr>
          <w:p>
            <w:pPr>
              <w:spacing w:after="0"/>
              <w:rPr>
                <w:sz w:val="10"/>
                <w:szCs w:val="10"/>
                <w:color w:val="auto"/>
              </w:rPr>
            </w:pPr>
          </w:p>
        </w:tc>
        <w:tc>
          <w:tcPr>
            <w:tcW w:w="1640" w:type="dxa"/>
            <w:vAlign w:val="bottom"/>
            <w:tcBorders>
              <w:right w:val="single" w:sz="8" w:color="70AD47"/>
            </w:tcBorders>
            <w:vMerge w:val="continue"/>
          </w:tcPr>
          <w:p>
            <w:pPr>
              <w:spacing w:after="0"/>
              <w:rPr>
                <w:sz w:val="10"/>
                <w:szCs w:val="10"/>
                <w:color w:val="auto"/>
              </w:rPr>
            </w:pPr>
          </w:p>
        </w:tc>
        <w:tc>
          <w:tcPr>
            <w:tcW w:w="164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720" w:type="dxa"/>
            <w:vAlign w:val="bottom"/>
            <w:tcBorders>
              <w:bottom w:val="single" w:sz="8" w:color="70AD47"/>
              <w:right w:val="single" w:sz="8" w:color="70AD47"/>
            </w:tcBorders>
            <w:vMerge w:val="continue"/>
          </w:tcPr>
          <w:p>
            <w:pPr>
              <w:spacing w:after="0"/>
              <w:rPr>
                <w:sz w:val="7"/>
                <w:szCs w:val="7"/>
                <w:color w:val="auto"/>
              </w:rPr>
            </w:pPr>
          </w:p>
        </w:tc>
        <w:tc>
          <w:tcPr>
            <w:tcW w:w="660" w:type="dxa"/>
            <w:vAlign w:val="bottom"/>
            <w:tcBorders>
              <w:bottom w:val="single" w:sz="8" w:color="70AD47"/>
            </w:tcBorders>
            <w:shd w:val="clear" w:color="auto" w:fill="C6E0B4"/>
          </w:tcPr>
          <w:p>
            <w:pPr>
              <w:spacing w:after="0"/>
              <w:rPr>
                <w:sz w:val="7"/>
                <w:szCs w:val="7"/>
                <w:color w:val="auto"/>
              </w:rPr>
            </w:pPr>
          </w:p>
        </w:tc>
        <w:tc>
          <w:tcPr>
            <w:tcW w:w="920" w:type="dxa"/>
            <w:vAlign w:val="bottom"/>
            <w:tcBorders>
              <w:bottom w:val="single" w:sz="8" w:color="70AD47"/>
              <w:right w:val="single" w:sz="8" w:color="70AD47"/>
            </w:tcBorders>
            <w:shd w:val="clear" w:color="auto" w:fill="C6E0B4"/>
          </w:tcPr>
          <w:p>
            <w:pPr>
              <w:spacing w:after="0"/>
              <w:rPr>
                <w:sz w:val="7"/>
                <w:szCs w:val="7"/>
                <w:color w:val="auto"/>
              </w:rPr>
            </w:pPr>
          </w:p>
        </w:tc>
        <w:tc>
          <w:tcPr>
            <w:tcW w:w="1640" w:type="dxa"/>
            <w:vAlign w:val="bottom"/>
            <w:tcBorders>
              <w:bottom w:val="single" w:sz="8" w:color="70AD47"/>
              <w:right w:val="single" w:sz="8" w:color="70AD47"/>
            </w:tcBorders>
          </w:tcPr>
          <w:p>
            <w:pPr>
              <w:spacing w:after="0"/>
              <w:rPr>
                <w:sz w:val="7"/>
                <w:szCs w:val="7"/>
                <w:color w:val="auto"/>
              </w:rPr>
            </w:pPr>
          </w:p>
        </w:tc>
        <w:tc>
          <w:tcPr>
            <w:tcW w:w="164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7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Borders>
              <w:bottom w:val="single" w:sz="8" w:color="70AD47"/>
            </w:tcBorders>
            <w:shd w:val="clear" w:color="auto" w:fill="C6E0B4"/>
          </w:tcPr>
          <w:p>
            <w:pPr>
              <w:spacing w:after="0"/>
              <w:rPr>
                <w:sz w:val="18"/>
                <w:szCs w:val="18"/>
                <w:color w:val="auto"/>
              </w:rPr>
            </w:pP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3,819.0</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17,310.6</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18,976.7</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80" w:hanging="274"/>
        <w:spacing w:after="0"/>
        <w:tabs>
          <w:tab w:leader="none" w:pos="280" w:val="left"/>
        </w:tabs>
        <w:numPr>
          <w:ilvl w:val="0"/>
          <w:numId w:val="1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sales based on the share of the collaboration partners’ gross profit and sales milestones.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6.2  Contract Balances</w:t>
            </w: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98"/>
        </w:trPr>
        <w:tc>
          <w:tcPr>
            <w:tcW w:w="7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5"/>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7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7,145.6</w:t>
            </w:r>
          </w:p>
        </w:tc>
      </w:tr>
      <w:tr>
        <w:trPr>
          <w:trHeight w:val="217"/>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7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16"/>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Refund liabilities</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bl>
    <w:p>
      <w:pPr>
        <w:spacing w:after="0" w:line="251"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Trade and other receivables significantly decreased compared to the previous year and predominantly comprise trade receivables from our COVID- 19 collaboration with Pfizer as well as our direct product sales to customers in our territory. The contractual settlement of the gross profit share has a temporal offset of more than one calendar quarter. As Pfizer’s financial quarter for subsidiaries outside the United States differs from ours, it creates an additional time lag between the recognition of revenues and the payment receipt. Consequently, as of December 31, 2023, our trade receivables included, in addition to the profit share for the fourth quarter of 2023, trade receivables which related to the gross profit share for the third quarter of 2023.</w:t>
      </w:r>
    </w:p>
    <w:p>
      <w:pPr>
        <w:spacing w:after="0" w:line="169"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Contract liabilities significantly increased compared to the previous year as advance payments in connection with the amendment of the COVID-19 vaccine purchase agreement with the European Commission, or EC, were received. As of December 31, 2023, the contract liabilities included €386.4 million of such payments under our collaboration with Pfizer (COVID-19 vaccine), €302.3 million from the German Federal Ministry of Health and €62.3 million of remaining upfront fees from our collaboration agreement with Pfizer (Zoster) (as of December 31, 2022: €65.7 million of remaining upfront fees from collaboration and commercial supply agreements and €56.3 million of advance payments for future COVID-19 vaccine sales).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7" w:name="page278"/>
    <w:bookmarkEnd w:id="27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The refund liabilities recognized as of December 31, 2022, represented consideration which was refunded to the collaboration partner during the year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Set out below is the amount of revenue recognized for the periods indicated:</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83"/>
        </w:trPr>
        <w:tc>
          <w:tcPr>
            <w:tcW w:w="5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40" w:type="dxa"/>
            <w:vAlign w:val="bottom"/>
          </w:tcPr>
          <w:p>
            <w:pPr>
              <w:spacing w:after="0"/>
              <w:rPr>
                <w:sz w:val="24"/>
                <w:szCs w:val="24"/>
                <w:color w:val="auto"/>
              </w:rPr>
            </w:pPr>
          </w:p>
        </w:tc>
      </w:tr>
      <w:tr>
        <w:trPr>
          <w:trHeight w:val="206"/>
        </w:trPr>
        <w:tc>
          <w:tcPr>
            <w:tcW w:w="5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tcPr>
          <w:p>
            <w:pPr>
              <w:spacing w:after="0"/>
              <w:rPr>
                <w:sz w:val="17"/>
                <w:szCs w:val="17"/>
                <w:color w:val="auto"/>
              </w:rPr>
            </w:pPr>
          </w:p>
        </w:tc>
      </w:tr>
      <w:tr>
        <w:trPr>
          <w:trHeight w:val="217"/>
        </w:trPr>
        <w:tc>
          <w:tcPr>
            <w:tcW w:w="59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59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Amounts included in contract liabilities at the beginning of the year</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r>
    </w:tbl>
    <w:p>
      <w:pPr>
        <w:spacing w:after="0" w:line="24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6.3</w:t>
      </w:r>
      <w:r>
        <w:rPr>
          <w:sz w:val="20"/>
          <w:szCs w:val="20"/>
          <w:color w:val="auto"/>
        </w:rPr>
        <w:tab/>
      </w:r>
      <w:r>
        <w:rPr>
          <w:rFonts w:ascii="Times New Roman" w:cs="Times New Roman" w:eastAsia="Times New Roman" w:hAnsi="Times New Roman"/>
          <w:sz w:val="14"/>
          <w:szCs w:val="14"/>
          <w:b w:val="1"/>
          <w:bCs w:val="1"/>
          <w:color w:val="auto"/>
        </w:rPr>
        <w:t>Performance Obligations</w:t>
      </w:r>
    </w:p>
    <w:p>
      <w:pPr>
        <w:spacing w:after="0" w:line="8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contract liabilities allocated to the remaining performance obligations from collaboration or commercial supply agreements (unsatisfied or partially unsatisfied) as of year-end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6"/>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More than one year</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09"/>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751.8</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8" w:name="page279"/>
    <w:bookmarkEnd w:id="27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900" w:firstLine="6"/>
        <w:spacing w:after="0" w:line="402" w:lineRule="auto"/>
        <w:tabs>
          <w:tab w:leader="none" w:pos="234"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and Expenses 7.1 General Expenses</w:t>
      </w: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i w:val="1"/>
          <w:iCs w:val="1"/>
          <w:color w:val="auto"/>
        </w:rPr>
        <w:t>Cost of Sales</w:t>
      </w:r>
    </w:p>
    <w:p>
      <w:pPr>
        <w:spacing w:after="0" w:line="9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cost of sales decreased by €2,395.2 million or 80% from €2,995.0 million to €599.8 million, mainly due to recognizing lower cost of sales from our decreased COVID-19 vaccine sales, which included the share of gross profit that we owe our collaboration partner Pfizer based on our sales. In addition, cost of sales was impacted by expenses arising from inventory write-offs and expenses for production capacities derived from contracts with CMOs that became redundant. The effects were driven by reducing production capacities as well as further fostering the global production network with our collaboration partners during the year ended December 31, 2023. Based on the regulatory approval obtained with respect to our Omicron XBB.1.5-adapted monovalent COVID -19 vaccine during the third quarter of 2023, we reversed the initial write-down of pre-launch inventory recorded in research and development expensed to a maximum of the original cost of € 46.9 million. Thereof €27.3 million resulted in cost of sales during the year ended December 31, 2023 as the respective inventory has been either sold or written down. The remainder is presented in inventories as of December 31, 2023 and amounted to €19.6 million. With respect to the year ended December 31, 2022 the amount was nil.</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research and development expenses increased by €246.1 million or 16% from €1,537.0 million to €1,783.1 million, mainly influenced by progressing clinical studies for pipeline candidates as well as by our newly acquired product candidates and the development of variant adapted COVID-19 vaccines. The increase was further driven by an increase in wages, benefits and social security expenses resulting from a significant increase in headcount.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sales and marketing expenses increased by €3.2 million or 5% from €59.5 million to €62.7 million, mainly due to increased expenses for setup and enhancement of commercial IT platforms and an increase in wages, benefits and social security expenses resulting from an increase in headcount.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From the year ended December 31, 2022 to the year ended December 31, 2023, our general and administrative expenses increased by €13.3 million or 3% from €481.7 million to €495.0 million, mainly influenced by increased expenses for IT services as well as by wages, benefits and social security expenses resulting from an increase in headcount.</w:t>
      </w:r>
    </w:p>
    <w:p>
      <w:pPr>
        <w:spacing w:after="0" w:line="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7.2</w:t>
      </w:r>
      <w:r>
        <w:rPr>
          <w:sz w:val="20"/>
          <w:szCs w:val="20"/>
          <w:color w:val="auto"/>
        </w:rPr>
        <w:tab/>
      </w:r>
      <w:r>
        <w:rPr>
          <w:rFonts w:ascii="Times New Roman" w:cs="Times New Roman" w:eastAsia="Times New Roman" w:hAnsi="Times New Roman"/>
          <w:sz w:val="14"/>
          <w:szCs w:val="14"/>
          <w:b w:val="1"/>
          <w:bCs w:val="1"/>
          <w:color w:val="auto"/>
        </w:rPr>
        <w:t>Other 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60" w:type="dxa"/>
            <w:vAlign w:val="bottom"/>
          </w:tcPr>
          <w:p>
            <w:pPr>
              <w:spacing w:after="0"/>
              <w:rPr>
                <w:sz w:val="16"/>
                <w:szCs w:val="16"/>
                <w:color w:val="auto"/>
              </w:rPr>
            </w:pPr>
          </w:p>
        </w:tc>
      </w:tr>
      <w:tr>
        <w:trPr>
          <w:trHeight w:val="206"/>
        </w:trPr>
        <w:tc>
          <w:tcPr>
            <w:tcW w:w="5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Pr>
          <w:p>
            <w:pPr>
              <w:spacing w:after="0"/>
              <w:rPr>
                <w:sz w:val="17"/>
                <w:szCs w:val="17"/>
                <w:color w:val="auto"/>
              </w:rPr>
            </w:pPr>
          </w:p>
        </w:tc>
      </w:tr>
      <w:tr>
        <w:trPr>
          <w:trHeight w:val="216"/>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Foreign exchange differences, net</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Loss on derivative instruments at fair value through profit or loss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312"/>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Litigation costs</w:t>
            </w:r>
            <w:r>
              <w:rPr>
                <w:rFonts w:ascii="Times New Roman" w:cs="Times New Roman" w:eastAsia="Times New Roman" w:hAnsi="Times New Roman"/>
                <w:sz w:val="9"/>
                <w:szCs w:val="9"/>
                <w:color w:val="auto"/>
              </w:rPr>
              <w:t>(1)</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331"/>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293.0</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410.0</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103.4</w:t>
            </w:r>
          </w:p>
        </w:tc>
      </w:tr>
    </w:tbl>
    <w:p>
      <w:pPr>
        <w:spacing w:after="0" w:line="108" w:lineRule="exact"/>
        <w:rPr>
          <w:sz w:val="20"/>
          <w:szCs w:val="20"/>
          <w:color w:val="auto"/>
        </w:rPr>
      </w:pPr>
    </w:p>
    <w:p>
      <w:pPr>
        <w:ind w:left="240" w:right="20" w:hanging="234"/>
        <w:spacing w:after="0" w:line="258" w:lineRule="auto"/>
        <w:tabs>
          <w:tab w:leader="none" w:pos="44" w:val="left"/>
        </w:tabs>
        <w:numPr>
          <w:ilvl w:val="0"/>
          <w:numId w:val="19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1 )</w:t>
      </w:r>
      <w:r>
        <w:rPr>
          <w:rFonts w:ascii="Times New Roman" w:cs="Times New Roman" w:eastAsia="Times New Roman" w:hAnsi="Times New Roman"/>
          <w:sz w:val="13"/>
          <w:szCs w:val="13"/>
          <w:color w:val="auto"/>
        </w:rPr>
        <w:t xml:space="preserve"> Adjustments to prior-year figures relate to costs for external legal advice in connection with certain legal litigations from general and administrative expenses to other operating expense to reflect changes in internal reporting also in the external reporting.</w:t>
      </w:r>
    </w:p>
    <w:p>
      <w:pPr>
        <w:spacing w:after="0" w:line="157"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the other expenses increased compared to the year ended December 31, 2022, which was mainly derived from recognizing foreign exchange differences arising on operating items. The foreign exchange differences included in operating expenses primarily arose from valuing our U.S. dollar-denominated trade receivables which were mainly incurred under our COVID-19 collaboration with Pfizer, U.S. dollar-denominated trade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9" w:name="page280"/>
    <w:bookmarkEnd w:id="27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payables as well as U.S. dollar-denominated other financial liabilities which mainly relate to obligations incurred from our license agreements.</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2022, the other operating expenses increased compared to the year ended December 31, 2021, mainly from recording the change in fair value of foreign exchange forward contracts that were entered into during the year ended December 31, 2022, to manage some of our transaction exposures but were not designated as hedging instruments under IFRS.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7.3  Other Operating Income</w:t>
            </w: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5"/>
        </w:trPr>
        <w:tc>
          <w:tcPr>
            <w:tcW w:w="59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60" w:type="dxa"/>
            <w:vAlign w:val="bottom"/>
          </w:tcPr>
          <w:p>
            <w:pPr>
              <w:spacing w:after="0"/>
              <w:rPr>
                <w:sz w:val="23"/>
                <w:szCs w:val="23"/>
                <w:color w:val="auto"/>
              </w:rPr>
            </w:pPr>
          </w:p>
        </w:tc>
      </w:tr>
      <w:tr>
        <w:trPr>
          <w:trHeight w:val="206"/>
        </w:trPr>
        <w:tc>
          <w:tcPr>
            <w:tcW w:w="5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Pr>
          <w:p>
            <w:pPr>
              <w:spacing w:after="0"/>
              <w:rPr>
                <w:sz w:val="17"/>
                <w:szCs w:val="17"/>
                <w:color w:val="auto"/>
              </w:rPr>
            </w:pPr>
          </w:p>
        </w:tc>
      </w:tr>
      <w:tr>
        <w:trPr>
          <w:trHeight w:val="216"/>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Gain on derivative instruments at fair value through profit or loss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Government grants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6"/>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Foreign exchange differences, net</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446.3</w:t>
            </w:r>
          </w:p>
        </w:tc>
      </w:tr>
      <w:tr>
        <w:trPr>
          <w:trHeight w:val="217"/>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105.0</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815.3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598.4</w:t>
            </w:r>
          </w:p>
        </w:tc>
      </w:tr>
    </w:tbl>
    <w:p>
      <w:pPr>
        <w:spacing w:after="0" w:line="25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other income decreased compared to the year ended December 31, 2022, as foreign exchange differences arising on operating items changed from a positive effect to a negative effect, which is recorded in other operating expenses (see Note 7.2).</w:t>
      </w:r>
    </w:p>
    <w:p>
      <w:pPr>
        <w:spacing w:after="0" w:line="155"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2022, the other income increased compared to the year ended December 31, 2021, which was mainly due to recognizing foreign exchange differences arising on operating items. The foreign exchange differences included in operating income primarily arose from valuing our U.S. dollar-denominated trade receivables which were mainly incurred under our COVID-19 collaboration with Pfizer, U.S. dollar-denominated trade payables as well as U.S. dollar-denominated other financial liabilities which mainly relate to obligations incurred from our license agreements.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7.4  Finance Income</w:t>
            </w:r>
          </w:p>
        </w:tc>
        <w:tc>
          <w:tcPr>
            <w:tcW w:w="1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87"/>
        </w:trPr>
        <w:tc>
          <w:tcPr>
            <w:tcW w:w="5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20" w:type="dxa"/>
            <w:vAlign w:val="bottom"/>
          </w:tcPr>
          <w:p>
            <w:pPr>
              <w:spacing w:after="0"/>
              <w:rPr>
                <w:sz w:val="24"/>
                <w:szCs w:val="24"/>
                <w:color w:val="auto"/>
              </w:rPr>
            </w:pPr>
          </w:p>
        </w:tc>
      </w:tr>
      <w:tr>
        <w:trPr>
          <w:trHeight w:val="205"/>
        </w:trPr>
        <w:tc>
          <w:tcPr>
            <w:tcW w:w="5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6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20" w:type="dxa"/>
            <w:vAlign w:val="bottom"/>
          </w:tcPr>
          <w:p>
            <w:pPr>
              <w:spacing w:after="0"/>
              <w:rPr>
                <w:sz w:val="17"/>
                <w:szCs w:val="17"/>
                <w:color w:val="auto"/>
              </w:rPr>
            </w:pPr>
          </w:p>
        </w:tc>
      </w:tr>
      <w:tr>
        <w:trPr>
          <w:trHeight w:val="217"/>
        </w:trPr>
        <w:tc>
          <w:tcPr>
            <w:tcW w:w="59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59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Fair value adjustments of financial instruments measured at fair value</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Foreign exchange differences, net</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08"/>
        </w:trPr>
        <w:tc>
          <w:tcPr>
            <w:tcW w:w="59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519.6</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330.3</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r>
    </w:tbl>
    <w:p>
      <w:pPr>
        <w:spacing w:after="0" w:line="251"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finance income increased compared to the year ended December 31, 2022, mainly due to interest income earned on bank deposits and financial securities as well as fair value adjustments in relation to our money market funds.</w:t>
      </w:r>
    </w:p>
    <w:p>
      <w:pPr>
        <w:spacing w:after="0" w:line="59"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2022, the finance income included the final fair value measurement adjustments of the derivative embedded within the convertible note upon the early redemption of the convertible note as of March 1, 2022, the redemption date, as well as interest income from our bank deposits and increased compared to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0" w:name="page281"/>
    <w:bookmarkEnd w:id="28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7.5  Finance Expenses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75"/>
        </w:trPr>
        <w:tc>
          <w:tcPr>
            <w:tcW w:w="5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60" w:type="dxa"/>
            <w:vAlign w:val="bottom"/>
          </w:tcPr>
          <w:p>
            <w:pPr>
              <w:spacing w:after="0"/>
              <w:rPr>
                <w:sz w:val="23"/>
                <w:szCs w:val="23"/>
                <w:color w:val="auto"/>
              </w:rPr>
            </w:pPr>
          </w:p>
        </w:tc>
      </w:tr>
      <w:tr>
        <w:trPr>
          <w:trHeight w:val="206"/>
        </w:trPr>
        <w:tc>
          <w:tcPr>
            <w:tcW w:w="5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Pr>
          <w:p>
            <w:pPr>
              <w:spacing w:after="0"/>
              <w:rPr>
                <w:sz w:val="17"/>
                <w:szCs w:val="17"/>
                <w:color w:val="auto"/>
              </w:rPr>
            </w:pPr>
          </w:p>
        </w:tc>
      </w:tr>
      <w:tr>
        <w:trPr>
          <w:trHeight w:val="217"/>
        </w:trPr>
        <w:tc>
          <w:tcPr>
            <w:tcW w:w="59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Foreign exchange differences, net</w:t>
            </w:r>
          </w:p>
        </w:tc>
        <w:tc>
          <w:tcPr>
            <w:tcW w:w="15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Fair value adjustments of financial instruments measured at fair value</w:t>
            </w:r>
          </w:p>
        </w:tc>
        <w:tc>
          <w:tcPr>
            <w:tcW w:w="15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17"/>
        </w:trPr>
        <w:tc>
          <w:tcPr>
            <w:tcW w:w="59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8"/>
        </w:trPr>
        <w:tc>
          <w:tcPr>
            <w:tcW w:w="59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305.1</w:t>
            </w:r>
          </w:p>
        </w:tc>
      </w:tr>
    </w:tbl>
    <w:p>
      <w:pPr>
        <w:spacing w:after="0" w:line="25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finance expenses increased compared to the year ended December 31, 2022, mainly due to exchange differences derived from our foreign exchange bank deposits and cash accounts.</w:t>
      </w:r>
    </w:p>
    <w:p>
      <w:pPr>
        <w:spacing w:after="0" w:line="5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2022, the finance expenses decreased compared to the year ended December 31, 2021, mainly due to final settlement of the derivative embedded within the convertible note which led to financial income whereas during the year ended December 31, 2021, expenses in the amount of €277.8 million were derived from the respective fair value measurement adjustment.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7.6  Employee Benefits Expense</w:t>
            </w: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87"/>
        </w:trPr>
        <w:tc>
          <w:tcPr>
            <w:tcW w:w="5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8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Pr>
          <w:p>
            <w:pPr>
              <w:spacing w:after="0"/>
              <w:rPr>
                <w:sz w:val="17"/>
                <w:szCs w:val="17"/>
                <w:color w:val="auto"/>
              </w:rPr>
            </w:pPr>
          </w:p>
        </w:tc>
      </w:tr>
      <w:tr>
        <w:trPr>
          <w:trHeight w:val="217"/>
        </w:trPr>
        <w:tc>
          <w:tcPr>
            <w:tcW w:w="5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Wages and salaries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544.8</w:t>
            </w:r>
          </w:p>
        </w:tc>
        <w:tc>
          <w:tcPr>
            <w:tcW w:w="15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345.9</w:t>
            </w:r>
          </w:p>
        </w:tc>
      </w:tr>
      <w:tr>
        <w:trPr>
          <w:trHeight w:val="216"/>
        </w:trPr>
        <w:tc>
          <w:tcPr>
            <w:tcW w:w="5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Social security costs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5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7"/>
        </w:trPr>
        <w:tc>
          <w:tcPr>
            <w:tcW w:w="5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Pension costs</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5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5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698.6</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605.5</w:t>
            </w:r>
          </w:p>
        </w:tc>
        <w:tc>
          <w:tcPr>
            <w:tcW w:w="15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378.8</w:t>
            </w:r>
          </w:p>
        </w:tc>
      </w:tr>
    </w:tbl>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Wages and salaries include, among other things, expenses for share-based payments.</w:t>
      </w:r>
    </w:p>
    <w:p>
      <w:pPr>
        <w:spacing w:after="0" w:line="186" w:lineRule="exact"/>
        <w:rPr>
          <w:sz w:val="20"/>
          <w:szCs w:val="20"/>
          <w:color w:val="auto"/>
        </w:rPr>
      </w:pPr>
    </w:p>
    <w:p>
      <w:pPr>
        <w:ind w:left="240" w:hanging="234"/>
        <w:spacing w:after="0"/>
        <w:tabs>
          <w:tab w:leader="none" w:pos="240"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w:t>
      </w:r>
    </w:p>
    <w:p>
      <w:pPr>
        <w:spacing w:after="0" w:line="9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Income tax for the years ended December 31, 2023, December 31, 2022, and December 31, 2021, comprised current income taxes, other taxes and deferred taxes. We are subject to corporate taxes, the solidarity surcharge and trade taxes. Our corporate tax rate in the reporting year remained unchanged (15.0%) as did the solidarity surcharge (5.5%) whereas the average trade tax rate changed resulting in a combined income tax rate of 27.1% in the year ended December 31, 2023 (during the years ended December 31, 2022 and 2021: 27.2% and 30.7%, respectively) . Deferred taxes are calculated at a rate of 27.1%. Current taxes for Austria are calculated at a corporate tax rate of 24.0%. Austria’s decrease of its corporate tax rate down to 23.0% in 2024 is be recognized from 2023 onwards for deferred taxes. BioNTech USA Holding, LLC is subject to Federal Corporate Income Tax (21.0%) as well as State Income Tax in various state jurisdictions (effective rate of 4.5%). The deferred tax rates calculations basis remained unchanged compared to the previous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6"/>
              </w:rPr>
              <w:t>The following table illustrates the current and deferred taxes for the periods indicated:</w:t>
            </w: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83"/>
        </w:trPr>
        <w:tc>
          <w:tcPr>
            <w:tcW w:w="5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640" w:type="dxa"/>
            <w:vAlign w:val="bottom"/>
          </w:tcPr>
          <w:p>
            <w:pPr>
              <w:spacing w:after="0"/>
              <w:rPr>
                <w:sz w:val="24"/>
                <w:szCs w:val="24"/>
                <w:color w:val="auto"/>
              </w:rPr>
            </w:pPr>
          </w:p>
        </w:tc>
      </w:tr>
      <w:tr>
        <w:trPr>
          <w:trHeight w:val="206"/>
        </w:trPr>
        <w:tc>
          <w:tcPr>
            <w:tcW w:w="5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tcPr>
          <w:p>
            <w:pPr>
              <w:spacing w:after="0"/>
              <w:rPr>
                <w:sz w:val="17"/>
                <w:szCs w:val="17"/>
                <w:color w:val="auto"/>
              </w:rPr>
            </w:pPr>
          </w:p>
        </w:tc>
      </w:tr>
      <w:tr>
        <w:trPr>
          <w:trHeight w:val="216"/>
        </w:trPr>
        <w:tc>
          <w:tcPr>
            <w:tcW w:w="57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7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Current income taxes</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3,629.6</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4,535.0</w:t>
            </w:r>
          </w:p>
        </w:tc>
      </w:tr>
      <w:tr>
        <w:trPr>
          <w:trHeight w:val="217"/>
        </w:trPr>
        <w:tc>
          <w:tcPr>
            <w:tcW w:w="57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r>
      <w:tr>
        <w:trPr>
          <w:trHeight w:val="208"/>
        </w:trPr>
        <w:tc>
          <w:tcPr>
            <w:tcW w:w="57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5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255.8</w:t>
            </w:r>
          </w:p>
        </w:tc>
        <w:tc>
          <w:tcPr>
            <w:tcW w:w="1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3,519.7</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1" w:name="page282"/>
    <w:bookmarkEnd w:id="28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reconciles the expected income taxes to the income tax expenses. The expected income taxes were calculated using the combined income tax rate of BioNTech SE applicable to the Group and mentioned above which was applied to profit before taxes to calculate the expected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820" w:type="dxa"/>
            <w:vAlign w:val="bottom"/>
          </w:tcPr>
          <w:p>
            <w:pPr>
              <w:spacing w:after="0"/>
              <w:rPr>
                <w:sz w:val="16"/>
                <w:szCs w:val="16"/>
                <w:color w:val="auto"/>
              </w:rPr>
            </w:pPr>
          </w:p>
        </w:tc>
      </w:tr>
      <w:tr>
        <w:trPr>
          <w:trHeight w:val="206"/>
        </w:trPr>
        <w:tc>
          <w:tcPr>
            <w:tcW w:w="5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20" w:type="dxa"/>
            <w:vAlign w:val="bottom"/>
          </w:tcPr>
          <w:p>
            <w:pPr>
              <w:spacing w:after="0"/>
              <w:rPr>
                <w:sz w:val="17"/>
                <w:szCs w:val="17"/>
                <w:color w:val="auto"/>
              </w:rPr>
            </w:pPr>
          </w:p>
        </w:tc>
      </w:tr>
      <w:tr>
        <w:trPr>
          <w:trHeight w:val="322"/>
        </w:trPr>
        <w:tc>
          <w:tcPr>
            <w:tcW w:w="53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20" w:type="dxa"/>
            <w:vAlign w:val="bottom"/>
            <w:tcBorders>
              <w:bottom w:val="single" w:sz="8" w:color="70AD47"/>
              <w:right w:val="single" w:sz="8" w:color="70AD47"/>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20" w:type="dxa"/>
            <w:vAlign w:val="bottom"/>
            <w:tcBorders>
              <w:bottom w:val="single" w:sz="8" w:color="70AD47"/>
              <w:right w:val="single" w:sz="8" w:color="70AD47"/>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3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Profit before tax</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1,186.1</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12,954.1</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15,046.4</w:t>
            </w:r>
          </w:p>
        </w:tc>
      </w:tr>
      <w:tr>
        <w:trPr>
          <w:trHeight w:val="435"/>
        </w:trPr>
        <w:tc>
          <w:tcPr>
            <w:tcW w:w="53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tax credit</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3,529.7</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4,622.5</w:t>
            </w:r>
          </w:p>
        </w:tc>
      </w:tr>
      <w:tr>
        <w:trPr>
          <w:trHeight w:val="456"/>
        </w:trPr>
        <w:tc>
          <w:tcPr>
            <w:tcW w:w="53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Effects</w:t>
            </w:r>
          </w:p>
        </w:tc>
        <w:tc>
          <w:tcPr>
            <w:tcW w:w="1500" w:type="dxa"/>
            <w:vAlign w:val="bottom"/>
            <w:tcBorders>
              <w:right w:val="single" w:sz="8" w:color="70AD47"/>
            </w:tcBorders>
            <w:shd w:val="clear" w:color="auto" w:fill="C6E0B4"/>
          </w:tcPr>
          <w:p>
            <w:pPr>
              <w:spacing w:after="0"/>
              <w:rPr>
                <w:sz w:val="24"/>
                <w:szCs w:val="24"/>
                <w:color w:val="auto"/>
              </w:rPr>
            </w:pPr>
          </w:p>
        </w:tc>
        <w:tc>
          <w:tcPr>
            <w:tcW w:w="1820" w:type="dxa"/>
            <w:vAlign w:val="bottom"/>
            <w:tcBorders>
              <w:right w:val="single" w:sz="8" w:color="70AD47"/>
            </w:tcBorders>
          </w:tcPr>
          <w:p>
            <w:pPr>
              <w:spacing w:after="0"/>
              <w:rPr>
                <w:sz w:val="24"/>
                <w:szCs w:val="24"/>
                <w:color w:val="auto"/>
              </w:rPr>
            </w:pPr>
          </w:p>
        </w:tc>
        <w:tc>
          <w:tcPr>
            <w:tcW w:w="1820" w:type="dxa"/>
            <w:vAlign w:val="bottom"/>
            <w:tcBorders>
              <w:right w:val="single" w:sz="8" w:color="70AD47"/>
            </w:tcBorders>
          </w:tcPr>
          <w:p>
            <w:pPr>
              <w:spacing w:after="0"/>
              <w:rPr>
                <w:sz w:val="24"/>
                <w:szCs w:val="24"/>
                <w:color w:val="auto"/>
              </w:rPr>
            </w:pP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Deviation due to local tax basis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Deviation due to deviating income tax rate (Germany and foreign countries)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Effects from tax losses and tax credits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Change in deferred taxes due to tax rate change</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Non-deductible expenses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 tax-effective income</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 tax-effective share-based payment expenses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Tax-effective equity transaction costs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Adjustment prior year taxes</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53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Non-tax effective bargain purchase</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7"/>
        </w:trPr>
        <w:tc>
          <w:tcPr>
            <w:tcW w:w="53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effects</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8"/>
        </w:trPr>
        <w:tc>
          <w:tcPr>
            <w:tcW w:w="53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255.8</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3,519.7</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4,753.9</w:t>
            </w:r>
          </w:p>
        </w:tc>
      </w:tr>
      <w:tr>
        <w:trPr>
          <w:trHeight w:val="310"/>
        </w:trPr>
        <w:tc>
          <w:tcPr>
            <w:tcW w:w="53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21.6 %</w:t>
            </w:r>
          </w:p>
        </w:tc>
        <w:tc>
          <w:tcPr>
            <w:tcW w:w="1820" w:type="dxa"/>
            <w:vAlign w:val="bottom"/>
            <w:tcBorders>
              <w:bottom w:val="single" w:sz="8" w:color="70AD47"/>
              <w:right w:val="single" w:sz="8" w:color="70AD47"/>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27.2%</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r>
    </w:tbl>
    <w:p>
      <w:pPr>
        <w:spacing w:after="0" w:line="251"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On November 15, 2018, we established a share option program pursuant to which we were permitted to grant selected employees and our Management Board options to receive shares in the Company. The program is designed as an Employee Stock Ownership Plan, or ESOP. We offered the participants a certain number of rights, or option rights, subject to their explicit acceptance. Grants under the ESOP took place from November 2018 until December 2019. An exercise of option rights in accordance with the terms of the ESOP gives a participant the right to obtain shares against payment of the exercise price. By way of an updated decision of the Supervisory Board at the end of September 2022 compared to the initial settlement mechanism, an ESOP settlement may be made by delivery to the participant of such number of ADSs equal to the net value of the exercised option rights after deduction of (i) the exercise price and (ii) the applicable wage taxes (including solidarity surcharge thereon and church tax, if applicable) and social security contributions resulting from such exercise. The respective number of ADS shall be settled with ADS acquired in the course of the share repurchase program. The applicable wage taxes (including solidarity surcharge thereon and church tax, if applicable) and social security contributions resulting from such exercise are paid in cash directly to the respective authorities. Expenses for taxation purposes resulting from the settlement are only recognized once the option rights have been exercised. After considering the settlements in the twelve months ended December 31, 2023 and taking into account the recognition criteria of IAS 12, a deferred tax is not recognized in our consolidated statement of financial position of €17.8 million which relates to future settlements.</w:t>
      </w:r>
    </w:p>
    <w:p>
      <w:pPr>
        <w:spacing w:after="0" w:line="32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current tax savings associated with the excess were directly recognized in equity in a total amount of € 19.8 million. Considering these tax amounts directly recognized in equity when calculating an effective tax rate, the tax rate would be decreased by about 1.6 percentage points.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intended settlement mechanism of Option Rights of the Chief Executive Officer Grant (see Note 16.4 for plan details) led to a deferred tax asset in the total amount of €108.8 million as of December 31, 2023. Taking into account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2" w:name="page283"/>
    <w:bookmarkEnd w:id="28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recognition criteria of IAS 12 this deferred tax asset is not recognized in our consolidated statements of profit or loss neither recognized directly in equity as other reserves in our consolidated statements of changes in stockholders’ equity.</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taxes for the periods indicated relate to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60" w:type="dxa"/>
            <w:vAlign w:val="bottom"/>
            <w:tcBorders>
              <w:right w:val="single" w:sz="8" w:color="70AD47"/>
            </w:tcBorders>
          </w:tcPr>
          <w:p>
            <w:pPr>
              <w:spacing w:after="0"/>
              <w:rPr>
                <w:sz w:val="15"/>
                <w:szCs w:val="15"/>
                <w:color w:val="auto"/>
              </w:rPr>
            </w:pPr>
          </w:p>
        </w:tc>
        <w:tc>
          <w:tcPr>
            <w:tcW w:w="1240" w:type="dxa"/>
            <w:vAlign w:val="bottom"/>
            <w:tcBorders>
              <w:right w:val="single" w:sz="8" w:color="70AD47"/>
            </w:tcBorders>
            <w:shd w:val="clear" w:color="auto" w:fill="C5E0B4"/>
          </w:tcPr>
          <w:p>
            <w:pPr>
              <w:jc w:val="right"/>
              <w:ind w:right="2"/>
              <w:spacing w:after="0" w:line="178"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138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Recognized in P&amp;L</w:t>
            </w:r>
          </w:p>
        </w:tc>
        <w:tc>
          <w:tcPr>
            <w:tcW w:w="1380" w:type="dxa"/>
            <w:vAlign w:val="bottom"/>
            <w:tcBorders>
              <w:right w:val="single" w:sz="8" w:color="70AD47"/>
            </w:tcBorders>
            <w:shd w:val="clear" w:color="auto" w:fill="C5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Recognized in OCI</w:t>
            </w:r>
          </w:p>
        </w:tc>
        <w:tc>
          <w:tcPr>
            <w:tcW w:w="1400" w:type="dxa"/>
            <w:vAlign w:val="bottom"/>
            <w:tcBorders>
              <w:right w:val="single" w:sz="8" w:color="70AD47"/>
            </w:tcBorders>
            <w:shd w:val="clear" w:color="auto" w:fill="C5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9"/>
              </w:rPr>
              <w:t>Recognized directly</w:t>
            </w:r>
          </w:p>
        </w:tc>
        <w:tc>
          <w:tcPr>
            <w:tcW w:w="132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2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tcBorders>
              <w:bottom w:val="single" w:sz="8" w:color="70AD47"/>
              <w:right w:val="single" w:sz="8" w:color="70AD47"/>
            </w:tcBorders>
            <w:shd w:val="clear" w:color="auto" w:fill="C6E0B4"/>
          </w:tcPr>
          <w:p>
            <w:pPr>
              <w:spacing w:after="0"/>
              <w:rPr>
                <w:sz w:val="17"/>
                <w:szCs w:val="17"/>
                <w:color w:val="auto"/>
              </w:rPr>
            </w:pPr>
          </w:p>
        </w:tc>
        <w:tc>
          <w:tcPr>
            <w:tcW w:w="1380" w:type="dxa"/>
            <w:vAlign w:val="bottom"/>
            <w:tcBorders>
              <w:bottom w:val="single" w:sz="8" w:color="70AD47"/>
              <w:right w:val="single" w:sz="8" w:color="70AD47"/>
            </w:tcBorders>
            <w:shd w:val="clear" w:color="auto" w:fill="C5E0B4"/>
          </w:tcPr>
          <w:p>
            <w:pPr>
              <w:spacing w:after="0"/>
              <w:rPr>
                <w:sz w:val="17"/>
                <w:szCs w:val="17"/>
                <w:color w:val="auto"/>
              </w:rPr>
            </w:pPr>
          </w:p>
        </w:tc>
        <w:tc>
          <w:tcPr>
            <w:tcW w:w="14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in equity</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Net employee defined benefit liabilities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provisions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6"/>
        </w:trPr>
        <w:tc>
          <w:tcPr>
            <w:tcW w:w="38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(incl. deferred expenses)</w:t>
            </w:r>
          </w:p>
        </w:tc>
        <w:tc>
          <w:tcPr>
            <w:tcW w:w="12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Tax losses / tax credits</w:t>
            </w:r>
          </w:p>
        </w:tc>
        <w:tc>
          <w:tcPr>
            <w:tcW w:w="1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 net (before valuation adjustment)</w:t>
            </w:r>
          </w:p>
        </w:tc>
        <w:tc>
          <w:tcPr>
            <w:tcW w:w="1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360.1</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(77.8)</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(102.7)</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179.6</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Valuation adjustment</w:t>
            </w:r>
          </w:p>
        </w:tc>
        <w:tc>
          <w:tcPr>
            <w:tcW w:w="1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170"/>
        </w:trPr>
        <w:tc>
          <w:tcPr>
            <w:tcW w:w="386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Deferred tax assets / (liabilities), net (after valuation</w:t>
            </w:r>
          </w:p>
        </w:tc>
        <w:tc>
          <w:tcPr>
            <w:tcW w:w="124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223.4</w:t>
            </w:r>
          </w:p>
        </w:tc>
        <w:tc>
          <w:tcPr>
            <w:tcW w:w="13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3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(169.1)</w:t>
            </w:r>
          </w:p>
        </w:tc>
        <w:tc>
          <w:tcPr>
            <w:tcW w:w="132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0" w:type="dxa"/>
            <w:vAlign w:val="bottom"/>
          </w:tcPr>
          <w:p>
            <w:pPr>
              <w:spacing w:after="0"/>
              <w:rPr>
                <w:sz w:val="1"/>
                <w:szCs w:val="1"/>
                <w:color w:val="auto"/>
              </w:rPr>
            </w:pPr>
          </w:p>
        </w:tc>
      </w:tr>
      <w:tr>
        <w:trPr>
          <w:trHeight w:val="121"/>
        </w:trPr>
        <w:tc>
          <w:tcPr>
            <w:tcW w:w="38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40" w:type="dxa"/>
            <w:vAlign w:val="bottom"/>
            <w:tcBorders>
              <w:right w:val="single" w:sz="8" w:color="70AD47"/>
            </w:tcBorders>
            <w:vMerge w:val="continue"/>
            <w:shd w:val="clear" w:color="auto" w:fill="C6E0B4"/>
          </w:tcPr>
          <w:p>
            <w:pPr>
              <w:spacing w:after="0"/>
              <w:rPr>
                <w:sz w:val="10"/>
                <w:szCs w:val="10"/>
                <w:color w:val="auto"/>
              </w:rPr>
            </w:pPr>
          </w:p>
        </w:tc>
        <w:tc>
          <w:tcPr>
            <w:tcW w:w="1380" w:type="dxa"/>
            <w:vAlign w:val="bottom"/>
            <w:tcBorders>
              <w:right w:val="single" w:sz="8" w:color="70AD47"/>
            </w:tcBorders>
            <w:vMerge w:val="continue"/>
            <w:shd w:val="clear" w:color="auto" w:fill="C6E0B4"/>
          </w:tcPr>
          <w:p>
            <w:pPr>
              <w:spacing w:after="0"/>
              <w:rPr>
                <w:sz w:val="10"/>
                <w:szCs w:val="10"/>
                <w:color w:val="auto"/>
              </w:rPr>
            </w:pPr>
          </w:p>
        </w:tc>
        <w:tc>
          <w:tcPr>
            <w:tcW w:w="1380" w:type="dxa"/>
            <w:vAlign w:val="bottom"/>
            <w:tcBorders>
              <w:right w:val="single" w:sz="8" w:color="70AD47"/>
            </w:tcBorders>
            <w:vMerge w:val="continue"/>
            <w:shd w:val="clear" w:color="auto" w:fill="C6E0B4"/>
          </w:tcPr>
          <w:p>
            <w:pPr>
              <w:spacing w:after="0"/>
              <w:rPr>
                <w:sz w:val="10"/>
                <w:szCs w:val="10"/>
                <w:color w:val="auto"/>
              </w:rPr>
            </w:pPr>
          </w:p>
        </w:tc>
        <w:tc>
          <w:tcPr>
            <w:tcW w:w="1400" w:type="dxa"/>
            <w:vAlign w:val="bottom"/>
            <w:tcBorders>
              <w:right w:val="single" w:sz="8" w:color="70AD47"/>
            </w:tcBorders>
            <w:vMerge w:val="continue"/>
            <w:shd w:val="clear" w:color="auto" w:fill="C6E0B4"/>
          </w:tcPr>
          <w:p>
            <w:pPr>
              <w:spacing w:after="0"/>
              <w:rPr>
                <w:sz w:val="10"/>
                <w:szCs w:val="10"/>
                <w:color w:val="auto"/>
              </w:rPr>
            </w:pPr>
          </w:p>
        </w:tc>
        <w:tc>
          <w:tcPr>
            <w:tcW w:w="1320" w:type="dxa"/>
            <w:vAlign w:val="bottom"/>
            <w:tcBorders>
              <w:right w:val="single" w:sz="8" w:color="70AD47"/>
            </w:tcBorders>
            <w:vMerge w:val="continue"/>
            <w:shd w:val="clear" w:color="auto" w:fill="C6E0B4"/>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860" w:type="dxa"/>
            <w:vAlign w:val="bottom"/>
            <w:tcBorders>
              <w:bottom w:val="single" w:sz="8" w:color="70AD47"/>
              <w:right w:val="single" w:sz="8" w:color="70AD47"/>
            </w:tcBorders>
            <w:vMerge w:val="continue"/>
          </w:tcPr>
          <w:p>
            <w:pPr>
              <w:spacing w:after="0"/>
              <w:rPr>
                <w:sz w:val="7"/>
                <w:szCs w:val="7"/>
                <w:color w:val="auto"/>
              </w:rPr>
            </w:pPr>
          </w:p>
        </w:tc>
        <w:tc>
          <w:tcPr>
            <w:tcW w:w="1240" w:type="dxa"/>
            <w:vAlign w:val="bottom"/>
            <w:tcBorders>
              <w:bottom w:val="single" w:sz="8" w:color="70AD47"/>
              <w:right w:val="single" w:sz="8" w:color="70AD47"/>
            </w:tcBorders>
            <w:shd w:val="clear" w:color="auto" w:fill="C6E0B4"/>
          </w:tcPr>
          <w:p>
            <w:pPr>
              <w:spacing w:after="0"/>
              <w:rPr>
                <w:sz w:val="7"/>
                <w:szCs w:val="7"/>
                <w:color w:val="auto"/>
              </w:rPr>
            </w:pPr>
          </w:p>
        </w:tc>
        <w:tc>
          <w:tcPr>
            <w:tcW w:w="1380" w:type="dxa"/>
            <w:vAlign w:val="bottom"/>
            <w:tcBorders>
              <w:bottom w:val="single" w:sz="8" w:color="70AD47"/>
              <w:right w:val="single" w:sz="8" w:color="70AD47"/>
            </w:tcBorders>
            <w:shd w:val="clear" w:color="auto" w:fill="C6E0B4"/>
          </w:tcPr>
          <w:p>
            <w:pPr>
              <w:spacing w:after="0"/>
              <w:rPr>
                <w:sz w:val="7"/>
                <w:szCs w:val="7"/>
                <w:color w:val="auto"/>
              </w:rPr>
            </w:pPr>
          </w:p>
        </w:tc>
        <w:tc>
          <w:tcPr>
            <w:tcW w:w="1380" w:type="dxa"/>
            <w:vAlign w:val="bottom"/>
            <w:tcBorders>
              <w:bottom w:val="single" w:sz="8" w:color="70AD47"/>
              <w:right w:val="single" w:sz="8" w:color="70AD47"/>
            </w:tcBorders>
            <w:shd w:val="clear" w:color="auto" w:fill="C6E0B4"/>
          </w:tcPr>
          <w:p>
            <w:pPr>
              <w:spacing w:after="0"/>
              <w:rPr>
                <w:sz w:val="7"/>
                <w:szCs w:val="7"/>
                <w:color w:val="auto"/>
              </w:rPr>
            </w:pPr>
          </w:p>
        </w:tc>
        <w:tc>
          <w:tcPr>
            <w:tcW w:w="1400" w:type="dxa"/>
            <w:vAlign w:val="bottom"/>
            <w:tcBorders>
              <w:bottom w:val="single" w:sz="8" w:color="70AD47"/>
              <w:right w:val="single" w:sz="8" w:color="70AD47"/>
            </w:tcBorders>
            <w:shd w:val="clear" w:color="auto" w:fill="C6E0B4"/>
          </w:tcPr>
          <w:p>
            <w:pPr>
              <w:spacing w:after="0"/>
              <w:rPr>
                <w:sz w:val="7"/>
                <w:szCs w:val="7"/>
                <w:color w:val="auto"/>
              </w:rPr>
            </w:pPr>
          </w:p>
        </w:tc>
        <w:tc>
          <w:tcPr>
            <w:tcW w:w="1320" w:type="dxa"/>
            <w:vAlign w:val="bottom"/>
            <w:tcBorders>
              <w:bottom w:val="single" w:sz="8" w:color="70AD47"/>
              <w:right w:val="single" w:sz="8" w:color="70AD47"/>
            </w:tcBorders>
            <w:shd w:val="clear" w:color="auto" w:fill="C6E0B4"/>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Thereof deferred tax assets</w:t>
            </w:r>
          </w:p>
        </w:tc>
        <w:tc>
          <w:tcPr>
            <w:tcW w:w="1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229.6</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(169.1)</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81.3</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Thereof deferred tax liability</w:t>
            </w:r>
          </w:p>
        </w:tc>
        <w:tc>
          <w:tcPr>
            <w:tcW w:w="12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3" w:name="page284"/>
    <w:bookmarkEnd w:id="28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80" w:type="dxa"/>
            <w:vAlign w:val="bottom"/>
            <w:tcBorders>
              <w:right w:val="single" w:sz="8" w:color="70AD47"/>
            </w:tcBorders>
          </w:tcPr>
          <w:p>
            <w:pPr>
              <w:spacing w:after="0"/>
              <w:rPr>
                <w:sz w:val="15"/>
                <w:szCs w:val="15"/>
                <w:color w:val="auto"/>
              </w:rPr>
            </w:pPr>
          </w:p>
        </w:tc>
        <w:tc>
          <w:tcPr>
            <w:tcW w:w="1240" w:type="dxa"/>
            <w:vAlign w:val="bottom"/>
            <w:tcBorders>
              <w:right w:val="single" w:sz="8" w:color="70AD47"/>
            </w:tcBorders>
          </w:tcPr>
          <w:p>
            <w:pPr>
              <w:jc w:val="right"/>
              <w:ind w:right="2"/>
              <w:spacing w:after="0" w:line="178"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1360" w:type="dxa"/>
            <w:vAlign w:val="bottom"/>
            <w:tcBorders>
              <w:right w:val="single" w:sz="8" w:color="70AD47"/>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8"/>
              </w:rPr>
              <w:t>Recognized in P&amp;L</w:t>
            </w:r>
          </w:p>
        </w:tc>
        <w:tc>
          <w:tcPr>
            <w:tcW w:w="1400" w:type="dxa"/>
            <w:vAlign w:val="bottom"/>
            <w:tcBorders>
              <w:right w:val="single" w:sz="8" w:color="70AD47"/>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Recognized in OCI</w:t>
            </w:r>
          </w:p>
        </w:tc>
        <w:tc>
          <w:tcPr>
            <w:tcW w:w="1380" w:type="dxa"/>
            <w:vAlign w:val="bottom"/>
            <w:tcBorders>
              <w:right w:val="single" w:sz="8" w:color="70AD47"/>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98"/>
              </w:rPr>
              <w:t>Recognized directly</w:t>
            </w:r>
          </w:p>
        </w:tc>
        <w:tc>
          <w:tcPr>
            <w:tcW w:w="1320" w:type="dxa"/>
            <w:vAlign w:val="bottom"/>
            <w:tcBorders>
              <w:right w:val="single" w:sz="8" w:color="70AD47"/>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3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60" w:type="dxa"/>
            <w:vAlign w:val="bottom"/>
            <w:tcBorders>
              <w:bottom w:val="single" w:sz="8" w:color="70AD47"/>
              <w:right w:val="single" w:sz="8" w:color="70AD47"/>
            </w:tcBorders>
          </w:tcPr>
          <w:p>
            <w:pPr>
              <w:spacing w:after="0"/>
              <w:rPr>
                <w:sz w:val="17"/>
                <w:szCs w:val="17"/>
                <w:color w:val="auto"/>
              </w:rPr>
            </w:pPr>
          </w:p>
        </w:tc>
        <w:tc>
          <w:tcPr>
            <w:tcW w:w="1400" w:type="dxa"/>
            <w:vAlign w:val="bottom"/>
            <w:tcBorders>
              <w:bottom w:val="single" w:sz="8" w:color="70AD47"/>
              <w:right w:val="single" w:sz="8" w:color="70AD47"/>
            </w:tcBorders>
          </w:tcPr>
          <w:p>
            <w:pPr>
              <w:spacing w:after="0"/>
              <w:rPr>
                <w:sz w:val="17"/>
                <w:szCs w:val="17"/>
                <w:color w:val="auto"/>
              </w:rPr>
            </w:pP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equity</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Net employee defined benefit liabilities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provisions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6"/>
        </w:trPr>
        <w:tc>
          <w:tcPr>
            <w:tcW w:w="38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(incl. deferred expenses)</w:t>
            </w: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4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7"/>
        </w:trPr>
        <w:tc>
          <w:tcPr>
            <w:tcW w:w="3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Tax losses / tax credits</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4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08"/>
        </w:trPr>
        <w:tc>
          <w:tcPr>
            <w:tcW w:w="3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 net (before valuation adjustment)</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165.6</w:t>
            </w:r>
          </w:p>
        </w:tc>
        <w:tc>
          <w:tcPr>
            <w:tcW w:w="14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179.9</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360.1</w:t>
            </w:r>
          </w:p>
        </w:tc>
        <w:tc>
          <w:tcPr>
            <w:tcW w:w="0" w:type="dxa"/>
            <w:vAlign w:val="bottom"/>
          </w:tcPr>
          <w:p>
            <w:pPr>
              <w:spacing w:after="0"/>
              <w:rPr>
                <w:sz w:val="1"/>
                <w:szCs w:val="1"/>
                <w:color w:val="auto"/>
              </w:rPr>
            </w:pPr>
          </w:p>
        </w:tc>
      </w:tr>
      <w:tr>
        <w:trPr>
          <w:trHeight w:val="208"/>
        </w:trPr>
        <w:tc>
          <w:tcPr>
            <w:tcW w:w="38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Valuation adjustment</w:t>
            </w: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4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170"/>
        </w:trPr>
        <w:tc>
          <w:tcPr>
            <w:tcW w:w="388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Deferred tax assets / (liabilities), net (after valuation</w:t>
            </w:r>
          </w:p>
        </w:tc>
        <w:tc>
          <w:tcPr>
            <w:tcW w:w="12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(66.7)</w:t>
            </w:r>
          </w:p>
        </w:tc>
        <w:tc>
          <w:tcPr>
            <w:tcW w:w="13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109.9</w:t>
            </w:r>
          </w:p>
        </w:tc>
        <w:tc>
          <w:tcPr>
            <w:tcW w:w="14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3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179.9</w:t>
            </w:r>
          </w:p>
        </w:tc>
        <w:tc>
          <w:tcPr>
            <w:tcW w:w="132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223.4</w:t>
            </w:r>
          </w:p>
        </w:tc>
        <w:tc>
          <w:tcPr>
            <w:tcW w:w="0" w:type="dxa"/>
            <w:vAlign w:val="bottom"/>
          </w:tcPr>
          <w:p>
            <w:pPr>
              <w:spacing w:after="0"/>
              <w:rPr>
                <w:sz w:val="1"/>
                <w:szCs w:val="1"/>
                <w:color w:val="auto"/>
              </w:rPr>
            </w:pPr>
          </w:p>
        </w:tc>
      </w:tr>
      <w:tr>
        <w:trPr>
          <w:trHeight w:val="121"/>
        </w:trPr>
        <w:tc>
          <w:tcPr>
            <w:tcW w:w="388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40" w:type="dxa"/>
            <w:vAlign w:val="bottom"/>
            <w:tcBorders>
              <w:right w:val="single" w:sz="8" w:color="70AD47"/>
            </w:tcBorders>
            <w:vMerge w:val="continue"/>
          </w:tcPr>
          <w:p>
            <w:pPr>
              <w:spacing w:after="0"/>
              <w:rPr>
                <w:sz w:val="10"/>
                <w:szCs w:val="10"/>
                <w:color w:val="auto"/>
              </w:rPr>
            </w:pPr>
          </w:p>
        </w:tc>
        <w:tc>
          <w:tcPr>
            <w:tcW w:w="1360" w:type="dxa"/>
            <w:vAlign w:val="bottom"/>
            <w:tcBorders>
              <w:right w:val="single" w:sz="8" w:color="70AD47"/>
            </w:tcBorders>
            <w:vMerge w:val="continue"/>
          </w:tcPr>
          <w:p>
            <w:pPr>
              <w:spacing w:after="0"/>
              <w:rPr>
                <w:sz w:val="10"/>
                <w:szCs w:val="10"/>
                <w:color w:val="auto"/>
              </w:rPr>
            </w:pPr>
          </w:p>
        </w:tc>
        <w:tc>
          <w:tcPr>
            <w:tcW w:w="1400" w:type="dxa"/>
            <w:vAlign w:val="bottom"/>
            <w:tcBorders>
              <w:right w:val="single" w:sz="8" w:color="70AD47"/>
            </w:tcBorders>
            <w:vMerge w:val="continue"/>
          </w:tcPr>
          <w:p>
            <w:pPr>
              <w:spacing w:after="0"/>
              <w:rPr>
                <w:sz w:val="10"/>
                <w:szCs w:val="10"/>
                <w:color w:val="auto"/>
              </w:rPr>
            </w:pPr>
          </w:p>
        </w:tc>
        <w:tc>
          <w:tcPr>
            <w:tcW w:w="1380" w:type="dxa"/>
            <w:vAlign w:val="bottom"/>
            <w:tcBorders>
              <w:right w:val="single" w:sz="8" w:color="70AD47"/>
            </w:tcBorders>
            <w:vMerge w:val="continue"/>
          </w:tcPr>
          <w:p>
            <w:pPr>
              <w:spacing w:after="0"/>
              <w:rPr>
                <w:sz w:val="10"/>
                <w:szCs w:val="10"/>
                <w:color w:val="auto"/>
              </w:rPr>
            </w:pPr>
          </w:p>
        </w:tc>
        <w:tc>
          <w:tcPr>
            <w:tcW w:w="132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880" w:type="dxa"/>
            <w:vAlign w:val="bottom"/>
            <w:tcBorders>
              <w:bottom w:val="single" w:sz="8" w:color="70AD47"/>
              <w:right w:val="single" w:sz="8" w:color="70AD47"/>
            </w:tcBorders>
            <w:vMerge w:val="continue"/>
          </w:tcPr>
          <w:p>
            <w:pPr>
              <w:spacing w:after="0"/>
              <w:rPr>
                <w:sz w:val="7"/>
                <w:szCs w:val="7"/>
                <w:color w:val="auto"/>
              </w:rPr>
            </w:pPr>
          </w:p>
        </w:tc>
        <w:tc>
          <w:tcPr>
            <w:tcW w:w="1240" w:type="dxa"/>
            <w:vAlign w:val="bottom"/>
            <w:tcBorders>
              <w:bottom w:val="single" w:sz="8" w:color="70AD47"/>
              <w:right w:val="single" w:sz="8" w:color="70AD47"/>
            </w:tcBorders>
          </w:tcPr>
          <w:p>
            <w:pPr>
              <w:spacing w:after="0"/>
              <w:rPr>
                <w:sz w:val="7"/>
                <w:szCs w:val="7"/>
                <w:color w:val="auto"/>
              </w:rPr>
            </w:pPr>
          </w:p>
        </w:tc>
        <w:tc>
          <w:tcPr>
            <w:tcW w:w="1360" w:type="dxa"/>
            <w:vAlign w:val="bottom"/>
            <w:tcBorders>
              <w:bottom w:val="single" w:sz="8" w:color="70AD47"/>
              <w:right w:val="single" w:sz="8" w:color="70AD47"/>
            </w:tcBorders>
          </w:tcPr>
          <w:p>
            <w:pPr>
              <w:spacing w:after="0"/>
              <w:rPr>
                <w:sz w:val="7"/>
                <w:szCs w:val="7"/>
                <w:color w:val="auto"/>
              </w:rPr>
            </w:pPr>
          </w:p>
        </w:tc>
        <w:tc>
          <w:tcPr>
            <w:tcW w:w="1400" w:type="dxa"/>
            <w:vAlign w:val="bottom"/>
            <w:tcBorders>
              <w:bottom w:val="single" w:sz="8" w:color="70AD47"/>
              <w:right w:val="single" w:sz="8" w:color="70AD47"/>
            </w:tcBorders>
          </w:tcPr>
          <w:p>
            <w:pPr>
              <w:spacing w:after="0"/>
              <w:rPr>
                <w:sz w:val="7"/>
                <w:szCs w:val="7"/>
                <w:color w:val="auto"/>
              </w:rPr>
            </w:pPr>
          </w:p>
        </w:tc>
        <w:tc>
          <w:tcPr>
            <w:tcW w:w="1380" w:type="dxa"/>
            <w:vAlign w:val="bottom"/>
            <w:tcBorders>
              <w:bottom w:val="single" w:sz="8" w:color="70AD47"/>
              <w:right w:val="single" w:sz="8" w:color="70AD47"/>
            </w:tcBorders>
          </w:tcPr>
          <w:p>
            <w:pPr>
              <w:spacing w:after="0"/>
              <w:rPr>
                <w:sz w:val="7"/>
                <w:szCs w:val="7"/>
                <w:color w:val="auto"/>
              </w:rPr>
            </w:pPr>
          </w:p>
        </w:tc>
        <w:tc>
          <w:tcPr>
            <w:tcW w:w="132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of December 31, 2023, our accumulated tax losses comprised tax losses of German entities that were incurred prior to the establishment of a tax group with BioNTech SE or by entities that are not within the tax group (as of December 31, 2023: BioNTech Real Estate Verwaltungs GmbH; as of December 31, 2022: BioNTech BioNTainer Holding GmbH, BioNTech Idar-Oberstein Services GmbH, NT Security and Services GmbH, BioNTech Real Estate Verwaltungs GmbH and the Real Estate partnerships) or U.S. tax group. Up until the year ended December 31, 2022, our accumulated tax losses also comprised those of the German tax group. Our accumulated tax losses for the periods indicated amounted to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ended</w:t>
            </w:r>
          </w:p>
        </w:tc>
        <w:tc>
          <w:tcPr>
            <w:tcW w:w="1540" w:type="dxa"/>
            <w:vAlign w:val="bottom"/>
          </w:tcPr>
          <w:p>
            <w:pPr>
              <w:spacing w:after="0"/>
              <w:rPr>
                <w:sz w:val="16"/>
                <w:szCs w:val="16"/>
                <w:color w:val="auto"/>
              </w:rPr>
            </w:pPr>
          </w:p>
        </w:tc>
      </w:tr>
      <w:tr>
        <w:trPr>
          <w:trHeight w:val="206"/>
        </w:trPr>
        <w:tc>
          <w:tcPr>
            <w:tcW w:w="5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540" w:type="dxa"/>
            <w:vAlign w:val="bottom"/>
          </w:tcPr>
          <w:p>
            <w:pPr>
              <w:spacing w:after="0"/>
              <w:rPr>
                <w:sz w:val="17"/>
                <w:szCs w:val="17"/>
                <w:color w:val="auto"/>
              </w:rPr>
            </w:pPr>
          </w:p>
        </w:tc>
      </w:tr>
      <w:tr>
        <w:trPr>
          <w:trHeight w:val="216"/>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20" w:type="dxa"/>
            <w:vAlign w:val="bottom"/>
            <w:tcBorders>
              <w:bottom w:val="single" w:sz="8" w:color="70AD47"/>
              <w:right w:val="single" w:sz="8" w:color="C5E0B4"/>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Corporate tax</w:t>
            </w:r>
          </w:p>
        </w:tc>
        <w:tc>
          <w:tcPr>
            <w:tcW w:w="152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r>
      <w:tr>
        <w:trPr>
          <w:trHeight w:val="217"/>
        </w:trPr>
        <w:tc>
          <w:tcPr>
            <w:tcW w:w="59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tax</w:t>
            </w:r>
          </w:p>
        </w:tc>
        <w:tc>
          <w:tcPr>
            <w:tcW w:w="152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458"/>
        </w:trPr>
        <w:tc>
          <w:tcPr>
            <w:tcW w:w="5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Years ended</w:t>
            </w:r>
          </w:p>
        </w:tc>
        <w:tc>
          <w:tcPr>
            <w:tcW w:w="1540" w:type="dxa"/>
            <w:vAlign w:val="bottom"/>
          </w:tcPr>
          <w:p>
            <w:pPr>
              <w:spacing w:after="0"/>
              <w:rPr>
                <w:sz w:val="24"/>
                <w:szCs w:val="24"/>
                <w:color w:val="auto"/>
              </w:rPr>
            </w:pPr>
          </w:p>
        </w:tc>
      </w:tr>
      <w:tr>
        <w:trPr>
          <w:trHeight w:val="206"/>
        </w:trPr>
        <w:tc>
          <w:tcPr>
            <w:tcW w:w="5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540" w:type="dxa"/>
            <w:vAlign w:val="bottom"/>
          </w:tcPr>
          <w:p>
            <w:pPr>
              <w:spacing w:after="0"/>
              <w:rPr>
                <w:sz w:val="17"/>
                <w:szCs w:val="17"/>
                <w:color w:val="auto"/>
              </w:rPr>
            </w:pPr>
          </w:p>
        </w:tc>
      </w:tr>
      <w:tr>
        <w:trPr>
          <w:trHeight w:val="216"/>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Federal tax credits</w:t>
            </w:r>
          </w:p>
        </w:tc>
        <w:tc>
          <w:tcPr>
            <w:tcW w:w="15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5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5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7"/>
        </w:trPr>
        <w:tc>
          <w:tcPr>
            <w:tcW w:w="59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State tax credits</w:t>
            </w:r>
          </w:p>
        </w:tc>
        <w:tc>
          <w:tcPr>
            <w:tcW w:w="15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5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25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Up until the year ended December 31, 2023, deferred tax assets on tax losses were only partially recognized, as there was not sufficient probability in terms of IAS 12 that future taxable profits would have been available against which all the unused tax losses could have been utilized.</w:t>
      </w:r>
    </w:p>
    <w:p>
      <w:pPr>
        <w:spacing w:after="0" w:line="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amount of deductible temporary differences, unused tax losses, and unused tax credits for which no deferred tax asset is recognized in the statement of financial position as of December 31, 2023 is €531.5 million. Thus as of December 31, 2023, we have not recognized deferred tax assets for unused tax losses and temporary differences in an amount of €138.0 million (December 31, 2022: €136.7 million 31 December 2021 €81.0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4" w:name="page285"/>
    <w:bookmarkEnd w:id="28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A reorganization of the intellectual property rights within the group became effective as of June 30, 2023 and July 1, 2023 which led to deferred tax effects in Germany, the U.S. and Austria. As a result, BioNTech SE recognized deferred tax assets and deferred tax income at the time of the transaction. In addition, this transaction led to a revaluation of previously unrecognized U.S. federal and state deferred tax assets, including unused tax losses and unused tax credits. As of December 31, 2022, there were unrecognized U.S. federal and state deferred tax assets of €128.9 million. As of December 31, 2023, it is considered highly probable that taxable profits for the U.S. tax group will be available against which the deferred tax assets can be utilized in the near future, fulfilling the requirements set out by IAS 12. Therefore we no longer continue to maintain the full non-recognition of deferred tax assets of our U.S. tax group as there will be future taxable profits available against which the unused tax losses and temporary differences can be utilized. As of December 31, 2023, we maintain the non-recognition of deferred tax assets for unused U.S. federal and state tax losses and tax credits at an amount of €31.9 million and €2.8 million, respectively, as there is not sufficient probability in terms of IAS 12 that future taxable income will be available against which these unused tax losses can be utilized. The material unrecognized U.S. federal and state tax losses and tax credits will begin to expire in 2036.</w:t>
      </w:r>
    </w:p>
    <w:p>
      <w:pPr>
        <w:spacing w:after="0" w:line="176"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Group does not recognize deferred tax liabilities for taxable temporary differences associated with investments in subsidiaries, in cases where the Group is able to control the timing of the reversal of the temporary difference and it is probable that the temporary differences will not reverse in the foreseeable future. The aggregate amount of temporary differences associated with investments in subsidiaries, for which deferred tax liabilities have not been recognized, is €2.8 million.</w:t>
      </w:r>
    </w:p>
    <w:p>
      <w:pPr>
        <w:spacing w:after="0" w:line="162" w:lineRule="exact"/>
        <w:rPr>
          <w:sz w:val="20"/>
          <w:szCs w:val="20"/>
          <w:color w:val="auto"/>
        </w:rPr>
      </w:pPr>
    </w:p>
    <w:p>
      <w:pPr>
        <w:ind w:left="240" w:hanging="234"/>
        <w:spacing w:after="0"/>
        <w:tabs>
          <w:tab w:leader="none" w:pos="240" w:val="left"/>
        </w:tabs>
        <w:numPr>
          <w:ilvl w:val="0"/>
          <w:numId w:val="1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Basic earnings per share (EPS) is calculated by dividing the profit for the year attributable to ordinary equity holders of the parent by the weighted average number of ordinary shares outstanding during the year.</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8"/>
              </w:rPr>
              <w:t>The following table reflects the income and share data used in the basic and diluted EPS calculations:</w:t>
            </w: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83"/>
        </w:trPr>
        <w:tc>
          <w:tcPr>
            <w:tcW w:w="5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640" w:type="dxa"/>
            <w:vAlign w:val="bottom"/>
          </w:tcPr>
          <w:p>
            <w:pPr>
              <w:spacing w:after="0"/>
              <w:rPr>
                <w:sz w:val="24"/>
                <w:szCs w:val="24"/>
                <w:color w:val="auto"/>
              </w:rPr>
            </w:pPr>
          </w:p>
        </w:tc>
      </w:tr>
      <w:tr>
        <w:trPr>
          <w:trHeight w:val="206"/>
        </w:trPr>
        <w:tc>
          <w:tcPr>
            <w:tcW w:w="5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tcPr>
          <w:p>
            <w:pPr>
              <w:spacing w:after="0"/>
              <w:rPr>
                <w:sz w:val="17"/>
                <w:szCs w:val="17"/>
                <w:color w:val="auto"/>
              </w:rPr>
            </w:pPr>
          </w:p>
        </w:tc>
      </w:tr>
      <w:tr>
        <w:trPr>
          <w:trHeight w:val="216"/>
        </w:trPr>
        <w:tc>
          <w:tcPr>
            <w:tcW w:w="58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 except per share data)</w:t>
            </w:r>
          </w:p>
        </w:tc>
        <w:tc>
          <w:tcPr>
            <w:tcW w:w="1020" w:type="dxa"/>
            <w:vAlign w:val="bottom"/>
            <w:tcBorders>
              <w:bottom w:val="single" w:sz="8" w:color="70AD47"/>
            </w:tcBorders>
            <w:shd w:val="clear" w:color="auto" w:fill="C5E0B4"/>
          </w:tcPr>
          <w:p>
            <w:pPr>
              <w:spacing w:after="0"/>
              <w:rPr>
                <w:sz w:val="18"/>
                <w:szCs w:val="18"/>
                <w:color w:val="auto"/>
              </w:rPr>
            </w:pPr>
          </w:p>
        </w:tc>
        <w:tc>
          <w:tcPr>
            <w:tcW w:w="5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58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Profit attributable to ordinary equity holders of the parent for basic earnings</w:t>
            </w:r>
          </w:p>
        </w:tc>
        <w:tc>
          <w:tcPr>
            <w:tcW w:w="1020" w:type="dxa"/>
            <w:vAlign w:val="bottom"/>
            <w:tcBorders>
              <w:bottom w:val="single" w:sz="8" w:color="70AD47"/>
            </w:tcBorders>
            <w:shd w:val="clear" w:color="auto" w:fill="C6E0B4"/>
          </w:tcPr>
          <w:p>
            <w:pPr>
              <w:spacing w:after="0"/>
              <w:rPr>
                <w:sz w:val="18"/>
                <w:szCs w:val="18"/>
                <w:color w:val="auto"/>
              </w:rPr>
            </w:pPr>
          </w:p>
        </w:tc>
        <w:tc>
          <w:tcPr>
            <w:tcW w:w="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930.3</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9,434.4</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10,292.5</w:t>
            </w:r>
          </w:p>
        </w:tc>
      </w:tr>
      <w:tr>
        <w:trPr>
          <w:trHeight w:val="221"/>
        </w:trPr>
        <w:tc>
          <w:tcPr>
            <w:tcW w:w="5820" w:type="dxa"/>
            <w:vAlign w:val="bottom"/>
            <w:tcBorders>
              <w:bottom w:val="single" w:sz="8" w:color="70AD47"/>
              <w:right w:val="single" w:sz="8" w:color="70AD47"/>
            </w:tcBorders>
          </w:tcPr>
          <w:p>
            <w:pPr>
              <w:spacing w:after="0"/>
              <w:rPr>
                <w:sz w:val="19"/>
                <w:szCs w:val="19"/>
                <w:color w:val="auto"/>
              </w:rPr>
            </w:pPr>
          </w:p>
        </w:tc>
        <w:tc>
          <w:tcPr>
            <w:tcW w:w="1020" w:type="dxa"/>
            <w:vAlign w:val="bottom"/>
            <w:tcBorders>
              <w:bottom w:val="single" w:sz="8" w:color="70AD47"/>
            </w:tcBorders>
            <w:shd w:val="clear" w:color="auto" w:fill="C6E0B4"/>
          </w:tcPr>
          <w:p>
            <w:pPr>
              <w:spacing w:after="0"/>
              <w:rPr>
                <w:sz w:val="19"/>
                <w:szCs w:val="19"/>
                <w:color w:val="auto"/>
              </w:rPr>
            </w:pPr>
          </w:p>
        </w:tc>
        <w:tc>
          <w:tcPr>
            <w:tcW w:w="500" w:type="dxa"/>
            <w:vAlign w:val="bottom"/>
            <w:tcBorders>
              <w:bottom w:val="single" w:sz="8" w:color="70AD47"/>
              <w:right w:val="single" w:sz="8" w:color="70AD47"/>
            </w:tcBorders>
            <w:shd w:val="clear" w:color="auto" w:fill="C6E0B4"/>
          </w:tcPr>
          <w:p>
            <w:pPr>
              <w:spacing w:after="0"/>
              <w:rPr>
                <w:sz w:val="19"/>
                <w:szCs w:val="19"/>
                <w:color w:val="auto"/>
              </w:rPr>
            </w:pPr>
          </w:p>
        </w:tc>
        <w:tc>
          <w:tcPr>
            <w:tcW w:w="1600" w:type="dxa"/>
            <w:vAlign w:val="bottom"/>
            <w:tcBorders>
              <w:bottom w:val="single" w:sz="8" w:color="70AD47"/>
              <w:right w:val="single" w:sz="8" w:color="70AD47"/>
            </w:tcBorders>
          </w:tcPr>
          <w:p>
            <w:pPr>
              <w:spacing w:after="0"/>
              <w:rPr>
                <w:sz w:val="19"/>
                <w:szCs w:val="19"/>
                <w:color w:val="auto"/>
              </w:rPr>
            </w:pPr>
          </w:p>
        </w:tc>
        <w:tc>
          <w:tcPr>
            <w:tcW w:w="1640" w:type="dxa"/>
            <w:vAlign w:val="bottom"/>
            <w:tcBorders>
              <w:bottom w:val="single" w:sz="8" w:color="70AD47"/>
              <w:right w:val="single" w:sz="8" w:color="70AD47"/>
            </w:tcBorders>
          </w:tcPr>
          <w:p>
            <w:pPr>
              <w:spacing w:after="0"/>
              <w:rPr>
                <w:sz w:val="19"/>
                <w:szCs w:val="19"/>
                <w:color w:val="auto"/>
              </w:rPr>
            </w:pPr>
          </w:p>
        </w:tc>
      </w:tr>
      <w:tr>
        <w:trPr>
          <w:trHeight w:val="207"/>
        </w:trPr>
        <w:tc>
          <w:tcPr>
            <w:tcW w:w="58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outstanding for basic EPS</w:t>
            </w:r>
          </w:p>
        </w:tc>
        <w:tc>
          <w:tcPr>
            <w:tcW w:w="1020" w:type="dxa"/>
            <w:vAlign w:val="bottom"/>
            <w:tcBorders>
              <w:bottom w:val="single" w:sz="8" w:color="70AD47"/>
            </w:tcBorders>
            <w:shd w:val="clear" w:color="auto" w:fill="C6E0B4"/>
          </w:tcPr>
          <w:p>
            <w:pPr>
              <w:spacing w:after="0"/>
              <w:rPr>
                <w:sz w:val="18"/>
                <w:szCs w:val="18"/>
                <w:color w:val="auto"/>
              </w:rPr>
            </w:pPr>
          </w:p>
        </w:tc>
        <w:tc>
          <w:tcPr>
            <w:tcW w:w="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240.6</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243.3</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244.0</w:t>
            </w:r>
          </w:p>
        </w:tc>
      </w:tr>
      <w:tr>
        <w:trPr>
          <w:trHeight w:val="208"/>
        </w:trPr>
        <w:tc>
          <w:tcPr>
            <w:tcW w:w="58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Effects of dilution from share options</w:t>
            </w:r>
          </w:p>
        </w:tc>
        <w:tc>
          <w:tcPr>
            <w:tcW w:w="1020" w:type="dxa"/>
            <w:vAlign w:val="bottom"/>
            <w:tcBorders>
              <w:bottom w:val="single" w:sz="8" w:color="70AD47"/>
            </w:tcBorders>
            <w:shd w:val="clear" w:color="auto" w:fill="C6E0B4"/>
          </w:tcPr>
          <w:p>
            <w:pPr>
              <w:spacing w:after="0"/>
              <w:rPr>
                <w:sz w:val="18"/>
                <w:szCs w:val="18"/>
                <w:color w:val="auto"/>
              </w:rPr>
            </w:pPr>
          </w:p>
        </w:tc>
        <w:tc>
          <w:tcPr>
            <w:tcW w:w="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98"/>
        </w:trPr>
        <w:tc>
          <w:tcPr>
            <w:tcW w:w="5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outstanding adjusted for the effect of</w:t>
            </w:r>
          </w:p>
        </w:tc>
        <w:tc>
          <w:tcPr>
            <w:tcW w:w="1020" w:type="dxa"/>
            <w:vAlign w:val="bottom"/>
            <w:shd w:val="clear" w:color="auto" w:fill="C6E0B4"/>
          </w:tcPr>
          <w:p>
            <w:pPr>
              <w:spacing w:after="0"/>
              <w:rPr>
                <w:sz w:val="24"/>
                <w:szCs w:val="24"/>
                <w:color w:val="auto"/>
              </w:rPr>
            </w:pPr>
          </w:p>
        </w:tc>
        <w:tc>
          <w:tcPr>
            <w:tcW w:w="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242.7</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259.7</w:t>
            </w:r>
          </w:p>
        </w:tc>
      </w:tr>
      <w:tr>
        <w:trPr>
          <w:trHeight w:val="199"/>
        </w:trPr>
        <w:tc>
          <w:tcPr>
            <w:tcW w:w="58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dilution</w:t>
            </w:r>
          </w:p>
        </w:tc>
        <w:tc>
          <w:tcPr>
            <w:tcW w:w="1020" w:type="dxa"/>
            <w:vAlign w:val="bottom"/>
            <w:tcBorders>
              <w:bottom w:val="single" w:sz="8" w:color="70AD47"/>
            </w:tcBorders>
            <w:shd w:val="clear" w:color="auto" w:fill="C6E0B4"/>
          </w:tcPr>
          <w:p>
            <w:pPr>
              <w:spacing w:after="0"/>
              <w:rPr>
                <w:sz w:val="17"/>
                <w:szCs w:val="17"/>
                <w:color w:val="auto"/>
              </w:rPr>
            </w:pPr>
          </w:p>
        </w:tc>
        <w:tc>
          <w:tcPr>
            <w:tcW w:w="500" w:type="dxa"/>
            <w:vAlign w:val="bottom"/>
            <w:tcBorders>
              <w:bottom w:val="single" w:sz="8" w:color="70AD47"/>
              <w:right w:val="single" w:sz="8" w:color="70AD47"/>
            </w:tcBorders>
            <w:shd w:val="clear" w:color="auto" w:fill="C6E0B4"/>
          </w:tcPr>
          <w:p>
            <w:pPr>
              <w:spacing w:after="0"/>
              <w:rPr>
                <w:sz w:val="17"/>
                <w:szCs w:val="17"/>
                <w:color w:val="auto"/>
              </w:rPr>
            </w:pPr>
          </w:p>
        </w:tc>
        <w:tc>
          <w:tcPr>
            <w:tcW w:w="1600" w:type="dxa"/>
            <w:vAlign w:val="bottom"/>
            <w:tcBorders>
              <w:bottom w:val="single" w:sz="8" w:color="70AD47"/>
              <w:right w:val="single" w:sz="8" w:color="70AD47"/>
            </w:tcBorders>
          </w:tcPr>
          <w:p>
            <w:pPr>
              <w:spacing w:after="0"/>
              <w:rPr>
                <w:sz w:val="17"/>
                <w:szCs w:val="17"/>
                <w:color w:val="auto"/>
              </w:rPr>
            </w:pPr>
          </w:p>
        </w:tc>
        <w:tc>
          <w:tcPr>
            <w:tcW w:w="1640" w:type="dxa"/>
            <w:vAlign w:val="bottom"/>
            <w:tcBorders>
              <w:bottom w:val="single" w:sz="8" w:color="70AD47"/>
              <w:right w:val="single" w:sz="8" w:color="70AD47"/>
            </w:tcBorders>
          </w:tcPr>
          <w:p>
            <w:pPr>
              <w:spacing w:after="0"/>
              <w:rPr>
                <w:sz w:val="17"/>
                <w:szCs w:val="17"/>
                <w:color w:val="auto"/>
              </w:rPr>
            </w:pPr>
          </w:p>
        </w:tc>
      </w:tr>
      <w:tr>
        <w:trPr>
          <w:trHeight w:val="537"/>
        </w:trPr>
        <w:tc>
          <w:tcPr>
            <w:tcW w:w="6840" w:type="dxa"/>
            <w:vAlign w:val="bottom"/>
            <w:tcBorders>
              <w:bottom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500" w:type="dxa"/>
            <w:vAlign w:val="bottom"/>
            <w:tcBorders>
              <w:bottom w:val="single" w:sz="8" w:color="70AD47"/>
            </w:tcBorders>
          </w:tcPr>
          <w:p>
            <w:pPr>
              <w:spacing w:after="0"/>
              <w:rPr>
                <w:sz w:val="24"/>
                <w:szCs w:val="24"/>
                <w:color w:val="auto"/>
              </w:rPr>
            </w:pPr>
          </w:p>
        </w:tc>
        <w:tc>
          <w:tcPr>
            <w:tcW w:w="1600" w:type="dxa"/>
            <w:vAlign w:val="bottom"/>
            <w:tcBorders>
              <w:bottom w:val="single" w:sz="8" w:color="70AD47"/>
            </w:tcBorders>
          </w:tcPr>
          <w:p>
            <w:pPr>
              <w:spacing w:after="0"/>
              <w:rPr>
                <w:sz w:val="24"/>
                <w:szCs w:val="24"/>
                <w:color w:val="auto"/>
              </w:rPr>
            </w:pPr>
          </w:p>
        </w:tc>
        <w:tc>
          <w:tcPr>
            <w:tcW w:w="1640" w:type="dxa"/>
            <w:vAlign w:val="bottom"/>
            <w:tcBorders>
              <w:bottom w:val="single" w:sz="8" w:color="70AD47"/>
            </w:tcBorders>
          </w:tcPr>
          <w:p>
            <w:pPr>
              <w:spacing w:after="0"/>
              <w:rPr>
                <w:sz w:val="24"/>
                <w:szCs w:val="24"/>
                <w:color w:val="auto"/>
              </w:rPr>
            </w:pPr>
          </w:p>
        </w:tc>
      </w:tr>
      <w:tr>
        <w:trPr>
          <w:trHeight w:val="309"/>
        </w:trPr>
        <w:tc>
          <w:tcPr>
            <w:tcW w:w="5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Basic earnings for the period per share</w:t>
            </w:r>
          </w:p>
        </w:tc>
        <w:tc>
          <w:tcPr>
            <w:tcW w:w="1020" w:type="dxa"/>
            <w:vAlign w:val="bottom"/>
            <w:shd w:val="clear" w:color="auto" w:fill="C6E0B4"/>
          </w:tcPr>
          <w:p>
            <w:pPr>
              <w:spacing w:after="0"/>
              <w:rPr>
                <w:sz w:val="24"/>
                <w:szCs w:val="24"/>
                <w:color w:val="auto"/>
              </w:rPr>
            </w:pPr>
          </w:p>
        </w:tc>
        <w:tc>
          <w:tcPr>
            <w:tcW w:w="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29"/>
        </w:trPr>
        <w:tc>
          <w:tcPr>
            <w:tcW w:w="58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Diluted earnings for the period per share</w:t>
            </w:r>
          </w:p>
        </w:tc>
        <w:tc>
          <w:tcPr>
            <w:tcW w:w="1020" w:type="dxa"/>
            <w:vAlign w:val="bottom"/>
            <w:tcBorders>
              <w:bottom w:val="single" w:sz="8" w:color="70AD47"/>
            </w:tcBorders>
            <w:shd w:val="clear" w:color="auto" w:fill="C6E0B4"/>
          </w:tcPr>
          <w:p>
            <w:pPr>
              <w:spacing w:after="0"/>
              <w:rPr>
                <w:sz w:val="19"/>
                <w:szCs w:val="19"/>
                <w:color w:val="auto"/>
              </w:rPr>
            </w:pPr>
          </w:p>
        </w:tc>
        <w:tc>
          <w:tcPr>
            <w:tcW w:w="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6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5" w:name="page286"/>
    <w:bookmarkEnd w:id="28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right="7740" w:hanging="394"/>
        <w:spacing w:after="0" w:line="371" w:lineRule="auto"/>
        <w:tabs>
          <w:tab w:leader="none" w:pos="328" w:val="left"/>
        </w:tabs>
        <w:numPr>
          <w:ilvl w:val="0"/>
          <w:numId w:val="1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Intangible Assets and Goodwill Goodwill</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Borders>
              <w:right w:val="single" w:sz="8" w:color="70AD47"/>
            </w:tcBorders>
          </w:tcPr>
          <w:p>
            <w:pPr>
              <w:spacing w:after="0"/>
              <w:rPr>
                <w:sz w:val="19"/>
                <w:szCs w:val="19"/>
                <w:color w:val="auto"/>
              </w:rPr>
            </w:pPr>
          </w:p>
        </w:tc>
        <w:tc>
          <w:tcPr>
            <w:tcW w:w="1720" w:type="dxa"/>
            <w:vAlign w:val="bottom"/>
            <w:tcBorders>
              <w:right w:val="single" w:sz="8" w:color="70AD47"/>
            </w:tcBorders>
            <w:gridSpan w:val="3"/>
            <w:vMerge w:val="restart"/>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0" w:type="dxa"/>
            <w:vAlign w:val="bottom"/>
          </w:tcPr>
          <w:p>
            <w:pPr>
              <w:spacing w:after="0"/>
              <w:rPr>
                <w:sz w:val="1"/>
                <w:szCs w:val="1"/>
                <w:color w:val="auto"/>
              </w:rPr>
            </w:pPr>
          </w:p>
        </w:tc>
      </w:tr>
      <w:tr>
        <w:trPr>
          <w:trHeight w:val="97"/>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Borders>
              <w:right w:val="single" w:sz="8" w:color="70AD47"/>
            </w:tcBorders>
          </w:tcPr>
          <w:p>
            <w:pPr>
              <w:spacing w:after="0"/>
              <w:rPr>
                <w:sz w:val="8"/>
                <w:szCs w:val="8"/>
                <w:color w:val="auto"/>
              </w:rPr>
            </w:pPr>
          </w:p>
        </w:tc>
        <w:tc>
          <w:tcPr>
            <w:tcW w:w="1720" w:type="dxa"/>
            <w:vAlign w:val="bottom"/>
            <w:tcBorders>
              <w:right w:val="single" w:sz="8" w:color="70AD47"/>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60" w:type="dxa"/>
            <w:vAlign w:val="bottom"/>
            <w:tcBorders>
              <w:bottom w:val="single" w:sz="8" w:color="70AD47"/>
            </w:tcBorders>
            <w:vMerge w:val="continue"/>
          </w:tcPr>
          <w:p>
            <w:pPr>
              <w:spacing w:after="0"/>
              <w:rPr>
                <w:sz w:val="9"/>
                <w:szCs w:val="9"/>
                <w:color w:val="auto"/>
              </w:rPr>
            </w:pPr>
          </w:p>
        </w:tc>
        <w:tc>
          <w:tcPr>
            <w:tcW w:w="1060" w:type="dxa"/>
            <w:vAlign w:val="bottom"/>
            <w:tcBorders>
              <w:bottom w:val="single" w:sz="8" w:color="70AD47"/>
            </w:tcBorders>
          </w:tcPr>
          <w:p>
            <w:pPr>
              <w:spacing w:after="0"/>
              <w:rPr>
                <w:sz w:val="9"/>
                <w:szCs w:val="9"/>
                <w:color w:val="auto"/>
              </w:rPr>
            </w:pPr>
          </w:p>
        </w:tc>
        <w:tc>
          <w:tcPr>
            <w:tcW w:w="260" w:type="dxa"/>
            <w:vAlign w:val="bottom"/>
            <w:tcBorders>
              <w:bottom w:val="single" w:sz="8" w:color="70AD47"/>
            </w:tcBorders>
          </w:tcPr>
          <w:p>
            <w:pPr>
              <w:spacing w:after="0"/>
              <w:rPr>
                <w:sz w:val="9"/>
                <w:szCs w:val="9"/>
                <w:color w:val="auto"/>
              </w:rPr>
            </w:pPr>
          </w:p>
        </w:tc>
        <w:tc>
          <w:tcPr>
            <w:tcW w:w="840" w:type="dxa"/>
            <w:vAlign w:val="bottom"/>
            <w:tcBorders>
              <w:bottom w:val="single" w:sz="8" w:color="70AD47"/>
            </w:tcBorders>
          </w:tcPr>
          <w:p>
            <w:pPr>
              <w:spacing w:after="0"/>
              <w:rPr>
                <w:sz w:val="9"/>
                <w:szCs w:val="9"/>
                <w:color w:val="auto"/>
              </w:rPr>
            </w:pPr>
          </w:p>
        </w:tc>
        <w:tc>
          <w:tcPr>
            <w:tcW w:w="1080" w:type="dxa"/>
            <w:vAlign w:val="bottom"/>
            <w:tcBorders>
              <w:bottom w:val="single" w:sz="8" w:color="70AD47"/>
            </w:tcBorders>
          </w:tcPr>
          <w:p>
            <w:pPr>
              <w:spacing w:after="0"/>
              <w:rPr>
                <w:sz w:val="9"/>
                <w:szCs w:val="9"/>
                <w:color w:val="auto"/>
              </w:rPr>
            </w:pPr>
          </w:p>
        </w:tc>
        <w:tc>
          <w:tcPr>
            <w:tcW w:w="1120" w:type="dxa"/>
            <w:vAlign w:val="bottom"/>
            <w:tcBorders>
              <w:bottom w:val="single" w:sz="8" w:color="70AD47"/>
            </w:tcBorders>
          </w:tcPr>
          <w:p>
            <w:pPr>
              <w:spacing w:after="0"/>
              <w:rPr>
                <w:sz w:val="9"/>
                <w:szCs w:val="9"/>
                <w:color w:val="auto"/>
              </w:rPr>
            </w:pPr>
          </w:p>
        </w:tc>
        <w:tc>
          <w:tcPr>
            <w:tcW w:w="1100" w:type="dxa"/>
            <w:vAlign w:val="bottom"/>
            <w:tcBorders>
              <w:bottom w:val="single" w:sz="8" w:color="70AD47"/>
            </w:tcBorders>
          </w:tcPr>
          <w:p>
            <w:pPr>
              <w:spacing w:after="0"/>
              <w:rPr>
                <w:sz w:val="9"/>
                <w:szCs w:val="9"/>
                <w:color w:val="auto"/>
              </w:rPr>
            </w:pPr>
          </w:p>
        </w:tc>
        <w:tc>
          <w:tcPr>
            <w:tcW w:w="1100" w:type="dxa"/>
            <w:vAlign w:val="bottom"/>
            <w:tcBorders>
              <w:bottom w:val="single" w:sz="8" w:color="70AD47"/>
            </w:tcBorders>
          </w:tcPr>
          <w:p>
            <w:pPr>
              <w:spacing w:after="0"/>
              <w:rPr>
                <w:sz w:val="9"/>
                <w:szCs w:val="9"/>
                <w:color w:val="auto"/>
              </w:rPr>
            </w:pPr>
          </w:p>
        </w:tc>
        <w:tc>
          <w:tcPr>
            <w:tcW w:w="540" w:type="dxa"/>
            <w:vAlign w:val="bottom"/>
            <w:tcBorders>
              <w:bottom w:val="single" w:sz="8" w:color="70AD47"/>
              <w:right w:val="single" w:sz="8" w:color="70AD47"/>
            </w:tcBorders>
          </w:tcPr>
          <w:p>
            <w:pPr>
              <w:spacing w:after="0"/>
              <w:rPr>
                <w:sz w:val="9"/>
                <w:szCs w:val="9"/>
                <w:color w:val="auto"/>
              </w:rPr>
            </w:pPr>
          </w:p>
        </w:tc>
        <w:tc>
          <w:tcPr>
            <w:tcW w:w="580" w:type="dxa"/>
            <w:vAlign w:val="bottom"/>
            <w:tcBorders>
              <w:bottom w:val="single" w:sz="8" w:color="70AD47"/>
            </w:tcBorders>
          </w:tcPr>
          <w:p>
            <w:pPr>
              <w:spacing w:after="0"/>
              <w:rPr>
                <w:sz w:val="9"/>
                <w:szCs w:val="9"/>
                <w:color w:val="auto"/>
              </w:rPr>
            </w:pPr>
          </w:p>
        </w:tc>
        <w:tc>
          <w:tcPr>
            <w:tcW w:w="360" w:type="dxa"/>
            <w:vAlign w:val="bottom"/>
            <w:tcBorders>
              <w:bottom w:val="single" w:sz="8" w:color="70AD47"/>
            </w:tcBorders>
          </w:tcPr>
          <w:p>
            <w:pPr>
              <w:spacing w:after="0"/>
              <w:rPr>
                <w:sz w:val="9"/>
                <w:szCs w:val="9"/>
                <w:color w:val="auto"/>
              </w:rPr>
            </w:pPr>
          </w:p>
        </w:tc>
        <w:tc>
          <w:tcPr>
            <w:tcW w:w="780" w:type="dxa"/>
            <w:vAlign w:val="bottom"/>
            <w:tcBorders>
              <w:bottom w:val="single" w:sz="8" w:color="70AD47"/>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2022</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Borders>
              <w:right w:val="single" w:sz="8" w:color="70AD47"/>
            </w:tcBorders>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7"/>
        </w:trPr>
        <w:tc>
          <w:tcPr>
            <w:tcW w:w="176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060" w:type="dxa"/>
            <w:vAlign w:val="bottom"/>
            <w:tcBorders>
              <w:bottom w:val="single" w:sz="8" w:color="70AD47"/>
            </w:tcBorders>
          </w:tcPr>
          <w:p>
            <w:pPr>
              <w:spacing w:after="0"/>
              <w:rPr>
                <w:sz w:val="18"/>
                <w:szCs w:val="18"/>
                <w:color w:val="auto"/>
              </w:rPr>
            </w:pPr>
          </w:p>
        </w:tc>
        <w:tc>
          <w:tcPr>
            <w:tcW w:w="260" w:type="dxa"/>
            <w:vAlign w:val="bottom"/>
            <w:tcBorders>
              <w:bottom w:val="single" w:sz="8" w:color="70AD47"/>
            </w:tcBorders>
          </w:tcPr>
          <w:p>
            <w:pPr>
              <w:spacing w:after="0"/>
              <w:rPr>
                <w:sz w:val="18"/>
                <w:szCs w:val="18"/>
                <w:color w:val="auto"/>
              </w:rPr>
            </w:pPr>
          </w:p>
        </w:tc>
        <w:tc>
          <w:tcPr>
            <w:tcW w:w="840" w:type="dxa"/>
            <w:vAlign w:val="bottom"/>
            <w:tcBorders>
              <w:bottom w:val="single" w:sz="8" w:color="70AD47"/>
            </w:tcBorders>
          </w:tcPr>
          <w:p>
            <w:pPr>
              <w:spacing w:after="0"/>
              <w:rPr>
                <w:sz w:val="18"/>
                <w:szCs w:val="18"/>
                <w:color w:val="auto"/>
              </w:rPr>
            </w:pPr>
          </w:p>
        </w:tc>
        <w:tc>
          <w:tcPr>
            <w:tcW w:w="1080" w:type="dxa"/>
            <w:vAlign w:val="bottom"/>
            <w:tcBorders>
              <w:bottom w:val="single" w:sz="8" w:color="70AD47"/>
            </w:tcBorders>
          </w:tcPr>
          <w:p>
            <w:pPr>
              <w:spacing w:after="0"/>
              <w:rPr>
                <w:sz w:val="18"/>
                <w:szCs w:val="18"/>
                <w:color w:val="auto"/>
              </w:rPr>
            </w:pPr>
          </w:p>
        </w:tc>
        <w:tc>
          <w:tcPr>
            <w:tcW w:w="112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540" w:type="dxa"/>
            <w:vAlign w:val="bottom"/>
            <w:tcBorders>
              <w:bottom w:val="single" w:sz="8" w:color="70AD47"/>
              <w:right w:val="single" w:sz="8" w:color="70AD47"/>
            </w:tcBorders>
          </w:tcPr>
          <w:p>
            <w:pPr>
              <w:spacing w:after="0"/>
              <w:rPr>
                <w:sz w:val="18"/>
                <w:szCs w:val="18"/>
                <w:color w:val="auto"/>
              </w:rPr>
            </w:pPr>
          </w:p>
        </w:tc>
        <w:tc>
          <w:tcPr>
            <w:tcW w:w="580" w:type="dxa"/>
            <w:vAlign w:val="bottom"/>
            <w:tcBorders>
              <w:bottom w:val="single" w:sz="8" w:color="70AD47"/>
            </w:tcBorders>
          </w:tcPr>
          <w:p>
            <w:pPr>
              <w:spacing w:after="0"/>
              <w:rPr>
                <w:sz w:val="18"/>
                <w:szCs w:val="18"/>
                <w:color w:val="auto"/>
              </w:rPr>
            </w:pPr>
          </w:p>
        </w:tc>
        <w:tc>
          <w:tcPr>
            <w:tcW w:w="360" w:type="dxa"/>
            <w:vAlign w:val="bottom"/>
            <w:tcBorders>
              <w:bottom w:val="single" w:sz="8" w:color="70AD47"/>
            </w:tcBorders>
          </w:tcPr>
          <w:p>
            <w:pPr>
              <w:spacing w:after="0"/>
              <w:rPr>
                <w:sz w:val="18"/>
                <w:szCs w:val="18"/>
                <w:color w:val="auto"/>
              </w:rPr>
            </w:pPr>
          </w:p>
        </w:tc>
        <w:tc>
          <w:tcPr>
            <w:tcW w:w="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8"/>
        </w:trPr>
        <w:tc>
          <w:tcPr>
            <w:tcW w:w="176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4"/>
              </w:rPr>
              <w:t>As of December 31, 2022</w:t>
            </w:r>
          </w:p>
        </w:tc>
        <w:tc>
          <w:tcPr>
            <w:tcW w:w="1060" w:type="dxa"/>
            <w:vAlign w:val="bottom"/>
            <w:tcBorders>
              <w:bottom w:val="single" w:sz="8" w:color="70AD47"/>
            </w:tcBorders>
          </w:tcPr>
          <w:p>
            <w:pPr>
              <w:spacing w:after="0"/>
              <w:rPr>
                <w:sz w:val="18"/>
                <w:szCs w:val="18"/>
                <w:color w:val="auto"/>
              </w:rPr>
            </w:pPr>
          </w:p>
        </w:tc>
        <w:tc>
          <w:tcPr>
            <w:tcW w:w="260" w:type="dxa"/>
            <w:vAlign w:val="bottom"/>
            <w:tcBorders>
              <w:bottom w:val="single" w:sz="8" w:color="70AD47"/>
            </w:tcBorders>
          </w:tcPr>
          <w:p>
            <w:pPr>
              <w:spacing w:after="0"/>
              <w:rPr>
                <w:sz w:val="18"/>
                <w:szCs w:val="18"/>
                <w:color w:val="auto"/>
              </w:rPr>
            </w:pPr>
          </w:p>
        </w:tc>
        <w:tc>
          <w:tcPr>
            <w:tcW w:w="840" w:type="dxa"/>
            <w:vAlign w:val="bottom"/>
            <w:tcBorders>
              <w:bottom w:val="single" w:sz="8" w:color="70AD47"/>
            </w:tcBorders>
          </w:tcPr>
          <w:p>
            <w:pPr>
              <w:spacing w:after="0"/>
              <w:rPr>
                <w:sz w:val="18"/>
                <w:szCs w:val="18"/>
                <w:color w:val="auto"/>
              </w:rPr>
            </w:pPr>
          </w:p>
        </w:tc>
        <w:tc>
          <w:tcPr>
            <w:tcW w:w="1080" w:type="dxa"/>
            <w:vAlign w:val="bottom"/>
            <w:tcBorders>
              <w:bottom w:val="single" w:sz="8" w:color="70AD47"/>
            </w:tcBorders>
          </w:tcPr>
          <w:p>
            <w:pPr>
              <w:spacing w:after="0"/>
              <w:rPr>
                <w:sz w:val="18"/>
                <w:szCs w:val="18"/>
                <w:color w:val="auto"/>
              </w:rPr>
            </w:pPr>
          </w:p>
        </w:tc>
        <w:tc>
          <w:tcPr>
            <w:tcW w:w="112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540" w:type="dxa"/>
            <w:vAlign w:val="bottom"/>
            <w:tcBorders>
              <w:bottom w:val="single" w:sz="8" w:color="70AD47"/>
              <w:right w:val="single" w:sz="8" w:color="70AD47"/>
            </w:tcBorders>
          </w:tcPr>
          <w:p>
            <w:pPr>
              <w:spacing w:after="0"/>
              <w:rPr>
                <w:sz w:val="18"/>
                <w:szCs w:val="18"/>
                <w:color w:val="auto"/>
              </w:rPr>
            </w:pPr>
          </w:p>
        </w:tc>
        <w:tc>
          <w:tcPr>
            <w:tcW w:w="580" w:type="dxa"/>
            <w:vAlign w:val="bottom"/>
            <w:tcBorders>
              <w:bottom w:val="single" w:sz="8" w:color="70AD47"/>
            </w:tcBorders>
          </w:tcPr>
          <w:p>
            <w:pPr>
              <w:spacing w:after="0"/>
              <w:rPr>
                <w:sz w:val="18"/>
                <w:szCs w:val="18"/>
                <w:color w:val="auto"/>
              </w:rPr>
            </w:pPr>
          </w:p>
        </w:tc>
        <w:tc>
          <w:tcPr>
            <w:tcW w:w="360" w:type="dxa"/>
            <w:vAlign w:val="bottom"/>
            <w:tcBorders>
              <w:bottom w:val="single" w:sz="8" w:color="70AD47"/>
            </w:tcBorders>
          </w:tcPr>
          <w:p>
            <w:pPr>
              <w:spacing w:after="0"/>
              <w:rPr>
                <w:sz w:val="18"/>
                <w:szCs w:val="18"/>
                <w:color w:val="auto"/>
              </w:rPr>
            </w:pPr>
          </w:p>
        </w:tc>
        <w:tc>
          <w:tcPr>
            <w:tcW w:w="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0" w:type="dxa"/>
            <w:vAlign w:val="bottom"/>
          </w:tcPr>
          <w:p>
            <w:pPr>
              <w:spacing w:after="0"/>
              <w:rPr>
                <w:sz w:val="1"/>
                <w:szCs w:val="1"/>
                <w:color w:val="auto"/>
              </w:rPr>
            </w:pPr>
          </w:p>
        </w:tc>
      </w:tr>
      <w:tr>
        <w:trPr>
          <w:trHeight w:val="207"/>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2023</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Borders>
              <w:right w:val="single" w:sz="8" w:color="70AD47"/>
            </w:tcBorders>
          </w:tcPr>
          <w:p>
            <w:pPr>
              <w:spacing w:after="0"/>
              <w:rPr>
                <w:sz w:val="18"/>
                <w:szCs w:val="18"/>
                <w:color w:val="auto"/>
              </w:rPr>
            </w:pPr>
          </w:p>
        </w:tc>
        <w:tc>
          <w:tcPr>
            <w:tcW w:w="580" w:type="dxa"/>
            <w:vAlign w:val="bottom"/>
            <w:tcBorders>
              <w:right w:val="single" w:sz="8" w:color="C6E0B4"/>
            </w:tcBorders>
            <w:shd w:val="clear" w:color="auto" w:fill="C6E0B4"/>
          </w:tcPr>
          <w:p>
            <w:pPr>
              <w:spacing w:after="0"/>
              <w:rPr>
                <w:sz w:val="18"/>
                <w:szCs w:val="18"/>
                <w:color w:val="auto"/>
              </w:rPr>
            </w:pPr>
          </w:p>
        </w:tc>
        <w:tc>
          <w:tcPr>
            <w:tcW w:w="360" w:type="dxa"/>
            <w:vAlign w:val="bottom"/>
            <w:shd w:val="clear" w:color="auto" w:fill="C6E0B4"/>
          </w:tcPr>
          <w:p>
            <w:pPr>
              <w:spacing w:after="0"/>
              <w:rPr>
                <w:sz w:val="18"/>
                <w:szCs w:val="18"/>
                <w:color w:val="auto"/>
              </w:rPr>
            </w:pPr>
          </w:p>
        </w:tc>
        <w:tc>
          <w:tcPr>
            <w:tcW w:w="7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16"/>
        </w:trPr>
        <w:tc>
          <w:tcPr>
            <w:tcW w:w="30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Acquisition of subsidiaries and businesses</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Borders>
              <w:right w:val="single" w:sz="8" w:color="70AD47"/>
            </w:tcBorders>
          </w:tcPr>
          <w:p>
            <w:pPr>
              <w:spacing w:after="0"/>
              <w:rPr>
                <w:sz w:val="18"/>
                <w:szCs w:val="18"/>
                <w:color w:val="auto"/>
              </w:rPr>
            </w:pPr>
          </w:p>
        </w:tc>
        <w:tc>
          <w:tcPr>
            <w:tcW w:w="580" w:type="dxa"/>
            <w:vAlign w:val="bottom"/>
            <w:tcBorders>
              <w:right w:val="single" w:sz="8" w:color="C6E0B4"/>
            </w:tcBorders>
            <w:shd w:val="clear" w:color="auto" w:fill="C6E0B4"/>
          </w:tcPr>
          <w:p>
            <w:pPr>
              <w:spacing w:after="0"/>
              <w:rPr>
                <w:sz w:val="18"/>
                <w:szCs w:val="18"/>
                <w:color w:val="auto"/>
              </w:rPr>
            </w:pPr>
          </w:p>
        </w:tc>
        <w:tc>
          <w:tcPr>
            <w:tcW w:w="360" w:type="dxa"/>
            <w:vAlign w:val="bottom"/>
            <w:shd w:val="clear" w:color="auto" w:fill="C6E0B4"/>
          </w:tcPr>
          <w:p>
            <w:pPr>
              <w:spacing w:after="0"/>
              <w:rPr>
                <w:sz w:val="18"/>
                <w:szCs w:val="18"/>
                <w:color w:val="auto"/>
              </w:rPr>
            </w:pPr>
          </w:p>
        </w:tc>
        <w:tc>
          <w:tcPr>
            <w:tcW w:w="7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217"/>
        </w:trPr>
        <w:tc>
          <w:tcPr>
            <w:tcW w:w="176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060" w:type="dxa"/>
            <w:vAlign w:val="bottom"/>
            <w:tcBorders>
              <w:bottom w:val="single" w:sz="8" w:color="70AD47"/>
            </w:tcBorders>
          </w:tcPr>
          <w:p>
            <w:pPr>
              <w:spacing w:after="0"/>
              <w:rPr>
                <w:sz w:val="18"/>
                <w:szCs w:val="18"/>
                <w:color w:val="auto"/>
              </w:rPr>
            </w:pPr>
          </w:p>
        </w:tc>
        <w:tc>
          <w:tcPr>
            <w:tcW w:w="260" w:type="dxa"/>
            <w:vAlign w:val="bottom"/>
            <w:tcBorders>
              <w:bottom w:val="single" w:sz="8" w:color="70AD47"/>
            </w:tcBorders>
          </w:tcPr>
          <w:p>
            <w:pPr>
              <w:spacing w:after="0"/>
              <w:rPr>
                <w:sz w:val="18"/>
                <w:szCs w:val="18"/>
                <w:color w:val="auto"/>
              </w:rPr>
            </w:pPr>
          </w:p>
        </w:tc>
        <w:tc>
          <w:tcPr>
            <w:tcW w:w="840" w:type="dxa"/>
            <w:vAlign w:val="bottom"/>
            <w:tcBorders>
              <w:bottom w:val="single" w:sz="8" w:color="70AD47"/>
            </w:tcBorders>
          </w:tcPr>
          <w:p>
            <w:pPr>
              <w:spacing w:after="0"/>
              <w:rPr>
                <w:sz w:val="18"/>
                <w:szCs w:val="18"/>
                <w:color w:val="auto"/>
              </w:rPr>
            </w:pPr>
          </w:p>
        </w:tc>
        <w:tc>
          <w:tcPr>
            <w:tcW w:w="1080" w:type="dxa"/>
            <w:vAlign w:val="bottom"/>
            <w:tcBorders>
              <w:bottom w:val="single" w:sz="8" w:color="70AD47"/>
            </w:tcBorders>
          </w:tcPr>
          <w:p>
            <w:pPr>
              <w:spacing w:after="0"/>
              <w:rPr>
                <w:sz w:val="18"/>
                <w:szCs w:val="18"/>
                <w:color w:val="auto"/>
              </w:rPr>
            </w:pPr>
          </w:p>
        </w:tc>
        <w:tc>
          <w:tcPr>
            <w:tcW w:w="112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540" w:type="dxa"/>
            <w:vAlign w:val="bottom"/>
            <w:tcBorders>
              <w:bottom w:val="single" w:sz="8" w:color="70AD47"/>
              <w:right w:val="single" w:sz="8" w:color="70AD47"/>
            </w:tcBorders>
          </w:tcPr>
          <w:p>
            <w:pPr>
              <w:spacing w:after="0"/>
              <w:rPr>
                <w:sz w:val="18"/>
                <w:szCs w:val="18"/>
                <w:color w:val="auto"/>
              </w:rPr>
            </w:pPr>
          </w:p>
        </w:tc>
        <w:tc>
          <w:tcPr>
            <w:tcW w:w="580" w:type="dxa"/>
            <w:vAlign w:val="bottom"/>
            <w:tcBorders>
              <w:bottom w:val="single" w:sz="8" w:color="70AD47"/>
              <w:right w:val="single" w:sz="8" w:color="C6E0B4"/>
            </w:tcBorders>
            <w:shd w:val="clear" w:color="auto" w:fill="C6E0B4"/>
          </w:tcPr>
          <w:p>
            <w:pPr>
              <w:spacing w:after="0"/>
              <w:rPr>
                <w:sz w:val="18"/>
                <w:szCs w:val="18"/>
                <w:color w:val="auto"/>
              </w:rPr>
            </w:pPr>
          </w:p>
        </w:tc>
        <w:tc>
          <w:tcPr>
            <w:tcW w:w="360" w:type="dxa"/>
            <w:vAlign w:val="bottom"/>
            <w:tcBorders>
              <w:bottom w:val="single" w:sz="8" w:color="70AD47"/>
            </w:tcBorders>
            <w:shd w:val="clear" w:color="auto" w:fill="C6E0B4"/>
          </w:tcPr>
          <w:p>
            <w:pPr>
              <w:spacing w:after="0"/>
              <w:rPr>
                <w:sz w:val="18"/>
                <w:szCs w:val="18"/>
                <w:color w:val="auto"/>
              </w:rPr>
            </w:pPr>
          </w:p>
        </w:tc>
        <w:tc>
          <w:tcPr>
            <w:tcW w:w="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4"/>
              </w:rPr>
              <w:t>As of December 31, 2023</w:t>
            </w:r>
          </w:p>
        </w:tc>
        <w:tc>
          <w:tcPr>
            <w:tcW w:w="1060" w:type="dxa"/>
            <w:vAlign w:val="bottom"/>
            <w:tcBorders>
              <w:bottom w:val="single" w:sz="8" w:color="70AD47"/>
            </w:tcBorders>
          </w:tcPr>
          <w:p>
            <w:pPr>
              <w:spacing w:after="0"/>
              <w:rPr>
                <w:sz w:val="18"/>
                <w:szCs w:val="18"/>
                <w:color w:val="auto"/>
              </w:rPr>
            </w:pPr>
          </w:p>
        </w:tc>
        <w:tc>
          <w:tcPr>
            <w:tcW w:w="260" w:type="dxa"/>
            <w:vAlign w:val="bottom"/>
            <w:tcBorders>
              <w:bottom w:val="single" w:sz="8" w:color="70AD47"/>
            </w:tcBorders>
          </w:tcPr>
          <w:p>
            <w:pPr>
              <w:spacing w:after="0"/>
              <w:rPr>
                <w:sz w:val="18"/>
                <w:szCs w:val="18"/>
                <w:color w:val="auto"/>
              </w:rPr>
            </w:pPr>
          </w:p>
        </w:tc>
        <w:tc>
          <w:tcPr>
            <w:tcW w:w="840" w:type="dxa"/>
            <w:vAlign w:val="bottom"/>
            <w:tcBorders>
              <w:bottom w:val="single" w:sz="8" w:color="70AD47"/>
            </w:tcBorders>
          </w:tcPr>
          <w:p>
            <w:pPr>
              <w:spacing w:after="0"/>
              <w:rPr>
                <w:sz w:val="18"/>
                <w:szCs w:val="18"/>
                <w:color w:val="auto"/>
              </w:rPr>
            </w:pPr>
          </w:p>
        </w:tc>
        <w:tc>
          <w:tcPr>
            <w:tcW w:w="1080" w:type="dxa"/>
            <w:vAlign w:val="bottom"/>
            <w:tcBorders>
              <w:bottom w:val="single" w:sz="8" w:color="70AD47"/>
            </w:tcBorders>
          </w:tcPr>
          <w:p>
            <w:pPr>
              <w:spacing w:after="0"/>
              <w:rPr>
                <w:sz w:val="18"/>
                <w:szCs w:val="18"/>
                <w:color w:val="auto"/>
              </w:rPr>
            </w:pPr>
          </w:p>
        </w:tc>
        <w:tc>
          <w:tcPr>
            <w:tcW w:w="112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1100" w:type="dxa"/>
            <w:vAlign w:val="bottom"/>
            <w:tcBorders>
              <w:bottom w:val="single" w:sz="8" w:color="70AD47"/>
            </w:tcBorders>
          </w:tcPr>
          <w:p>
            <w:pPr>
              <w:spacing w:after="0"/>
              <w:rPr>
                <w:sz w:val="18"/>
                <w:szCs w:val="18"/>
                <w:color w:val="auto"/>
              </w:rPr>
            </w:pPr>
          </w:p>
        </w:tc>
        <w:tc>
          <w:tcPr>
            <w:tcW w:w="540" w:type="dxa"/>
            <w:vAlign w:val="bottom"/>
            <w:tcBorders>
              <w:bottom w:val="single" w:sz="8" w:color="70AD47"/>
              <w:right w:val="single" w:sz="8" w:color="70AD47"/>
            </w:tcBorders>
          </w:tcPr>
          <w:p>
            <w:pPr>
              <w:spacing w:after="0"/>
              <w:rPr>
                <w:sz w:val="18"/>
                <w:szCs w:val="18"/>
                <w:color w:val="auto"/>
              </w:rPr>
            </w:pPr>
          </w:p>
        </w:tc>
        <w:tc>
          <w:tcPr>
            <w:tcW w:w="580" w:type="dxa"/>
            <w:vAlign w:val="bottom"/>
            <w:tcBorders>
              <w:bottom w:val="single" w:sz="8" w:color="70AD47"/>
              <w:right w:val="single" w:sz="8" w:color="C6E0B4"/>
            </w:tcBorders>
            <w:shd w:val="clear" w:color="auto" w:fill="C6E0B4"/>
          </w:tcPr>
          <w:p>
            <w:pPr>
              <w:spacing w:after="0"/>
              <w:rPr>
                <w:sz w:val="18"/>
                <w:szCs w:val="18"/>
                <w:color w:val="auto"/>
              </w:rPr>
            </w:pPr>
          </w:p>
        </w:tc>
        <w:tc>
          <w:tcPr>
            <w:tcW w:w="360" w:type="dxa"/>
            <w:vAlign w:val="bottom"/>
            <w:tcBorders>
              <w:bottom w:val="single" w:sz="8" w:color="70AD47"/>
            </w:tcBorders>
            <w:shd w:val="clear" w:color="auto" w:fill="C6E0B4"/>
          </w:tcPr>
          <w:p>
            <w:pPr>
              <w:spacing w:after="0"/>
              <w:rPr>
                <w:sz w:val="18"/>
                <w:szCs w:val="18"/>
                <w:color w:val="auto"/>
              </w:rPr>
            </w:pPr>
          </w:p>
        </w:tc>
        <w:tc>
          <w:tcPr>
            <w:tcW w:w="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362.5</w:t>
            </w:r>
          </w:p>
        </w:tc>
        <w:tc>
          <w:tcPr>
            <w:tcW w:w="0" w:type="dxa"/>
            <w:vAlign w:val="bottom"/>
          </w:tcPr>
          <w:p>
            <w:pPr>
              <w:spacing w:after="0"/>
              <w:rPr>
                <w:sz w:val="1"/>
                <w:szCs w:val="1"/>
                <w:color w:val="auto"/>
              </w:rPr>
            </w:pPr>
          </w:p>
        </w:tc>
      </w:tr>
      <w:tr>
        <w:trPr>
          <w:trHeight w:val="351"/>
        </w:trPr>
        <w:tc>
          <w:tcPr>
            <w:tcW w:w="39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Intangible Assets with Indefinite Useful Lives</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60" w:type="dxa"/>
            <w:vAlign w:val="bottom"/>
            <w:tcBorders>
              <w:right w:val="single" w:sz="8" w:color="70AD47"/>
            </w:tcBorders>
          </w:tcPr>
          <w:p>
            <w:pPr>
              <w:spacing w:after="0"/>
              <w:rPr>
                <w:sz w:val="18"/>
                <w:szCs w:val="18"/>
                <w:color w:val="auto"/>
              </w:rPr>
            </w:pPr>
          </w:p>
        </w:tc>
        <w:tc>
          <w:tcPr>
            <w:tcW w:w="2160" w:type="dxa"/>
            <w:vAlign w:val="bottom"/>
            <w:tcBorders>
              <w:bottom w:val="single" w:sz="8" w:color="70AD47"/>
              <w:right w:val="single" w:sz="8" w:color="70AD47"/>
            </w:tcBorders>
            <w:gridSpan w:val="3"/>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CGU Immunotherapies</w:t>
            </w:r>
          </w:p>
        </w:tc>
        <w:tc>
          <w:tcPr>
            <w:tcW w:w="2200" w:type="dxa"/>
            <w:vAlign w:val="bottom"/>
            <w:tcBorders>
              <w:bottom w:val="single" w:sz="8" w:color="70AD47"/>
              <w:right w:val="single" w:sz="8" w:color="70AD47"/>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External Product Sales of JPT</w:t>
            </w:r>
          </w:p>
        </w:tc>
        <w:tc>
          <w:tcPr>
            <w:tcW w:w="2200" w:type="dxa"/>
            <w:vAlign w:val="bottom"/>
            <w:tcBorders>
              <w:bottom w:val="single" w:sz="8" w:color="70AD47"/>
              <w:right w:val="single" w:sz="8" w:color="70AD47"/>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External Business of InstaDeep</w:t>
            </w:r>
          </w:p>
        </w:tc>
        <w:tc>
          <w:tcPr>
            <w:tcW w:w="540" w:type="dxa"/>
            <w:vAlign w:val="bottom"/>
            <w:tcBorders>
              <w:bottom w:val="single" w:sz="8" w:color="70AD47"/>
            </w:tcBorders>
          </w:tcPr>
          <w:p>
            <w:pPr>
              <w:spacing w:after="0"/>
              <w:rPr>
                <w:sz w:val="18"/>
                <w:szCs w:val="18"/>
                <w:color w:val="auto"/>
              </w:rPr>
            </w:pPr>
          </w:p>
        </w:tc>
        <w:tc>
          <w:tcPr>
            <w:tcW w:w="940" w:type="dxa"/>
            <w:vAlign w:val="bottom"/>
            <w:tcBorders>
              <w:bottom w:val="single" w:sz="8" w:color="70AD47"/>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bottom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760" w:type="dxa"/>
            <w:vAlign w:val="bottom"/>
            <w:tcBorders>
              <w:right w:val="single" w:sz="8" w:color="70AD47"/>
            </w:tcBorders>
          </w:tcPr>
          <w:p>
            <w:pPr>
              <w:spacing w:after="0"/>
              <w:rPr>
                <w:sz w:val="14"/>
                <w:szCs w:val="14"/>
                <w:color w:val="auto"/>
              </w:rPr>
            </w:pPr>
          </w:p>
        </w:tc>
        <w:tc>
          <w:tcPr>
            <w:tcW w:w="1060" w:type="dxa"/>
            <w:vAlign w:val="bottom"/>
            <w:tcBorders>
              <w:right w:val="single" w:sz="8" w:color="70AD47"/>
            </w:tcBorders>
            <w:shd w:val="clear" w:color="auto" w:fill="C5E0B4"/>
          </w:tcPr>
          <w:p>
            <w:pPr>
              <w:jc w:val="right"/>
              <w:spacing w:after="0" w:line="170" w:lineRule="exact"/>
              <w:rPr>
                <w:sz w:val="20"/>
                <w:szCs w:val="20"/>
                <w:color w:val="auto"/>
              </w:rPr>
            </w:pPr>
            <w:r>
              <w:rPr>
                <w:rFonts w:ascii="Times New Roman" w:cs="Times New Roman" w:eastAsia="Times New Roman" w:hAnsi="Times New Roman"/>
                <w:sz w:val="16"/>
                <w:szCs w:val="16"/>
                <w:color w:val="auto"/>
                <w:w w:val="97"/>
              </w:rPr>
              <w:t>As of December</w:t>
            </w:r>
          </w:p>
        </w:tc>
        <w:tc>
          <w:tcPr>
            <w:tcW w:w="1100" w:type="dxa"/>
            <w:vAlign w:val="bottom"/>
            <w:tcBorders>
              <w:right w:val="single" w:sz="8" w:color="70AD47"/>
            </w:tcBorders>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w w:val="99"/>
              </w:rPr>
              <w:t>As of December</w:t>
            </w:r>
          </w:p>
        </w:tc>
        <w:tc>
          <w:tcPr>
            <w:tcW w:w="1080" w:type="dxa"/>
            <w:vAlign w:val="bottom"/>
            <w:tcBorders>
              <w:right w:val="single" w:sz="8" w:color="70AD47"/>
            </w:tcBorders>
            <w:shd w:val="clear" w:color="auto" w:fill="C5E0B4"/>
          </w:tcPr>
          <w:p>
            <w:pPr>
              <w:jc w:val="right"/>
              <w:spacing w:after="0" w:line="170" w:lineRule="exact"/>
              <w:rPr>
                <w:sz w:val="20"/>
                <w:szCs w:val="20"/>
                <w:color w:val="auto"/>
              </w:rPr>
            </w:pPr>
            <w:r>
              <w:rPr>
                <w:rFonts w:ascii="Times New Roman" w:cs="Times New Roman" w:eastAsia="Times New Roman" w:hAnsi="Times New Roman"/>
                <w:sz w:val="16"/>
                <w:szCs w:val="16"/>
                <w:color w:val="auto"/>
                <w:w w:val="99"/>
              </w:rPr>
              <w:t>As of December</w:t>
            </w:r>
          </w:p>
        </w:tc>
        <w:tc>
          <w:tcPr>
            <w:tcW w:w="1120" w:type="dxa"/>
            <w:vAlign w:val="bottom"/>
            <w:tcBorders>
              <w:right w:val="single" w:sz="8" w:color="70AD47"/>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As of December</w:t>
            </w:r>
          </w:p>
        </w:tc>
        <w:tc>
          <w:tcPr>
            <w:tcW w:w="1100" w:type="dxa"/>
            <w:vAlign w:val="bottom"/>
            <w:tcBorders>
              <w:right w:val="single" w:sz="8" w:color="70AD47"/>
            </w:tcBorders>
            <w:shd w:val="clear" w:color="auto" w:fill="C5E0B4"/>
          </w:tcPr>
          <w:p>
            <w:pPr>
              <w:ind w:left="40"/>
              <w:spacing w:after="0" w:line="170" w:lineRule="exact"/>
              <w:rPr>
                <w:sz w:val="20"/>
                <w:szCs w:val="20"/>
                <w:color w:val="auto"/>
              </w:rPr>
            </w:pPr>
            <w:r>
              <w:rPr>
                <w:rFonts w:ascii="Times New Roman" w:cs="Times New Roman" w:eastAsia="Times New Roman" w:hAnsi="Times New Roman"/>
                <w:sz w:val="16"/>
                <w:szCs w:val="16"/>
                <w:color w:val="auto"/>
                <w:w w:val="97"/>
              </w:rPr>
              <w:t>As of December</w:t>
            </w:r>
          </w:p>
        </w:tc>
        <w:tc>
          <w:tcPr>
            <w:tcW w:w="1100" w:type="dxa"/>
            <w:vAlign w:val="bottom"/>
            <w:tcBorders>
              <w:right w:val="single" w:sz="8" w:color="70AD47"/>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w w:val="99"/>
              </w:rPr>
              <w:t>As of December</w:t>
            </w:r>
          </w:p>
        </w:tc>
        <w:tc>
          <w:tcPr>
            <w:tcW w:w="1120" w:type="dxa"/>
            <w:vAlign w:val="bottom"/>
            <w:tcBorders>
              <w:right w:val="single" w:sz="8" w:color="70AD47"/>
            </w:tcBorders>
            <w:gridSpan w:val="2"/>
            <w:shd w:val="clear" w:color="auto" w:fill="C5E0B4"/>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w w:val="99"/>
              </w:rPr>
              <w:t>As of December</w:t>
            </w:r>
          </w:p>
        </w:tc>
        <w:tc>
          <w:tcPr>
            <w:tcW w:w="1140" w:type="dxa"/>
            <w:vAlign w:val="bottom"/>
            <w:tcBorders>
              <w:right w:val="single" w:sz="8" w:color="70AD47"/>
            </w:tcBorders>
            <w:gridSpan w:val="2"/>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w w:val="99"/>
              </w:rPr>
              <w:t>As of December</w:t>
            </w:r>
          </w:p>
        </w:tc>
        <w:tc>
          <w:tcPr>
            <w:tcW w:w="0" w:type="dxa"/>
            <w:vAlign w:val="bottom"/>
          </w:tcPr>
          <w:p>
            <w:pPr>
              <w:spacing w:after="0"/>
              <w:rPr>
                <w:sz w:val="1"/>
                <w:szCs w:val="1"/>
                <w:color w:val="auto"/>
              </w:rPr>
            </w:pPr>
          </w:p>
        </w:tc>
      </w:tr>
      <w:tr>
        <w:trPr>
          <w:trHeight w:val="207"/>
        </w:trPr>
        <w:tc>
          <w:tcPr>
            <w:tcW w:w="1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0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31, 2023</w:t>
            </w:r>
          </w:p>
        </w:tc>
        <w:tc>
          <w:tcPr>
            <w:tcW w:w="260" w:type="dxa"/>
            <w:vAlign w:val="bottom"/>
            <w:tcBorders>
              <w:bottom w:val="single" w:sz="8" w:color="70AD47"/>
            </w:tcBorders>
          </w:tcPr>
          <w:p>
            <w:pPr>
              <w:spacing w:after="0"/>
              <w:rPr>
                <w:sz w:val="17"/>
                <w:szCs w:val="17"/>
                <w:color w:val="auto"/>
              </w:rPr>
            </w:pPr>
          </w:p>
        </w:tc>
        <w:tc>
          <w:tcPr>
            <w:tcW w:w="8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31, 2022</w:t>
            </w:r>
          </w:p>
        </w:tc>
        <w:tc>
          <w:tcPr>
            <w:tcW w:w="10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31, 2023</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31, 2022</w:t>
            </w:r>
          </w:p>
        </w:tc>
        <w:tc>
          <w:tcPr>
            <w:tcW w:w="11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31, 2023</w:t>
            </w:r>
          </w:p>
        </w:tc>
        <w:tc>
          <w:tcPr>
            <w:tcW w:w="11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31, 2022</w:t>
            </w:r>
          </w:p>
        </w:tc>
        <w:tc>
          <w:tcPr>
            <w:tcW w:w="540" w:type="dxa"/>
            <w:vAlign w:val="bottom"/>
            <w:tcBorders>
              <w:bottom w:val="single" w:sz="8" w:color="70AD47"/>
              <w:right w:val="single" w:sz="8" w:color="C5E0B4"/>
            </w:tcBorders>
            <w:shd w:val="clear" w:color="auto" w:fill="C5E0B4"/>
          </w:tcPr>
          <w:p>
            <w:pPr>
              <w:spacing w:after="0"/>
              <w:rPr>
                <w:sz w:val="17"/>
                <w:szCs w:val="17"/>
                <w:color w:val="auto"/>
              </w:rPr>
            </w:pPr>
          </w:p>
        </w:tc>
        <w:tc>
          <w:tcPr>
            <w:tcW w:w="5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31, 2023</w:t>
            </w:r>
          </w:p>
        </w:tc>
        <w:tc>
          <w:tcPr>
            <w:tcW w:w="360" w:type="dxa"/>
            <w:vAlign w:val="bottom"/>
            <w:tcBorders>
              <w:bottom w:val="single" w:sz="8" w:color="70AD47"/>
            </w:tcBorders>
          </w:tcPr>
          <w:p>
            <w:pPr>
              <w:spacing w:after="0"/>
              <w:rPr>
                <w:sz w:val="17"/>
                <w:szCs w:val="17"/>
                <w:color w:val="auto"/>
              </w:rPr>
            </w:pPr>
          </w:p>
        </w:tc>
        <w:tc>
          <w:tcPr>
            <w:tcW w:w="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0" w:type="dxa"/>
            <w:vAlign w:val="bottom"/>
          </w:tcPr>
          <w:p>
            <w:pPr>
              <w:spacing w:after="0"/>
              <w:rPr>
                <w:sz w:val="1"/>
                <w:szCs w:val="1"/>
                <w:color w:val="auto"/>
              </w:rPr>
            </w:pPr>
          </w:p>
        </w:tc>
      </w:tr>
      <w:tr>
        <w:trPr>
          <w:trHeight w:val="207"/>
        </w:trPr>
        <w:tc>
          <w:tcPr>
            <w:tcW w:w="17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260" w:type="dxa"/>
            <w:vAlign w:val="bottom"/>
          </w:tcPr>
          <w:p>
            <w:pPr>
              <w:spacing w:after="0"/>
              <w:rPr>
                <w:sz w:val="17"/>
                <w:szCs w:val="17"/>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1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1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1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6E0B4"/>
            </w:tcBorders>
            <w:shd w:val="clear" w:color="auto" w:fill="C6E0B4"/>
          </w:tcPr>
          <w:p>
            <w:pPr>
              <w:spacing w:after="0"/>
              <w:rPr>
                <w:sz w:val="17"/>
                <w:szCs w:val="17"/>
                <w:color w:val="auto"/>
              </w:rPr>
            </w:pPr>
          </w:p>
        </w:tc>
        <w:tc>
          <w:tcPr>
            <w:tcW w:w="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360" w:type="dxa"/>
            <w:vAlign w:val="bottom"/>
          </w:tcPr>
          <w:p>
            <w:pPr>
              <w:spacing w:after="0"/>
              <w:rPr>
                <w:sz w:val="17"/>
                <w:szCs w:val="17"/>
                <w:color w:val="auto"/>
              </w:rPr>
            </w:pPr>
          </w:p>
        </w:tc>
        <w:tc>
          <w:tcPr>
            <w:tcW w:w="7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181"/>
        </w:trPr>
        <w:tc>
          <w:tcPr>
            <w:tcW w:w="1760" w:type="dxa"/>
            <w:vAlign w:val="bottom"/>
            <w:tcBorders>
              <w:right w:val="single" w:sz="8" w:color="70AD47"/>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Intangible assets with</w:t>
            </w:r>
          </w:p>
        </w:tc>
        <w:tc>
          <w:tcPr>
            <w:tcW w:w="10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260" w:type="dxa"/>
            <w:vAlign w:val="bottom"/>
          </w:tcPr>
          <w:p>
            <w:pPr>
              <w:spacing w:after="0"/>
              <w:rPr>
                <w:sz w:val="15"/>
                <w:szCs w:val="15"/>
                <w:color w:val="auto"/>
              </w:rPr>
            </w:pPr>
          </w:p>
        </w:tc>
        <w:tc>
          <w:tcPr>
            <w:tcW w:w="8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6E0B4"/>
            </w:tcBorders>
            <w:shd w:val="clear" w:color="auto" w:fill="C6E0B4"/>
          </w:tcPr>
          <w:p>
            <w:pPr>
              <w:spacing w:after="0"/>
              <w:rPr>
                <w:sz w:val="15"/>
                <w:szCs w:val="15"/>
                <w:color w:val="auto"/>
              </w:rPr>
            </w:pPr>
          </w:p>
        </w:tc>
        <w:tc>
          <w:tcPr>
            <w:tcW w:w="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360" w:type="dxa"/>
            <w:vAlign w:val="bottom"/>
          </w:tcPr>
          <w:p>
            <w:pPr>
              <w:spacing w:after="0"/>
              <w:rPr>
                <w:sz w:val="15"/>
                <w:szCs w:val="15"/>
                <w:color w:val="auto"/>
              </w:rPr>
            </w:pPr>
          </w:p>
        </w:tc>
        <w:tc>
          <w:tcPr>
            <w:tcW w:w="7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9"/>
        </w:trPr>
        <w:tc>
          <w:tcPr>
            <w:tcW w:w="17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indefinite useful life</w:t>
            </w:r>
          </w:p>
        </w:tc>
        <w:tc>
          <w:tcPr>
            <w:tcW w:w="1060" w:type="dxa"/>
            <w:vAlign w:val="bottom"/>
            <w:tcBorders>
              <w:right w:val="single" w:sz="8" w:color="70AD47"/>
            </w:tcBorders>
            <w:vMerge w:val="continue"/>
            <w:shd w:val="clear" w:color="auto" w:fill="C6E0B4"/>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right w:val="single" w:sz="8" w:color="70AD47"/>
            </w:tcBorders>
            <w:vMerge w:val="continue"/>
          </w:tcPr>
          <w:p>
            <w:pPr>
              <w:spacing w:after="0"/>
              <w:rPr>
                <w:sz w:val="10"/>
                <w:szCs w:val="10"/>
                <w:color w:val="auto"/>
              </w:rPr>
            </w:pPr>
          </w:p>
        </w:tc>
        <w:tc>
          <w:tcPr>
            <w:tcW w:w="1080" w:type="dxa"/>
            <w:vAlign w:val="bottom"/>
            <w:tcBorders>
              <w:right w:val="single" w:sz="8" w:color="70AD47"/>
            </w:tcBorders>
            <w:vMerge w:val="continue"/>
            <w:shd w:val="clear" w:color="auto" w:fill="C6E0B4"/>
          </w:tcPr>
          <w:p>
            <w:pPr>
              <w:spacing w:after="0"/>
              <w:rPr>
                <w:sz w:val="10"/>
                <w:szCs w:val="10"/>
                <w:color w:val="auto"/>
              </w:rPr>
            </w:pPr>
          </w:p>
        </w:tc>
        <w:tc>
          <w:tcPr>
            <w:tcW w:w="1120" w:type="dxa"/>
            <w:vAlign w:val="bottom"/>
            <w:tcBorders>
              <w:right w:val="single" w:sz="8" w:color="70AD47"/>
            </w:tcBorders>
            <w:vMerge w:val="continue"/>
          </w:tcPr>
          <w:p>
            <w:pPr>
              <w:spacing w:after="0"/>
              <w:rPr>
                <w:sz w:val="10"/>
                <w:szCs w:val="10"/>
                <w:color w:val="auto"/>
              </w:rPr>
            </w:pPr>
          </w:p>
        </w:tc>
        <w:tc>
          <w:tcPr>
            <w:tcW w:w="1100" w:type="dxa"/>
            <w:vAlign w:val="bottom"/>
            <w:tcBorders>
              <w:right w:val="single" w:sz="8" w:color="70AD47"/>
            </w:tcBorders>
            <w:vMerge w:val="continue"/>
            <w:shd w:val="clear" w:color="auto" w:fill="C6E0B4"/>
          </w:tcPr>
          <w:p>
            <w:pPr>
              <w:spacing w:after="0"/>
              <w:rPr>
                <w:sz w:val="10"/>
                <w:szCs w:val="10"/>
                <w:color w:val="auto"/>
              </w:rPr>
            </w:pPr>
          </w:p>
        </w:tc>
        <w:tc>
          <w:tcPr>
            <w:tcW w:w="1100" w:type="dxa"/>
            <w:vAlign w:val="bottom"/>
            <w:tcBorders>
              <w:right w:val="single" w:sz="8" w:color="70AD47"/>
            </w:tcBorders>
            <w:vMerge w:val="continue"/>
          </w:tcPr>
          <w:p>
            <w:pPr>
              <w:spacing w:after="0"/>
              <w:rPr>
                <w:sz w:val="10"/>
                <w:szCs w:val="10"/>
                <w:color w:val="auto"/>
              </w:rPr>
            </w:pPr>
          </w:p>
        </w:tc>
        <w:tc>
          <w:tcPr>
            <w:tcW w:w="540" w:type="dxa"/>
            <w:vAlign w:val="bottom"/>
            <w:tcBorders>
              <w:right w:val="single" w:sz="8" w:color="C6E0B4"/>
            </w:tcBorders>
            <w:shd w:val="clear" w:color="auto" w:fill="C6E0B4"/>
          </w:tcPr>
          <w:p>
            <w:pPr>
              <w:spacing w:after="0"/>
              <w:rPr>
                <w:sz w:val="10"/>
                <w:szCs w:val="10"/>
                <w:color w:val="auto"/>
              </w:rPr>
            </w:pPr>
          </w:p>
        </w:tc>
        <w:tc>
          <w:tcPr>
            <w:tcW w:w="580" w:type="dxa"/>
            <w:vAlign w:val="bottom"/>
            <w:tcBorders>
              <w:right w:val="single" w:sz="8" w:color="70AD47"/>
            </w:tcBorders>
            <w:vMerge w:val="continue"/>
            <w:shd w:val="clear" w:color="auto" w:fill="C6E0B4"/>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tcBorders>
              <w:bottom w:val="single" w:sz="8" w:color="70AD47"/>
              <w:right w:val="single" w:sz="8" w:color="70AD47"/>
            </w:tcBorders>
            <w:vMerge w:val="continue"/>
          </w:tcPr>
          <w:p>
            <w:pPr>
              <w:spacing w:after="0"/>
              <w:rPr>
                <w:sz w:val="7"/>
                <w:szCs w:val="7"/>
                <w:color w:val="auto"/>
              </w:rPr>
            </w:pPr>
          </w:p>
        </w:tc>
        <w:tc>
          <w:tcPr>
            <w:tcW w:w="1060" w:type="dxa"/>
            <w:vAlign w:val="bottom"/>
            <w:tcBorders>
              <w:bottom w:val="single" w:sz="8" w:color="70AD47"/>
              <w:right w:val="single" w:sz="8" w:color="70AD47"/>
            </w:tcBorders>
            <w:shd w:val="clear" w:color="auto" w:fill="C6E0B4"/>
          </w:tcPr>
          <w:p>
            <w:pPr>
              <w:spacing w:after="0"/>
              <w:rPr>
                <w:sz w:val="7"/>
                <w:szCs w:val="7"/>
                <w:color w:val="auto"/>
              </w:rPr>
            </w:pPr>
          </w:p>
        </w:tc>
        <w:tc>
          <w:tcPr>
            <w:tcW w:w="260" w:type="dxa"/>
            <w:vAlign w:val="bottom"/>
            <w:tcBorders>
              <w:bottom w:val="single" w:sz="8" w:color="70AD47"/>
            </w:tcBorders>
          </w:tcPr>
          <w:p>
            <w:pPr>
              <w:spacing w:after="0"/>
              <w:rPr>
                <w:sz w:val="7"/>
                <w:szCs w:val="7"/>
                <w:color w:val="auto"/>
              </w:rPr>
            </w:pPr>
          </w:p>
        </w:tc>
        <w:tc>
          <w:tcPr>
            <w:tcW w:w="840" w:type="dxa"/>
            <w:vAlign w:val="bottom"/>
            <w:tcBorders>
              <w:bottom w:val="single" w:sz="8" w:color="70AD47"/>
              <w:right w:val="single" w:sz="8" w:color="70AD47"/>
            </w:tcBorders>
          </w:tcPr>
          <w:p>
            <w:pPr>
              <w:spacing w:after="0"/>
              <w:rPr>
                <w:sz w:val="7"/>
                <w:szCs w:val="7"/>
                <w:color w:val="auto"/>
              </w:rPr>
            </w:pPr>
          </w:p>
        </w:tc>
        <w:tc>
          <w:tcPr>
            <w:tcW w:w="1080" w:type="dxa"/>
            <w:vAlign w:val="bottom"/>
            <w:tcBorders>
              <w:bottom w:val="single" w:sz="8" w:color="70AD47"/>
              <w:right w:val="single" w:sz="8" w:color="70AD47"/>
            </w:tcBorders>
            <w:shd w:val="clear" w:color="auto" w:fill="C6E0B4"/>
          </w:tcPr>
          <w:p>
            <w:pPr>
              <w:spacing w:after="0"/>
              <w:rPr>
                <w:sz w:val="7"/>
                <w:szCs w:val="7"/>
                <w:color w:val="auto"/>
              </w:rPr>
            </w:pPr>
          </w:p>
        </w:tc>
        <w:tc>
          <w:tcPr>
            <w:tcW w:w="1120" w:type="dxa"/>
            <w:vAlign w:val="bottom"/>
            <w:tcBorders>
              <w:bottom w:val="single" w:sz="8" w:color="70AD47"/>
              <w:right w:val="single" w:sz="8" w:color="70AD47"/>
            </w:tcBorders>
          </w:tcPr>
          <w:p>
            <w:pPr>
              <w:spacing w:after="0"/>
              <w:rPr>
                <w:sz w:val="7"/>
                <w:szCs w:val="7"/>
                <w:color w:val="auto"/>
              </w:rPr>
            </w:pPr>
          </w:p>
        </w:tc>
        <w:tc>
          <w:tcPr>
            <w:tcW w:w="1100" w:type="dxa"/>
            <w:vAlign w:val="bottom"/>
            <w:tcBorders>
              <w:bottom w:val="single" w:sz="8" w:color="70AD47"/>
              <w:right w:val="single" w:sz="8" w:color="70AD47"/>
            </w:tcBorders>
            <w:shd w:val="clear" w:color="auto" w:fill="C6E0B4"/>
          </w:tcPr>
          <w:p>
            <w:pPr>
              <w:spacing w:after="0"/>
              <w:rPr>
                <w:sz w:val="7"/>
                <w:szCs w:val="7"/>
                <w:color w:val="auto"/>
              </w:rPr>
            </w:pPr>
          </w:p>
        </w:tc>
        <w:tc>
          <w:tcPr>
            <w:tcW w:w="1100" w:type="dxa"/>
            <w:vAlign w:val="bottom"/>
            <w:tcBorders>
              <w:bottom w:val="single" w:sz="8" w:color="70AD47"/>
              <w:right w:val="single" w:sz="8" w:color="70AD47"/>
            </w:tcBorders>
          </w:tcPr>
          <w:p>
            <w:pPr>
              <w:spacing w:after="0"/>
              <w:rPr>
                <w:sz w:val="7"/>
                <w:szCs w:val="7"/>
                <w:color w:val="auto"/>
              </w:rPr>
            </w:pPr>
          </w:p>
        </w:tc>
        <w:tc>
          <w:tcPr>
            <w:tcW w:w="540" w:type="dxa"/>
            <w:vAlign w:val="bottom"/>
            <w:tcBorders>
              <w:bottom w:val="single" w:sz="8" w:color="70AD47"/>
              <w:right w:val="single" w:sz="8" w:color="C6E0B4"/>
            </w:tcBorders>
            <w:shd w:val="clear" w:color="auto" w:fill="C6E0B4"/>
          </w:tcPr>
          <w:p>
            <w:pPr>
              <w:spacing w:after="0"/>
              <w:rPr>
                <w:sz w:val="7"/>
                <w:szCs w:val="7"/>
                <w:color w:val="auto"/>
              </w:rPr>
            </w:pPr>
          </w:p>
        </w:tc>
        <w:tc>
          <w:tcPr>
            <w:tcW w:w="580" w:type="dxa"/>
            <w:vAlign w:val="bottom"/>
            <w:tcBorders>
              <w:bottom w:val="single" w:sz="8" w:color="70AD47"/>
              <w:right w:val="single" w:sz="8" w:color="70AD47"/>
            </w:tcBorders>
            <w:shd w:val="clear" w:color="auto" w:fill="C6E0B4"/>
          </w:tcPr>
          <w:p>
            <w:pPr>
              <w:spacing w:after="0"/>
              <w:rPr>
                <w:sz w:val="7"/>
                <w:szCs w:val="7"/>
                <w:color w:val="auto"/>
              </w:rPr>
            </w:pPr>
          </w:p>
        </w:tc>
        <w:tc>
          <w:tcPr>
            <w:tcW w:w="360" w:type="dxa"/>
            <w:vAlign w:val="bottom"/>
            <w:tcBorders>
              <w:bottom w:val="single" w:sz="8" w:color="70AD47"/>
            </w:tcBorders>
          </w:tcPr>
          <w:p>
            <w:pPr>
              <w:spacing w:after="0"/>
              <w:rPr>
                <w:sz w:val="7"/>
                <w:szCs w:val="7"/>
                <w:color w:val="auto"/>
              </w:rPr>
            </w:pPr>
          </w:p>
        </w:tc>
        <w:tc>
          <w:tcPr>
            <w:tcW w:w="78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7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796.7</w:t>
            </w:r>
          </w:p>
        </w:tc>
        <w:tc>
          <w:tcPr>
            <w:tcW w:w="260" w:type="dxa"/>
            <w:vAlign w:val="bottom"/>
            <w:tcBorders>
              <w:bottom w:val="single" w:sz="8" w:color="70AD47"/>
            </w:tcBorders>
          </w:tcPr>
          <w:p>
            <w:pPr>
              <w:spacing w:after="0"/>
              <w:rPr>
                <w:sz w:val="18"/>
                <w:szCs w:val="18"/>
                <w:color w:val="auto"/>
              </w:rPr>
            </w:pPr>
          </w:p>
        </w:tc>
        <w:tc>
          <w:tcPr>
            <w:tcW w:w="8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w:t>
            </w:r>
          </w:p>
        </w:tc>
        <w:tc>
          <w:tcPr>
            <w:tcW w:w="10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1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1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70AD47"/>
              <w:right w:val="single" w:sz="8" w:color="C6E0B4"/>
            </w:tcBorders>
            <w:shd w:val="clear" w:color="auto" w:fill="C6E0B4"/>
          </w:tcPr>
          <w:p>
            <w:pPr>
              <w:spacing w:after="0"/>
              <w:rPr>
                <w:sz w:val="18"/>
                <w:szCs w:val="18"/>
                <w:color w:val="auto"/>
              </w:rPr>
            </w:pPr>
          </w:p>
        </w:tc>
        <w:tc>
          <w:tcPr>
            <w:tcW w:w="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807.0</w:t>
            </w:r>
          </w:p>
        </w:tc>
        <w:tc>
          <w:tcPr>
            <w:tcW w:w="360" w:type="dxa"/>
            <w:vAlign w:val="bottom"/>
            <w:tcBorders>
              <w:bottom w:val="single" w:sz="8" w:color="70AD47"/>
            </w:tcBorders>
          </w:tcPr>
          <w:p>
            <w:pPr>
              <w:spacing w:after="0"/>
              <w:rPr>
                <w:sz w:val="18"/>
                <w:szCs w:val="18"/>
                <w:color w:val="auto"/>
              </w:rPr>
            </w:pPr>
          </w:p>
        </w:tc>
        <w:tc>
          <w:tcPr>
            <w:tcW w:w="7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For the year ended December 31, 2023, we have total goodwill of €362.5 million, which relates almost completely to the CGU immunotherapies. The CGU immunotherapies focuses on the development of therapies to address a range of rare and infectious diseases and comprises our broad pipeline that includes mRNA-based immune activators, antigen-targeting T cells and antibodies and defined immunomodulators of various immune cell mechanisms.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performed our annual impairment test in October 2023.</w:t>
      </w:r>
    </w:p>
    <w:p>
      <w:pPr>
        <w:spacing w:after="0" w:line="18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recoverable amount of the CGU immunotherapies has been determined based on a fair value less cost of disposal (FVLCD), which we derived based on our market capitalization as an observable input parameter.</w:t>
      </w:r>
    </w:p>
    <w:p>
      <w:pPr>
        <w:spacing w:after="0" w:line="155"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recoverable amount of the CGU JPT and the CGU external business of InstaDeep has been determined based on the value in use. In assessing value in use, the estimated future cash flows, which are derived based on the strategic business plan approved by the management, are discounted to their present value using a pre- tax discount rate that reflects current market assessments of the time value of money and the risks specific to the assets. A long-term growth rate of 1.0% is applied to project future cash flows after the last year of the detailed planning period.</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a result of the analysis in October 2023, we did not identify an impairment for these CGUs.</w:t>
      </w:r>
    </w:p>
    <w:p>
      <w:pPr>
        <w:spacing w:after="0" w:line="188"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Intangible assets with indefinite useful lives mainly comprised intangible assets not yet available for use of €443.5 million. Such assets are not amortized and therefore reviewed for impairment annually. An impairment test was performed on an individual basis of the assets in the fourth quarter of 2023. The recoverable amounts were determined based on value in use. The results did not give rise to any impairment losses.</w:t>
      </w:r>
    </w:p>
    <w:p>
      <w:pPr>
        <w:spacing w:after="0" w:line="16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Considering updated financial information regarding our COVID 19 vaccine business an additional impairment test for our CGU immunotherapies was performed as of December 31, 2023. The recoverable amount of the CGU immunotherapies was once again determined based on a fair value less cost of disposal (FVLCD), which we derived based on our market capitalization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6" w:name="page287"/>
    <w:bookmarkEnd w:id="28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As a result of the additional analysis for the CGU immunotherapies, we did not identify an impairment for the CGU immunotherapies. Even if our market capitalization had been approximately 10% lower, FVLCD would have still been above the respective carrying amount of the CGU.</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intangible assets resulting from licensing and collaboration agreements are combined into one class of assets due to their similar nature and use in our operations and are attributed to the CGU immunotherapies.</w:t>
      </w:r>
    </w:p>
    <w:p>
      <w:pPr>
        <w:spacing w:after="0" w:line="155"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 sensitivity analysis of the key assumptions, future cash flows and weighted average cost of capital, was performed as part of the scheduled impairment testing of the intangible assets not yet available for use. The sensitivity analysis did not give rise to any impairment loss, either for a reduction of 10% in future cash flows or for a 10% increase in the weighted average cost of capital.</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Other Intangible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Concessions, licenses, in-</w:t>
            </w:r>
          </w:p>
        </w:tc>
        <w:tc>
          <w:tcPr>
            <w:tcW w:w="16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5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70AD47"/>
            </w:tcBorders>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640" w:type="dxa"/>
            <w:vAlign w:val="bottom"/>
            <w:tcBorders>
              <w:left w:val="single" w:sz="8" w:color="70AD47"/>
              <w:right w:val="single" w:sz="8" w:color="70AD47"/>
            </w:tcBorders>
          </w:tcPr>
          <w:p>
            <w:pPr>
              <w:spacing w:after="0"/>
              <w:rPr>
                <w:sz w:val="24"/>
                <w:szCs w:val="24"/>
                <w:color w:val="auto"/>
              </w:rPr>
            </w:pPr>
          </w:p>
        </w:tc>
        <w:tc>
          <w:tcPr>
            <w:tcW w:w="14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70AD47"/>
            </w:tcBorders>
          </w:tcPr>
          <w:p>
            <w:pPr>
              <w:spacing w:after="0"/>
              <w:rPr>
                <w:sz w:val="8"/>
                <w:szCs w:val="8"/>
                <w:color w:val="auto"/>
              </w:rPr>
            </w:pPr>
          </w:p>
        </w:tc>
        <w:tc>
          <w:tcPr>
            <w:tcW w:w="1740" w:type="dxa"/>
            <w:vAlign w:val="bottom"/>
            <w:gridSpan w:val="2"/>
            <w:vMerge w:val="restart"/>
          </w:tcPr>
          <w:p>
            <w:pPr>
              <w:jc w:val="center"/>
              <w:ind w:right="20"/>
              <w:spacing w:after="0" w:line="168" w:lineRule="exact"/>
              <w:rPr>
                <w:sz w:val="20"/>
                <w:szCs w:val="20"/>
                <w:color w:val="auto"/>
              </w:rPr>
            </w:pPr>
            <w:r>
              <w:rPr>
                <w:rFonts w:ascii="Times New Roman" w:cs="Times New Roman" w:eastAsia="Times New Roman" w:hAnsi="Times New Roman"/>
                <w:sz w:val="16"/>
                <w:szCs w:val="16"/>
                <w:b w:val="1"/>
                <w:bCs w:val="1"/>
                <w:color w:val="auto"/>
                <w:w w:val="97"/>
              </w:rPr>
              <w:t>process R&amp;D and similar</w:t>
            </w:r>
          </w:p>
        </w:tc>
        <w:tc>
          <w:tcPr>
            <w:tcW w:w="1640" w:type="dxa"/>
            <w:vAlign w:val="bottom"/>
            <w:tcBorders>
              <w:left w:val="single" w:sz="8" w:color="70AD47"/>
              <w:right w:val="single" w:sz="8" w:color="70AD47"/>
            </w:tcBorders>
            <w:vMerge w:val="restart"/>
          </w:tcPr>
          <w:p>
            <w:pPr>
              <w:jc w:val="right"/>
              <w:ind w:right="102"/>
              <w:spacing w:after="0" w:line="168" w:lineRule="exact"/>
              <w:rPr>
                <w:sz w:val="20"/>
                <w:szCs w:val="20"/>
                <w:color w:val="auto"/>
              </w:rPr>
            </w:pPr>
            <w:r>
              <w:rPr>
                <w:rFonts w:ascii="Times New Roman" w:cs="Times New Roman" w:eastAsia="Times New Roman" w:hAnsi="Times New Roman"/>
                <w:sz w:val="16"/>
                <w:szCs w:val="16"/>
                <w:b w:val="1"/>
                <w:bCs w:val="1"/>
                <w:color w:val="auto"/>
              </w:rPr>
              <w:t>Advance payments</w:t>
            </w:r>
          </w:p>
        </w:tc>
        <w:tc>
          <w:tcPr>
            <w:tcW w:w="1440" w:type="dxa"/>
            <w:vAlign w:val="bottom"/>
            <w:tcBorders>
              <w:right w:val="single" w:sz="8" w:color="70AD47"/>
            </w:tcBorders>
            <w:vMerge w:val="restart"/>
          </w:tcPr>
          <w:p>
            <w:pPr>
              <w:jc w:val="right"/>
              <w:ind w:right="482"/>
              <w:spacing w:after="0" w:line="16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70AD47"/>
            </w:tcBorders>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640" w:type="dxa"/>
            <w:vAlign w:val="bottom"/>
            <w:tcBorders>
              <w:left w:val="single" w:sz="8" w:color="70AD47"/>
              <w:right w:val="single" w:sz="8" w:color="70AD47"/>
            </w:tcBorders>
            <w:vMerge w:val="continue"/>
          </w:tcPr>
          <w:p>
            <w:pPr>
              <w:spacing w:after="0"/>
              <w:rPr>
                <w:sz w:val="6"/>
                <w:szCs w:val="6"/>
                <w:color w:val="auto"/>
              </w:rPr>
            </w:pPr>
          </w:p>
        </w:tc>
        <w:tc>
          <w:tcPr>
            <w:tcW w:w="1440" w:type="dxa"/>
            <w:vAlign w:val="bottom"/>
            <w:tcBorders>
              <w:right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0" w:type="dxa"/>
            <w:vAlign w:val="bottom"/>
          </w:tcPr>
          <w:p>
            <w:pPr>
              <w:spacing w:after="0"/>
              <w:rPr>
                <w:sz w:val="17"/>
                <w:szCs w:val="17"/>
                <w:color w:val="auto"/>
              </w:rPr>
            </w:pPr>
          </w:p>
        </w:tc>
        <w:tc>
          <w:tcPr>
            <w:tcW w:w="100" w:type="dxa"/>
            <w:vAlign w:val="bottom"/>
            <w:tcBorders>
              <w:right w:val="single" w:sz="8" w:color="70AD47"/>
            </w:tcBorders>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1640" w:type="dxa"/>
            <w:vAlign w:val="bottom"/>
            <w:tcBorders>
              <w:left w:val="single" w:sz="8" w:color="70AD47"/>
              <w:right w:val="single" w:sz="8" w:color="70AD47"/>
            </w:tcBorders>
          </w:tcPr>
          <w:p>
            <w:pPr>
              <w:spacing w:after="0"/>
              <w:rPr>
                <w:sz w:val="17"/>
                <w:szCs w:val="17"/>
                <w:color w:val="auto"/>
              </w:rPr>
            </w:pPr>
          </w:p>
        </w:tc>
        <w:tc>
          <w:tcPr>
            <w:tcW w:w="144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40" w:type="dxa"/>
            <w:vAlign w:val="bottom"/>
            <w:tcBorders>
              <w:bottom w:val="single" w:sz="8" w:color="70AD47"/>
            </w:tcBorders>
            <w:vMerge w:val="continue"/>
          </w:tcPr>
          <w:p>
            <w:pPr>
              <w:spacing w:after="0"/>
              <w:rPr>
                <w:sz w:val="16"/>
                <w:szCs w:val="16"/>
                <w:color w:val="auto"/>
              </w:rPr>
            </w:pPr>
          </w:p>
        </w:tc>
        <w:tc>
          <w:tcPr>
            <w:tcW w:w="20" w:type="dxa"/>
            <w:vAlign w:val="bottom"/>
            <w:tcBorders>
              <w:bottom w:val="single" w:sz="8" w:color="70AD47"/>
            </w:tcBorders>
          </w:tcPr>
          <w:p>
            <w:pPr>
              <w:spacing w:after="0"/>
              <w:rPr>
                <w:sz w:val="16"/>
                <w:szCs w:val="16"/>
                <w:color w:val="auto"/>
              </w:rPr>
            </w:pPr>
          </w:p>
        </w:tc>
        <w:tc>
          <w:tcPr>
            <w:tcW w:w="100" w:type="dxa"/>
            <w:vAlign w:val="bottom"/>
            <w:tcBorders>
              <w:bottom w:val="single" w:sz="8" w:color="70AD47"/>
              <w:right w:val="single" w:sz="8" w:color="70AD47"/>
            </w:tcBorders>
          </w:tcPr>
          <w:p>
            <w:pPr>
              <w:spacing w:after="0"/>
              <w:rPr>
                <w:sz w:val="16"/>
                <w:szCs w:val="16"/>
                <w:color w:val="auto"/>
              </w:rPr>
            </w:pPr>
          </w:p>
        </w:tc>
        <w:tc>
          <w:tcPr>
            <w:tcW w:w="1680" w:type="dxa"/>
            <w:vAlign w:val="bottom"/>
            <w:tcBorders>
              <w:bottom w:val="single" w:sz="8" w:color="70AD47"/>
            </w:tcBorders>
          </w:tcPr>
          <w:p>
            <w:pPr>
              <w:spacing w:after="0"/>
              <w:rPr>
                <w:sz w:val="16"/>
                <w:szCs w:val="16"/>
                <w:color w:val="auto"/>
              </w:rPr>
            </w:pPr>
          </w:p>
        </w:tc>
        <w:tc>
          <w:tcPr>
            <w:tcW w:w="60" w:type="dxa"/>
            <w:vAlign w:val="bottom"/>
            <w:tcBorders>
              <w:bottom w:val="single" w:sz="8" w:color="70AD47"/>
            </w:tcBorders>
          </w:tcPr>
          <w:p>
            <w:pPr>
              <w:spacing w:after="0"/>
              <w:rPr>
                <w:sz w:val="16"/>
                <w:szCs w:val="16"/>
                <w:color w:val="auto"/>
              </w:rPr>
            </w:pPr>
          </w:p>
        </w:tc>
        <w:tc>
          <w:tcPr>
            <w:tcW w:w="1640" w:type="dxa"/>
            <w:vAlign w:val="bottom"/>
            <w:tcBorders>
              <w:left w:val="single" w:sz="8" w:color="70AD47"/>
              <w:bottom w:val="single" w:sz="8" w:color="70AD47"/>
              <w:right w:val="single" w:sz="8" w:color="70AD47"/>
            </w:tcBorders>
          </w:tcPr>
          <w:p>
            <w:pPr>
              <w:spacing w:after="0"/>
              <w:rPr>
                <w:sz w:val="16"/>
                <w:szCs w:val="16"/>
                <w:color w:val="auto"/>
              </w:rPr>
            </w:pPr>
          </w:p>
        </w:tc>
        <w:tc>
          <w:tcPr>
            <w:tcW w:w="1440" w:type="dxa"/>
            <w:vAlign w:val="bottom"/>
            <w:tcBorders>
              <w:bottom w:val="single" w:sz="8" w:color="70AD47"/>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2022</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64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64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4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4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20" w:type="dxa"/>
            <w:vAlign w:val="bottom"/>
            <w:tcBorders>
              <w:bottom w:val="single" w:sz="8" w:color="70AD47"/>
            </w:tcBorders>
          </w:tcPr>
          <w:p>
            <w:pPr>
              <w:spacing w:after="0"/>
              <w:rPr>
                <w:sz w:val="18"/>
                <w:szCs w:val="18"/>
                <w:color w:val="auto"/>
              </w:rPr>
            </w:pPr>
          </w:p>
        </w:tc>
        <w:tc>
          <w:tcPr>
            <w:tcW w:w="100" w:type="dxa"/>
            <w:vAlign w:val="bottom"/>
            <w:tcBorders>
              <w:bottom w:val="single" w:sz="8" w:color="70AD47"/>
              <w:right w:val="single" w:sz="8" w:color="70AD47"/>
            </w:tcBorders>
          </w:tcPr>
          <w:p>
            <w:pPr>
              <w:spacing w:after="0"/>
              <w:rPr>
                <w:sz w:val="18"/>
                <w:szCs w:val="18"/>
                <w:color w:val="auto"/>
              </w:rPr>
            </w:pPr>
          </w:p>
        </w:tc>
        <w:tc>
          <w:tcPr>
            <w:tcW w:w="174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4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 w:type="dxa"/>
            <w:vAlign w:val="bottom"/>
            <w:tcBorders>
              <w:bottom w:val="single" w:sz="8" w:color="70AD47"/>
            </w:tcBorders>
          </w:tcPr>
          <w:p>
            <w:pPr>
              <w:spacing w:after="0"/>
              <w:rPr>
                <w:sz w:val="18"/>
                <w:szCs w:val="18"/>
                <w:color w:val="auto"/>
              </w:rPr>
            </w:pPr>
          </w:p>
        </w:tc>
        <w:tc>
          <w:tcPr>
            <w:tcW w:w="100" w:type="dxa"/>
            <w:vAlign w:val="bottom"/>
            <w:tcBorders>
              <w:bottom w:val="single" w:sz="8" w:color="70AD47"/>
              <w:right w:val="single" w:sz="8" w:color="70AD47"/>
            </w:tcBorders>
          </w:tcPr>
          <w:p>
            <w:pPr>
              <w:spacing w:after="0"/>
              <w:rPr>
                <w:sz w:val="18"/>
                <w:szCs w:val="18"/>
                <w:color w:val="auto"/>
              </w:rPr>
            </w:pPr>
          </w:p>
        </w:tc>
        <w:tc>
          <w:tcPr>
            <w:tcW w:w="174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222.3</w:t>
            </w:r>
          </w:p>
        </w:tc>
        <w:tc>
          <w:tcPr>
            <w:tcW w:w="164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235.4</w:t>
            </w: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2023</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subsidiaries and businesses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Reclassifications</w:t>
            </w:r>
          </w:p>
        </w:tc>
        <w:tc>
          <w:tcPr>
            <w:tcW w:w="20" w:type="dxa"/>
            <w:vAlign w:val="bottom"/>
          </w:tcPr>
          <w:p>
            <w:pPr>
              <w:spacing w:after="0"/>
              <w:rPr>
                <w:sz w:val="18"/>
                <w:szCs w:val="18"/>
                <w:color w:val="auto"/>
              </w:rPr>
            </w:pPr>
          </w:p>
        </w:tc>
        <w:tc>
          <w:tcPr>
            <w:tcW w:w="100" w:type="dxa"/>
            <w:vAlign w:val="bottom"/>
            <w:tcBorders>
              <w:right w:val="single" w:sz="8" w:color="70AD47"/>
            </w:tcBorders>
          </w:tcPr>
          <w:p>
            <w:pPr>
              <w:spacing w:after="0"/>
              <w:rPr>
                <w:sz w:val="18"/>
                <w:szCs w:val="18"/>
                <w:color w:val="auto"/>
              </w:rPr>
            </w:pPr>
          </w:p>
        </w:tc>
        <w:tc>
          <w:tcPr>
            <w:tcW w:w="17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4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20" w:type="dxa"/>
            <w:vAlign w:val="bottom"/>
            <w:tcBorders>
              <w:bottom w:val="single" w:sz="8" w:color="70AD47"/>
            </w:tcBorders>
          </w:tcPr>
          <w:p>
            <w:pPr>
              <w:spacing w:after="0"/>
              <w:rPr>
                <w:sz w:val="18"/>
                <w:szCs w:val="18"/>
                <w:color w:val="auto"/>
              </w:rPr>
            </w:pPr>
          </w:p>
        </w:tc>
        <w:tc>
          <w:tcPr>
            <w:tcW w:w="100" w:type="dxa"/>
            <w:vAlign w:val="bottom"/>
            <w:tcBorders>
              <w:bottom w:val="single" w:sz="8" w:color="70AD47"/>
              <w:right w:val="single" w:sz="8" w:color="70AD47"/>
            </w:tcBorders>
          </w:tcPr>
          <w:p>
            <w:pPr>
              <w:spacing w:after="0"/>
              <w:rPr>
                <w:sz w:val="18"/>
                <w:szCs w:val="18"/>
                <w:color w:val="auto"/>
              </w:rPr>
            </w:pPr>
          </w:p>
        </w:tc>
        <w:tc>
          <w:tcPr>
            <w:tcW w:w="174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4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 w:type="dxa"/>
            <w:vAlign w:val="bottom"/>
            <w:tcBorders>
              <w:bottom w:val="single" w:sz="8" w:color="70AD47"/>
            </w:tcBorders>
          </w:tcPr>
          <w:p>
            <w:pPr>
              <w:spacing w:after="0"/>
              <w:rPr>
                <w:sz w:val="18"/>
                <w:szCs w:val="18"/>
                <w:color w:val="auto"/>
              </w:rPr>
            </w:pPr>
          </w:p>
        </w:tc>
        <w:tc>
          <w:tcPr>
            <w:tcW w:w="100" w:type="dxa"/>
            <w:vAlign w:val="bottom"/>
            <w:tcBorders>
              <w:bottom w:val="single" w:sz="8" w:color="70AD47"/>
              <w:right w:val="single" w:sz="8" w:color="70AD47"/>
            </w:tcBorders>
          </w:tcPr>
          <w:p>
            <w:pPr>
              <w:spacing w:after="0"/>
              <w:rPr>
                <w:sz w:val="18"/>
                <w:szCs w:val="18"/>
                <w:color w:val="auto"/>
              </w:rPr>
            </w:pPr>
          </w:p>
        </w:tc>
        <w:tc>
          <w:tcPr>
            <w:tcW w:w="174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898.6</w:t>
            </w:r>
          </w:p>
        </w:tc>
        <w:tc>
          <w:tcPr>
            <w:tcW w:w="164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921.0</w:t>
            </w:r>
          </w:p>
        </w:tc>
        <w:tc>
          <w:tcPr>
            <w:tcW w:w="0" w:type="dxa"/>
            <w:vAlign w:val="bottom"/>
          </w:tcPr>
          <w:p>
            <w:pPr>
              <w:spacing w:after="0"/>
              <w:rPr>
                <w:sz w:val="1"/>
                <w:szCs w:val="1"/>
                <w:color w:val="auto"/>
              </w:rPr>
            </w:pPr>
          </w:p>
        </w:tc>
      </w:tr>
      <w:tr>
        <w:trPr>
          <w:trHeight w:val="28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20" w:type="dxa"/>
            <w:vAlign w:val="bottom"/>
          </w:tcPr>
          <w:p>
            <w:pPr>
              <w:spacing w:after="0"/>
              <w:rPr>
                <w:sz w:val="24"/>
                <w:szCs w:val="24"/>
                <w:color w:val="auto"/>
              </w:rPr>
            </w:pP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Concessions, licenses, in-</w:t>
            </w: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640" w:type="dxa"/>
            <w:vAlign w:val="bottom"/>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60" w:type="dxa"/>
            <w:vAlign w:val="bottom"/>
            <w:tcBorders>
              <w:left w:val="single" w:sz="8" w:color="70AD47"/>
            </w:tcBorders>
          </w:tcPr>
          <w:p>
            <w:pPr>
              <w:spacing w:after="0"/>
              <w:rPr>
                <w:sz w:val="24"/>
                <w:szCs w:val="24"/>
                <w:color w:val="auto"/>
              </w:rPr>
            </w:pPr>
          </w:p>
        </w:tc>
        <w:tc>
          <w:tcPr>
            <w:tcW w:w="164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40" w:type="dxa"/>
            <w:vAlign w:val="bottom"/>
            <w:vMerge w:val="continue"/>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1780" w:type="dxa"/>
            <w:vAlign w:val="bottom"/>
            <w:gridSpan w:val="2"/>
            <w:vMerge w:val="restart"/>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process R&amp;D and similar</w:t>
            </w:r>
          </w:p>
        </w:tc>
        <w:tc>
          <w:tcPr>
            <w:tcW w:w="60" w:type="dxa"/>
            <w:vAlign w:val="bottom"/>
            <w:tcBorders>
              <w:left w:val="single" w:sz="8" w:color="70AD47"/>
            </w:tcBorders>
          </w:tcPr>
          <w:p>
            <w:pPr>
              <w:spacing w:after="0"/>
              <w:rPr>
                <w:sz w:val="8"/>
                <w:szCs w:val="8"/>
                <w:color w:val="auto"/>
              </w:rPr>
            </w:pPr>
          </w:p>
        </w:tc>
        <w:tc>
          <w:tcPr>
            <w:tcW w:w="1640" w:type="dxa"/>
            <w:vAlign w:val="bottom"/>
            <w:tcBorders>
              <w:right w:val="single" w:sz="8" w:color="70AD47"/>
            </w:tcBorders>
            <w:vMerge w:val="restart"/>
          </w:tcPr>
          <w:p>
            <w:pPr>
              <w:jc w:val="right"/>
              <w:ind w:right="142"/>
              <w:spacing w:after="0" w:line="168" w:lineRule="exact"/>
              <w:rPr>
                <w:sz w:val="20"/>
                <w:szCs w:val="20"/>
                <w:color w:val="auto"/>
              </w:rPr>
            </w:pPr>
            <w:r>
              <w:rPr>
                <w:rFonts w:ascii="Times New Roman" w:cs="Times New Roman" w:eastAsia="Times New Roman" w:hAnsi="Times New Roman"/>
                <w:sz w:val="16"/>
                <w:szCs w:val="16"/>
                <w:b w:val="1"/>
                <w:bCs w:val="1"/>
                <w:color w:val="auto"/>
              </w:rPr>
              <w:t>Advance payments</w:t>
            </w:r>
          </w:p>
        </w:tc>
        <w:tc>
          <w:tcPr>
            <w:tcW w:w="1440" w:type="dxa"/>
            <w:vAlign w:val="bottom"/>
            <w:tcBorders>
              <w:right w:val="single" w:sz="8" w:color="70AD47"/>
            </w:tcBorders>
            <w:vMerge w:val="restart"/>
          </w:tcPr>
          <w:p>
            <w:pPr>
              <w:jc w:val="right"/>
              <w:ind w:right="482"/>
              <w:spacing w:after="0" w:line="16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0" w:type="dxa"/>
            <w:vAlign w:val="bottom"/>
            <w:shd w:val="clear" w:color="auto" w:fill="70AD47"/>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0" w:type="dxa"/>
            <w:vAlign w:val="bottom"/>
            <w:tcBorders>
              <w:left w:val="single" w:sz="8" w:color="70AD47"/>
            </w:tcBorders>
          </w:tcPr>
          <w:p>
            <w:pPr>
              <w:spacing w:after="0"/>
              <w:rPr>
                <w:sz w:val="6"/>
                <w:szCs w:val="6"/>
                <w:color w:val="auto"/>
              </w:rPr>
            </w:pPr>
          </w:p>
        </w:tc>
        <w:tc>
          <w:tcPr>
            <w:tcW w:w="1640" w:type="dxa"/>
            <w:vAlign w:val="bottom"/>
            <w:tcBorders>
              <w:right w:val="single" w:sz="8" w:color="70AD47"/>
            </w:tcBorders>
            <w:vMerge w:val="continue"/>
          </w:tcPr>
          <w:p>
            <w:pPr>
              <w:spacing w:after="0"/>
              <w:rPr>
                <w:sz w:val="6"/>
                <w:szCs w:val="6"/>
                <w:color w:val="auto"/>
              </w:rPr>
            </w:pPr>
          </w:p>
        </w:tc>
        <w:tc>
          <w:tcPr>
            <w:tcW w:w="1440" w:type="dxa"/>
            <w:vAlign w:val="bottom"/>
            <w:tcBorders>
              <w:right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Cumulative amortization and impairment charges</w:t>
            </w:r>
          </w:p>
        </w:tc>
        <w:tc>
          <w:tcPr>
            <w:tcW w:w="20" w:type="dxa"/>
            <w:vAlign w:val="bottom"/>
            <w:shd w:val="clear" w:color="auto" w:fill="70AD47"/>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60" w:type="dxa"/>
            <w:vAlign w:val="bottom"/>
            <w:tcBorders>
              <w:left w:val="single" w:sz="8" w:color="70AD47"/>
            </w:tcBorders>
          </w:tcPr>
          <w:p>
            <w:pPr>
              <w:spacing w:after="0"/>
              <w:rPr>
                <w:sz w:val="17"/>
                <w:szCs w:val="17"/>
                <w:color w:val="auto"/>
              </w:rPr>
            </w:pPr>
          </w:p>
        </w:tc>
        <w:tc>
          <w:tcPr>
            <w:tcW w:w="1640" w:type="dxa"/>
            <w:vAlign w:val="bottom"/>
            <w:tcBorders>
              <w:right w:val="single" w:sz="8" w:color="70AD47"/>
            </w:tcBorders>
          </w:tcPr>
          <w:p>
            <w:pPr>
              <w:spacing w:after="0"/>
              <w:rPr>
                <w:sz w:val="17"/>
                <w:szCs w:val="17"/>
                <w:color w:val="auto"/>
              </w:rPr>
            </w:pPr>
          </w:p>
        </w:tc>
        <w:tc>
          <w:tcPr>
            <w:tcW w:w="144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40" w:type="dxa"/>
            <w:vAlign w:val="bottom"/>
            <w:tcBorders>
              <w:bottom w:val="single" w:sz="8" w:color="70AD47"/>
            </w:tcBorders>
            <w:vMerge w:val="continue"/>
          </w:tcPr>
          <w:p>
            <w:pPr>
              <w:spacing w:after="0"/>
              <w:rPr>
                <w:sz w:val="16"/>
                <w:szCs w:val="16"/>
                <w:color w:val="auto"/>
              </w:rPr>
            </w:pPr>
          </w:p>
        </w:tc>
        <w:tc>
          <w:tcPr>
            <w:tcW w:w="20" w:type="dxa"/>
            <w:vAlign w:val="bottom"/>
            <w:tcBorders>
              <w:bottom w:val="single" w:sz="8" w:color="70AD47"/>
            </w:tcBorders>
            <w:shd w:val="clear" w:color="auto" w:fill="70AD47"/>
          </w:tcPr>
          <w:p>
            <w:pPr>
              <w:spacing w:after="0"/>
              <w:rPr>
                <w:sz w:val="16"/>
                <w:szCs w:val="16"/>
                <w:color w:val="auto"/>
              </w:rPr>
            </w:pPr>
          </w:p>
        </w:tc>
        <w:tc>
          <w:tcPr>
            <w:tcW w:w="100" w:type="dxa"/>
            <w:vAlign w:val="bottom"/>
            <w:tcBorders>
              <w:bottom w:val="single" w:sz="8" w:color="70AD47"/>
            </w:tcBorders>
          </w:tcPr>
          <w:p>
            <w:pPr>
              <w:spacing w:after="0"/>
              <w:rPr>
                <w:sz w:val="16"/>
                <w:szCs w:val="16"/>
                <w:color w:val="auto"/>
              </w:rPr>
            </w:pPr>
          </w:p>
        </w:tc>
        <w:tc>
          <w:tcPr>
            <w:tcW w:w="1680" w:type="dxa"/>
            <w:vAlign w:val="bottom"/>
            <w:tcBorders>
              <w:bottom w:val="single" w:sz="8" w:color="70AD47"/>
            </w:tcBorders>
          </w:tcPr>
          <w:p>
            <w:pPr>
              <w:spacing w:after="0"/>
              <w:rPr>
                <w:sz w:val="16"/>
                <w:szCs w:val="16"/>
                <w:color w:val="auto"/>
              </w:rPr>
            </w:pPr>
          </w:p>
        </w:tc>
        <w:tc>
          <w:tcPr>
            <w:tcW w:w="60" w:type="dxa"/>
            <w:vAlign w:val="bottom"/>
            <w:tcBorders>
              <w:left w:val="single" w:sz="8" w:color="70AD47"/>
              <w:bottom w:val="single" w:sz="8" w:color="70AD47"/>
            </w:tcBorders>
          </w:tcPr>
          <w:p>
            <w:pPr>
              <w:spacing w:after="0"/>
              <w:rPr>
                <w:sz w:val="16"/>
                <w:szCs w:val="16"/>
                <w:color w:val="auto"/>
              </w:rPr>
            </w:pPr>
          </w:p>
        </w:tc>
        <w:tc>
          <w:tcPr>
            <w:tcW w:w="1640" w:type="dxa"/>
            <w:vAlign w:val="bottom"/>
            <w:tcBorders>
              <w:bottom w:val="single" w:sz="8" w:color="70AD47"/>
              <w:right w:val="single" w:sz="8" w:color="70AD47"/>
            </w:tcBorders>
          </w:tcPr>
          <w:p>
            <w:pPr>
              <w:spacing w:after="0"/>
              <w:rPr>
                <w:sz w:val="16"/>
                <w:szCs w:val="16"/>
                <w:color w:val="auto"/>
              </w:rPr>
            </w:pPr>
          </w:p>
        </w:tc>
        <w:tc>
          <w:tcPr>
            <w:tcW w:w="1440" w:type="dxa"/>
            <w:vAlign w:val="bottom"/>
            <w:tcBorders>
              <w:bottom w:val="single" w:sz="8" w:color="70AD47"/>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2022</w:t>
            </w:r>
          </w:p>
        </w:tc>
        <w:tc>
          <w:tcPr>
            <w:tcW w:w="20" w:type="dxa"/>
            <w:vAlign w:val="bottom"/>
            <w:shd w:val="clear" w:color="auto" w:fill="70AD47"/>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54.8</w:t>
            </w:r>
          </w:p>
        </w:tc>
        <w:tc>
          <w:tcPr>
            <w:tcW w:w="60" w:type="dxa"/>
            <w:vAlign w:val="bottom"/>
            <w:tcBorders>
              <w:left w:val="single" w:sz="8" w:color="70AD47"/>
            </w:tcBorders>
          </w:tcPr>
          <w:p>
            <w:pPr>
              <w:spacing w:after="0"/>
              <w:rPr>
                <w:sz w:val="18"/>
                <w:szCs w:val="18"/>
                <w:color w:val="auto"/>
              </w:rPr>
            </w:pP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54.8</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shd w:val="clear" w:color="auto" w:fill="70AD47"/>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Borders>
              <w:left w:val="single" w:sz="8" w:color="70AD47"/>
            </w:tcBorders>
          </w:tcPr>
          <w:p>
            <w:pPr>
              <w:spacing w:after="0"/>
              <w:rPr>
                <w:sz w:val="18"/>
                <w:szCs w:val="18"/>
                <w:color w:val="auto"/>
              </w:rPr>
            </w:pP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20" w:type="dxa"/>
            <w:vAlign w:val="bottom"/>
            <w:shd w:val="clear" w:color="auto" w:fill="70AD47"/>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Borders>
              <w:left w:val="single" w:sz="8" w:color="70AD47"/>
            </w:tcBorders>
          </w:tcPr>
          <w:p>
            <w:pPr>
              <w:spacing w:after="0"/>
              <w:rPr>
                <w:sz w:val="18"/>
                <w:szCs w:val="18"/>
                <w:color w:val="auto"/>
              </w:rPr>
            </w:pPr>
          </w:p>
        </w:tc>
        <w:tc>
          <w:tcPr>
            <w:tcW w:w="16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20" w:type="dxa"/>
            <w:vAlign w:val="bottom"/>
            <w:tcBorders>
              <w:bottom w:val="single" w:sz="8" w:color="70AD47"/>
            </w:tcBorders>
            <w:shd w:val="clear" w:color="auto" w:fill="70AD47"/>
          </w:tcPr>
          <w:p>
            <w:pPr>
              <w:spacing w:after="0"/>
              <w:rPr>
                <w:sz w:val="18"/>
                <w:szCs w:val="18"/>
                <w:color w:val="auto"/>
              </w:rPr>
            </w:pPr>
          </w:p>
        </w:tc>
        <w:tc>
          <w:tcPr>
            <w:tcW w:w="178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Borders>
              <w:left w:val="single" w:sz="8" w:color="70AD47"/>
              <w:bottom w:val="single" w:sz="8" w:color="70AD47"/>
            </w:tcBorders>
          </w:tcPr>
          <w:p>
            <w:pPr>
              <w:spacing w:after="0"/>
              <w:rPr>
                <w:sz w:val="18"/>
                <w:szCs w:val="18"/>
                <w:color w:val="auto"/>
              </w:rPr>
            </w:pP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 w:type="dxa"/>
            <w:vAlign w:val="bottom"/>
            <w:tcBorders>
              <w:bottom w:val="single" w:sz="8" w:color="70AD47"/>
            </w:tcBorders>
            <w:shd w:val="clear" w:color="auto" w:fill="70AD47"/>
          </w:tcPr>
          <w:p>
            <w:pPr>
              <w:spacing w:after="0"/>
              <w:rPr>
                <w:sz w:val="18"/>
                <w:szCs w:val="18"/>
                <w:color w:val="auto"/>
              </w:rPr>
            </w:pPr>
          </w:p>
        </w:tc>
        <w:tc>
          <w:tcPr>
            <w:tcW w:w="178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76.9</w:t>
            </w:r>
          </w:p>
        </w:tc>
        <w:tc>
          <w:tcPr>
            <w:tcW w:w="60" w:type="dxa"/>
            <w:vAlign w:val="bottom"/>
            <w:tcBorders>
              <w:left w:val="single" w:sz="8" w:color="70AD47"/>
              <w:bottom w:val="single" w:sz="8" w:color="70AD47"/>
            </w:tcBorders>
          </w:tcPr>
          <w:p>
            <w:pPr>
              <w:spacing w:after="0"/>
              <w:rPr>
                <w:sz w:val="18"/>
                <w:szCs w:val="18"/>
                <w:color w:val="auto"/>
              </w:rPr>
            </w:pPr>
          </w:p>
        </w:tc>
        <w:tc>
          <w:tcPr>
            <w:tcW w:w="1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76.9</w:t>
            </w: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2023</w:t>
            </w:r>
          </w:p>
        </w:tc>
        <w:tc>
          <w:tcPr>
            <w:tcW w:w="20" w:type="dxa"/>
            <w:vAlign w:val="bottom"/>
            <w:shd w:val="clear" w:color="auto" w:fill="70AD47"/>
          </w:tcPr>
          <w:p>
            <w:pPr>
              <w:spacing w:after="0"/>
              <w:rPr>
                <w:sz w:val="18"/>
                <w:szCs w:val="18"/>
                <w:color w:val="auto"/>
              </w:rPr>
            </w:pPr>
          </w:p>
        </w:tc>
        <w:tc>
          <w:tcPr>
            <w:tcW w:w="178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60" w:type="dxa"/>
            <w:vAlign w:val="bottom"/>
            <w:tcBorders>
              <w:left w:val="single" w:sz="8" w:color="70AD47"/>
            </w:tcBorders>
            <w:shd w:val="clear" w:color="auto" w:fill="C6E0B4"/>
          </w:tcPr>
          <w:p>
            <w:pPr>
              <w:spacing w:after="0"/>
              <w:rPr>
                <w:sz w:val="18"/>
                <w:szCs w:val="18"/>
                <w:color w:val="auto"/>
              </w:rPr>
            </w:pPr>
          </w:p>
        </w:tc>
        <w:tc>
          <w:tcPr>
            <w:tcW w:w="164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shd w:val="clear" w:color="auto" w:fill="70AD47"/>
          </w:tcPr>
          <w:p>
            <w:pPr>
              <w:spacing w:after="0"/>
              <w:rPr>
                <w:sz w:val="18"/>
                <w:szCs w:val="18"/>
                <w:color w:val="auto"/>
              </w:rPr>
            </w:pPr>
          </w:p>
        </w:tc>
        <w:tc>
          <w:tcPr>
            <w:tcW w:w="178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Borders>
              <w:left w:val="single" w:sz="8" w:color="70AD47"/>
            </w:tcBorders>
            <w:shd w:val="clear" w:color="auto" w:fill="C6E0B4"/>
          </w:tcPr>
          <w:p>
            <w:pPr>
              <w:spacing w:after="0"/>
              <w:rPr>
                <w:sz w:val="18"/>
                <w:szCs w:val="18"/>
                <w:color w:val="auto"/>
              </w:rPr>
            </w:pPr>
          </w:p>
        </w:tc>
        <w:tc>
          <w:tcPr>
            <w:tcW w:w="164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20" w:type="dxa"/>
            <w:vAlign w:val="bottom"/>
            <w:shd w:val="clear" w:color="auto" w:fill="70AD47"/>
          </w:tcPr>
          <w:p>
            <w:pPr>
              <w:spacing w:after="0"/>
              <w:rPr>
                <w:sz w:val="18"/>
                <w:szCs w:val="18"/>
                <w:color w:val="auto"/>
              </w:rPr>
            </w:pPr>
          </w:p>
        </w:tc>
        <w:tc>
          <w:tcPr>
            <w:tcW w:w="178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Borders>
              <w:left w:val="single" w:sz="8" w:color="70AD47"/>
            </w:tcBorders>
            <w:shd w:val="clear" w:color="auto" w:fill="C6E0B4"/>
          </w:tcPr>
          <w:p>
            <w:pPr>
              <w:spacing w:after="0"/>
              <w:rPr>
                <w:sz w:val="18"/>
                <w:szCs w:val="18"/>
                <w:color w:val="auto"/>
              </w:rPr>
            </w:pPr>
          </w:p>
        </w:tc>
        <w:tc>
          <w:tcPr>
            <w:tcW w:w="164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20" w:type="dxa"/>
            <w:vAlign w:val="bottom"/>
            <w:tcBorders>
              <w:bottom w:val="single" w:sz="8" w:color="70AD47"/>
            </w:tcBorders>
            <w:shd w:val="clear" w:color="auto" w:fill="70AD47"/>
          </w:tcPr>
          <w:p>
            <w:pPr>
              <w:spacing w:after="0"/>
              <w:rPr>
                <w:sz w:val="18"/>
                <w:szCs w:val="18"/>
                <w:color w:val="auto"/>
              </w:rPr>
            </w:pPr>
          </w:p>
        </w:tc>
        <w:tc>
          <w:tcPr>
            <w:tcW w:w="178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Borders>
              <w:left w:val="single" w:sz="8" w:color="70AD47"/>
              <w:bottom w:val="single" w:sz="8" w:color="70AD47"/>
            </w:tcBorders>
            <w:shd w:val="clear" w:color="auto" w:fill="C6E0B4"/>
          </w:tcPr>
          <w:p>
            <w:pPr>
              <w:spacing w:after="0"/>
              <w:rPr>
                <w:sz w:val="18"/>
                <w:szCs w:val="18"/>
                <w:color w:val="auto"/>
              </w:rPr>
            </w:pPr>
          </w:p>
        </w:tc>
        <w:tc>
          <w:tcPr>
            <w:tcW w:w="1640" w:type="dxa"/>
            <w:vAlign w:val="bottom"/>
            <w:tcBorders>
              <w:left w:val="single" w:sz="8" w:color="C6E0B4"/>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8"/>
        </w:trPr>
        <w:tc>
          <w:tcPr>
            <w:tcW w:w="56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 w:type="dxa"/>
            <w:vAlign w:val="bottom"/>
            <w:tcBorders>
              <w:bottom w:val="single" w:sz="8" w:color="70AD47"/>
            </w:tcBorders>
            <w:shd w:val="clear" w:color="auto" w:fill="70AD47"/>
          </w:tcPr>
          <w:p>
            <w:pPr>
              <w:spacing w:after="0"/>
              <w:rPr>
                <w:sz w:val="18"/>
                <w:szCs w:val="18"/>
                <w:color w:val="auto"/>
              </w:rPr>
            </w:pPr>
          </w:p>
        </w:tc>
        <w:tc>
          <w:tcPr>
            <w:tcW w:w="178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116.9</w:t>
            </w:r>
          </w:p>
        </w:tc>
        <w:tc>
          <w:tcPr>
            <w:tcW w:w="60" w:type="dxa"/>
            <w:vAlign w:val="bottom"/>
            <w:tcBorders>
              <w:left w:val="single" w:sz="8" w:color="70AD47"/>
              <w:bottom w:val="single" w:sz="8" w:color="70AD47"/>
            </w:tcBorders>
            <w:shd w:val="clear" w:color="auto" w:fill="C6E0B4"/>
          </w:tcPr>
          <w:p>
            <w:pPr>
              <w:spacing w:after="0"/>
              <w:rPr>
                <w:sz w:val="18"/>
                <w:szCs w:val="18"/>
                <w:color w:val="auto"/>
              </w:rPr>
            </w:pPr>
          </w:p>
        </w:tc>
        <w:tc>
          <w:tcPr>
            <w:tcW w:w="1640" w:type="dxa"/>
            <w:vAlign w:val="bottom"/>
            <w:tcBorders>
              <w:left w:val="single" w:sz="8" w:color="C6E0B4"/>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7" w:name="page288"/>
    <w:bookmarkEnd w:id="28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562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8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Concessions, licenses, in-</w:t>
            </w:r>
          </w:p>
        </w:tc>
        <w:tc>
          <w:tcPr>
            <w:tcW w:w="1660" w:type="dxa"/>
            <w:vAlign w:val="bottom"/>
            <w:tcBorders>
              <w:right w:val="single" w:sz="8" w:color="70AD47"/>
            </w:tcBorders>
          </w:tcPr>
          <w:p>
            <w:pPr>
              <w:spacing w:after="0"/>
              <w:rPr>
                <w:sz w:val="24"/>
                <w:szCs w:val="24"/>
                <w:color w:val="auto"/>
              </w:rPr>
            </w:pPr>
          </w:p>
        </w:tc>
        <w:tc>
          <w:tcPr>
            <w:tcW w:w="148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20" w:type="dxa"/>
            <w:vAlign w:val="bottom"/>
            <w:tcBorders>
              <w:right w:val="single" w:sz="8" w:color="70AD47"/>
            </w:tcBorders>
            <w:vMerge w:val="continue"/>
          </w:tcPr>
          <w:p>
            <w:pPr>
              <w:spacing w:after="0"/>
              <w:rPr>
                <w:sz w:val="8"/>
                <w:szCs w:val="8"/>
                <w:color w:val="auto"/>
              </w:rPr>
            </w:pPr>
          </w:p>
        </w:tc>
        <w:tc>
          <w:tcPr>
            <w:tcW w:w="1820" w:type="dxa"/>
            <w:vAlign w:val="bottom"/>
            <w:tcBorders>
              <w:right w:val="single" w:sz="8" w:color="70AD47"/>
            </w:tcBorders>
            <w:vMerge w:val="restart"/>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process R&amp;D and similar</w:t>
            </w:r>
          </w:p>
        </w:tc>
        <w:tc>
          <w:tcPr>
            <w:tcW w:w="1660" w:type="dxa"/>
            <w:vAlign w:val="bottom"/>
            <w:tcBorders>
              <w:right w:val="single" w:sz="8" w:color="70AD47"/>
            </w:tcBorders>
            <w:vMerge w:val="restart"/>
          </w:tcPr>
          <w:p>
            <w:pPr>
              <w:jc w:val="right"/>
              <w:ind w:right="142"/>
              <w:spacing w:after="0" w:line="168" w:lineRule="exact"/>
              <w:rPr>
                <w:sz w:val="20"/>
                <w:szCs w:val="20"/>
                <w:color w:val="auto"/>
              </w:rPr>
            </w:pPr>
            <w:r>
              <w:rPr>
                <w:rFonts w:ascii="Times New Roman" w:cs="Times New Roman" w:eastAsia="Times New Roman" w:hAnsi="Times New Roman"/>
                <w:sz w:val="16"/>
                <w:szCs w:val="16"/>
                <w:b w:val="1"/>
                <w:bCs w:val="1"/>
                <w:color w:val="auto"/>
              </w:rPr>
              <w:t>Advance payments</w:t>
            </w:r>
          </w:p>
        </w:tc>
        <w:tc>
          <w:tcPr>
            <w:tcW w:w="1480" w:type="dxa"/>
            <w:vAlign w:val="bottom"/>
            <w:tcBorders>
              <w:right w:val="single" w:sz="8" w:color="70AD47"/>
            </w:tcBorders>
            <w:vMerge w:val="restart"/>
          </w:tcPr>
          <w:p>
            <w:pPr>
              <w:jc w:val="right"/>
              <w:ind w:right="502"/>
              <w:spacing w:after="0" w:line="168"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1"/>
        </w:trPr>
        <w:tc>
          <w:tcPr>
            <w:tcW w:w="5620" w:type="dxa"/>
            <w:vAlign w:val="bottom"/>
            <w:tcBorders>
              <w:right w:val="single" w:sz="8" w:color="70AD47"/>
            </w:tcBorders>
          </w:tcPr>
          <w:p>
            <w:pPr>
              <w:spacing w:after="0"/>
              <w:rPr>
                <w:sz w:val="6"/>
                <w:szCs w:val="6"/>
                <w:color w:val="auto"/>
              </w:rPr>
            </w:pPr>
          </w:p>
        </w:tc>
        <w:tc>
          <w:tcPr>
            <w:tcW w:w="1820" w:type="dxa"/>
            <w:vAlign w:val="bottom"/>
            <w:tcBorders>
              <w:right w:val="single" w:sz="8" w:color="70AD47"/>
            </w:tcBorders>
            <w:vMerge w:val="continue"/>
          </w:tcPr>
          <w:p>
            <w:pPr>
              <w:spacing w:after="0"/>
              <w:rPr>
                <w:sz w:val="6"/>
                <w:szCs w:val="6"/>
                <w:color w:val="auto"/>
              </w:rPr>
            </w:pPr>
          </w:p>
        </w:tc>
        <w:tc>
          <w:tcPr>
            <w:tcW w:w="1660" w:type="dxa"/>
            <w:vAlign w:val="bottom"/>
            <w:tcBorders>
              <w:right w:val="single" w:sz="8" w:color="70AD47"/>
            </w:tcBorders>
            <w:vMerge w:val="continue"/>
          </w:tcPr>
          <w:p>
            <w:pPr>
              <w:spacing w:after="0"/>
              <w:rPr>
                <w:sz w:val="6"/>
                <w:szCs w:val="6"/>
                <w:color w:val="auto"/>
              </w:rPr>
            </w:pPr>
          </w:p>
        </w:tc>
        <w:tc>
          <w:tcPr>
            <w:tcW w:w="1480" w:type="dxa"/>
            <w:vAlign w:val="bottom"/>
            <w:tcBorders>
              <w:right w:val="single" w:sz="8" w:color="70AD4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62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1660" w:type="dxa"/>
            <w:vAlign w:val="bottom"/>
            <w:tcBorders>
              <w:right w:val="single" w:sz="8" w:color="70AD47"/>
            </w:tcBorders>
          </w:tcPr>
          <w:p>
            <w:pPr>
              <w:spacing w:after="0"/>
              <w:rPr>
                <w:sz w:val="17"/>
                <w:szCs w:val="17"/>
                <w:color w:val="auto"/>
              </w:rPr>
            </w:pPr>
          </w:p>
        </w:tc>
        <w:tc>
          <w:tcPr>
            <w:tcW w:w="148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20" w:type="dxa"/>
            <w:vAlign w:val="bottom"/>
            <w:tcBorders>
              <w:bottom w:val="single" w:sz="8" w:color="70AD47"/>
              <w:right w:val="single" w:sz="8" w:color="70AD47"/>
            </w:tcBorders>
            <w:vMerge w:val="continue"/>
          </w:tcPr>
          <w:p>
            <w:pPr>
              <w:spacing w:after="0"/>
              <w:rPr>
                <w:sz w:val="16"/>
                <w:szCs w:val="16"/>
                <w:color w:val="auto"/>
              </w:rPr>
            </w:pPr>
          </w:p>
        </w:tc>
        <w:tc>
          <w:tcPr>
            <w:tcW w:w="1820" w:type="dxa"/>
            <w:vAlign w:val="bottom"/>
            <w:tcBorders>
              <w:bottom w:val="single" w:sz="8" w:color="70AD47"/>
              <w:right w:val="single" w:sz="8" w:color="70AD47"/>
            </w:tcBorders>
          </w:tcPr>
          <w:p>
            <w:pPr>
              <w:spacing w:after="0"/>
              <w:rPr>
                <w:sz w:val="16"/>
                <w:szCs w:val="16"/>
                <w:color w:val="auto"/>
              </w:rPr>
            </w:pPr>
          </w:p>
        </w:tc>
        <w:tc>
          <w:tcPr>
            <w:tcW w:w="1660" w:type="dxa"/>
            <w:vAlign w:val="bottom"/>
            <w:tcBorders>
              <w:bottom w:val="single" w:sz="8" w:color="70AD47"/>
              <w:right w:val="single" w:sz="8" w:color="70AD47"/>
            </w:tcBorders>
          </w:tcPr>
          <w:p>
            <w:pPr>
              <w:spacing w:after="0"/>
              <w:rPr>
                <w:sz w:val="16"/>
                <w:szCs w:val="16"/>
                <w:color w:val="auto"/>
              </w:rPr>
            </w:pPr>
          </w:p>
        </w:tc>
        <w:tc>
          <w:tcPr>
            <w:tcW w:w="1480" w:type="dxa"/>
            <w:vAlign w:val="bottom"/>
            <w:tcBorders>
              <w:bottom w:val="single" w:sz="8" w:color="70AD47"/>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8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145.4</w:t>
            </w:r>
          </w:p>
        </w:tc>
        <w:tc>
          <w:tcPr>
            <w:tcW w:w="16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14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158.5</w:t>
            </w:r>
          </w:p>
        </w:tc>
        <w:tc>
          <w:tcPr>
            <w:tcW w:w="0" w:type="dxa"/>
            <w:vAlign w:val="bottom"/>
          </w:tcPr>
          <w:p>
            <w:pPr>
              <w:spacing w:after="0"/>
              <w:rPr>
                <w:sz w:val="1"/>
                <w:szCs w:val="1"/>
                <w:color w:val="auto"/>
              </w:rPr>
            </w:pPr>
          </w:p>
        </w:tc>
      </w:tr>
      <w:tr>
        <w:trPr>
          <w:trHeight w:val="208"/>
        </w:trPr>
        <w:tc>
          <w:tcPr>
            <w:tcW w:w="56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781.7</w:t>
            </w:r>
          </w:p>
        </w:tc>
        <w:tc>
          <w:tcPr>
            <w:tcW w:w="16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14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804.1</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increase in other intangible assets by €645.6 million from December 31, 2022 to December 31, 2023 was mainly related to the acquisition of InstaDeep (see Note 5) and licenses fulfilling the definition of identifiable assets acquired. We entered into license and collaboration agreements in which we work together with partners to develop pharmaceutical products and, provided regulatory approval is granted, commercialize them. The upfront payments in connection with the license and collaboration agreements described below resulted in the recognition of intangible assets not yet available for use in the amount of €443.5 million and a prepayment for future development activities recognized in the other non-financial assets (€22.5 million as at December 31, 2023, see also Note 14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right="60" w:firstLine="384"/>
        <w:spacing w:after="0" w:line="243" w:lineRule="auto"/>
        <w:rPr>
          <w:sz w:val="20"/>
          <w:szCs w:val="20"/>
          <w:color w:val="auto"/>
        </w:rPr>
      </w:pPr>
      <w:r>
        <w:rPr>
          <w:rFonts w:ascii="Times New Roman" w:cs="Times New Roman" w:eastAsia="Times New Roman" w:hAnsi="Times New Roman"/>
          <w:sz w:val="16"/>
          <w:szCs w:val="16"/>
          <w:color w:val="auto"/>
        </w:rPr>
        <w:t>In March 2023, we entered into license and collaboration agreements with Duality Biologics (Suzhou) Co. Ltd., Shanghai, China, or Duality, for exclusive licenses to two investigational ADC assets (BNT323/DB- 1303 and BNT324/DB-1311) directed against targets expressed in a broad range of human cancers. In August 2023, we signed another exclusive agreement with Duality to develop, manufacture and commercialize an additional ADC, BNT325/DB-1305. Duality received upfront payments totaling $220.0 million (€203.7 million) and is eligible to receive future milestone payments as well as tiered royalties.</w:t>
      </w:r>
    </w:p>
    <w:p>
      <w:pPr>
        <w:spacing w:after="0" w:line="167" w:lineRule="exact"/>
        <w:rPr>
          <w:sz w:val="20"/>
          <w:szCs w:val="20"/>
          <w:color w:val="auto"/>
        </w:rPr>
      </w:pPr>
    </w:p>
    <w:p>
      <w:pPr>
        <w:jc w:val="both"/>
        <w:ind w:right="80" w:firstLine="384"/>
        <w:spacing w:after="0" w:line="243" w:lineRule="auto"/>
        <w:rPr>
          <w:sz w:val="20"/>
          <w:szCs w:val="20"/>
          <w:color w:val="auto"/>
        </w:rPr>
      </w:pPr>
      <w:r>
        <w:rPr>
          <w:rFonts w:ascii="Times New Roman" w:cs="Times New Roman" w:eastAsia="Times New Roman" w:hAnsi="Times New Roman"/>
          <w:sz w:val="16"/>
          <w:szCs w:val="16"/>
          <w:color w:val="auto"/>
        </w:rPr>
        <w:t>In April 2023, we entered into a licensing and collaboration agreement with OncoC4 Inc., Rockville (Maryland), United States, or OncoC4, which includes joint development of BNT316/ONC-392 in a range of solid tumor indications, with the parties equally sharing development costs for such joint development studies. BioNTech holds the exclusive worldwide commercialization rights for this product candidate. OncoC4 received an upfront payment of $200.0 million (€181.5 million, thereof €125.2 million paid for the acquisition of an intangible asset) and is eligible to receive future milestone payments as well as tiered royalties.</w:t>
      </w:r>
    </w:p>
    <w:p>
      <w:pPr>
        <w:spacing w:after="0" w:line="167"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In November 2023, we entered into a strategic research collaboration and worldwide license agreement with MediLink Therapeutics (Suzhou) Co., Ltd., or MediLink Therapeutics, for the development of a next-generation ADC, BNT326/YL202, against Human Epidermal Growth Factor Receptor 3 (HER3). MediLink Therapeutics received an upfront payment of $70.0 million (€64.1 million) and is eligible to receive future milestone payments as well as tiered royalties.</w:t>
      </w:r>
    </w:p>
    <w:p>
      <w:pPr>
        <w:spacing w:after="0" w:line="164" w:lineRule="exact"/>
        <w:rPr>
          <w:sz w:val="20"/>
          <w:szCs w:val="20"/>
          <w:color w:val="auto"/>
        </w:rPr>
      </w:pPr>
    </w:p>
    <w:p>
      <w:pPr>
        <w:jc w:val="both"/>
        <w:ind w:right="60" w:firstLine="384"/>
        <w:spacing w:after="0" w:line="247" w:lineRule="auto"/>
        <w:rPr>
          <w:sz w:val="20"/>
          <w:szCs w:val="20"/>
          <w:color w:val="auto"/>
        </w:rPr>
      </w:pPr>
      <w:r>
        <w:rPr>
          <w:rFonts w:ascii="Times New Roman" w:cs="Times New Roman" w:eastAsia="Times New Roman" w:hAnsi="Times New Roman"/>
          <w:sz w:val="16"/>
          <w:szCs w:val="16"/>
          <w:color w:val="auto"/>
        </w:rPr>
        <w:t>In December 2023, we entered into an exclusive global license and collaboration with Biotheus Inc., or Biotheus, under which we will be developing, manufacturing and commercializing Biotheus’ bispecific antibody candidate BNT327/PM8002 globally ex-Greater China. We agreed to an upfront payment of $55.0 million (€50.6 million) plus future milestone and royalty payments.</w:t>
      </w:r>
    </w:p>
    <w:p>
      <w:pPr>
        <w:spacing w:after="0" w:line="164" w:lineRule="exact"/>
        <w:rPr>
          <w:sz w:val="20"/>
          <w:szCs w:val="20"/>
          <w:color w:val="auto"/>
        </w:rPr>
      </w:pPr>
    </w:p>
    <w:p>
      <w:pPr>
        <w:ind w:right="100" w:firstLine="384"/>
        <w:spacing w:after="0" w:line="244" w:lineRule="auto"/>
        <w:rPr>
          <w:sz w:val="20"/>
          <w:szCs w:val="20"/>
          <w:color w:val="auto"/>
        </w:rPr>
      </w:pPr>
      <w:r>
        <w:rPr>
          <w:rFonts w:ascii="Times New Roman" w:cs="Times New Roman" w:eastAsia="Times New Roman" w:hAnsi="Times New Roman"/>
          <w:sz w:val="16"/>
          <w:szCs w:val="16"/>
          <w:color w:val="auto"/>
        </w:rPr>
        <w:t>In July 2023, in connection with the acquisition of InstaDeep we acquired DeepChain technology. As of December 31, 2023 the book value of DeepChain technology amounted to €163.3 million with a remaining useful life of 6.6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557" w:right="600" w:bottom="1440" w:gutter="0" w:footer="0" w:header="0"/>
        </w:sectPr>
      </w:pPr>
    </w:p>
    <w:bookmarkStart w:id="288" w:name="page289"/>
    <w:bookmarkEnd w:id="28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11  Property, Plant and Equipment</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60" w:type="dxa"/>
            <w:vAlign w:val="bottom"/>
          </w:tcPr>
          <w:p>
            <w:pPr>
              <w:spacing w:after="0"/>
              <w:rPr>
                <w:sz w:val="8"/>
                <w:szCs w:val="8"/>
                <w:color w:val="auto"/>
              </w:rPr>
            </w:pPr>
          </w:p>
        </w:tc>
        <w:tc>
          <w:tcPr>
            <w:tcW w:w="1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Land and buildings</w:t>
            </w:r>
          </w:p>
        </w:tc>
        <w:tc>
          <w:tcPr>
            <w:tcW w:w="20" w:type="dxa"/>
            <w:vAlign w:val="bottom"/>
          </w:tcPr>
          <w:p>
            <w:pPr>
              <w:spacing w:after="0"/>
              <w:rPr>
                <w:sz w:val="8"/>
                <w:szCs w:val="8"/>
                <w:color w:val="auto"/>
              </w:rPr>
            </w:pPr>
          </w:p>
        </w:tc>
        <w:tc>
          <w:tcPr>
            <w:tcW w:w="16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Equipment, tools and</w:t>
            </w:r>
          </w:p>
        </w:tc>
        <w:tc>
          <w:tcPr>
            <w:tcW w:w="20" w:type="dxa"/>
            <w:vAlign w:val="bottom"/>
          </w:tcPr>
          <w:p>
            <w:pPr>
              <w:spacing w:after="0"/>
              <w:rPr>
                <w:sz w:val="8"/>
                <w:szCs w:val="8"/>
                <w:color w:val="auto"/>
              </w:rPr>
            </w:pPr>
          </w:p>
        </w:tc>
        <w:tc>
          <w:tcPr>
            <w:tcW w:w="1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Construction in progress</w:t>
            </w:r>
          </w:p>
        </w:tc>
        <w:tc>
          <w:tcPr>
            <w:tcW w:w="40" w:type="dxa"/>
            <w:vAlign w:val="bottom"/>
          </w:tcPr>
          <w:p>
            <w:pPr>
              <w:spacing w:after="0"/>
              <w:rPr>
                <w:sz w:val="8"/>
                <w:szCs w:val="8"/>
                <w:color w:val="auto"/>
              </w:rPr>
            </w:pPr>
          </w:p>
        </w:tc>
        <w:tc>
          <w:tcPr>
            <w:tcW w:w="1320" w:type="dxa"/>
            <w:vAlign w:val="bottom"/>
            <w:vMerge w:val="restart"/>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4140" w:type="dxa"/>
            <w:vAlign w:val="bottom"/>
            <w:vMerge w:val="continue"/>
          </w:tcPr>
          <w:p>
            <w:pPr>
              <w:spacing w:after="0"/>
              <w:rPr>
                <w:sz w:val="24"/>
                <w:szCs w:val="24"/>
                <w:color w:val="auto"/>
              </w:rPr>
            </w:pPr>
          </w:p>
        </w:tc>
        <w:tc>
          <w:tcPr>
            <w:tcW w:w="160" w:type="dxa"/>
            <w:vAlign w:val="bottom"/>
            <w:tcBorders>
              <w:right w:val="single" w:sz="8" w:color="70AD47"/>
            </w:tcBorders>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40" w:type="dxa"/>
            <w:vAlign w:val="bottom"/>
            <w:tcBorders>
              <w:left w:val="single" w:sz="8" w:color="70AD47"/>
            </w:tcBorders>
            <w:shd w:val="clear" w:color="auto" w:fill="70AD47"/>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rPr>
                <w:sz w:val="10"/>
                <w:szCs w:val="10"/>
                <w:color w:val="auto"/>
              </w:rPr>
            </w:pPr>
          </w:p>
        </w:tc>
        <w:tc>
          <w:tcPr>
            <w:tcW w:w="160" w:type="dxa"/>
            <w:vAlign w:val="bottom"/>
            <w:tcBorders>
              <w:right w:val="single" w:sz="8" w:color="70AD47"/>
            </w:tcBorders>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164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installations</w:t>
            </w:r>
          </w:p>
        </w:tc>
        <w:tc>
          <w:tcPr>
            <w:tcW w:w="20" w:type="dxa"/>
            <w:vAlign w:val="bottom"/>
            <w:shd w:val="clear" w:color="auto" w:fill="70AD47"/>
          </w:tcPr>
          <w:p>
            <w:pPr>
              <w:spacing w:after="0"/>
              <w:rPr>
                <w:sz w:val="10"/>
                <w:szCs w:val="10"/>
                <w:color w:val="auto"/>
              </w:rPr>
            </w:pPr>
          </w:p>
        </w:tc>
        <w:tc>
          <w:tcPr>
            <w:tcW w:w="1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and advance payments</w:t>
            </w:r>
          </w:p>
        </w:tc>
        <w:tc>
          <w:tcPr>
            <w:tcW w:w="40" w:type="dxa"/>
            <w:vAlign w:val="bottom"/>
            <w:tcBorders>
              <w:left w:val="single" w:sz="8" w:color="70AD47"/>
            </w:tcBorders>
            <w:shd w:val="clear" w:color="auto" w:fill="70AD47"/>
          </w:tcPr>
          <w:p>
            <w:pPr>
              <w:spacing w:after="0"/>
              <w:rPr>
                <w:sz w:val="10"/>
                <w:szCs w:val="10"/>
                <w:color w:val="auto"/>
              </w:rPr>
            </w:pPr>
          </w:p>
        </w:tc>
        <w:tc>
          <w:tcPr>
            <w:tcW w:w="132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and production costs</w:t>
            </w:r>
          </w:p>
        </w:tc>
        <w:tc>
          <w:tcPr>
            <w:tcW w:w="160" w:type="dxa"/>
            <w:vAlign w:val="bottom"/>
            <w:tcBorders>
              <w:right w:val="single" w:sz="8" w:color="70AD47"/>
            </w:tcBorders>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0" w:type="dxa"/>
            <w:vAlign w:val="bottom"/>
            <w:tcBorders>
              <w:left w:val="single" w:sz="8" w:color="70AD47"/>
            </w:tcBorders>
            <w:shd w:val="clear" w:color="auto" w:fill="70AD47"/>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70AD47"/>
            </w:tcBorders>
            <w:vMerge w:val="continue"/>
          </w:tcPr>
          <w:p>
            <w:pPr>
              <w:spacing w:after="0"/>
              <w:rPr>
                <w:sz w:val="15"/>
                <w:szCs w:val="15"/>
                <w:color w:val="auto"/>
              </w:rPr>
            </w:pPr>
          </w:p>
        </w:tc>
        <w:tc>
          <w:tcPr>
            <w:tcW w:w="160" w:type="dxa"/>
            <w:vAlign w:val="bottom"/>
            <w:tcBorders>
              <w:bottom w:val="single" w:sz="8" w:color="70AD47"/>
              <w:right w:val="single" w:sz="8" w:color="70AD47"/>
            </w:tcBorders>
          </w:tcPr>
          <w:p>
            <w:pPr>
              <w:spacing w:after="0"/>
              <w:rPr>
                <w:sz w:val="15"/>
                <w:szCs w:val="15"/>
                <w:color w:val="auto"/>
              </w:rPr>
            </w:pPr>
          </w:p>
        </w:tc>
        <w:tc>
          <w:tcPr>
            <w:tcW w:w="1360" w:type="dxa"/>
            <w:vAlign w:val="bottom"/>
            <w:tcBorders>
              <w:bottom w:val="single" w:sz="8" w:color="70AD47"/>
            </w:tcBorders>
          </w:tcPr>
          <w:p>
            <w:pPr>
              <w:spacing w:after="0"/>
              <w:rPr>
                <w:sz w:val="15"/>
                <w:szCs w:val="15"/>
                <w:color w:val="auto"/>
              </w:rPr>
            </w:pPr>
          </w:p>
        </w:tc>
        <w:tc>
          <w:tcPr>
            <w:tcW w:w="40" w:type="dxa"/>
            <w:vAlign w:val="bottom"/>
            <w:tcBorders>
              <w:bottom w:val="single" w:sz="8" w:color="70AD47"/>
            </w:tcBorders>
          </w:tcPr>
          <w:p>
            <w:pPr>
              <w:spacing w:after="0"/>
              <w:rPr>
                <w:sz w:val="15"/>
                <w:szCs w:val="15"/>
                <w:color w:val="auto"/>
              </w:rPr>
            </w:pPr>
          </w:p>
        </w:tc>
        <w:tc>
          <w:tcPr>
            <w:tcW w:w="10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shd w:val="clear" w:color="auto" w:fill="70AD47"/>
          </w:tcPr>
          <w:p>
            <w:pPr>
              <w:spacing w:after="0"/>
              <w:rPr>
                <w:sz w:val="15"/>
                <w:szCs w:val="15"/>
                <w:color w:val="auto"/>
              </w:rPr>
            </w:pPr>
          </w:p>
        </w:tc>
        <w:tc>
          <w:tcPr>
            <w:tcW w:w="1600" w:type="dxa"/>
            <w:vAlign w:val="bottom"/>
            <w:tcBorders>
              <w:bottom w:val="single" w:sz="8" w:color="70AD47"/>
            </w:tcBorders>
          </w:tcPr>
          <w:p>
            <w:pPr>
              <w:spacing w:after="0"/>
              <w:rPr>
                <w:sz w:val="15"/>
                <w:szCs w:val="15"/>
                <w:color w:val="auto"/>
              </w:rPr>
            </w:pPr>
          </w:p>
        </w:tc>
        <w:tc>
          <w:tcPr>
            <w:tcW w:w="4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shd w:val="clear" w:color="auto" w:fill="70AD47"/>
          </w:tcPr>
          <w:p>
            <w:pPr>
              <w:spacing w:after="0"/>
              <w:rPr>
                <w:sz w:val="15"/>
                <w:szCs w:val="15"/>
                <w:color w:val="auto"/>
              </w:rPr>
            </w:pPr>
          </w:p>
        </w:tc>
        <w:tc>
          <w:tcPr>
            <w:tcW w:w="170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tcPr>
          <w:p>
            <w:pPr>
              <w:spacing w:after="0"/>
              <w:rPr>
                <w:sz w:val="15"/>
                <w:szCs w:val="15"/>
                <w:color w:val="auto"/>
              </w:rPr>
            </w:pPr>
          </w:p>
        </w:tc>
        <w:tc>
          <w:tcPr>
            <w:tcW w:w="40" w:type="dxa"/>
            <w:vAlign w:val="bottom"/>
            <w:tcBorders>
              <w:left w:val="single" w:sz="8" w:color="70AD47"/>
              <w:bottom w:val="single" w:sz="8" w:color="70AD47"/>
            </w:tcBorders>
            <w:shd w:val="clear" w:color="auto" w:fill="70AD47"/>
          </w:tcPr>
          <w:p>
            <w:pPr>
              <w:spacing w:after="0"/>
              <w:rPr>
                <w:sz w:val="15"/>
                <w:szCs w:val="15"/>
                <w:color w:val="auto"/>
              </w:rPr>
            </w:pPr>
          </w:p>
        </w:tc>
        <w:tc>
          <w:tcPr>
            <w:tcW w:w="132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shd w:val="clear" w:color="auto" w:fill="70AD47"/>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2022</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104.1</w:t>
            </w:r>
          </w:p>
        </w:tc>
        <w:tc>
          <w:tcPr>
            <w:tcW w:w="20" w:type="dxa"/>
            <w:vAlign w:val="bottom"/>
            <w:shd w:val="clear" w:color="auto" w:fill="70AD47"/>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20" w:type="dxa"/>
            <w:vAlign w:val="bottom"/>
            <w:shd w:val="clear" w:color="auto" w:fill="70AD47"/>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 w:type="dxa"/>
            <w:vAlign w:val="bottom"/>
          </w:tcPr>
          <w:p>
            <w:pPr>
              <w:spacing w:after="0"/>
              <w:rPr>
                <w:sz w:val="18"/>
                <w:szCs w:val="18"/>
                <w:color w:val="auto"/>
              </w:rPr>
            </w:pP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100.2</w:t>
            </w:r>
          </w:p>
        </w:tc>
        <w:tc>
          <w:tcPr>
            <w:tcW w:w="20" w:type="dxa"/>
            <w:vAlign w:val="bottom"/>
            <w:shd w:val="clear" w:color="auto" w:fill="70AD47"/>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0" w:type="dxa"/>
            <w:vAlign w:val="bottom"/>
            <w:shd w:val="clear" w:color="auto" w:fill="70AD47"/>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70AD47"/>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8"/>
                <w:szCs w:val="18"/>
                <w:color w:val="auto"/>
              </w:rPr>
            </w:pP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70AD47"/>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shd w:val="clear" w:color="auto" w:fill="70AD47"/>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6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Borders>
              <w:bottom w:val="single" w:sz="8" w:color="70AD47"/>
            </w:tcBorders>
            <w:shd w:val="clear" w:color="auto" w:fill="70AD47"/>
          </w:tcPr>
          <w:p>
            <w:pPr>
              <w:spacing w:after="0"/>
              <w:rPr>
                <w:sz w:val="18"/>
                <w:szCs w:val="18"/>
                <w:color w:val="auto"/>
              </w:rPr>
            </w:pPr>
          </w:p>
        </w:tc>
        <w:tc>
          <w:tcPr>
            <w:tcW w:w="164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Borders>
              <w:bottom w:val="single" w:sz="8" w:color="70AD47"/>
            </w:tcBorders>
            <w:shd w:val="clear" w:color="auto" w:fill="70AD47"/>
          </w:tcPr>
          <w:p>
            <w:pPr>
              <w:spacing w:after="0"/>
              <w:rPr>
                <w:sz w:val="18"/>
                <w:szCs w:val="18"/>
                <w:color w:val="auto"/>
              </w:rPr>
            </w:pPr>
          </w:p>
        </w:tc>
        <w:tc>
          <w:tcPr>
            <w:tcW w:w="17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Borders>
              <w:bottom w:val="single" w:sz="8" w:color="70AD47"/>
            </w:tcBorders>
          </w:tcPr>
          <w:p>
            <w:pPr>
              <w:spacing w:after="0"/>
              <w:rPr>
                <w:sz w:val="18"/>
                <w:szCs w:val="18"/>
                <w:color w:val="auto"/>
              </w:rPr>
            </w:pPr>
          </w:p>
        </w:tc>
        <w:tc>
          <w:tcPr>
            <w:tcW w:w="40" w:type="dxa"/>
            <w:vAlign w:val="bottom"/>
            <w:tcBorders>
              <w:left w:val="single" w:sz="8" w:color="70AD47"/>
              <w:bottom w:val="single" w:sz="8" w:color="70AD47"/>
            </w:tcBorders>
            <w:shd w:val="clear" w:color="auto" w:fill="70AD47"/>
          </w:tcPr>
          <w:p>
            <w:pPr>
              <w:spacing w:after="0"/>
              <w:rPr>
                <w:sz w:val="18"/>
                <w:szCs w:val="18"/>
                <w:color w:val="auto"/>
              </w:rPr>
            </w:pPr>
          </w:p>
        </w:tc>
        <w:tc>
          <w:tcPr>
            <w:tcW w:w="13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217.0</w:t>
            </w:r>
          </w:p>
        </w:tc>
        <w:tc>
          <w:tcPr>
            <w:tcW w:w="20" w:type="dxa"/>
            <w:vAlign w:val="bottom"/>
            <w:tcBorders>
              <w:bottom w:val="single" w:sz="8" w:color="70AD47"/>
            </w:tcBorders>
            <w:shd w:val="clear" w:color="auto" w:fill="70AD47"/>
          </w:tcPr>
          <w:p>
            <w:pPr>
              <w:spacing w:after="0"/>
              <w:rPr>
                <w:sz w:val="18"/>
                <w:szCs w:val="18"/>
                <w:color w:val="auto"/>
              </w:rPr>
            </w:pPr>
          </w:p>
        </w:tc>
        <w:tc>
          <w:tcPr>
            <w:tcW w:w="164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273.0</w:t>
            </w:r>
          </w:p>
        </w:tc>
        <w:tc>
          <w:tcPr>
            <w:tcW w:w="20" w:type="dxa"/>
            <w:vAlign w:val="bottom"/>
            <w:tcBorders>
              <w:bottom w:val="single" w:sz="8" w:color="70AD47"/>
            </w:tcBorders>
            <w:shd w:val="clear" w:color="auto" w:fill="70AD47"/>
          </w:tcPr>
          <w:p>
            <w:pPr>
              <w:spacing w:after="0"/>
              <w:rPr>
                <w:sz w:val="18"/>
                <w:szCs w:val="18"/>
                <w:color w:val="auto"/>
              </w:rPr>
            </w:pPr>
          </w:p>
        </w:tc>
        <w:tc>
          <w:tcPr>
            <w:tcW w:w="172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235.5</w:t>
            </w:r>
          </w:p>
        </w:tc>
        <w:tc>
          <w:tcPr>
            <w:tcW w:w="40" w:type="dxa"/>
            <w:vAlign w:val="bottom"/>
            <w:tcBorders>
              <w:left w:val="single" w:sz="8" w:color="70AD47"/>
              <w:bottom w:val="single" w:sz="8" w:color="70AD47"/>
            </w:tcBorders>
            <w:shd w:val="clear" w:color="auto" w:fill="70AD47"/>
          </w:tcPr>
          <w:p>
            <w:pPr>
              <w:spacing w:after="0"/>
              <w:rPr>
                <w:sz w:val="18"/>
                <w:szCs w:val="18"/>
                <w:color w:val="auto"/>
              </w:rPr>
            </w:pPr>
          </w:p>
        </w:tc>
        <w:tc>
          <w:tcPr>
            <w:tcW w:w="13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725.5</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2023</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217.0</w:t>
            </w:r>
          </w:p>
        </w:tc>
        <w:tc>
          <w:tcPr>
            <w:tcW w:w="20" w:type="dxa"/>
            <w:vAlign w:val="bottom"/>
            <w:shd w:val="clear" w:color="auto" w:fill="70AD47"/>
          </w:tcPr>
          <w:p>
            <w:pPr>
              <w:spacing w:after="0"/>
              <w:rPr>
                <w:sz w:val="18"/>
                <w:szCs w:val="18"/>
                <w:color w:val="auto"/>
              </w:rPr>
            </w:pPr>
          </w:p>
        </w:tc>
        <w:tc>
          <w:tcPr>
            <w:tcW w:w="16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20" w:type="dxa"/>
            <w:vAlign w:val="bottom"/>
            <w:shd w:val="clear" w:color="auto" w:fill="70AD47"/>
          </w:tcPr>
          <w:p>
            <w:pPr>
              <w:spacing w:after="0"/>
              <w:rPr>
                <w:sz w:val="18"/>
                <w:szCs w:val="18"/>
                <w:color w:val="auto"/>
              </w:rPr>
            </w:pPr>
          </w:p>
        </w:tc>
        <w:tc>
          <w:tcPr>
            <w:tcW w:w="172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shd w:val="clear" w:color="auto" w:fill="70AD47"/>
          </w:tcPr>
          <w:p>
            <w:pPr>
              <w:spacing w:after="0"/>
              <w:rPr>
                <w:sz w:val="18"/>
                <w:szCs w:val="18"/>
                <w:color w:val="auto"/>
              </w:rPr>
            </w:pPr>
          </w:p>
        </w:tc>
        <w:tc>
          <w:tcPr>
            <w:tcW w:w="16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0" w:type="dxa"/>
            <w:vAlign w:val="bottom"/>
            <w:shd w:val="clear" w:color="auto" w:fill="70AD47"/>
          </w:tcPr>
          <w:p>
            <w:pPr>
              <w:spacing w:after="0"/>
              <w:rPr>
                <w:sz w:val="18"/>
                <w:szCs w:val="18"/>
                <w:color w:val="auto"/>
              </w:rPr>
            </w:pPr>
          </w:p>
        </w:tc>
        <w:tc>
          <w:tcPr>
            <w:tcW w:w="172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subsidiaries and businesses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6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70AD47"/>
          </w:tcPr>
          <w:p>
            <w:pPr>
              <w:spacing w:after="0"/>
              <w:rPr>
                <w:sz w:val="18"/>
                <w:szCs w:val="18"/>
                <w:color w:val="auto"/>
              </w:rPr>
            </w:pPr>
          </w:p>
        </w:tc>
        <w:tc>
          <w:tcPr>
            <w:tcW w:w="1720" w:type="dxa"/>
            <w:vAlign w:val="bottom"/>
            <w:gridSpan w:val="2"/>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6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70AD47"/>
          </w:tcPr>
          <w:p>
            <w:pPr>
              <w:spacing w:after="0"/>
              <w:rPr>
                <w:sz w:val="18"/>
                <w:szCs w:val="18"/>
                <w:color w:val="auto"/>
              </w:rPr>
            </w:pPr>
          </w:p>
        </w:tc>
        <w:tc>
          <w:tcPr>
            <w:tcW w:w="170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6E0B4"/>
          </w:tcPr>
          <w:p>
            <w:pPr>
              <w:spacing w:after="0"/>
              <w:rPr>
                <w:sz w:val="18"/>
                <w:szCs w:val="18"/>
                <w:color w:val="auto"/>
              </w:rPr>
            </w:pP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Reclassifications</w:t>
            </w:r>
          </w:p>
        </w:tc>
        <w:tc>
          <w:tcPr>
            <w:tcW w:w="160" w:type="dxa"/>
            <w:vAlign w:val="bottom"/>
            <w:tcBorders>
              <w:right w:val="single" w:sz="8" w:color="70AD47"/>
            </w:tcBorders>
          </w:tcPr>
          <w:p>
            <w:pPr>
              <w:spacing w:after="0"/>
              <w:rPr>
                <w:sz w:val="18"/>
                <w:szCs w:val="18"/>
                <w:color w:val="auto"/>
              </w:rPr>
            </w:pPr>
          </w:p>
        </w:tc>
        <w:tc>
          <w:tcPr>
            <w:tcW w:w="1500" w:type="dxa"/>
            <w:vAlign w:val="bottom"/>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shd w:val="clear" w:color="auto" w:fill="70AD47"/>
          </w:tcPr>
          <w:p>
            <w:pPr>
              <w:spacing w:after="0"/>
              <w:rPr>
                <w:sz w:val="18"/>
                <w:szCs w:val="18"/>
                <w:color w:val="auto"/>
              </w:rPr>
            </w:pPr>
          </w:p>
        </w:tc>
        <w:tc>
          <w:tcPr>
            <w:tcW w:w="164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shd w:val="clear" w:color="auto" w:fill="70AD47"/>
          </w:tcPr>
          <w:p>
            <w:pPr>
              <w:spacing w:after="0"/>
              <w:rPr>
                <w:sz w:val="18"/>
                <w:szCs w:val="18"/>
                <w:color w:val="auto"/>
              </w:rPr>
            </w:pPr>
          </w:p>
        </w:tc>
        <w:tc>
          <w:tcPr>
            <w:tcW w:w="172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40" w:type="dxa"/>
            <w:vAlign w:val="bottom"/>
            <w:tcBorders>
              <w:left w:val="single" w:sz="8" w:color="70AD47"/>
            </w:tcBorders>
            <w:shd w:val="clear" w:color="auto" w:fill="70AD47"/>
          </w:tcPr>
          <w:p>
            <w:pPr>
              <w:spacing w:after="0"/>
              <w:rPr>
                <w:sz w:val="18"/>
                <w:szCs w:val="18"/>
                <w:color w:val="auto"/>
              </w:rPr>
            </w:pPr>
          </w:p>
        </w:tc>
        <w:tc>
          <w:tcPr>
            <w:tcW w:w="13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6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bottom w:val="single" w:sz="8" w:color="70AD47"/>
            </w:tcBorders>
            <w:shd w:val="clear" w:color="auto" w:fill="70AD47"/>
          </w:tcPr>
          <w:p>
            <w:pPr>
              <w:spacing w:after="0"/>
              <w:rPr>
                <w:sz w:val="18"/>
                <w:szCs w:val="18"/>
                <w:color w:val="auto"/>
              </w:rPr>
            </w:pPr>
          </w:p>
        </w:tc>
        <w:tc>
          <w:tcPr>
            <w:tcW w:w="164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bottom w:val="single" w:sz="8" w:color="70AD47"/>
            </w:tcBorders>
            <w:shd w:val="clear" w:color="auto" w:fill="70AD47"/>
          </w:tcPr>
          <w:p>
            <w:pPr>
              <w:spacing w:after="0"/>
              <w:rPr>
                <w:sz w:val="18"/>
                <w:szCs w:val="18"/>
                <w:color w:val="auto"/>
              </w:rPr>
            </w:pPr>
          </w:p>
        </w:tc>
        <w:tc>
          <w:tcPr>
            <w:tcW w:w="17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bottom w:val="single" w:sz="8" w:color="70AD47"/>
            </w:tcBorders>
            <w:shd w:val="clear" w:color="auto" w:fill="C6E0B4"/>
          </w:tcPr>
          <w:p>
            <w:pPr>
              <w:spacing w:after="0"/>
              <w:rPr>
                <w:sz w:val="18"/>
                <w:szCs w:val="18"/>
                <w:color w:val="auto"/>
              </w:rPr>
            </w:pPr>
          </w:p>
        </w:tc>
        <w:tc>
          <w:tcPr>
            <w:tcW w:w="40" w:type="dxa"/>
            <w:vAlign w:val="bottom"/>
            <w:tcBorders>
              <w:left w:val="single" w:sz="8" w:color="70AD47"/>
              <w:bottom w:val="single" w:sz="8" w:color="70AD47"/>
            </w:tcBorders>
            <w:shd w:val="clear" w:color="auto" w:fill="70AD47"/>
          </w:tcPr>
          <w:p>
            <w:pPr>
              <w:spacing w:after="0"/>
              <w:rPr>
                <w:sz w:val="18"/>
                <w:szCs w:val="18"/>
                <w:color w:val="auto"/>
              </w:rPr>
            </w:pPr>
          </w:p>
        </w:tc>
        <w:tc>
          <w:tcPr>
            <w:tcW w:w="13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235.4</w:t>
            </w:r>
          </w:p>
        </w:tc>
        <w:tc>
          <w:tcPr>
            <w:tcW w:w="20" w:type="dxa"/>
            <w:vAlign w:val="bottom"/>
            <w:tcBorders>
              <w:bottom w:val="single" w:sz="8" w:color="70AD47"/>
            </w:tcBorders>
            <w:shd w:val="clear" w:color="auto" w:fill="70AD47"/>
          </w:tcPr>
          <w:p>
            <w:pPr>
              <w:spacing w:after="0"/>
              <w:rPr>
                <w:sz w:val="18"/>
                <w:szCs w:val="18"/>
                <w:color w:val="auto"/>
              </w:rPr>
            </w:pPr>
          </w:p>
        </w:tc>
        <w:tc>
          <w:tcPr>
            <w:tcW w:w="164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344.1</w:t>
            </w:r>
          </w:p>
        </w:tc>
        <w:tc>
          <w:tcPr>
            <w:tcW w:w="20" w:type="dxa"/>
            <w:vAlign w:val="bottom"/>
            <w:tcBorders>
              <w:bottom w:val="single" w:sz="8" w:color="70AD47"/>
            </w:tcBorders>
            <w:shd w:val="clear" w:color="auto" w:fill="70AD47"/>
          </w:tcPr>
          <w:p>
            <w:pPr>
              <w:spacing w:after="0"/>
              <w:rPr>
                <w:sz w:val="18"/>
                <w:szCs w:val="18"/>
                <w:color w:val="auto"/>
              </w:rPr>
            </w:pPr>
          </w:p>
        </w:tc>
        <w:tc>
          <w:tcPr>
            <w:tcW w:w="172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389.5</w:t>
            </w:r>
          </w:p>
        </w:tc>
        <w:tc>
          <w:tcPr>
            <w:tcW w:w="40" w:type="dxa"/>
            <w:vAlign w:val="bottom"/>
            <w:tcBorders>
              <w:left w:val="single" w:sz="8" w:color="70AD47"/>
              <w:bottom w:val="single" w:sz="8" w:color="70AD47"/>
            </w:tcBorders>
            <w:shd w:val="clear" w:color="auto" w:fill="70AD47"/>
          </w:tcPr>
          <w:p>
            <w:pPr>
              <w:spacing w:after="0"/>
              <w:rPr>
                <w:sz w:val="18"/>
                <w:szCs w:val="18"/>
                <w:color w:val="auto"/>
              </w:rPr>
            </w:pPr>
          </w:p>
        </w:tc>
        <w:tc>
          <w:tcPr>
            <w:tcW w:w="13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969.0</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60" w:type="dxa"/>
            <w:vAlign w:val="bottom"/>
          </w:tcPr>
          <w:p>
            <w:pPr>
              <w:spacing w:after="0"/>
              <w:rPr>
                <w:sz w:val="24"/>
                <w:szCs w:val="24"/>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4"/>
              </w:rPr>
              <w:t>Land and buildings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Equipment, tools and</w:t>
            </w:r>
          </w:p>
        </w:tc>
        <w:tc>
          <w:tcPr>
            <w:tcW w:w="40" w:type="dxa"/>
            <w:vAlign w:val="bottom"/>
          </w:tcPr>
          <w:p>
            <w:pPr>
              <w:spacing w:after="0"/>
              <w:rPr>
                <w:sz w:val="24"/>
                <w:szCs w:val="24"/>
                <w:color w:val="auto"/>
              </w:rPr>
            </w:pP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Construction in progress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vMerge w:val="restart"/>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140" w:type="dxa"/>
            <w:vAlign w:val="bottom"/>
            <w:vMerge w:val="continue"/>
          </w:tcPr>
          <w:p>
            <w:pPr>
              <w:spacing w:after="0"/>
              <w:rPr>
                <w:sz w:val="24"/>
                <w:szCs w:val="24"/>
                <w:color w:val="auto"/>
              </w:rPr>
            </w:pPr>
          </w:p>
        </w:tc>
        <w:tc>
          <w:tcPr>
            <w:tcW w:w="160" w:type="dxa"/>
            <w:vAlign w:val="bottom"/>
            <w:tcBorders>
              <w:left w:val="single" w:sz="8" w:color="70AD47"/>
            </w:tcBorders>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00" w:type="dxa"/>
            <w:vAlign w:val="bottom"/>
            <w:tcBorders>
              <w:left w:val="single" w:sz="8" w:color="70AD47"/>
            </w:tcBorders>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40" w:type="dxa"/>
            <w:vAlign w:val="bottom"/>
            <w:tcBorders>
              <w:left w:val="single" w:sz="8" w:color="70AD47"/>
            </w:tcBorders>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140" w:type="dxa"/>
            <w:vAlign w:val="bottom"/>
          </w:tcPr>
          <w:p>
            <w:pPr>
              <w:spacing w:after="0"/>
              <w:rPr>
                <w:sz w:val="6"/>
                <w:szCs w:val="6"/>
                <w:color w:val="auto"/>
              </w:rPr>
            </w:pPr>
          </w:p>
        </w:tc>
        <w:tc>
          <w:tcPr>
            <w:tcW w:w="160" w:type="dxa"/>
            <w:vAlign w:val="bottom"/>
            <w:tcBorders>
              <w:left w:val="single" w:sz="8" w:color="70AD47"/>
            </w:tcBorders>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0" w:type="dxa"/>
            <w:vAlign w:val="bottom"/>
            <w:tcBorders>
              <w:left w:val="single" w:sz="8" w:color="70AD47"/>
            </w:tcBorders>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40" w:type="dxa"/>
            <w:vAlign w:val="bottom"/>
            <w:tcBorders>
              <w:left w:val="single" w:sz="8" w:color="70AD47"/>
            </w:tcBorders>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20" w:type="dxa"/>
            <w:vAlign w:val="bottom"/>
            <w:shd w:val="clear" w:color="auto" w:fill="70AD47"/>
          </w:tcPr>
          <w:p>
            <w:pPr>
              <w:spacing w:after="0"/>
              <w:rPr>
                <w:sz w:val="6"/>
                <w:szCs w:val="6"/>
                <w:color w:val="auto"/>
              </w:rPr>
            </w:pPr>
          </w:p>
        </w:tc>
        <w:tc>
          <w:tcPr>
            <w:tcW w:w="40" w:type="dxa"/>
            <w:vAlign w:val="bottom"/>
            <w:tcBorders>
              <w:left w:val="single" w:sz="8" w:color="70AD47"/>
            </w:tcBorders>
          </w:tcPr>
          <w:p>
            <w:pPr>
              <w:spacing w:after="0"/>
              <w:rPr>
                <w:sz w:val="6"/>
                <w:szCs w:val="6"/>
                <w:color w:val="auto"/>
              </w:rPr>
            </w:pPr>
          </w:p>
        </w:tc>
        <w:tc>
          <w:tcPr>
            <w:tcW w:w="1320" w:type="dxa"/>
            <w:vAlign w:val="bottom"/>
            <w:vMerge w:val="continue"/>
          </w:tcPr>
          <w:p>
            <w:pPr>
              <w:spacing w:after="0"/>
              <w:rPr>
                <w:sz w:val="6"/>
                <w:szCs w:val="6"/>
                <w:color w:val="auto"/>
              </w:rPr>
            </w:pPr>
          </w:p>
        </w:tc>
        <w:tc>
          <w:tcPr>
            <w:tcW w:w="20" w:type="dxa"/>
            <w:vAlign w:val="bottom"/>
            <w:shd w:val="clear" w:color="auto" w:fill="70AD47"/>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Cumulative depreciation and impairment charges</w:t>
            </w:r>
          </w:p>
        </w:tc>
        <w:tc>
          <w:tcPr>
            <w:tcW w:w="160" w:type="dxa"/>
            <w:vAlign w:val="bottom"/>
            <w:tcBorders>
              <w:left w:val="single" w:sz="8" w:color="70AD47"/>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0" w:type="dxa"/>
            <w:vAlign w:val="bottom"/>
            <w:tcBorders>
              <w:left w:val="single" w:sz="8" w:color="70AD47"/>
            </w:tcBorders>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installations</w:t>
            </w:r>
          </w:p>
        </w:tc>
        <w:tc>
          <w:tcPr>
            <w:tcW w:w="40" w:type="dxa"/>
            <w:vAlign w:val="bottom"/>
            <w:tcBorders>
              <w:left w:val="single" w:sz="8" w:color="70AD47"/>
            </w:tcBorders>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and advance payments</w:t>
            </w:r>
          </w:p>
        </w:tc>
        <w:tc>
          <w:tcPr>
            <w:tcW w:w="20" w:type="dxa"/>
            <w:vAlign w:val="bottom"/>
            <w:shd w:val="clear" w:color="auto" w:fill="70AD47"/>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140" w:type="dxa"/>
            <w:vAlign w:val="bottom"/>
            <w:vMerge w:val="continue"/>
          </w:tcPr>
          <w:p>
            <w:pPr>
              <w:spacing w:after="0"/>
              <w:rPr>
                <w:sz w:val="7"/>
                <w:szCs w:val="7"/>
                <w:color w:val="auto"/>
              </w:rPr>
            </w:pPr>
          </w:p>
        </w:tc>
        <w:tc>
          <w:tcPr>
            <w:tcW w:w="160" w:type="dxa"/>
            <w:vAlign w:val="bottom"/>
            <w:tcBorders>
              <w:left w:val="single" w:sz="8" w:color="70AD47"/>
            </w:tcBorders>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left w:val="single" w:sz="8" w:color="70AD47"/>
            </w:tcBorders>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40" w:type="dxa"/>
            <w:vAlign w:val="bottom"/>
            <w:tcBorders>
              <w:left w:val="single" w:sz="8" w:color="70AD47"/>
            </w:tcBorders>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40" w:type="dxa"/>
            <w:vAlign w:val="bottom"/>
            <w:tcBorders>
              <w:left w:val="single" w:sz="8" w:color="70AD47"/>
            </w:tcBorders>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140" w:type="dxa"/>
            <w:vAlign w:val="bottom"/>
            <w:vMerge w:val="continue"/>
          </w:tcPr>
          <w:p>
            <w:pPr>
              <w:spacing w:after="0"/>
              <w:rPr>
                <w:sz w:val="8"/>
                <w:szCs w:val="8"/>
                <w:color w:val="auto"/>
              </w:rPr>
            </w:pPr>
          </w:p>
        </w:tc>
        <w:tc>
          <w:tcPr>
            <w:tcW w:w="160" w:type="dxa"/>
            <w:vAlign w:val="bottom"/>
            <w:tcBorders>
              <w:left w:val="single" w:sz="8" w:color="70AD47"/>
            </w:tcBorders>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left w:val="single" w:sz="8" w:color="70AD47"/>
            </w:tcBorders>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 w:type="dxa"/>
            <w:vAlign w:val="bottom"/>
            <w:tcBorders>
              <w:left w:val="single" w:sz="8" w:color="70AD47"/>
            </w:tcBorders>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140" w:type="dxa"/>
            <w:vAlign w:val="bottom"/>
            <w:tcBorders>
              <w:bottom w:val="single" w:sz="8" w:color="70AD47"/>
            </w:tcBorders>
          </w:tcPr>
          <w:p>
            <w:pPr>
              <w:spacing w:after="0"/>
              <w:rPr>
                <w:sz w:val="7"/>
                <w:szCs w:val="7"/>
                <w:color w:val="auto"/>
              </w:rPr>
            </w:pPr>
          </w:p>
        </w:tc>
        <w:tc>
          <w:tcPr>
            <w:tcW w:w="1520" w:type="dxa"/>
            <w:vAlign w:val="bottom"/>
            <w:tcBorders>
              <w:left w:val="single" w:sz="8" w:color="70AD47"/>
              <w:bottom w:val="single" w:sz="8" w:color="70AD47"/>
            </w:tcBorders>
            <w:gridSpan w:val="2"/>
          </w:tcPr>
          <w:p>
            <w:pPr>
              <w:spacing w:after="0"/>
              <w:rPr>
                <w:sz w:val="7"/>
                <w:szCs w:val="7"/>
                <w:color w:val="auto"/>
              </w:rPr>
            </w:pPr>
          </w:p>
        </w:tc>
        <w:tc>
          <w:tcPr>
            <w:tcW w:w="40" w:type="dxa"/>
            <w:vAlign w:val="bottom"/>
            <w:tcBorders>
              <w:bottom w:val="single" w:sz="8" w:color="70AD47"/>
            </w:tcBorders>
          </w:tcPr>
          <w:p>
            <w:pPr>
              <w:spacing w:after="0"/>
              <w:rPr>
                <w:sz w:val="7"/>
                <w:szCs w:val="7"/>
                <w:color w:val="auto"/>
              </w:rPr>
            </w:pPr>
          </w:p>
        </w:tc>
        <w:tc>
          <w:tcPr>
            <w:tcW w:w="100" w:type="dxa"/>
            <w:vAlign w:val="bottom"/>
            <w:tcBorders>
              <w:left w:val="single" w:sz="8" w:color="70AD47"/>
              <w:bottom w:val="single" w:sz="8" w:color="70AD47"/>
            </w:tcBorders>
          </w:tcPr>
          <w:p>
            <w:pPr>
              <w:spacing w:after="0"/>
              <w:rPr>
                <w:sz w:val="7"/>
                <w:szCs w:val="7"/>
                <w:color w:val="auto"/>
              </w:rPr>
            </w:pPr>
          </w:p>
        </w:tc>
        <w:tc>
          <w:tcPr>
            <w:tcW w:w="1620" w:type="dxa"/>
            <w:vAlign w:val="bottom"/>
            <w:tcBorders>
              <w:bottom w:val="single" w:sz="8" w:color="70AD47"/>
            </w:tcBorders>
            <w:gridSpan w:val="2"/>
          </w:tcPr>
          <w:p>
            <w:pPr>
              <w:spacing w:after="0"/>
              <w:rPr>
                <w:sz w:val="7"/>
                <w:szCs w:val="7"/>
                <w:color w:val="auto"/>
              </w:rPr>
            </w:pPr>
          </w:p>
        </w:tc>
        <w:tc>
          <w:tcPr>
            <w:tcW w:w="40" w:type="dxa"/>
            <w:vAlign w:val="bottom"/>
            <w:tcBorders>
              <w:left w:val="single" w:sz="8" w:color="70AD47"/>
              <w:bottom w:val="single" w:sz="8" w:color="70AD47"/>
            </w:tcBorders>
          </w:tcPr>
          <w:p>
            <w:pPr>
              <w:spacing w:after="0"/>
              <w:rPr>
                <w:sz w:val="7"/>
                <w:szCs w:val="7"/>
                <w:color w:val="auto"/>
              </w:rPr>
            </w:pPr>
          </w:p>
        </w:tc>
        <w:tc>
          <w:tcPr>
            <w:tcW w:w="20" w:type="dxa"/>
            <w:vAlign w:val="bottom"/>
            <w:tcBorders>
              <w:bottom w:val="single" w:sz="8" w:color="70AD47"/>
            </w:tcBorders>
          </w:tcPr>
          <w:p>
            <w:pPr>
              <w:spacing w:after="0"/>
              <w:rPr>
                <w:sz w:val="7"/>
                <w:szCs w:val="7"/>
                <w:color w:val="auto"/>
              </w:rPr>
            </w:pPr>
          </w:p>
        </w:tc>
        <w:tc>
          <w:tcPr>
            <w:tcW w:w="1700" w:type="dxa"/>
            <w:vAlign w:val="bottom"/>
            <w:tcBorders>
              <w:bottom w:val="single" w:sz="8" w:color="70AD47"/>
            </w:tcBorders>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1360" w:type="dxa"/>
            <w:vAlign w:val="bottom"/>
            <w:tcBorders>
              <w:left w:val="single" w:sz="8" w:color="70AD47"/>
              <w:bottom w:val="single" w:sz="8" w:color="70AD47"/>
            </w:tcBorders>
            <w:gridSpan w:val="2"/>
          </w:tcPr>
          <w:p>
            <w:pPr>
              <w:spacing w:after="0"/>
              <w:rPr>
                <w:sz w:val="7"/>
                <w:szCs w:val="7"/>
                <w:color w:val="auto"/>
              </w:rPr>
            </w:pPr>
          </w:p>
        </w:tc>
        <w:tc>
          <w:tcPr>
            <w:tcW w:w="20" w:type="dxa"/>
            <w:vAlign w:val="bottom"/>
            <w:tcBorders>
              <w:bottom w:val="single" w:sz="8" w:color="70AD47"/>
            </w:tcBorders>
            <w:shd w:val="clear" w:color="auto" w:fill="70AD47"/>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2022</w:t>
            </w:r>
          </w:p>
        </w:tc>
        <w:tc>
          <w:tcPr>
            <w:tcW w:w="1560" w:type="dxa"/>
            <w:vAlign w:val="bottom"/>
            <w:tcBorders>
              <w:left w:val="single" w:sz="8" w:color="70AD47"/>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14.2</w:t>
            </w:r>
          </w:p>
        </w:tc>
        <w:tc>
          <w:tcPr>
            <w:tcW w:w="100" w:type="dxa"/>
            <w:vAlign w:val="bottom"/>
            <w:tcBorders>
              <w:left w:val="single" w:sz="8" w:color="70AD47"/>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40" w:type="dxa"/>
            <w:vAlign w:val="bottom"/>
            <w:tcBorders>
              <w:left w:val="single" w:sz="8" w:color="70AD47"/>
            </w:tcBorders>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70AD47"/>
          </w:tcPr>
          <w:p>
            <w:pPr>
              <w:spacing w:after="0"/>
              <w:rPr>
                <w:sz w:val="17"/>
                <w:szCs w:val="17"/>
                <w:color w:val="auto"/>
              </w:rPr>
            </w:pPr>
          </w:p>
        </w:tc>
        <w:tc>
          <w:tcPr>
            <w:tcW w:w="1360" w:type="dxa"/>
            <w:vAlign w:val="bottom"/>
            <w:tcBorders>
              <w:lef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74.2</w:t>
            </w: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560" w:type="dxa"/>
            <w:vAlign w:val="bottom"/>
            <w:tcBorders>
              <w:left w:val="single" w:sz="8" w:color="70AD47"/>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left w:val="single" w:sz="8" w:color="70AD47"/>
            </w:tcBorders>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0" w:type="dxa"/>
            <w:vAlign w:val="bottom"/>
            <w:tcBorders>
              <w:left w:val="single" w:sz="8" w:color="70AD47"/>
            </w:tcBorders>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360" w:type="dxa"/>
            <w:vAlign w:val="bottom"/>
            <w:tcBorders>
              <w:lef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left w:val="single" w:sz="8" w:color="70AD47"/>
            </w:tcBorders>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70AD47"/>
            </w:tcBorders>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Borders>
              <w:left w:val="single" w:sz="8" w:color="70AD47"/>
            </w:tcBorders>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360" w:type="dxa"/>
            <w:vAlign w:val="bottom"/>
            <w:tcBorders>
              <w:lef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60" w:type="dxa"/>
            <w:vAlign w:val="bottom"/>
            <w:tcBorders>
              <w:left w:val="single" w:sz="8" w:color="70AD47"/>
              <w:bottom w:val="single" w:sz="8" w:color="70AD47"/>
            </w:tcBorders>
          </w:tcPr>
          <w:p>
            <w:pPr>
              <w:spacing w:after="0"/>
              <w:rPr>
                <w:sz w:val="18"/>
                <w:szCs w:val="18"/>
                <w:color w:val="auto"/>
              </w:rPr>
            </w:pPr>
          </w:p>
        </w:tc>
        <w:tc>
          <w:tcPr>
            <w:tcW w:w="1400" w:type="dxa"/>
            <w:vAlign w:val="bottom"/>
            <w:tcBorders>
              <w:bottom w:val="single" w:sz="8" w:color="70AD47"/>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70AD47"/>
              <w:bottom w:val="single" w:sz="8" w:color="70AD47"/>
            </w:tcBorders>
          </w:tcPr>
          <w:p>
            <w:pPr>
              <w:spacing w:after="0"/>
              <w:rPr>
                <w:sz w:val="18"/>
                <w:szCs w:val="18"/>
                <w:color w:val="auto"/>
              </w:rPr>
            </w:pPr>
          </w:p>
        </w:tc>
        <w:tc>
          <w:tcPr>
            <w:tcW w:w="162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Borders>
              <w:left w:val="single" w:sz="8" w:color="70AD47"/>
              <w:bottom w:val="single" w:sz="8" w:color="70AD47"/>
            </w:tcBorders>
          </w:tcPr>
          <w:p>
            <w:pPr>
              <w:spacing w:after="0"/>
              <w:rPr>
                <w:sz w:val="18"/>
                <w:szCs w:val="18"/>
                <w:color w:val="auto"/>
              </w:rPr>
            </w:pPr>
          </w:p>
        </w:tc>
        <w:tc>
          <w:tcPr>
            <w:tcW w:w="20" w:type="dxa"/>
            <w:vAlign w:val="bottom"/>
            <w:tcBorders>
              <w:bottom w:val="single" w:sz="8" w:color="70AD47"/>
            </w:tcBorders>
          </w:tcPr>
          <w:p>
            <w:pPr>
              <w:spacing w:after="0"/>
              <w:rPr>
                <w:sz w:val="18"/>
                <w:szCs w:val="18"/>
                <w:color w:val="auto"/>
              </w:rPr>
            </w:pPr>
          </w:p>
        </w:tc>
        <w:tc>
          <w:tcPr>
            <w:tcW w:w="17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70AD47"/>
            </w:tcBorders>
            <w:shd w:val="clear" w:color="auto" w:fill="70AD47"/>
          </w:tcPr>
          <w:p>
            <w:pPr>
              <w:spacing w:after="0"/>
              <w:rPr>
                <w:sz w:val="18"/>
                <w:szCs w:val="18"/>
                <w:color w:val="auto"/>
              </w:rPr>
            </w:pPr>
          </w:p>
        </w:tc>
        <w:tc>
          <w:tcPr>
            <w:tcW w:w="1360" w:type="dxa"/>
            <w:vAlign w:val="bottom"/>
            <w:tcBorders>
              <w:left w:val="single" w:sz="8" w:color="70AD47"/>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560" w:type="dxa"/>
            <w:vAlign w:val="bottom"/>
            <w:tcBorders>
              <w:left w:val="single" w:sz="8" w:color="70AD47"/>
              <w:bottom w:val="single" w:sz="8" w:color="70AD47"/>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22.0</w:t>
            </w:r>
          </w:p>
        </w:tc>
        <w:tc>
          <w:tcPr>
            <w:tcW w:w="100" w:type="dxa"/>
            <w:vAlign w:val="bottom"/>
            <w:tcBorders>
              <w:left w:val="single" w:sz="8" w:color="70AD47"/>
              <w:bottom w:val="single" w:sz="8" w:color="70AD47"/>
            </w:tcBorders>
          </w:tcPr>
          <w:p>
            <w:pPr>
              <w:spacing w:after="0"/>
              <w:rPr>
                <w:sz w:val="18"/>
                <w:szCs w:val="18"/>
                <w:color w:val="auto"/>
              </w:rPr>
            </w:pPr>
          </w:p>
        </w:tc>
        <w:tc>
          <w:tcPr>
            <w:tcW w:w="162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94.3</w:t>
            </w:r>
          </w:p>
        </w:tc>
        <w:tc>
          <w:tcPr>
            <w:tcW w:w="40" w:type="dxa"/>
            <w:vAlign w:val="bottom"/>
            <w:tcBorders>
              <w:left w:val="single" w:sz="8" w:color="70AD47"/>
              <w:bottom w:val="single" w:sz="8" w:color="70AD47"/>
            </w:tcBorders>
          </w:tcPr>
          <w:p>
            <w:pPr>
              <w:spacing w:after="0"/>
              <w:rPr>
                <w:sz w:val="18"/>
                <w:szCs w:val="18"/>
                <w:color w:val="auto"/>
              </w:rPr>
            </w:pPr>
          </w:p>
        </w:tc>
        <w:tc>
          <w:tcPr>
            <w:tcW w:w="20" w:type="dxa"/>
            <w:vAlign w:val="bottom"/>
            <w:tcBorders>
              <w:bottom w:val="single" w:sz="8" w:color="70AD47"/>
            </w:tcBorders>
          </w:tcPr>
          <w:p>
            <w:pPr>
              <w:spacing w:after="0"/>
              <w:rPr>
                <w:sz w:val="18"/>
                <w:szCs w:val="18"/>
                <w:color w:val="auto"/>
              </w:rPr>
            </w:pPr>
          </w:p>
        </w:tc>
        <w:tc>
          <w:tcPr>
            <w:tcW w:w="17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70AD47"/>
            </w:tcBorders>
            <w:shd w:val="clear" w:color="auto" w:fill="70AD47"/>
          </w:tcPr>
          <w:p>
            <w:pPr>
              <w:spacing w:after="0"/>
              <w:rPr>
                <w:sz w:val="18"/>
                <w:szCs w:val="18"/>
                <w:color w:val="auto"/>
              </w:rPr>
            </w:pPr>
          </w:p>
        </w:tc>
        <w:tc>
          <w:tcPr>
            <w:tcW w:w="1360" w:type="dxa"/>
            <w:vAlign w:val="bottom"/>
            <w:tcBorders>
              <w:left w:val="single" w:sz="8" w:color="70AD47"/>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116.3</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January 1, 2023</w:t>
            </w:r>
          </w:p>
        </w:tc>
        <w:tc>
          <w:tcPr>
            <w:tcW w:w="1560" w:type="dxa"/>
            <w:vAlign w:val="bottom"/>
            <w:tcBorders>
              <w:left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left w:val="single" w:sz="8" w:color="70AD47"/>
            </w:tcBorders>
            <w:shd w:val="clear" w:color="auto" w:fill="C6E0B4"/>
          </w:tcPr>
          <w:p>
            <w:pPr>
              <w:spacing w:after="0"/>
              <w:rPr>
                <w:sz w:val="18"/>
                <w:szCs w:val="18"/>
                <w:color w:val="auto"/>
              </w:rPr>
            </w:pPr>
          </w:p>
        </w:tc>
        <w:tc>
          <w:tcPr>
            <w:tcW w:w="1620" w:type="dxa"/>
            <w:vAlign w:val="bottom"/>
            <w:tcBorders>
              <w:right w:val="single" w:sz="8" w:color="C6E0B4"/>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40" w:type="dxa"/>
            <w:vAlign w:val="bottom"/>
            <w:tcBorders>
              <w:left w:val="single" w:sz="8" w:color="70AD47"/>
            </w:tcBorders>
            <w:shd w:val="clear" w:color="auto" w:fill="C6E0B4"/>
          </w:tcPr>
          <w:p>
            <w:pPr>
              <w:spacing w:after="0"/>
              <w:rPr>
                <w:sz w:val="18"/>
                <w:szCs w:val="18"/>
                <w:color w:val="auto"/>
              </w:rPr>
            </w:pPr>
          </w:p>
        </w:tc>
        <w:tc>
          <w:tcPr>
            <w:tcW w:w="20" w:type="dxa"/>
            <w:vAlign w:val="bottom"/>
            <w:shd w:val="clear" w:color="auto" w:fill="C6E0B4"/>
          </w:tcPr>
          <w:p>
            <w:pPr>
              <w:spacing w:after="0"/>
              <w:rPr>
                <w:sz w:val="18"/>
                <w:szCs w:val="18"/>
                <w:color w:val="auto"/>
              </w:rPr>
            </w:pPr>
          </w:p>
        </w:tc>
        <w:tc>
          <w:tcPr>
            <w:tcW w:w="170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360" w:type="dxa"/>
            <w:vAlign w:val="bottom"/>
            <w:tcBorders>
              <w:lef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560" w:type="dxa"/>
            <w:vAlign w:val="bottom"/>
            <w:tcBorders>
              <w:left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left w:val="single" w:sz="8" w:color="70AD47"/>
            </w:tcBorders>
            <w:shd w:val="clear" w:color="auto" w:fill="C6E0B4"/>
          </w:tcPr>
          <w:p>
            <w:pPr>
              <w:spacing w:after="0"/>
              <w:rPr>
                <w:sz w:val="18"/>
                <w:szCs w:val="18"/>
                <w:color w:val="auto"/>
              </w:rPr>
            </w:pPr>
          </w:p>
        </w:tc>
        <w:tc>
          <w:tcPr>
            <w:tcW w:w="1620" w:type="dxa"/>
            <w:vAlign w:val="bottom"/>
            <w:tcBorders>
              <w:right w:val="single" w:sz="8" w:color="C6E0B4"/>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40" w:type="dxa"/>
            <w:vAlign w:val="bottom"/>
            <w:tcBorders>
              <w:left w:val="single" w:sz="8" w:color="70AD47"/>
            </w:tcBorders>
            <w:shd w:val="clear" w:color="auto" w:fill="C6E0B4"/>
          </w:tcPr>
          <w:p>
            <w:pPr>
              <w:spacing w:after="0"/>
              <w:rPr>
                <w:sz w:val="18"/>
                <w:szCs w:val="18"/>
                <w:color w:val="auto"/>
              </w:rPr>
            </w:pPr>
          </w:p>
        </w:tc>
        <w:tc>
          <w:tcPr>
            <w:tcW w:w="20" w:type="dxa"/>
            <w:vAlign w:val="bottom"/>
            <w:shd w:val="clear" w:color="auto" w:fill="C6E0B4"/>
          </w:tcPr>
          <w:p>
            <w:pPr>
              <w:spacing w:after="0"/>
              <w:rPr>
                <w:sz w:val="18"/>
                <w:szCs w:val="18"/>
                <w:color w:val="auto"/>
              </w:rPr>
            </w:pPr>
          </w:p>
        </w:tc>
        <w:tc>
          <w:tcPr>
            <w:tcW w:w="170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360" w:type="dxa"/>
            <w:vAlign w:val="bottom"/>
            <w:tcBorders>
              <w:lef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tcBorders>
              <w:left w:val="single" w:sz="8" w:color="70AD47"/>
              <w:right w:val="single" w:sz="8" w:color="C6E0B4"/>
            </w:tcBorders>
            <w:shd w:val="clear" w:color="auto" w:fill="C6E0B4"/>
          </w:tcPr>
          <w:p>
            <w:pPr>
              <w:spacing w:after="0"/>
              <w:rPr>
                <w:sz w:val="18"/>
                <w:szCs w:val="18"/>
                <w:color w:val="auto"/>
              </w:rPr>
            </w:pPr>
          </w:p>
        </w:tc>
        <w:tc>
          <w:tcPr>
            <w:tcW w:w="1400" w:type="dxa"/>
            <w:vAlign w:val="bottom"/>
            <w:gridSpan w:val="2"/>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70AD47"/>
            </w:tcBorders>
            <w:shd w:val="clear" w:color="auto" w:fill="C6E0B4"/>
          </w:tcPr>
          <w:p>
            <w:pPr>
              <w:spacing w:after="0"/>
              <w:rPr>
                <w:sz w:val="18"/>
                <w:szCs w:val="18"/>
                <w:color w:val="auto"/>
              </w:rPr>
            </w:pPr>
          </w:p>
        </w:tc>
        <w:tc>
          <w:tcPr>
            <w:tcW w:w="1620" w:type="dxa"/>
            <w:vAlign w:val="bottom"/>
            <w:tcBorders>
              <w:right w:val="single" w:sz="8" w:color="C6E0B4"/>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left w:val="single" w:sz="8" w:color="70AD47"/>
            </w:tcBorders>
            <w:shd w:val="clear" w:color="auto" w:fill="C6E0B4"/>
          </w:tcPr>
          <w:p>
            <w:pPr>
              <w:spacing w:after="0"/>
              <w:rPr>
                <w:sz w:val="18"/>
                <w:szCs w:val="18"/>
                <w:color w:val="auto"/>
              </w:rPr>
            </w:pPr>
          </w:p>
        </w:tc>
        <w:tc>
          <w:tcPr>
            <w:tcW w:w="20" w:type="dxa"/>
            <w:vAlign w:val="bottom"/>
            <w:shd w:val="clear" w:color="auto" w:fill="C6E0B4"/>
          </w:tcPr>
          <w:p>
            <w:pPr>
              <w:spacing w:after="0"/>
              <w:rPr>
                <w:sz w:val="18"/>
                <w:szCs w:val="18"/>
                <w:color w:val="auto"/>
              </w:rPr>
            </w:pPr>
          </w:p>
        </w:tc>
        <w:tc>
          <w:tcPr>
            <w:tcW w:w="1700" w:type="dxa"/>
            <w:vAlign w:val="bottom"/>
            <w:tcBorders>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70AD47"/>
          </w:tcPr>
          <w:p>
            <w:pPr>
              <w:spacing w:after="0"/>
              <w:rPr>
                <w:sz w:val="18"/>
                <w:szCs w:val="18"/>
                <w:color w:val="auto"/>
              </w:rPr>
            </w:pPr>
          </w:p>
        </w:tc>
        <w:tc>
          <w:tcPr>
            <w:tcW w:w="1360" w:type="dxa"/>
            <w:vAlign w:val="bottom"/>
            <w:tcBorders>
              <w:lef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Borders>
              <w:bottom w:val="single" w:sz="8" w:color="70AD47"/>
            </w:tcBorders>
          </w:tcPr>
          <w:p>
            <w:pPr>
              <w:ind w:left="220"/>
              <w:spacing w:after="0"/>
              <w:rPr>
                <w:sz w:val="20"/>
                <w:szCs w:val="20"/>
                <w:color w:val="auto"/>
              </w:rPr>
            </w:pPr>
            <w:r>
              <w:rPr>
                <w:rFonts w:ascii="Times New Roman" w:cs="Times New Roman" w:eastAsia="Times New Roman" w:hAnsi="Times New Roman"/>
                <w:sz w:val="16"/>
                <w:szCs w:val="16"/>
                <w:color w:val="auto"/>
              </w:rPr>
              <w:t>Currency differences</w:t>
            </w:r>
          </w:p>
        </w:tc>
        <w:tc>
          <w:tcPr>
            <w:tcW w:w="1560" w:type="dxa"/>
            <w:vAlign w:val="bottom"/>
            <w:tcBorders>
              <w:left w:val="single" w:sz="8" w:color="70AD47"/>
              <w:bottom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left w:val="single" w:sz="8" w:color="70AD47"/>
              <w:bottom w:val="single" w:sz="8" w:color="70AD47"/>
            </w:tcBorders>
            <w:shd w:val="clear" w:color="auto" w:fill="C6E0B4"/>
          </w:tcPr>
          <w:p>
            <w:pPr>
              <w:spacing w:after="0"/>
              <w:rPr>
                <w:sz w:val="18"/>
                <w:szCs w:val="18"/>
                <w:color w:val="auto"/>
              </w:rPr>
            </w:pPr>
          </w:p>
        </w:tc>
        <w:tc>
          <w:tcPr>
            <w:tcW w:w="1620" w:type="dxa"/>
            <w:vAlign w:val="bottom"/>
            <w:tcBorders>
              <w:bottom w:val="single" w:sz="8" w:color="70AD47"/>
              <w:right w:val="single" w:sz="8" w:color="C6E0B4"/>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Borders>
              <w:left w:val="single" w:sz="8" w:color="70AD47"/>
              <w:bottom w:val="single" w:sz="8" w:color="70AD47"/>
            </w:tcBorders>
            <w:shd w:val="clear" w:color="auto" w:fill="C6E0B4"/>
          </w:tcPr>
          <w:p>
            <w:pPr>
              <w:spacing w:after="0"/>
              <w:rPr>
                <w:sz w:val="18"/>
                <w:szCs w:val="18"/>
                <w:color w:val="auto"/>
              </w:rPr>
            </w:pPr>
          </w:p>
        </w:tc>
        <w:tc>
          <w:tcPr>
            <w:tcW w:w="20" w:type="dxa"/>
            <w:vAlign w:val="bottom"/>
            <w:tcBorders>
              <w:bottom w:val="single" w:sz="8" w:color="70AD47"/>
            </w:tcBorders>
            <w:shd w:val="clear" w:color="auto" w:fill="C6E0B4"/>
          </w:tcPr>
          <w:p>
            <w:pPr>
              <w:spacing w:after="0"/>
              <w:rPr>
                <w:sz w:val="18"/>
                <w:szCs w:val="18"/>
                <w:color w:val="auto"/>
              </w:rPr>
            </w:pPr>
          </w:p>
        </w:tc>
        <w:tc>
          <w:tcPr>
            <w:tcW w:w="17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70AD47"/>
            </w:tcBorders>
            <w:shd w:val="clear" w:color="auto" w:fill="70AD47"/>
          </w:tcPr>
          <w:p>
            <w:pPr>
              <w:spacing w:after="0"/>
              <w:rPr>
                <w:sz w:val="18"/>
                <w:szCs w:val="18"/>
                <w:color w:val="auto"/>
              </w:rPr>
            </w:pPr>
          </w:p>
        </w:tc>
        <w:tc>
          <w:tcPr>
            <w:tcW w:w="1360" w:type="dxa"/>
            <w:vAlign w:val="bottom"/>
            <w:tcBorders>
              <w:left w:val="single" w:sz="8" w:color="70AD47"/>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560" w:type="dxa"/>
            <w:vAlign w:val="bottom"/>
            <w:tcBorders>
              <w:left w:val="single" w:sz="8" w:color="70AD47"/>
              <w:bottom w:val="single" w:sz="8" w:color="70AD47"/>
            </w:tcBorders>
            <w:gridSpan w:val="3"/>
            <w:shd w:val="clear" w:color="auto" w:fill="C6E0B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36.2</w:t>
            </w:r>
          </w:p>
        </w:tc>
        <w:tc>
          <w:tcPr>
            <w:tcW w:w="100" w:type="dxa"/>
            <w:vAlign w:val="bottom"/>
            <w:tcBorders>
              <w:left w:val="single" w:sz="8" w:color="70AD47"/>
              <w:bottom w:val="single" w:sz="8" w:color="70AD47"/>
            </w:tcBorders>
            <w:shd w:val="clear" w:color="auto" w:fill="C6E0B4"/>
          </w:tcPr>
          <w:p>
            <w:pPr>
              <w:spacing w:after="0"/>
              <w:rPr>
                <w:sz w:val="18"/>
                <w:szCs w:val="18"/>
                <w:color w:val="auto"/>
              </w:rPr>
            </w:pPr>
          </w:p>
        </w:tc>
        <w:tc>
          <w:tcPr>
            <w:tcW w:w="1620" w:type="dxa"/>
            <w:vAlign w:val="bottom"/>
            <w:tcBorders>
              <w:bottom w:val="single" w:sz="8" w:color="70AD47"/>
              <w:right w:val="single" w:sz="8" w:color="C6E0B4"/>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40" w:type="dxa"/>
            <w:vAlign w:val="bottom"/>
            <w:tcBorders>
              <w:left w:val="single" w:sz="8" w:color="70AD47"/>
              <w:bottom w:val="single" w:sz="8" w:color="70AD47"/>
            </w:tcBorders>
            <w:shd w:val="clear" w:color="auto" w:fill="C6E0B4"/>
          </w:tcPr>
          <w:p>
            <w:pPr>
              <w:spacing w:after="0"/>
              <w:rPr>
                <w:sz w:val="18"/>
                <w:szCs w:val="18"/>
                <w:color w:val="auto"/>
              </w:rPr>
            </w:pPr>
          </w:p>
        </w:tc>
        <w:tc>
          <w:tcPr>
            <w:tcW w:w="20" w:type="dxa"/>
            <w:vAlign w:val="bottom"/>
            <w:tcBorders>
              <w:bottom w:val="single" w:sz="8" w:color="70AD47"/>
            </w:tcBorders>
            <w:shd w:val="clear" w:color="auto" w:fill="C6E0B4"/>
          </w:tcPr>
          <w:p>
            <w:pPr>
              <w:spacing w:after="0"/>
              <w:rPr>
                <w:sz w:val="18"/>
                <w:szCs w:val="18"/>
                <w:color w:val="auto"/>
              </w:rPr>
            </w:pPr>
          </w:p>
        </w:tc>
        <w:tc>
          <w:tcPr>
            <w:tcW w:w="1700" w:type="dxa"/>
            <w:vAlign w:val="bottom"/>
            <w:tcBorders>
              <w:bottom w:val="single" w:sz="8" w:color="70AD47"/>
              <w:right w:val="single" w:sz="8" w:color="C6E0B4"/>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70AD47"/>
            </w:tcBorders>
            <w:shd w:val="clear" w:color="auto" w:fill="70AD47"/>
          </w:tcPr>
          <w:p>
            <w:pPr>
              <w:spacing w:after="0"/>
              <w:rPr>
                <w:sz w:val="18"/>
                <w:szCs w:val="18"/>
                <w:color w:val="auto"/>
              </w:rPr>
            </w:pPr>
          </w:p>
        </w:tc>
        <w:tc>
          <w:tcPr>
            <w:tcW w:w="1360" w:type="dxa"/>
            <w:vAlign w:val="bottom"/>
            <w:tcBorders>
              <w:left w:val="single" w:sz="8" w:color="C6E0B4"/>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211.8</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17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20" w:type="dxa"/>
            <w:vAlign w:val="bottom"/>
            <w:tcBorders>
              <w:right w:val="single" w:sz="8" w:color="70AD47"/>
            </w:tcBorders>
            <w:gridSpan w:val="2"/>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Land and buildings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right w:val="single" w:sz="8" w:color="70AD47"/>
            </w:tcBorders>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5"/>
              </w:rPr>
              <w:t>Equipment, tools and</w:t>
            </w:r>
          </w:p>
        </w:tc>
        <w:tc>
          <w:tcPr>
            <w:tcW w:w="1760" w:type="dxa"/>
            <w:vAlign w:val="bottom"/>
            <w:tcBorders>
              <w:right w:val="single" w:sz="8" w:color="70AD47"/>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7"/>
              </w:rPr>
              <w:t>Construction in progress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vMerge w:val="restart"/>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40" w:type="dxa"/>
            <w:vAlign w:val="bottom"/>
            <w:tcBorders>
              <w:right w:val="single" w:sz="8" w:color="70AD47"/>
            </w:tcBorders>
          </w:tcPr>
          <w:p>
            <w:pPr>
              <w:spacing w:after="0"/>
              <w:rPr>
                <w:sz w:val="10"/>
                <w:szCs w:val="10"/>
                <w:color w:val="auto"/>
              </w:rPr>
            </w:pPr>
          </w:p>
        </w:tc>
        <w:tc>
          <w:tcPr>
            <w:tcW w:w="1520" w:type="dxa"/>
            <w:vAlign w:val="bottom"/>
            <w:tcBorders>
              <w:right w:val="single" w:sz="8" w:color="70AD47"/>
            </w:tcBorders>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Borders>
              <w:right w:val="single" w:sz="8" w:color="70AD47"/>
            </w:tcBorders>
            <w:vMerge w:val="restart"/>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installations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Borders>
              <w:right w:val="single" w:sz="8" w:color="70AD47"/>
            </w:tcBorders>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and advance payments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14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Pr>
          <w:p>
            <w:pPr>
              <w:spacing w:after="0"/>
              <w:rPr>
                <w:sz w:val="7"/>
                <w:szCs w:val="7"/>
                <w:color w:val="auto"/>
              </w:rPr>
            </w:pPr>
          </w:p>
        </w:tc>
        <w:tc>
          <w:tcPr>
            <w:tcW w:w="1360" w:type="dxa"/>
            <w:vAlign w:val="bottom"/>
            <w:tcBorders>
              <w:right w:val="single" w:sz="8" w:color="70AD47"/>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tcBorders>
              <w:right w:val="single" w:sz="8" w:color="70AD47"/>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tcBorders>
              <w:right w:val="single" w:sz="8" w:color="70AD47"/>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shd w:val="clear" w:color="auto" w:fill="70AD47"/>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70AD47"/>
              <w:right w:val="single" w:sz="8" w:color="70AD47"/>
            </w:tcBorders>
            <w:vMerge w:val="continue"/>
          </w:tcPr>
          <w:p>
            <w:pPr>
              <w:spacing w:after="0"/>
              <w:rPr>
                <w:sz w:val="15"/>
                <w:szCs w:val="15"/>
                <w:color w:val="auto"/>
              </w:rPr>
            </w:pPr>
          </w:p>
        </w:tc>
        <w:tc>
          <w:tcPr>
            <w:tcW w:w="160" w:type="dxa"/>
            <w:vAlign w:val="bottom"/>
            <w:tcBorders>
              <w:bottom w:val="single" w:sz="8" w:color="70AD47"/>
            </w:tcBorders>
          </w:tcPr>
          <w:p>
            <w:pPr>
              <w:spacing w:after="0"/>
              <w:rPr>
                <w:sz w:val="15"/>
                <w:szCs w:val="15"/>
                <w:color w:val="auto"/>
              </w:rPr>
            </w:pPr>
          </w:p>
        </w:tc>
        <w:tc>
          <w:tcPr>
            <w:tcW w:w="1360" w:type="dxa"/>
            <w:vAlign w:val="bottom"/>
            <w:tcBorders>
              <w:bottom w:val="single" w:sz="8" w:color="70AD47"/>
              <w:right w:val="single" w:sz="8" w:color="70AD47"/>
            </w:tcBorders>
          </w:tcPr>
          <w:p>
            <w:pPr>
              <w:spacing w:after="0"/>
              <w:rPr>
                <w:sz w:val="15"/>
                <w:szCs w:val="15"/>
                <w:color w:val="auto"/>
              </w:rPr>
            </w:pPr>
          </w:p>
        </w:tc>
        <w:tc>
          <w:tcPr>
            <w:tcW w:w="40" w:type="dxa"/>
            <w:vAlign w:val="bottom"/>
            <w:tcBorders>
              <w:bottom w:val="single" w:sz="8" w:color="70AD47"/>
            </w:tcBorders>
          </w:tcPr>
          <w:p>
            <w:pPr>
              <w:spacing w:after="0"/>
              <w:rPr>
                <w:sz w:val="15"/>
                <w:szCs w:val="15"/>
                <w:color w:val="auto"/>
              </w:rPr>
            </w:pPr>
          </w:p>
        </w:tc>
        <w:tc>
          <w:tcPr>
            <w:tcW w:w="10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tcPr>
          <w:p>
            <w:pPr>
              <w:spacing w:after="0"/>
              <w:rPr>
                <w:sz w:val="15"/>
                <w:szCs w:val="15"/>
                <w:color w:val="auto"/>
              </w:rPr>
            </w:pPr>
          </w:p>
        </w:tc>
        <w:tc>
          <w:tcPr>
            <w:tcW w:w="1600" w:type="dxa"/>
            <w:vAlign w:val="bottom"/>
            <w:tcBorders>
              <w:bottom w:val="single" w:sz="8" w:color="70AD47"/>
              <w:right w:val="single" w:sz="8" w:color="70AD47"/>
            </w:tcBorders>
          </w:tcPr>
          <w:p>
            <w:pPr>
              <w:spacing w:after="0"/>
              <w:rPr>
                <w:sz w:val="15"/>
                <w:szCs w:val="15"/>
                <w:color w:val="auto"/>
              </w:rPr>
            </w:pPr>
          </w:p>
        </w:tc>
        <w:tc>
          <w:tcPr>
            <w:tcW w:w="4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tcPr>
          <w:p>
            <w:pPr>
              <w:spacing w:after="0"/>
              <w:rPr>
                <w:sz w:val="15"/>
                <w:szCs w:val="15"/>
                <w:color w:val="auto"/>
              </w:rPr>
            </w:pPr>
          </w:p>
        </w:tc>
        <w:tc>
          <w:tcPr>
            <w:tcW w:w="1700" w:type="dxa"/>
            <w:vAlign w:val="bottom"/>
            <w:tcBorders>
              <w:bottom w:val="single" w:sz="8" w:color="70AD47"/>
              <w:right w:val="single" w:sz="8" w:color="70AD47"/>
            </w:tcBorders>
          </w:tcPr>
          <w:p>
            <w:pPr>
              <w:spacing w:after="0"/>
              <w:rPr>
                <w:sz w:val="15"/>
                <w:szCs w:val="15"/>
                <w:color w:val="auto"/>
              </w:rPr>
            </w:pPr>
          </w:p>
        </w:tc>
        <w:tc>
          <w:tcPr>
            <w:tcW w:w="20" w:type="dxa"/>
            <w:vAlign w:val="bottom"/>
            <w:tcBorders>
              <w:bottom w:val="single" w:sz="8" w:color="70AD47"/>
            </w:tcBorders>
          </w:tcPr>
          <w:p>
            <w:pPr>
              <w:spacing w:after="0"/>
              <w:rPr>
                <w:sz w:val="15"/>
                <w:szCs w:val="15"/>
                <w:color w:val="auto"/>
              </w:rPr>
            </w:pPr>
          </w:p>
        </w:tc>
        <w:tc>
          <w:tcPr>
            <w:tcW w:w="40" w:type="dxa"/>
            <w:vAlign w:val="bottom"/>
            <w:tcBorders>
              <w:bottom w:val="single" w:sz="8" w:color="70AD47"/>
            </w:tcBorders>
          </w:tcPr>
          <w:p>
            <w:pPr>
              <w:spacing w:after="0"/>
              <w:rPr>
                <w:sz w:val="15"/>
                <w:szCs w:val="15"/>
                <w:color w:val="auto"/>
              </w:rPr>
            </w:pPr>
          </w:p>
        </w:tc>
        <w:tc>
          <w:tcPr>
            <w:tcW w:w="1320" w:type="dxa"/>
            <w:vAlign w:val="bottom"/>
            <w:tcBorders>
              <w:bottom w:val="single" w:sz="8" w:color="70AD47"/>
            </w:tcBorders>
          </w:tcPr>
          <w:p>
            <w:pPr>
              <w:spacing w:after="0"/>
              <w:rPr>
                <w:sz w:val="15"/>
                <w:szCs w:val="15"/>
                <w:color w:val="auto"/>
              </w:rPr>
            </w:pPr>
          </w:p>
        </w:tc>
        <w:tc>
          <w:tcPr>
            <w:tcW w:w="20" w:type="dxa"/>
            <w:vAlign w:val="bottom"/>
            <w:tcBorders>
              <w:bottom w:val="single" w:sz="8" w:color="70AD47"/>
            </w:tcBorders>
            <w:shd w:val="clear" w:color="auto" w:fill="70AD47"/>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520" w:type="dxa"/>
            <w:vAlign w:val="bottom"/>
            <w:tcBorders>
              <w:bottom w:val="single" w:sz="8" w:color="70AD47"/>
              <w:righ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40" w:type="dxa"/>
            <w:vAlign w:val="bottom"/>
            <w:tcBorders>
              <w:bottom w:val="single" w:sz="8" w:color="70AD47"/>
            </w:tcBorders>
          </w:tcPr>
          <w:p>
            <w:pPr>
              <w:spacing w:after="0"/>
              <w:rPr>
                <w:sz w:val="18"/>
                <w:szCs w:val="18"/>
                <w:color w:val="auto"/>
              </w:rPr>
            </w:pPr>
          </w:p>
        </w:tc>
        <w:tc>
          <w:tcPr>
            <w:tcW w:w="100" w:type="dxa"/>
            <w:vAlign w:val="bottom"/>
            <w:tcBorders>
              <w:bottom w:val="single" w:sz="8" w:color="70AD47"/>
            </w:tcBorders>
          </w:tcPr>
          <w:p>
            <w:pPr>
              <w:spacing w:after="0"/>
              <w:rPr>
                <w:sz w:val="18"/>
                <w:szCs w:val="18"/>
                <w:color w:val="auto"/>
              </w:rPr>
            </w:pPr>
          </w:p>
        </w:tc>
        <w:tc>
          <w:tcPr>
            <w:tcW w:w="1620" w:type="dxa"/>
            <w:vAlign w:val="bottom"/>
            <w:tcBorders>
              <w:bottom w:val="single" w:sz="8" w:color="70AD47"/>
              <w:righ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178.7</w:t>
            </w:r>
          </w:p>
        </w:tc>
        <w:tc>
          <w:tcPr>
            <w:tcW w:w="40" w:type="dxa"/>
            <w:vAlign w:val="bottom"/>
            <w:tcBorders>
              <w:bottom w:val="single" w:sz="8" w:color="70AD47"/>
            </w:tcBorders>
          </w:tcPr>
          <w:p>
            <w:pPr>
              <w:spacing w:after="0"/>
              <w:rPr>
                <w:sz w:val="18"/>
                <w:szCs w:val="18"/>
                <w:color w:val="auto"/>
              </w:rPr>
            </w:pPr>
          </w:p>
        </w:tc>
        <w:tc>
          <w:tcPr>
            <w:tcW w:w="1720" w:type="dxa"/>
            <w:vAlign w:val="bottom"/>
            <w:tcBorders>
              <w:bottom w:val="single" w:sz="8" w:color="70AD47"/>
              <w:right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235.5</w:t>
            </w:r>
          </w:p>
        </w:tc>
        <w:tc>
          <w:tcPr>
            <w:tcW w:w="20" w:type="dxa"/>
            <w:vAlign w:val="bottom"/>
            <w:tcBorders>
              <w:bottom w:val="single" w:sz="8" w:color="70AD47"/>
            </w:tcBorders>
          </w:tcPr>
          <w:p>
            <w:pPr>
              <w:spacing w:after="0"/>
              <w:rPr>
                <w:sz w:val="18"/>
                <w:szCs w:val="18"/>
                <w:color w:val="auto"/>
              </w:rPr>
            </w:pPr>
          </w:p>
        </w:tc>
        <w:tc>
          <w:tcPr>
            <w:tcW w:w="1360" w:type="dxa"/>
            <w:vAlign w:val="bottom"/>
            <w:tcBorders>
              <w:bottom w:val="single" w:sz="8" w:color="70AD47"/>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609.2</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520" w:type="dxa"/>
            <w:vAlign w:val="bottom"/>
            <w:tcBorders>
              <w:left w:val="single" w:sz="8" w:color="C6E0B4"/>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199.2</w:t>
            </w:r>
          </w:p>
        </w:tc>
        <w:tc>
          <w:tcPr>
            <w:tcW w:w="40" w:type="dxa"/>
            <w:vAlign w:val="bottom"/>
            <w:tcBorders>
              <w:bottom w:val="single" w:sz="8" w:color="70AD47"/>
            </w:tcBorders>
            <w:shd w:val="clear" w:color="auto" w:fill="C6E0B4"/>
          </w:tcPr>
          <w:p>
            <w:pPr>
              <w:spacing w:after="0"/>
              <w:rPr>
                <w:sz w:val="18"/>
                <w:szCs w:val="18"/>
                <w:color w:val="auto"/>
              </w:rPr>
            </w:pPr>
          </w:p>
        </w:tc>
        <w:tc>
          <w:tcPr>
            <w:tcW w:w="100" w:type="dxa"/>
            <w:vAlign w:val="bottom"/>
            <w:tcBorders>
              <w:left w:val="single" w:sz="8" w:color="C6E0B4"/>
              <w:bottom w:val="single" w:sz="8" w:color="70AD47"/>
            </w:tcBorders>
            <w:shd w:val="clear" w:color="auto" w:fill="C6E0B4"/>
          </w:tcPr>
          <w:p>
            <w:pPr>
              <w:spacing w:after="0"/>
              <w:rPr>
                <w:sz w:val="18"/>
                <w:szCs w:val="18"/>
                <w:color w:val="auto"/>
              </w:rPr>
            </w:pPr>
          </w:p>
        </w:tc>
        <w:tc>
          <w:tcPr>
            <w:tcW w:w="162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168.5</w:t>
            </w:r>
          </w:p>
        </w:tc>
        <w:tc>
          <w:tcPr>
            <w:tcW w:w="40" w:type="dxa"/>
            <w:vAlign w:val="bottom"/>
            <w:tcBorders>
              <w:left w:val="single" w:sz="8" w:color="C6E0B4"/>
              <w:bottom w:val="single" w:sz="8" w:color="70AD47"/>
            </w:tcBorders>
            <w:shd w:val="clear" w:color="auto" w:fill="C6E0B4"/>
          </w:tcPr>
          <w:p>
            <w:pPr>
              <w:spacing w:after="0"/>
              <w:rPr>
                <w:sz w:val="18"/>
                <w:szCs w:val="18"/>
                <w:color w:val="auto"/>
              </w:rPr>
            </w:pPr>
          </w:p>
        </w:tc>
        <w:tc>
          <w:tcPr>
            <w:tcW w:w="172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389.5</w:t>
            </w:r>
          </w:p>
        </w:tc>
        <w:tc>
          <w:tcPr>
            <w:tcW w:w="20" w:type="dxa"/>
            <w:vAlign w:val="bottom"/>
            <w:tcBorders>
              <w:bottom w:val="single" w:sz="8" w:color="70AD47"/>
            </w:tcBorders>
            <w:shd w:val="clear" w:color="auto" w:fill="C6E0B4"/>
          </w:tcPr>
          <w:p>
            <w:pPr>
              <w:spacing w:after="0"/>
              <w:rPr>
                <w:sz w:val="18"/>
                <w:szCs w:val="18"/>
                <w:color w:val="auto"/>
              </w:rPr>
            </w:pPr>
          </w:p>
        </w:tc>
        <w:tc>
          <w:tcPr>
            <w:tcW w:w="1360" w:type="dxa"/>
            <w:vAlign w:val="bottom"/>
            <w:tcBorders>
              <w:left w:val="single" w:sz="8" w:color="C6E0B4"/>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757.2</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Non-Current Assets by Region</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As of December 31, 2023, non-current assets comprised €158.2 million in other intangible assets, goodwill, property, plant and equipment, right-of-use assets and other assets of our subsidiaries incorporated in the United States (as of December 31, 2022: €188.0 million) as well as €511.7 million in the United Kingdom (as of December 31, 2022: nil), respectively. The remaining non-current assets of €1,469.0 million (as of December 31, 2022: €871.9 million) mainly relate to entities incorporated in Germany.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89" w:name="page290"/>
    <w:bookmarkEnd w:id="28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hanging="314"/>
        <w:spacing w:after="0"/>
        <w:tabs>
          <w:tab w:leader="none" w:pos="320"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Assets and Financial Liabilities</w:t>
      </w:r>
    </w:p>
    <w:p>
      <w:pPr>
        <w:spacing w:after="0" w:line="80" w:lineRule="exact"/>
        <w:rPr>
          <w:rFonts w:ascii="Times New Roman" w:cs="Times New Roman" w:eastAsia="Times New Roman" w:hAnsi="Times New Roman"/>
          <w:sz w:val="16"/>
          <w:szCs w:val="16"/>
          <w:b w:val="1"/>
          <w:bCs w:val="1"/>
          <w:color w:val="auto"/>
        </w:rPr>
      </w:pPr>
    </w:p>
    <w:p>
      <w:pPr>
        <w:ind w:left="200" w:hanging="194"/>
        <w:spacing w:after="0"/>
        <w:tabs>
          <w:tab w:leader="none" w:pos="200"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  Capital Risk Management</w:t>
      </w:r>
    </w:p>
    <w:p>
      <w:pPr>
        <w:spacing w:after="0" w:line="105"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Our capital management objectives are designed primarily to finance our growth strategy.</w:t>
      </w:r>
    </w:p>
    <w:p>
      <w:pPr>
        <w:spacing w:after="0" w:line="188"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Our treasury committee reviews the total amount of cash and cash equivalents on a regular basis. As part of this review, the committee considers total cash and cash equivalents, cash outflow, currency translation differences and refinancing activities. We monitor cash using a burn rate. The cash burn rate is defined as the average monthly net cash flow from operating and investing activities during a financial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at banks and on hand</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453.1</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11,210.6</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12,549.9</w:t>
            </w:r>
          </w:p>
        </w:tc>
      </w:tr>
      <w:tr>
        <w:trPr>
          <w:trHeight w:val="216"/>
        </w:trPr>
        <w:tc>
          <w:tcPr>
            <w:tcW w:w="710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Bank deposits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9,401.0</w:t>
            </w:r>
          </w:p>
        </w:tc>
      </w:tr>
      <w:tr>
        <w:trPr>
          <w:trHeight w:val="216"/>
        </w:trPr>
        <w:tc>
          <w:tcPr>
            <w:tcW w:w="710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7,446.1</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3,148.9</w:t>
            </w:r>
          </w:p>
        </w:tc>
      </w:tr>
      <w:tr>
        <w:trPr>
          <w:trHeight w:val="217"/>
        </w:trPr>
        <w:tc>
          <w:tcPr>
            <w:tcW w:w="710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Reverse Repo</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1,175.0</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11,663.7</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13,875.1</w:t>
            </w: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general, the aim is to protect and maximize the financial resources available for further research and development projects.</w:t>
      </w:r>
    </w:p>
    <w:p>
      <w:pPr>
        <w:spacing w:after="0" w:line="188"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Since December 1, 2021, we have an investment and asset management policy in place that contains policies and processes for managing cash and cash equivalents. Under this policy, our investment portfolio is to be maintained in a manner that minimizes risks to the invested capital. These risks include mainly credit risk and concentration risk. The portfolio must provide liquidity in a timely manner to accommodate operational and capital needs. The portfolio is managed by the Treasury department.</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 are not subject to externally imposed capital requirements. Our capital management objectives were achieved in theyears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0" w:name="page291"/>
    <w:bookmarkEnd w:id="29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12.2</w:t>
      </w:r>
      <w:r>
        <w:rPr>
          <w:sz w:val="20"/>
          <w:szCs w:val="20"/>
          <w:color w:val="auto"/>
        </w:rPr>
        <w:tab/>
      </w:r>
      <w:r>
        <w:rPr>
          <w:rFonts w:ascii="Times New Roman" w:cs="Times New Roman" w:eastAsia="Times New Roman" w:hAnsi="Times New Roman"/>
          <w:sz w:val="14"/>
          <w:szCs w:val="14"/>
          <w:b w:val="1"/>
          <w:bCs w:val="1"/>
          <w:color w:val="auto"/>
        </w:rPr>
        <w:t>Categories of Financial Instruments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Financial Assets and Liabilities at Amortized Cost and at Fair Value through OCI and Profit or Loss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Set out below is an overview of financial assets and liabilities at amortized cost and at fair value through OCI and profit or loss,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2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460" w:type="dxa"/>
            <w:vAlign w:val="bottom"/>
            <w:tcBorders>
              <w:right w:val="single" w:sz="8" w:color="70AD47"/>
            </w:tcBorders>
            <w:vMerge w:val="restart"/>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rPr>
              <w:t>Category</w:t>
            </w:r>
            <w:r>
              <w:rPr>
                <w:rFonts w:ascii="Times New Roman" w:cs="Times New Roman" w:eastAsia="Times New Roman" w:hAnsi="Times New Roman"/>
                <w:sz w:val="21"/>
                <w:szCs w:val="21"/>
                <w:b w:val="1"/>
                <w:bCs w:val="1"/>
                <w:color w:val="auto"/>
                <w:vertAlign w:val="superscript"/>
              </w:rPr>
              <w:t>(1)</w:t>
            </w:r>
          </w:p>
        </w:tc>
        <w:tc>
          <w:tcPr>
            <w:tcW w:w="13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6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Level 1 (Fair</w:t>
            </w:r>
          </w:p>
        </w:tc>
        <w:tc>
          <w:tcPr>
            <w:tcW w:w="120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Level 2 (Fair</w:t>
            </w:r>
          </w:p>
        </w:tc>
        <w:tc>
          <w:tcPr>
            <w:tcW w:w="1220" w:type="dxa"/>
            <w:vAlign w:val="bottom"/>
            <w:tcBorders>
              <w:right w:val="single" w:sz="8" w:color="70AD47"/>
            </w:tcBorders>
            <w:shd w:val="clear" w:color="auto" w:fill="C6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Level 3 (Fair</w:t>
            </w:r>
          </w:p>
        </w:tc>
        <w:tc>
          <w:tcPr>
            <w:tcW w:w="12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820" w:type="dxa"/>
            <w:vAlign w:val="bottom"/>
            <w:tcBorders>
              <w:bottom w:val="single" w:sz="8" w:color="70AD47"/>
              <w:right w:val="single" w:sz="8" w:color="70AD47"/>
            </w:tcBorders>
            <w:vMerge w:val="continue"/>
          </w:tcPr>
          <w:p>
            <w:pPr>
              <w:spacing w:after="0"/>
              <w:rPr>
                <w:sz w:val="18"/>
                <w:szCs w:val="18"/>
                <w:color w:val="auto"/>
              </w:rPr>
            </w:pPr>
          </w:p>
        </w:tc>
        <w:tc>
          <w:tcPr>
            <w:tcW w:w="1460" w:type="dxa"/>
            <w:vAlign w:val="bottom"/>
            <w:tcBorders>
              <w:bottom w:val="single" w:sz="8" w:color="70AD47"/>
              <w:right w:val="single" w:sz="8" w:color="70AD47"/>
            </w:tcBorders>
            <w:vMerge w:val="continue"/>
            <w:shd w:val="clear" w:color="auto" w:fill="C6E0B4"/>
          </w:tcPr>
          <w:p>
            <w:pPr>
              <w:spacing w:after="0"/>
              <w:rPr>
                <w:sz w:val="18"/>
                <w:szCs w:val="18"/>
                <w:color w:val="auto"/>
              </w:rPr>
            </w:pPr>
          </w:p>
        </w:tc>
        <w:tc>
          <w:tcPr>
            <w:tcW w:w="1360" w:type="dxa"/>
            <w:vAlign w:val="bottom"/>
            <w:tcBorders>
              <w:bottom w:val="single" w:sz="8" w:color="70AD47"/>
              <w:right w:val="single" w:sz="8" w:color="70AD47"/>
            </w:tcBorders>
            <w:vMerge w:val="continue"/>
            <w:shd w:val="clear" w:color="auto" w:fill="C6E0B4"/>
          </w:tcPr>
          <w:p>
            <w:pPr>
              <w:spacing w:after="0"/>
              <w:rPr>
                <w:sz w:val="18"/>
                <w:szCs w:val="18"/>
                <w:color w:val="auto"/>
              </w:rPr>
            </w:pP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60" w:type="dxa"/>
            <w:vAlign w:val="bottom"/>
            <w:tcBorders>
              <w:bottom w:val="single" w:sz="8" w:color="70AD47"/>
              <w:right w:val="single" w:sz="8" w:color="70AD47"/>
            </w:tcBorders>
            <w:vMerge w:val="continue"/>
            <w:shd w:val="clear" w:color="auto" w:fill="C6E0B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 measured at fair value</w:t>
            </w:r>
          </w:p>
        </w:tc>
        <w:tc>
          <w:tcPr>
            <w:tcW w:w="1460" w:type="dxa"/>
            <w:vAlign w:val="bottom"/>
            <w:tcBorders>
              <w:right w:val="single" w:sz="8" w:color="70AD47"/>
            </w:tcBorders>
            <w:shd w:val="clear" w:color="auto" w:fill="C6E0B4"/>
          </w:tcPr>
          <w:p>
            <w:pPr>
              <w:spacing w:after="0"/>
              <w:rPr>
                <w:sz w:val="17"/>
                <w:szCs w:val="17"/>
                <w:color w:val="auto"/>
              </w:rPr>
            </w:pPr>
          </w:p>
        </w:tc>
        <w:tc>
          <w:tcPr>
            <w:tcW w:w="136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1200" w:type="dxa"/>
            <w:vAlign w:val="bottom"/>
            <w:tcBorders>
              <w:right w:val="single" w:sz="8" w:color="70AD47"/>
            </w:tcBorders>
            <w:shd w:val="clear" w:color="auto" w:fill="C6E0B4"/>
          </w:tcPr>
          <w:p>
            <w:pPr>
              <w:spacing w:after="0"/>
              <w:rPr>
                <w:sz w:val="17"/>
                <w:szCs w:val="17"/>
                <w:color w:val="auto"/>
              </w:rPr>
            </w:pPr>
          </w:p>
        </w:tc>
        <w:tc>
          <w:tcPr>
            <w:tcW w:w="122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7,446.1</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7,446.1</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7,446.1</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Non-listed equity investments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FVTOCI</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Listed equity investments</w:t>
            </w:r>
          </w:p>
        </w:tc>
        <w:tc>
          <w:tcPr>
            <w:tcW w:w="146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FVTOCI</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170"/>
        </w:trPr>
        <w:tc>
          <w:tcPr>
            <w:tcW w:w="282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assets not measured at fair</w:t>
            </w:r>
          </w:p>
        </w:tc>
        <w:tc>
          <w:tcPr>
            <w:tcW w:w="1460" w:type="dxa"/>
            <w:vAlign w:val="bottom"/>
            <w:tcBorders>
              <w:right w:val="single" w:sz="8" w:color="70AD47"/>
            </w:tcBorders>
            <w:shd w:val="clear" w:color="auto" w:fill="C6E0B4"/>
          </w:tcPr>
          <w:p>
            <w:pPr>
              <w:spacing w:after="0"/>
              <w:rPr>
                <w:sz w:val="14"/>
                <w:szCs w:val="14"/>
                <w:color w:val="auto"/>
              </w:rPr>
            </w:pPr>
          </w:p>
        </w:tc>
        <w:tc>
          <w:tcPr>
            <w:tcW w:w="136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1200" w:type="dxa"/>
            <w:vAlign w:val="bottom"/>
            <w:tcBorders>
              <w:right w:val="single" w:sz="8" w:color="70AD47"/>
            </w:tcBorders>
            <w:shd w:val="clear" w:color="auto" w:fill="C6E0B4"/>
          </w:tcPr>
          <w:p>
            <w:pPr>
              <w:spacing w:after="0"/>
              <w:rPr>
                <w:sz w:val="14"/>
                <w:szCs w:val="14"/>
                <w:color w:val="auto"/>
              </w:rPr>
            </w:pPr>
          </w:p>
        </w:tc>
        <w:tc>
          <w:tcPr>
            <w:tcW w:w="122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60" w:type="dxa"/>
            <w:vAlign w:val="bottom"/>
            <w:tcBorders>
              <w:right w:val="single" w:sz="8" w:color="70AD47"/>
            </w:tcBorders>
            <w:shd w:val="clear" w:color="auto" w:fill="C6E0B4"/>
          </w:tcPr>
          <w:p>
            <w:pPr>
              <w:spacing w:after="0"/>
              <w:rPr>
                <w:sz w:val="17"/>
                <w:szCs w:val="17"/>
                <w:color w:val="auto"/>
              </w:rPr>
            </w:pPr>
          </w:p>
        </w:tc>
        <w:tc>
          <w:tcPr>
            <w:tcW w:w="136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1200" w:type="dxa"/>
            <w:vAlign w:val="bottom"/>
            <w:tcBorders>
              <w:right w:val="single" w:sz="8" w:color="70AD47"/>
            </w:tcBorders>
            <w:shd w:val="clear" w:color="auto" w:fill="C6E0B4"/>
          </w:tcPr>
          <w:p>
            <w:pPr>
              <w:spacing w:after="0"/>
              <w:rPr>
                <w:sz w:val="17"/>
                <w:szCs w:val="17"/>
                <w:color w:val="auto"/>
              </w:rPr>
            </w:pPr>
          </w:p>
        </w:tc>
        <w:tc>
          <w:tcPr>
            <w:tcW w:w="122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Security investments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5,989.7</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5,989.7</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financial assets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Bank deposits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Reverse Repo</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1,175.0</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1,175.0</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Cash at banks and on hand</w:t>
            </w:r>
          </w:p>
        </w:tc>
        <w:tc>
          <w:tcPr>
            <w:tcW w:w="146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0" w:type="dxa"/>
            <w:vAlign w:val="bottom"/>
          </w:tcPr>
          <w:p>
            <w:pPr>
              <w:spacing w:after="0"/>
              <w:rPr>
                <w:sz w:val="1"/>
                <w:szCs w:val="1"/>
                <w:color w:val="auto"/>
              </w:rPr>
            </w:pPr>
          </w:p>
        </w:tc>
      </w:tr>
      <w:tr>
        <w:trPr>
          <w:trHeight w:val="170"/>
        </w:trPr>
        <w:tc>
          <w:tcPr>
            <w:tcW w:w="282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liabilities measured at fair</w:t>
            </w:r>
          </w:p>
        </w:tc>
        <w:tc>
          <w:tcPr>
            <w:tcW w:w="1460" w:type="dxa"/>
            <w:vAlign w:val="bottom"/>
            <w:tcBorders>
              <w:right w:val="single" w:sz="8" w:color="70AD47"/>
            </w:tcBorders>
            <w:shd w:val="clear" w:color="auto" w:fill="C6E0B4"/>
          </w:tcPr>
          <w:p>
            <w:pPr>
              <w:spacing w:after="0"/>
              <w:rPr>
                <w:sz w:val="14"/>
                <w:szCs w:val="14"/>
                <w:color w:val="auto"/>
              </w:rPr>
            </w:pPr>
          </w:p>
        </w:tc>
        <w:tc>
          <w:tcPr>
            <w:tcW w:w="136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1200" w:type="dxa"/>
            <w:vAlign w:val="bottom"/>
            <w:tcBorders>
              <w:right w:val="single" w:sz="8" w:color="70AD47"/>
            </w:tcBorders>
            <w:shd w:val="clear" w:color="auto" w:fill="C6E0B4"/>
          </w:tcPr>
          <w:p>
            <w:pPr>
              <w:spacing w:after="0"/>
              <w:rPr>
                <w:sz w:val="14"/>
                <w:szCs w:val="14"/>
                <w:color w:val="auto"/>
              </w:rPr>
            </w:pPr>
          </w:p>
        </w:tc>
        <w:tc>
          <w:tcPr>
            <w:tcW w:w="122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60" w:type="dxa"/>
            <w:vAlign w:val="bottom"/>
            <w:tcBorders>
              <w:right w:val="single" w:sz="8" w:color="70AD47"/>
            </w:tcBorders>
            <w:shd w:val="clear" w:color="auto" w:fill="C6E0B4"/>
          </w:tcPr>
          <w:p>
            <w:pPr>
              <w:spacing w:after="0"/>
              <w:rPr>
                <w:sz w:val="17"/>
                <w:szCs w:val="17"/>
                <w:color w:val="auto"/>
              </w:rPr>
            </w:pPr>
          </w:p>
        </w:tc>
        <w:tc>
          <w:tcPr>
            <w:tcW w:w="136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1200" w:type="dxa"/>
            <w:vAlign w:val="bottom"/>
            <w:tcBorders>
              <w:right w:val="single" w:sz="8" w:color="70AD47"/>
            </w:tcBorders>
            <w:shd w:val="clear" w:color="auto" w:fill="C6E0B4"/>
          </w:tcPr>
          <w:p>
            <w:pPr>
              <w:spacing w:after="0"/>
              <w:rPr>
                <w:sz w:val="17"/>
                <w:szCs w:val="17"/>
                <w:color w:val="auto"/>
              </w:rPr>
            </w:pPr>
          </w:p>
        </w:tc>
        <w:tc>
          <w:tcPr>
            <w:tcW w:w="122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6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70"/>
        </w:trPr>
        <w:tc>
          <w:tcPr>
            <w:tcW w:w="282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liabilities not measured at fair</w:t>
            </w:r>
          </w:p>
        </w:tc>
        <w:tc>
          <w:tcPr>
            <w:tcW w:w="1460" w:type="dxa"/>
            <w:vAlign w:val="bottom"/>
            <w:tcBorders>
              <w:right w:val="single" w:sz="8" w:color="70AD47"/>
            </w:tcBorders>
            <w:shd w:val="clear" w:color="auto" w:fill="C6E0B4"/>
          </w:tcPr>
          <w:p>
            <w:pPr>
              <w:spacing w:after="0"/>
              <w:rPr>
                <w:sz w:val="14"/>
                <w:szCs w:val="14"/>
                <w:color w:val="auto"/>
              </w:rPr>
            </w:pPr>
          </w:p>
        </w:tc>
        <w:tc>
          <w:tcPr>
            <w:tcW w:w="136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1200" w:type="dxa"/>
            <w:vAlign w:val="bottom"/>
            <w:tcBorders>
              <w:right w:val="single" w:sz="8" w:color="70AD47"/>
            </w:tcBorders>
            <w:shd w:val="clear" w:color="auto" w:fill="C6E0B4"/>
          </w:tcPr>
          <w:p>
            <w:pPr>
              <w:spacing w:after="0"/>
              <w:rPr>
                <w:sz w:val="14"/>
                <w:szCs w:val="14"/>
                <w:color w:val="auto"/>
              </w:rPr>
            </w:pPr>
          </w:p>
        </w:tc>
        <w:tc>
          <w:tcPr>
            <w:tcW w:w="1220" w:type="dxa"/>
            <w:vAlign w:val="bottom"/>
            <w:tcBorders>
              <w:right w:val="single" w:sz="8" w:color="70AD47"/>
            </w:tcBorders>
            <w:shd w:val="clear" w:color="auto" w:fill="C6E0B4"/>
          </w:tcPr>
          <w:p>
            <w:pPr>
              <w:spacing w:after="0"/>
              <w:rPr>
                <w:sz w:val="14"/>
                <w:szCs w:val="14"/>
                <w:color w:val="auto"/>
              </w:rPr>
            </w:pPr>
          </w:p>
        </w:tc>
        <w:tc>
          <w:tcPr>
            <w:tcW w:w="1260" w:type="dxa"/>
            <w:vAlign w:val="bottom"/>
            <w:tcBorders>
              <w:right w:val="single" w:sz="8" w:color="70AD47"/>
            </w:tcBorders>
            <w:shd w:val="clear" w:color="auto" w:fill="C6E0B4"/>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60" w:type="dxa"/>
            <w:vAlign w:val="bottom"/>
            <w:tcBorders>
              <w:right w:val="single" w:sz="8" w:color="70AD47"/>
            </w:tcBorders>
            <w:shd w:val="clear" w:color="auto" w:fill="C6E0B4"/>
          </w:tcPr>
          <w:p>
            <w:pPr>
              <w:spacing w:after="0"/>
              <w:rPr>
                <w:sz w:val="17"/>
                <w:szCs w:val="17"/>
                <w:color w:val="auto"/>
              </w:rPr>
            </w:pPr>
          </w:p>
        </w:tc>
        <w:tc>
          <w:tcPr>
            <w:tcW w:w="136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1200" w:type="dxa"/>
            <w:vAlign w:val="bottom"/>
            <w:tcBorders>
              <w:right w:val="single" w:sz="8" w:color="70AD47"/>
            </w:tcBorders>
            <w:shd w:val="clear" w:color="auto" w:fill="C6E0B4"/>
          </w:tcPr>
          <w:p>
            <w:pPr>
              <w:spacing w:after="0"/>
              <w:rPr>
                <w:sz w:val="17"/>
                <w:szCs w:val="17"/>
                <w:color w:val="auto"/>
              </w:rPr>
            </w:pPr>
          </w:p>
        </w:tc>
        <w:tc>
          <w:tcPr>
            <w:tcW w:w="1220" w:type="dxa"/>
            <w:vAlign w:val="bottom"/>
            <w:tcBorders>
              <w:right w:val="single" w:sz="8" w:color="70AD47"/>
            </w:tcBorders>
            <w:shd w:val="clear" w:color="auto" w:fill="C6E0B4"/>
          </w:tcPr>
          <w:p>
            <w:pPr>
              <w:spacing w:after="0"/>
              <w:rPr>
                <w:sz w:val="17"/>
                <w:szCs w:val="17"/>
                <w:color w:val="auto"/>
              </w:rPr>
            </w:pPr>
          </w:p>
        </w:tc>
        <w:tc>
          <w:tcPr>
            <w:tcW w:w="1260" w:type="dxa"/>
            <w:vAlign w:val="bottom"/>
            <w:tcBorders>
              <w:right w:val="single" w:sz="8" w:color="70AD47"/>
            </w:tcBorders>
            <w:shd w:val="clear" w:color="auto" w:fill="C6E0B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Lease liabilities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Loans and borrowings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82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payables and other payables</w:t>
            </w:r>
          </w:p>
        </w:tc>
        <w:tc>
          <w:tcPr>
            <w:tcW w:w="146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46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40" w:right="520" w:hanging="234"/>
        <w:spacing w:after="0" w:line="225" w:lineRule="auto"/>
        <w:tabs>
          <w:tab w:leader="none" w:pos="252" w:val="left"/>
        </w:tabs>
        <w:numPr>
          <w:ilvl w:val="0"/>
          <w:numId w:val="19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Financial assets and liabilities categorized at amortized costs mainly correspond to fair value. Fair values are not disclosed because the book values represent a reasonable approximation of fair value. We do not make a disclosure for cash and cash equivalents, trade receivables and trade payables.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91" w:name="page292"/>
    <w:bookmarkEnd w:id="29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8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4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Category</w:t>
            </w:r>
            <w:r>
              <w:rPr>
                <w:rFonts w:ascii="Times New Roman" w:cs="Times New Roman" w:eastAsia="Times New Roman" w:hAnsi="Times New Roman"/>
                <w:sz w:val="21"/>
                <w:szCs w:val="21"/>
                <w:b w:val="1"/>
                <w:bCs w:val="1"/>
                <w:color w:val="auto"/>
                <w:vertAlign w:val="superscript"/>
              </w:rPr>
              <w:t>(1)</w:t>
            </w:r>
          </w:p>
        </w:tc>
        <w:tc>
          <w:tcPr>
            <w:tcW w:w="13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60" w:type="dxa"/>
            <w:vAlign w:val="bottom"/>
            <w:tcBorders>
              <w:right w:val="single" w:sz="8" w:color="70AD47"/>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Level 1 (Fair</w:t>
            </w:r>
          </w:p>
        </w:tc>
        <w:tc>
          <w:tcPr>
            <w:tcW w:w="1220" w:type="dxa"/>
            <w:vAlign w:val="bottom"/>
            <w:tcBorders>
              <w:right w:val="single" w:sz="8" w:color="70AD47"/>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Level 2 (Fair</w:t>
            </w:r>
          </w:p>
        </w:tc>
        <w:tc>
          <w:tcPr>
            <w:tcW w:w="1220" w:type="dxa"/>
            <w:vAlign w:val="bottom"/>
            <w:tcBorders>
              <w:right w:val="single" w:sz="8" w:color="70AD47"/>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Level 3 (Fair</w:t>
            </w:r>
          </w:p>
        </w:tc>
        <w:tc>
          <w:tcPr>
            <w:tcW w:w="12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70AD47"/>
              <w:right w:val="single" w:sz="8" w:color="70AD47"/>
            </w:tcBorders>
            <w:vMerge w:val="continue"/>
          </w:tcPr>
          <w:p>
            <w:pPr>
              <w:spacing w:after="0"/>
              <w:rPr>
                <w:sz w:val="18"/>
                <w:szCs w:val="18"/>
                <w:color w:val="auto"/>
              </w:rPr>
            </w:pPr>
          </w:p>
        </w:tc>
        <w:tc>
          <w:tcPr>
            <w:tcW w:w="1480" w:type="dxa"/>
            <w:vAlign w:val="bottom"/>
            <w:tcBorders>
              <w:bottom w:val="single" w:sz="8" w:color="70AD47"/>
              <w:right w:val="single" w:sz="8" w:color="70AD47"/>
            </w:tcBorders>
            <w:vMerge w:val="continue"/>
          </w:tcPr>
          <w:p>
            <w:pPr>
              <w:spacing w:after="0"/>
              <w:rPr>
                <w:sz w:val="18"/>
                <w:szCs w:val="18"/>
                <w:color w:val="auto"/>
              </w:rPr>
            </w:pPr>
          </w:p>
        </w:tc>
        <w:tc>
          <w:tcPr>
            <w:tcW w:w="1360" w:type="dxa"/>
            <w:vAlign w:val="bottom"/>
            <w:tcBorders>
              <w:bottom w:val="single" w:sz="8" w:color="70AD47"/>
              <w:right w:val="single" w:sz="8" w:color="70AD47"/>
            </w:tcBorders>
            <w:vMerge w:val="continue"/>
          </w:tcPr>
          <w:p>
            <w:pPr>
              <w:spacing w:after="0"/>
              <w:rPr>
                <w:sz w:val="18"/>
                <w:szCs w:val="18"/>
                <w:color w:val="auto"/>
              </w:rPr>
            </w:pP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60" w:type="dxa"/>
            <w:vAlign w:val="bottom"/>
            <w:tcBorders>
              <w:bottom w:val="single" w:sz="8" w:color="70AD47"/>
              <w:right w:val="single" w:sz="8" w:color="70AD47"/>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80" w:type="dxa"/>
            <w:vAlign w:val="bottom"/>
            <w:tcBorders>
              <w:right w:val="single" w:sz="8" w:color="70AD47"/>
            </w:tcBorders>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Financial assets measured at fair</w:t>
            </w:r>
          </w:p>
        </w:tc>
        <w:tc>
          <w:tcPr>
            <w:tcW w:w="1480" w:type="dxa"/>
            <w:vAlign w:val="bottom"/>
            <w:tcBorders>
              <w:right w:val="single" w:sz="8" w:color="70AD47"/>
            </w:tcBorders>
          </w:tcPr>
          <w:p>
            <w:pPr>
              <w:spacing w:after="0"/>
              <w:rPr>
                <w:sz w:val="14"/>
                <w:szCs w:val="14"/>
                <w:color w:val="auto"/>
              </w:rPr>
            </w:pPr>
          </w:p>
        </w:tc>
        <w:tc>
          <w:tcPr>
            <w:tcW w:w="136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80" w:type="dxa"/>
            <w:vAlign w:val="bottom"/>
            <w:tcBorders>
              <w:right w:val="single" w:sz="8" w:color="70AD47"/>
            </w:tcBorders>
          </w:tcPr>
          <w:p>
            <w:pPr>
              <w:spacing w:after="0"/>
              <w:rPr>
                <w:sz w:val="17"/>
                <w:szCs w:val="17"/>
                <w:color w:val="auto"/>
              </w:rPr>
            </w:pPr>
          </w:p>
        </w:tc>
        <w:tc>
          <w:tcPr>
            <w:tcW w:w="136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3,148.9</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3,148.9</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3,148.9</w:t>
            </w:r>
          </w:p>
        </w:tc>
        <w:tc>
          <w:tcPr>
            <w:tcW w:w="0" w:type="dxa"/>
            <w:vAlign w:val="bottom"/>
          </w:tcPr>
          <w:p>
            <w:pPr>
              <w:spacing w:after="0"/>
              <w:rPr>
                <w:sz w:val="1"/>
                <w:szCs w:val="1"/>
                <w:color w:val="auto"/>
              </w:rPr>
            </w:pPr>
          </w:p>
        </w:tc>
      </w:tr>
      <w:tr>
        <w:trPr>
          <w:trHeight w:val="218"/>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Non-listed equity investments</w:t>
            </w:r>
          </w:p>
        </w:tc>
        <w:tc>
          <w:tcPr>
            <w:tcW w:w="1480" w:type="dxa"/>
            <w:vAlign w:val="bottom"/>
            <w:tcBorders>
              <w:right w:val="single" w:sz="8" w:color="4EA72E"/>
            </w:tcBorders>
          </w:tcPr>
          <w:p>
            <w:pPr>
              <w:spacing w:after="0"/>
              <w:rPr>
                <w:sz w:val="20"/>
                <w:szCs w:val="20"/>
                <w:color w:val="auto"/>
              </w:rPr>
            </w:pPr>
            <w:r>
              <w:rPr>
                <w:rFonts w:ascii="Times New Roman" w:cs="Times New Roman" w:eastAsia="Times New Roman" w:hAnsi="Times New Roman"/>
                <w:sz w:val="16"/>
                <w:szCs w:val="16"/>
                <w:color w:val="auto"/>
              </w:rPr>
              <w:t>FVTOCI</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5"/>
        </w:trPr>
        <w:tc>
          <w:tcPr>
            <w:tcW w:w="258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Listed equity investments</w:t>
            </w:r>
          </w:p>
        </w:tc>
        <w:tc>
          <w:tcPr>
            <w:tcW w:w="14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FVTOCI</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70"/>
        </w:trPr>
        <w:tc>
          <w:tcPr>
            <w:tcW w:w="258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assets not measured at fair</w:t>
            </w:r>
          </w:p>
        </w:tc>
        <w:tc>
          <w:tcPr>
            <w:tcW w:w="1480" w:type="dxa"/>
            <w:vAlign w:val="bottom"/>
            <w:tcBorders>
              <w:right w:val="single" w:sz="8" w:color="70AD47"/>
            </w:tcBorders>
          </w:tcPr>
          <w:p>
            <w:pPr>
              <w:spacing w:after="0"/>
              <w:rPr>
                <w:sz w:val="14"/>
                <w:szCs w:val="14"/>
                <w:color w:val="auto"/>
              </w:rPr>
            </w:pPr>
          </w:p>
        </w:tc>
        <w:tc>
          <w:tcPr>
            <w:tcW w:w="136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80" w:type="dxa"/>
            <w:vAlign w:val="bottom"/>
            <w:tcBorders>
              <w:right w:val="single" w:sz="8" w:color="70AD47"/>
            </w:tcBorders>
          </w:tcPr>
          <w:p>
            <w:pPr>
              <w:spacing w:after="0"/>
              <w:rPr>
                <w:sz w:val="17"/>
                <w:szCs w:val="17"/>
                <w:color w:val="auto"/>
              </w:rPr>
            </w:pPr>
          </w:p>
        </w:tc>
        <w:tc>
          <w:tcPr>
            <w:tcW w:w="136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7,145.6</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7,145.6</w:t>
            </w: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financial assets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Bank deposits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9,401.0</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9,401.0</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Cash at banks and on hand</w:t>
            </w:r>
          </w:p>
        </w:tc>
        <w:tc>
          <w:tcPr>
            <w:tcW w:w="14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0" w:type="dxa"/>
            <w:vAlign w:val="bottom"/>
          </w:tcPr>
          <w:p>
            <w:pPr>
              <w:spacing w:after="0"/>
              <w:rPr>
                <w:sz w:val="1"/>
                <w:szCs w:val="1"/>
                <w:color w:val="auto"/>
              </w:rPr>
            </w:pPr>
          </w:p>
        </w:tc>
      </w:tr>
      <w:tr>
        <w:trPr>
          <w:trHeight w:val="170"/>
        </w:trPr>
        <w:tc>
          <w:tcPr>
            <w:tcW w:w="258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liabilities measured at fair</w:t>
            </w:r>
          </w:p>
        </w:tc>
        <w:tc>
          <w:tcPr>
            <w:tcW w:w="1480" w:type="dxa"/>
            <w:vAlign w:val="bottom"/>
            <w:tcBorders>
              <w:right w:val="single" w:sz="8" w:color="70AD47"/>
            </w:tcBorders>
          </w:tcPr>
          <w:p>
            <w:pPr>
              <w:spacing w:after="0"/>
              <w:rPr>
                <w:sz w:val="14"/>
                <w:szCs w:val="14"/>
                <w:color w:val="auto"/>
              </w:rPr>
            </w:pPr>
          </w:p>
        </w:tc>
        <w:tc>
          <w:tcPr>
            <w:tcW w:w="136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80" w:type="dxa"/>
            <w:vAlign w:val="bottom"/>
            <w:tcBorders>
              <w:right w:val="single" w:sz="8" w:color="70AD47"/>
            </w:tcBorders>
          </w:tcPr>
          <w:p>
            <w:pPr>
              <w:spacing w:after="0"/>
              <w:rPr>
                <w:sz w:val="17"/>
                <w:szCs w:val="17"/>
                <w:color w:val="auto"/>
              </w:rPr>
            </w:pPr>
          </w:p>
        </w:tc>
        <w:tc>
          <w:tcPr>
            <w:tcW w:w="136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8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FVTPL</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70"/>
        </w:trPr>
        <w:tc>
          <w:tcPr>
            <w:tcW w:w="2580" w:type="dxa"/>
            <w:vAlign w:val="bottom"/>
            <w:tcBorders>
              <w:right w:val="single" w:sz="8" w:color="70AD47"/>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Financial liabilities not measured at</w:t>
            </w:r>
          </w:p>
        </w:tc>
        <w:tc>
          <w:tcPr>
            <w:tcW w:w="1480" w:type="dxa"/>
            <w:vAlign w:val="bottom"/>
            <w:tcBorders>
              <w:right w:val="single" w:sz="8" w:color="70AD47"/>
            </w:tcBorders>
          </w:tcPr>
          <w:p>
            <w:pPr>
              <w:spacing w:after="0"/>
              <w:rPr>
                <w:sz w:val="14"/>
                <w:szCs w:val="14"/>
                <w:color w:val="auto"/>
              </w:rPr>
            </w:pPr>
          </w:p>
        </w:tc>
        <w:tc>
          <w:tcPr>
            <w:tcW w:w="136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20" w:type="dxa"/>
            <w:vAlign w:val="bottom"/>
            <w:tcBorders>
              <w:right w:val="single" w:sz="8" w:color="70AD47"/>
            </w:tcBorders>
          </w:tcPr>
          <w:p>
            <w:pPr>
              <w:spacing w:after="0"/>
              <w:rPr>
                <w:sz w:val="14"/>
                <w:szCs w:val="14"/>
                <w:color w:val="auto"/>
              </w:rPr>
            </w:pPr>
          </w:p>
        </w:tc>
        <w:tc>
          <w:tcPr>
            <w:tcW w:w="1260" w:type="dxa"/>
            <w:vAlign w:val="bottom"/>
            <w:tcBorders>
              <w:right w:val="single" w:sz="8" w:color="70AD47"/>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tcBorders>
              <w:right w:val="single" w:sz="8" w:color="70AD47"/>
            </w:tcBorders>
          </w:tcPr>
          <w:p>
            <w:pPr>
              <w:spacing w:after="0"/>
              <w:rPr>
                <w:sz w:val="17"/>
                <w:szCs w:val="17"/>
                <w:color w:val="auto"/>
              </w:rPr>
            </w:pPr>
          </w:p>
        </w:tc>
        <w:tc>
          <w:tcPr>
            <w:tcW w:w="136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20" w:type="dxa"/>
            <w:vAlign w:val="bottom"/>
            <w:tcBorders>
              <w:right w:val="single" w:sz="8" w:color="70AD47"/>
            </w:tcBorders>
          </w:tcPr>
          <w:p>
            <w:pPr>
              <w:spacing w:after="0"/>
              <w:rPr>
                <w:sz w:val="17"/>
                <w:szCs w:val="17"/>
                <w:color w:val="auto"/>
              </w:rPr>
            </w:pPr>
          </w:p>
        </w:tc>
        <w:tc>
          <w:tcPr>
            <w:tcW w:w="126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Lease liabilities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n/a</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Loans and borrowings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5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Trade payables and other payables</w:t>
            </w:r>
          </w:p>
        </w:tc>
        <w:tc>
          <w:tcPr>
            <w:tcW w:w="14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70AD47"/>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4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AC</w:t>
            </w:r>
          </w:p>
        </w:tc>
        <w:tc>
          <w:tcPr>
            <w:tcW w:w="13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40" w:right="240" w:hanging="234"/>
        <w:spacing w:after="0" w:line="225" w:lineRule="auto"/>
        <w:tabs>
          <w:tab w:leader="none" w:pos="252" w:val="left"/>
        </w:tabs>
        <w:numPr>
          <w:ilvl w:val="0"/>
          <w:numId w:val="19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Financial assets and liabilities categorized at amortized costs mainly correspond to fair value. We do not make a disclosure for cash and cash equivalents, trade receivables and trade payables. Fair values are disclosed because the book values represent a reasonable approximation of fair value.</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Equity investments designated at Fair Value through OCI</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Financial investments in equity securities measured at fair value through other comprehensive income comprise the following effects: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6720" w:type="dxa"/>
            <w:vAlign w:val="bottom"/>
            <w:tcBorders>
              <w:bottom w:val="single" w:sz="8" w:color="4EA72E"/>
              <w:right w:val="single" w:sz="8" w:color="4EA72E"/>
            </w:tcBorders>
          </w:tcPr>
          <w:p>
            <w:pPr>
              <w:ind w:left="20"/>
              <w:spacing w:after="0"/>
              <w:rPr>
                <w:sz w:val="20"/>
                <w:szCs w:val="20"/>
                <w:color w:val="auto"/>
              </w:rPr>
            </w:pPr>
            <w:r>
              <w:rPr>
                <w:rFonts w:ascii="Times New Roman" w:cs="Times New Roman" w:eastAsia="Times New Roman" w:hAnsi="Times New Roman"/>
                <w:sz w:val="16"/>
                <w:szCs w:val="16"/>
                <w:color w:val="auto"/>
              </w:rPr>
              <w:t>Net gain on equity instruments designated at fair value through other comprehensive income</w:t>
            </w:r>
          </w:p>
        </w:tc>
        <w:tc>
          <w:tcPr>
            <w:tcW w:w="1940" w:type="dxa"/>
            <w:vAlign w:val="bottom"/>
            <w:tcBorders>
              <w:bottom w:val="single" w:sz="8" w:color="4EA72E"/>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8"/>
        </w:trPr>
        <w:tc>
          <w:tcPr>
            <w:tcW w:w="6720" w:type="dxa"/>
            <w:vAlign w:val="bottom"/>
            <w:tcBorders>
              <w:bottom w:val="single" w:sz="8" w:color="70AD47"/>
              <w:right w:val="single" w:sz="8" w:color="4EA72E"/>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40" w:type="dxa"/>
            <w:vAlign w:val="bottom"/>
            <w:tcBorders>
              <w:bottom w:val="single" w:sz="8" w:color="70AD47"/>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Measurement of fair values</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shows the valuation techniques used in measuring fair values for financial instruments in our consolidated statements of financial position, as well as the significant unobservable inputs used.</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460" w:type="dxa"/>
            <w:vAlign w:val="bottom"/>
            <w:tcBorders>
              <w:top w:val="single" w:sz="8" w:color="70AD47"/>
              <w:left w:val="single" w:sz="8" w:color="70AD47"/>
              <w:bottom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3980" w:type="dxa"/>
            <w:vAlign w:val="bottom"/>
            <w:tcBorders>
              <w:top w:val="single" w:sz="8" w:color="70AD47"/>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4140" w:type="dxa"/>
            <w:vAlign w:val="bottom"/>
            <w:tcBorders>
              <w:top w:val="single" w:sz="8" w:color="70AD47"/>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2" w:name="page293"/>
    <w:bookmarkEnd w:id="29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720" w:type="dxa"/>
            <w:vAlign w:val="bottom"/>
            <w:tcBorders>
              <w:top w:val="single" w:sz="8" w:color="70AD47"/>
              <w:left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92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w w:val="97"/>
              </w:rPr>
              <w:t>Discounted cash flow using par method. Expected future cash</w:t>
            </w:r>
          </w:p>
        </w:tc>
        <w:tc>
          <w:tcPr>
            <w:tcW w:w="3940" w:type="dxa"/>
            <w:vAlign w:val="bottom"/>
            <w:tcBorders>
              <w:top w:val="single" w:sz="8" w:color="70AD47"/>
              <w:right w:val="single" w:sz="8" w:color="70AD47"/>
            </w:tcBorders>
          </w:tcPr>
          <w:p>
            <w:pPr>
              <w:ind w:left="1860"/>
              <w:spacing w:after="0"/>
              <w:rPr>
                <w:sz w:val="20"/>
                <w:szCs w:val="20"/>
                <w:color w:val="auto"/>
              </w:rPr>
            </w:pPr>
            <w:r>
              <w:rPr>
                <w:rFonts w:ascii="Times New Roman" w:cs="Times New Roman" w:eastAsia="Times New Roman" w:hAnsi="Times New Roman"/>
                <w:sz w:val="16"/>
                <w:szCs w:val="16"/>
                <w:color w:val="auto"/>
              </w:rPr>
              <w:t>n/a</w:t>
            </w:r>
          </w:p>
        </w:tc>
      </w:tr>
      <w:tr>
        <w:trPr>
          <w:trHeight w:val="168"/>
        </w:trPr>
        <w:tc>
          <w:tcPr>
            <w:tcW w:w="2720" w:type="dxa"/>
            <w:vAlign w:val="bottom"/>
            <w:tcBorders>
              <w:left w:val="single" w:sz="8" w:color="70AD47"/>
              <w:right w:val="single" w:sz="8" w:color="70AD47"/>
            </w:tcBorders>
          </w:tcPr>
          <w:p>
            <w:pPr>
              <w:spacing w:after="0"/>
              <w:rPr>
                <w:sz w:val="14"/>
                <w:szCs w:val="14"/>
                <w:color w:val="auto"/>
              </w:rPr>
            </w:pPr>
          </w:p>
        </w:tc>
        <w:tc>
          <w:tcPr>
            <w:tcW w:w="3920" w:type="dxa"/>
            <w:vAlign w:val="bottom"/>
            <w:tcBorders>
              <w:right w:val="single" w:sz="8" w:color="70AD47"/>
            </w:tcBorders>
          </w:tcPr>
          <w:p>
            <w:pPr>
              <w:spacing w:after="0" w:line="168" w:lineRule="exact"/>
              <w:rPr>
                <w:sz w:val="20"/>
                <w:szCs w:val="20"/>
                <w:color w:val="auto"/>
              </w:rPr>
            </w:pPr>
            <w:r>
              <w:rPr>
                <w:rFonts w:ascii="Times New Roman" w:cs="Times New Roman" w:eastAsia="Times New Roman" w:hAnsi="Times New Roman"/>
                <w:sz w:val="16"/>
                <w:szCs w:val="16"/>
                <w:color w:val="auto"/>
              </w:rPr>
              <w:t>flows based on foreign exchange forwards discounted over</w:t>
            </w:r>
          </w:p>
        </w:tc>
        <w:tc>
          <w:tcPr>
            <w:tcW w:w="3940" w:type="dxa"/>
            <w:vAlign w:val="bottom"/>
            <w:tcBorders>
              <w:right w:val="single" w:sz="8" w:color="70AD47"/>
            </w:tcBorders>
          </w:tcPr>
          <w:p>
            <w:pPr>
              <w:spacing w:after="0"/>
              <w:rPr>
                <w:sz w:val="14"/>
                <w:szCs w:val="14"/>
                <w:color w:val="auto"/>
              </w:rPr>
            </w:pPr>
          </w:p>
        </w:tc>
      </w:tr>
      <w:tr>
        <w:trPr>
          <w:trHeight w:val="168"/>
        </w:trPr>
        <w:tc>
          <w:tcPr>
            <w:tcW w:w="2720" w:type="dxa"/>
            <w:vAlign w:val="bottom"/>
            <w:tcBorders>
              <w:left w:val="single" w:sz="8" w:color="70AD47"/>
              <w:right w:val="single" w:sz="8" w:color="70AD47"/>
            </w:tcBorders>
          </w:tcPr>
          <w:p>
            <w:pPr>
              <w:spacing w:after="0"/>
              <w:rPr>
                <w:sz w:val="14"/>
                <w:szCs w:val="14"/>
                <w:color w:val="auto"/>
              </w:rPr>
            </w:pPr>
          </w:p>
        </w:tc>
        <w:tc>
          <w:tcPr>
            <w:tcW w:w="3920" w:type="dxa"/>
            <w:vAlign w:val="bottom"/>
            <w:tcBorders>
              <w:right w:val="single" w:sz="8" w:color="70AD47"/>
            </w:tcBorders>
          </w:tcPr>
          <w:p>
            <w:pPr>
              <w:spacing w:after="0" w:line="168" w:lineRule="exact"/>
              <w:rPr>
                <w:sz w:val="20"/>
                <w:szCs w:val="20"/>
                <w:color w:val="auto"/>
              </w:rPr>
            </w:pPr>
            <w:r>
              <w:rPr>
                <w:rFonts w:ascii="Times New Roman" w:cs="Times New Roman" w:eastAsia="Times New Roman" w:hAnsi="Times New Roman"/>
                <w:sz w:val="16"/>
                <w:szCs w:val="16"/>
                <w:color w:val="auto"/>
              </w:rPr>
              <w:t>the respective remaining term of the contracts using the</w:t>
            </w:r>
          </w:p>
        </w:tc>
        <w:tc>
          <w:tcPr>
            <w:tcW w:w="3940" w:type="dxa"/>
            <w:vAlign w:val="bottom"/>
            <w:tcBorders>
              <w:right w:val="single" w:sz="8" w:color="70AD47"/>
            </w:tcBorders>
          </w:tcPr>
          <w:p>
            <w:pPr>
              <w:spacing w:after="0"/>
              <w:rPr>
                <w:sz w:val="14"/>
                <w:szCs w:val="14"/>
                <w:color w:val="auto"/>
              </w:rPr>
            </w:pPr>
          </w:p>
        </w:tc>
      </w:tr>
      <w:tr>
        <w:trPr>
          <w:trHeight w:val="204"/>
        </w:trPr>
        <w:tc>
          <w:tcPr>
            <w:tcW w:w="2720" w:type="dxa"/>
            <w:vAlign w:val="bottom"/>
            <w:tcBorders>
              <w:left w:val="single" w:sz="8" w:color="70AD47"/>
              <w:bottom w:val="single" w:sz="8" w:color="70AD47"/>
              <w:right w:val="single" w:sz="8" w:color="70AD47"/>
            </w:tcBorders>
          </w:tcPr>
          <w:p>
            <w:pPr>
              <w:spacing w:after="0"/>
              <w:rPr>
                <w:sz w:val="17"/>
                <w:szCs w:val="17"/>
                <w:color w:val="auto"/>
              </w:rPr>
            </w:pPr>
          </w:p>
        </w:tc>
        <w:tc>
          <w:tcPr>
            <w:tcW w:w="39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respective deposit interest rates and spot rates.</w:t>
            </w:r>
          </w:p>
        </w:tc>
        <w:tc>
          <w:tcPr>
            <w:tcW w:w="3940" w:type="dxa"/>
            <w:vAlign w:val="bottom"/>
            <w:tcBorders>
              <w:bottom w:val="single" w:sz="8" w:color="70AD47"/>
              <w:right w:val="single" w:sz="8" w:color="70AD47"/>
            </w:tcBorders>
          </w:tcPr>
          <w:p>
            <w:pPr>
              <w:spacing w:after="0"/>
              <w:rPr>
                <w:sz w:val="17"/>
                <w:szCs w:val="17"/>
                <w:color w:val="auto"/>
              </w:rPr>
            </w:pPr>
          </w:p>
        </w:tc>
      </w:tr>
      <w:tr>
        <w:trPr>
          <w:trHeight w:val="172"/>
        </w:trPr>
        <w:tc>
          <w:tcPr>
            <w:tcW w:w="2720" w:type="dxa"/>
            <w:vAlign w:val="bottom"/>
            <w:tcBorders>
              <w:left w:val="single" w:sz="8" w:color="70AD47"/>
              <w:right w:val="single" w:sz="8" w:color="70AD47"/>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Non-listed equity investments</w:t>
            </w:r>
          </w:p>
        </w:tc>
        <w:tc>
          <w:tcPr>
            <w:tcW w:w="3920" w:type="dxa"/>
            <w:vAlign w:val="bottom"/>
            <w:tcBorders>
              <w:right w:val="single" w:sz="8" w:color="70AD47"/>
            </w:tcBorders>
          </w:tcPr>
          <w:p>
            <w:pPr>
              <w:spacing w:after="0" w:line="172" w:lineRule="exact"/>
              <w:rPr>
                <w:sz w:val="20"/>
                <w:szCs w:val="20"/>
                <w:color w:val="auto"/>
              </w:rPr>
            </w:pPr>
            <w:r>
              <w:rPr>
                <w:rFonts w:ascii="Times New Roman" w:cs="Times New Roman" w:eastAsia="Times New Roman" w:hAnsi="Times New Roman"/>
                <w:sz w:val="16"/>
                <w:szCs w:val="16"/>
                <w:color w:val="auto"/>
              </w:rPr>
              <w:t>Quantitative and qualitative factors such as actual and</w:t>
            </w:r>
          </w:p>
        </w:tc>
        <w:tc>
          <w:tcPr>
            <w:tcW w:w="3940" w:type="dxa"/>
            <w:vAlign w:val="bottom"/>
            <w:tcBorders>
              <w:right w:val="single" w:sz="8" w:color="70AD47"/>
            </w:tcBorders>
          </w:tcPr>
          <w:p>
            <w:pPr>
              <w:ind w:left="120"/>
              <w:spacing w:after="0" w:line="172" w:lineRule="exact"/>
              <w:rPr>
                <w:sz w:val="20"/>
                <w:szCs w:val="20"/>
                <w:color w:val="auto"/>
              </w:rPr>
            </w:pPr>
            <w:r>
              <w:rPr>
                <w:rFonts w:ascii="Times New Roman" w:cs="Times New Roman" w:eastAsia="Times New Roman" w:hAnsi="Times New Roman"/>
                <w:sz w:val="16"/>
                <w:szCs w:val="16"/>
                <w:color w:val="auto"/>
              </w:rPr>
              <w:t>– Actual and forecasted results</w:t>
            </w:r>
          </w:p>
        </w:tc>
      </w:tr>
      <w:tr>
        <w:trPr>
          <w:trHeight w:val="168"/>
        </w:trPr>
        <w:tc>
          <w:tcPr>
            <w:tcW w:w="2720" w:type="dxa"/>
            <w:vAlign w:val="bottom"/>
            <w:tcBorders>
              <w:left w:val="single" w:sz="8" w:color="70AD47"/>
              <w:right w:val="single" w:sz="8" w:color="70AD47"/>
            </w:tcBorders>
          </w:tcPr>
          <w:p>
            <w:pPr>
              <w:spacing w:after="0"/>
              <w:rPr>
                <w:sz w:val="14"/>
                <w:szCs w:val="14"/>
                <w:color w:val="auto"/>
              </w:rPr>
            </w:pPr>
          </w:p>
        </w:tc>
        <w:tc>
          <w:tcPr>
            <w:tcW w:w="3920" w:type="dxa"/>
            <w:vAlign w:val="bottom"/>
            <w:tcBorders>
              <w:right w:val="single" w:sz="8" w:color="70AD47"/>
            </w:tcBorders>
          </w:tcPr>
          <w:p>
            <w:pPr>
              <w:spacing w:after="0" w:line="168" w:lineRule="exact"/>
              <w:rPr>
                <w:sz w:val="20"/>
                <w:szCs w:val="20"/>
                <w:color w:val="auto"/>
              </w:rPr>
            </w:pPr>
            <w:r>
              <w:rPr>
                <w:rFonts w:ascii="Times New Roman" w:cs="Times New Roman" w:eastAsia="Times New Roman" w:hAnsi="Times New Roman"/>
                <w:sz w:val="16"/>
                <w:szCs w:val="16"/>
                <w:color w:val="auto"/>
              </w:rPr>
              <w:t>forecasted results, cash position and financing round</w:t>
            </w:r>
          </w:p>
        </w:tc>
        <w:tc>
          <w:tcPr>
            <w:tcW w:w="3940" w:type="dxa"/>
            <w:vAlign w:val="bottom"/>
            <w:tcBorders>
              <w:right w:val="single" w:sz="8" w:color="70AD47"/>
            </w:tcBorders>
          </w:tcPr>
          <w:p>
            <w:pPr>
              <w:ind w:left="120"/>
              <w:spacing w:after="0" w:line="168" w:lineRule="exact"/>
              <w:rPr>
                <w:sz w:val="20"/>
                <w:szCs w:val="20"/>
                <w:color w:val="auto"/>
              </w:rPr>
            </w:pPr>
            <w:r>
              <w:rPr>
                <w:rFonts w:ascii="Times New Roman" w:cs="Times New Roman" w:eastAsia="Times New Roman" w:hAnsi="Times New Roman"/>
                <w:sz w:val="16"/>
                <w:szCs w:val="16"/>
                <w:color w:val="auto"/>
              </w:rPr>
              <w:t>– Cash position</w:t>
            </w:r>
          </w:p>
        </w:tc>
      </w:tr>
      <w:tr>
        <w:trPr>
          <w:trHeight w:val="203"/>
        </w:trPr>
        <w:tc>
          <w:tcPr>
            <w:tcW w:w="2720" w:type="dxa"/>
            <w:vAlign w:val="bottom"/>
            <w:tcBorders>
              <w:left w:val="single" w:sz="8" w:color="70AD47"/>
              <w:right w:val="single" w:sz="8" w:color="70AD47"/>
            </w:tcBorders>
          </w:tcPr>
          <w:p>
            <w:pPr>
              <w:spacing w:after="0"/>
              <w:rPr>
                <w:sz w:val="17"/>
                <w:szCs w:val="17"/>
                <w:color w:val="auto"/>
              </w:rPr>
            </w:pPr>
          </w:p>
        </w:tc>
        <w:tc>
          <w:tcPr>
            <w:tcW w:w="39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valuations.</w:t>
            </w:r>
          </w:p>
        </w:tc>
        <w:tc>
          <w:tcPr>
            <w:tcW w:w="394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 Nature and pricing indication of latest financing round</w:t>
            </w:r>
          </w:p>
        </w:tc>
      </w:tr>
      <w:tr>
        <w:trPr>
          <w:trHeight w:val="230"/>
        </w:trPr>
        <w:tc>
          <w:tcPr>
            <w:tcW w:w="2720" w:type="dxa"/>
            <w:vAlign w:val="bottom"/>
            <w:tcBorders>
              <w:left w:val="single" w:sz="8" w:color="70AD47"/>
              <w:bottom w:val="single" w:sz="8" w:color="70AD47"/>
              <w:right w:val="single" w:sz="8" w:color="70AD47"/>
            </w:tcBorders>
          </w:tcPr>
          <w:p>
            <w:pPr>
              <w:spacing w:after="0"/>
              <w:rPr>
                <w:sz w:val="20"/>
                <w:szCs w:val="20"/>
                <w:color w:val="auto"/>
              </w:rPr>
            </w:pPr>
          </w:p>
        </w:tc>
        <w:tc>
          <w:tcPr>
            <w:tcW w:w="3920" w:type="dxa"/>
            <w:vAlign w:val="bottom"/>
            <w:tcBorders>
              <w:bottom w:val="single" w:sz="8" w:color="70AD47"/>
              <w:right w:val="single" w:sz="8" w:color="70AD47"/>
            </w:tcBorders>
          </w:tcPr>
          <w:p>
            <w:pPr>
              <w:spacing w:after="0"/>
              <w:rPr>
                <w:sz w:val="20"/>
                <w:szCs w:val="20"/>
                <w:color w:val="auto"/>
              </w:rPr>
            </w:pPr>
          </w:p>
        </w:tc>
        <w:tc>
          <w:tcPr>
            <w:tcW w:w="3940" w:type="dxa"/>
            <w:vAlign w:val="bottom"/>
            <w:tcBorders>
              <w:bottom w:val="single" w:sz="8" w:color="70AD47"/>
              <w:right w:val="single" w:sz="8" w:color="70AD47"/>
            </w:tcBorders>
          </w:tcPr>
          <w:p>
            <w:pPr>
              <w:spacing w:after="0"/>
              <w:rPr>
                <w:sz w:val="20"/>
                <w:szCs w:val="20"/>
                <w:color w:val="auto"/>
              </w:rPr>
            </w:pPr>
          </w:p>
        </w:tc>
      </w:tr>
      <w:tr>
        <w:trPr>
          <w:trHeight w:val="171"/>
        </w:trPr>
        <w:tc>
          <w:tcPr>
            <w:tcW w:w="2720" w:type="dxa"/>
            <w:vAlign w:val="bottom"/>
            <w:tcBorders>
              <w:left w:val="single" w:sz="8" w:color="70AD47"/>
              <w:right w:val="single" w:sz="8" w:color="70AD47"/>
            </w:tcBorders>
          </w:tcPr>
          <w:p>
            <w:pPr>
              <w:ind w:left="40"/>
              <w:spacing w:after="0" w:line="171" w:lineRule="exact"/>
              <w:rPr>
                <w:sz w:val="20"/>
                <w:szCs w:val="20"/>
                <w:color w:val="auto"/>
              </w:rPr>
            </w:pPr>
            <w:r>
              <w:rPr>
                <w:rFonts w:ascii="Times New Roman" w:cs="Times New Roman" w:eastAsia="Times New Roman" w:hAnsi="Times New Roman"/>
                <w:sz w:val="16"/>
                <w:szCs w:val="16"/>
                <w:color w:val="auto"/>
              </w:rPr>
              <w:t>Listed equity investments</w:t>
            </w:r>
          </w:p>
        </w:tc>
        <w:tc>
          <w:tcPr>
            <w:tcW w:w="3920" w:type="dxa"/>
            <w:vAlign w:val="bottom"/>
            <w:tcBorders>
              <w:right w:val="single" w:sz="8" w:color="70AD47"/>
            </w:tcBorders>
          </w:tcPr>
          <w:p>
            <w:pPr>
              <w:spacing w:after="0" w:line="171" w:lineRule="exact"/>
              <w:rPr>
                <w:sz w:val="20"/>
                <w:szCs w:val="20"/>
                <w:color w:val="auto"/>
              </w:rPr>
            </w:pPr>
            <w:r>
              <w:rPr>
                <w:rFonts w:ascii="Times New Roman" w:cs="Times New Roman" w:eastAsia="Times New Roman" w:hAnsi="Times New Roman"/>
                <w:sz w:val="16"/>
                <w:szCs w:val="16"/>
                <w:color w:val="auto"/>
                <w:w w:val="98"/>
              </w:rPr>
              <w:t>Stock prices of the listed companies and applicable exchange</w:t>
            </w:r>
          </w:p>
        </w:tc>
        <w:tc>
          <w:tcPr>
            <w:tcW w:w="3940" w:type="dxa"/>
            <w:vAlign w:val="bottom"/>
            <w:tcBorders>
              <w:right w:val="single" w:sz="8" w:color="70AD47"/>
            </w:tcBorders>
          </w:tcPr>
          <w:p>
            <w:pPr>
              <w:ind w:left="1860"/>
              <w:spacing w:after="0" w:line="171" w:lineRule="exact"/>
              <w:rPr>
                <w:sz w:val="20"/>
                <w:szCs w:val="20"/>
                <w:color w:val="auto"/>
              </w:rPr>
            </w:pPr>
            <w:r>
              <w:rPr>
                <w:rFonts w:ascii="Times New Roman" w:cs="Times New Roman" w:eastAsia="Times New Roman" w:hAnsi="Times New Roman"/>
                <w:sz w:val="16"/>
                <w:szCs w:val="16"/>
                <w:color w:val="auto"/>
              </w:rPr>
              <w:t>n/a</w:t>
            </w:r>
          </w:p>
        </w:tc>
      </w:tr>
      <w:tr>
        <w:trPr>
          <w:trHeight w:val="204"/>
        </w:trPr>
        <w:tc>
          <w:tcPr>
            <w:tcW w:w="2720" w:type="dxa"/>
            <w:vAlign w:val="bottom"/>
            <w:tcBorders>
              <w:left w:val="single" w:sz="8" w:color="70AD47"/>
              <w:bottom w:val="single" w:sz="8" w:color="70AD47"/>
              <w:right w:val="single" w:sz="8" w:color="70AD47"/>
            </w:tcBorders>
          </w:tcPr>
          <w:p>
            <w:pPr>
              <w:spacing w:after="0"/>
              <w:rPr>
                <w:sz w:val="17"/>
                <w:szCs w:val="17"/>
                <w:color w:val="auto"/>
              </w:rPr>
            </w:pPr>
          </w:p>
        </w:tc>
        <w:tc>
          <w:tcPr>
            <w:tcW w:w="39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rates, if the listing is in a foreign currency.</w:t>
            </w:r>
          </w:p>
        </w:tc>
        <w:tc>
          <w:tcPr>
            <w:tcW w:w="3940" w:type="dxa"/>
            <w:vAlign w:val="bottom"/>
            <w:tcBorders>
              <w:bottom w:val="single" w:sz="8" w:color="70AD47"/>
              <w:right w:val="single" w:sz="8" w:color="70AD47"/>
            </w:tcBorders>
          </w:tcPr>
          <w:p>
            <w:pPr>
              <w:spacing w:after="0"/>
              <w:rPr>
                <w:sz w:val="17"/>
                <w:szCs w:val="17"/>
                <w:color w:val="auto"/>
              </w:rPr>
            </w:pPr>
          </w:p>
        </w:tc>
      </w:tr>
      <w:tr>
        <w:trPr>
          <w:trHeight w:val="208"/>
        </w:trPr>
        <w:tc>
          <w:tcPr>
            <w:tcW w:w="2720" w:type="dxa"/>
            <w:vAlign w:val="bottom"/>
            <w:tcBorders>
              <w:left w:val="single" w:sz="8" w:color="70AD47"/>
              <w:bottom w:val="single" w:sz="8" w:color="70AD47"/>
              <w:right w:val="single" w:sz="8" w:color="70AD47"/>
            </w:tcBorders>
          </w:tcPr>
          <w:p>
            <w:pPr>
              <w:ind w:left="40"/>
              <w:spacing w:after="0"/>
              <w:rPr>
                <w:sz w:val="20"/>
                <w:szCs w:val="20"/>
                <w:color w:val="auto"/>
              </w:rPr>
            </w:pPr>
            <w:r>
              <w:rPr>
                <w:rFonts w:ascii="Times New Roman" w:cs="Times New Roman" w:eastAsia="Times New Roman" w:hAnsi="Times New Roman"/>
                <w:sz w:val="16"/>
                <w:szCs w:val="16"/>
                <w:color w:val="auto"/>
              </w:rPr>
              <w:t>Money market funds</w:t>
            </w:r>
          </w:p>
        </w:tc>
        <w:tc>
          <w:tcPr>
            <w:tcW w:w="39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Quoted prices on an active market</w:t>
            </w:r>
          </w:p>
        </w:tc>
        <w:tc>
          <w:tcPr>
            <w:tcW w:w="3940" w:type="dxa"/>
            <w:vAlign w:val="bottom"/>
            <w:tcBorders>
              <w:bottom w:val="single" w:sz="8" w:color="70AD47"/>
              <w:right w:val="single" w:sz="8" w:color="70AD47"/>
            </w:tcBorders>
          </w:tcPr>
          <w:p>
            <w:pPr>
              <w:ind w:left="1860"/>
              <w:spacing w:after="0"/>
              <w:rPr>
                <w:sz w:val="20"/>
                <w:szCs w:val="20"/>
                <w:color w:val="auto"/>
              </w:rPr>
            </w:pPr>
            <w:r>
              <w:rPr>
                <w:rFonts w:ascii="Times New Roman" w:cs="Times New Roman" w:eastAsia="Times New Roman" w:hAnsi="Times New Roman"/>
                <w:sz w:val="16"/>
                <w:szCs w:val="16"/>
                <w:color w:val="auto"/>
              </w:rPr>
              <w:t>n/a</w:t>
            </w:r>
          </w:p>
        </w:tc>
      </w:tr>
      <w:tr>
        <w:trPr>
          <w:trHeight w:val="172"/>
        </w:trPr>
        <w:tc>
          <w:tcPr>
            <w:tcW w:w="2720" w:type="dxa"/>
            <w:vAlign w:val="bottom"/>
            <w:tcBorders>
              <w:left w:val="single" w:sz="8" w:color="70AD47"/>
              <w:right w:val="single" w:sz="8" w:color="70AD47"/>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Contingent consideration</w:t>
            </w:r>
          </w:p>
        </w:tc>
        <w:tc>
          <w:tcPr>
            <w:tcW w:w="3920" w:type="dxa"/>
            <w:vAlign w:val="bottom"/>
            <w:tcBorders>
              <w:right w:val="single" w:sz="8" w:color="70AD47"/>
            </w:tcBorders>
          </w:tcPr>
          <w:p>
            <w:pPr>
              <w:spacing w:after="0" w:line="172" w:lineRule="exact"/>
              <w:rPr>
                <w:sz w:val="20"/>
                <w:szCs w:val="20"/>
                <w:color w:val="auto"/>
              </w:rPr>
            </w:pPr>
            <w:r>
              <w:rPr>
                <w:rFonts w:ascii="Times New Roman" w:cs="Times New Roman" w:eastAsia="Times New Roman" w:hAnsi="Times New Roman"/>
                <w:sz w:val="16"/>
                <w:szCs w:val="16"/>
                <w:color w:val="auto"/>
              </w:rPr>
              <w:t>Present value of expected future payments and reflecting</w:t>
            </w:r>
          </w:p>
        </w:tc>
        <w:tc>
          <w:tcPr>
            <w:tcW w:w="3940" w:type="dxa"/>
            <w:vAlign w:val="bottom"/>
            <w:tcBorders>
              <w:right w:val="single" w:sz="8" w:color="70AD47"/>
            </w:tcBorders>
          </w:tcPr>
          <w:p>
            <w:pPr>
              <w:ind w:left="120"/>
              <w:spacing w:after="0" w:line="172" w:lineRule="exact"/>
              <w:rPr>
                <w:sz w:val="20"/>
                <w:szCs w:val="20"/>
                <w:color w:val="auto"/>
              </w:rPr>
            </w:pPr>
            <w:r>
              <w:rPr>
                <w:rFonts w:ascii="Times New Roman" w:cs="Times New Roman" w:eastAsia="Times New Roman" w:hAnsi="Times New Roman"/>
                <w:sz w:val="16"/>
                <w:szCs w:val="16"/>
                <w:color w:val="auto"/>
              </w:rPr>
              <w:t>– Expected future payments</w:t>
            </w:r>
          </w:p>
        </w:tc>
      </w:tr>
      <w:tr>
        <w:trPr>
          <w:trHeight w:val="168"/>
        </w:trPr>
        <w:tc>
          <w:tcPr>
            <w:tcW w:w="2720" w:type="dxa"/>
            <w:vAlign w:val="bottom"/>
            <w:tcBorders>
              <w:left w:val="single" w:sz="8" w:color="70AD47"/>
              <w:right w:val="single" w:sz="8" w:color="70AD47"/>
            </w:tcBorders>
          </w:tcPr>
          <w:p>
            <w:pPr>
              <w:spacing w:after="0"/>
              <w:rPr>
                <w:sz w:val="14"/>
                <w:szCs w:val="14"/>
                <w:color w:val="auto"/>
              </w:rPr>
            </w:pPr>
          </w:p>
        </w:tc>
        <w:tc>
          <w:tcPr>
            <w:tcW w:w="3920" w:type="dxa"/>
            <w:vAlign w:val="bottom"/>
            <w:tcBorders>
              <w:right w:val="single" w:sz="8" w:color="70AD47"/>
            </w:tcBorders>
          </w:tcPr>
          <w:p>
            <w:pPr>
              <w:spacing w:after="0" w:line="168" w:lineRule="exact"/>
              <w:rPr>
                <w:sz w:val="20"/>
                <w:szCs w:val="20"/>
                <w:color w:val="auto"/>
              </w:rPr>
            </w:pPr>
            <w:r>
              <w:rPr>
                <w:rFonts w:ascii="Times New Roman" w:cs="Times New Roman" w:eastAsia="Times New Roman" w:hAnsi="Times New Roman"/>
                <w:sz w:val="16"/>
                <w:szCs w:val="16"/>
                <w:color w:val="auto"/>
                <w:w w:val="99"/>
              </w:rPr>
              <w:t>changes in expected achievement of underlying performance</w:t>
            </w:r>
          </w:p>
        </w:tc>
        <w:tc>
          <w:tcPr>
            <w:tcW w:w="3940" w:type="dxa"/>
            <w:vAlign w:val="bottom"/>
            <w:tcBorders>
              <w:right w:val="single" w:sz="8" w:color="70AD47"/>
            </w:tcBorders>
          </w:tcPr>
          <w:p>
            <w:pPr>
              <w:ind w:left="120"/>
              <w:spacing w:after="0" w:line="168" w:lineRule="exact"/>
              <w:rPr>
                <w:sz w:val="20"/>
                <w:szCs w:val="20"/>
                <w:color w:val="auto"/>
              </w:rPr>
            </w:pPr>
            <w:r>
              <w:rPr>
                <w:rFonts w:ascii="Times New Roman" w:cs="Times New Roman" w:eastAsia="Times New Roman" w:hAnsi="Times New Roman"/>
                <w:sz w:val="16"/>
                <w:szCs w:val="16"/>
                <w:color w:val="auto"/>
              </w:rPr>
              <w:t>– Applied cost of capital</w:t>
            </w:r>
          </w:p>
        </w:tc>
      </w:tr>
      <w:tr>
        <w:trPr>
          <w:trHeight w:val="204"/>
        </w:trPr>
        <w:tc>
          <w:tcPr>
            <w:tcW w:w="2720" w:type="dxa"/>
            <w:vAlign w:val="bottom"/>
            <w:tcBorders>
              <w:left w:val="single" w:sz="8" w:color="70AD47"/>
              <w:bottom w:val="single" w:sz="8" w:color="70AD47"/>
              <w:right w:val="single" w:sz="8" w:color="70AD47"/>
            </w:tcBorders>
          </w:tcPr>
          <w:p>
            <w:pPr>
              <w:spacing w:after="0"/>
              <w:rPr>
                <w:sz w:val="17"/>
                <w:szCs w:val="17"/>
                <w:color w:val="auto"/>
              </w:rPr>
            </w:pPr>
          </w:p>
        </w:tc>
        <w:tc>
          <w:tcPr>
            <w:tcW w:w="39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6"/>
                <w:szCs w:val="16"/>
                <w:color w:val="auto"/>
              </w:rPr>
              <w:t>parameters and compounding effects.</w:t>
            </w:r>
          </w:p>
        </w:tc>
        <w:tc>
          <w:tcPr>
            <w:tcW w:w="3940" w:type="dxa"/>
            <w:vAlign w:val="bottom"/>
            <w:tcBorders>
              <w:bottom w:val="single" w:sz="8" w:color="70AD47"/>
              <w:right w:val="single" w:sz="8" w:color="70AD47"/>
            </w:tcBorders>
          </w:tcPr>
          <w:p>
            <w:pPr>
              <w:spacing w:after="0"/>
              <w:rPr>
                <w:sz w:val="17"/>
                <w:szCs w:val="17"/>
                <w:color w:val="auto"/>
              </w:rPr>
            </w:pPr>
          </w:p>
        </w:tc>
      </w:tr>
    </w:tbl>
    <w:p>
      <w:pPr>
        <w:spacing w:after="0" w:line="24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12.3</w:t>
      </w:r>
      <w:r>
        <w:rPr>
          <w:sz w:val="20"/>
          <w:szCs w:val="20"/>
          <w:color w:val="auto"/>
        </w:rPr>
        <w:tab/>
      </w:r>
      <w:r>
        <w:rPr>
          <w:rFonts w:ascii="Times New Roman" w:cs="Times New Roman" w:eastAsia="Times New Roman" w:hAnsi="Times New Roman"/>
          <w:sz w:val="14"/>
          <w:szCs w:val="14"/>
          <w:b w:val="1"/>
          <w:bCs w:val="1"/>
          <w:color w:val="auto"/>
        </w:rPr>
        <w:t>Recurring Fair Values (Level 3)</w:t>
      </w:r>
    </w:p>
    <w:p>
      <w:pPr>
        <w:spacing w:after="0" w:line="8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shows the recurring fair value measurement of the contingent considerations and the effect of the measurements on our consolidated statements of profit or loss for the current period.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Borders>
              <w:bottom w:val="single" w:sz="8" w:color="70AD47"/>
              <w:right w:val="single" w:sz="8" w:color="4EA72E"/>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2120" w:type="dxa"/>
            <w:vAlign w:val="bottom"/>
            <w:tcBorders>
              <w:bottom w:val="single" w:sz="8" w:color="70AD47"/>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Contingent consideration</w:t>
            </w:r>
          </w:p>
        </w:tc>
      </w:tr>
      <w:tr>
        <w:trPr>
          <w:trHeight w:val="206"/>
        </w:trPr>
        <w:tc>
          <w:tcPr>
            <w:tcW w:w="8460" w:type="dxa"/>
            <w:vAlign w:val="bottom"/>
            <w:tcBorders>
              <w:right w:val="single" w:sz="8" w:color="4EA72E"/>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2120" w:type="dxa"/>
            <w:vAlign w:val="bottom"/>
            <w:tcBorders>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r>
      <w:tr>
        <w:trPr>
          <w:trHeight w:val="216"/>
        </w:trPr>
        <w:tc>
          <w:tcPr>
            <w:tcW w:w="8460" w:type="dxa"/>
            <w:vAlign w:val="bottom"/>
            <w:tcBorders>
              <w:right w:val="single" w:sz="8" w:color="4EA72E"/>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2023</w:t>
            </w:r>
          </w:p>
        </w:tc>
        <w:tc>
          <w:tcPr>
            <w:tcW w:w="2120" w:type="dxa"/>
            <w:vAlign w:val="bottom"/>
            <w:tcBorders>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r>
      <w:tr>
        <w:trPr>
          <w:trHeight w:val="216"/>
        </w:trPr>
        <w:tc>
          <w:tcPr>
            <w:tcW w:w="8460" w:type="dxa"/>
            <w:vAlign w:val="bottom"/>
            <w:tcBorders>
              <w:right w:val="single" w:sz="8" w:color="4EA72E"/>
            </w:tcBorders>
          </w:tcPr>
          <w:p>
            <w:pPr>
              <w:ind w:left="120"/>
              <w:spacing w:after="0"/>
              <w:rPr>
                <w:sz w:val="20"/>
                <w:szCs w:val="20"/>
                <w:color w:val="auto"/>
              </w:rPr>
            </w:pPr>
            <w:r>
              <w:rPr>
                <w:rFonts w:ascii="Times New Roman" w:cs="Times New Roman" w:eastAsia="Times New Roman" w:hAnsi="Times New Roman"/>
                <w:sz w:val="16"/>
                <w:szCs w:val="16"/>
                <w:color w:val="auto"/>
              </w:rPr>
              <w:t>Purchases</w:t>
            </w:r>
          </w:p>
        </w:tc>
        <w:tc>
          <w:tcPr>
            <w:tcW w:w="2120" w:type="dxa"/>
            <w:vAlign w:val="bottom"/>
            <w:tcBorders>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6"/>
        </w:trPr>
        <w:tc>
          <w:tcPr>
            <w:tcW w:w="8460" w:type="dxa"/>
            <w:vAlign w:val="bottom"/>
            <w:tcBorders>
              <w:right w:val="single" w:sz="8" w:color="4EA72E"/>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effect on profit or loss</w:t>
            </w:r>
          </w:p>
        </w:tc>
        <w:tc>
          <w:tcPr>
            <w:tcW w:w="2120" w:type="dxa"/>
            <w:vAlign w:val="bottom"/>
            <w:tcBorders>
              <w:right w:val="single" w:sz="8" w:color="4EA72E"/>
            </w:tcBorders>
            <w:shd w:val="clear" w:color="auto" w:fill="C6E0B4"/>
          </w:tcPr>
          <w:p>
            <w:pPr>
              <w:spacing w:after="0"/>
              <w:rPr>
                <w:sz w:val="18"/>
                <w:szCs w:val="18"/>
                <w:color w:val="auto"/>
              </w:rPr>
            </w:pPr>
          </w:p>
        </w:tc>
      </w:tr>
      <w:tr>
        <w:trPr>
          <w:trHeight w:val="217"/>
        </w:trPr>
        <w:tc>
          <w:tcPr>
            <w:tcW w:w="8460" w:type="dxa"/>
            <w:vAlign w:val="bottom"/>
            <w:tcBorders>
              <w:bottom w:val="single" w:sz="8" w:color="70AD47"/>
              <w:right w:val="single" w:sz="8" w:color="4EA72E"/>
            </w:tcBorders>
          </w:tcPr>
          <w:p>
            <w:pPr>
              <w:ind w:left="120"/>
              <w:spacing w:after="0"/>
              <w:rPr>
                <w:sz w:val="20"/>
                <w:szCs w:val="20"/>
                <w:color w:val="auto"/>
              </w:rPr>
            </w:pPr>
            <w:r>
              <w:rPr>
                <w:rFonts w:ascii="Times New Roman" w:cs="Times New Roman" w:eastAsia="Times New Roman" w:hAnsi="Times New Roman"/>
                <w:sz w:val="16"/>
                <w:szCs w:val="16"/>
                <w:color w:val="auto"/>
              </w:rPr>
              <w:t>Net change in fair value</w:t>
            </w:r>
          </w:p>
        </w:tc>
        <w:tc>
          <w:tcPr>
            <w:tcW w:w="2120" w:type="dxa"/>
            <w:vAlign w:val="bottom"/>
            <w:tcBorders>
              <w:bottom w:val="single" w:sz="8" w:color="70AD47"/>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8"/>
        </w:trPr>
        <w:tc>
          <w:tcPr>
            <w:tcW w:w="8460" w:type="dxa"/>
            <w:vAlign w:val="bottom"/>
            <w:tcBorders>
              <w:bottom w:val="single" w:sz="8" w:color="70AD47"/>
              <w:right w:val="single" w:sz="8" w:color="4EA72E"/>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120" w:type="dxa"/>
            <w:vAlign w:val="bottom"/>
            <w:tcBorders>
              <w:bottom w:val="single" w:sz="8" w:color="70AD47"/>
              <w:right w:val="single" w:sz="8" w:color="4EA72E"/>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r>
    </w:tbl>
    <w:p>
      <w:pPr>
        <w:spacing w:after="0" w:line="15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The sensitivity of the fair values of contingent considerations in fair value level 3 to the significant, unobservable, variable input factors, with all other factors remaining constant, is shown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Contingent consideration</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 in fair value with increasing</w:t>
            </w:r>
          </w:p>
        </w:tc>
        <w:tc>
          <w:tcPr>
            <w:tcW w:w="20" w:type="dxa"/>
            <w:vAlign w:val="bottom"/>
          </w:tcPr>
          <w:p>
            <w:pPr>
              <w:spacing w:after="0"/>
              <w:rPr>
                <w:sz w:val="9"/>
                <w:szCs w:val="9"/>
                <w:color w:val="auto"/>
              </w:rPr>
            </w:pP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 in fair value with decreasing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420" w:type="dxa"/>
            <w:vAlign w:val="bottom"/>
            <w:tcBorders>
              <w:right w:val="single" w:sz="8" w:color="70AD47"/>
            </w:tcBorders>
          </w:tcPr>
          <w:p>
            <w:pPr>
              <w:spacing w:after="0"/>
              <w:rPr>
                <w:sz w:val="15"/>
                <w:szCs w:val="15"/>
                <w:color w:val="auto"/>
              </w:rPr>
            </w:pPr>
          </w:p>
        </w:tc>
        <w:tc>
          <w:tcPr>
            <w:tcW w:w="1420" w:type="dxa"/>
            <w:vAlign w:val="bottom"/>
            <w:shd w:val="clear" w:color="auto" w:fill="C6E0B4"/>
          </w:tcPr>
          <w:p>
            <w:pPr>
              <w:spacing w:after="0"/>
              <w:rPr>
                <w:sz w:val="15"/>
                <w:szCs w:val="15"/>
                <w:color w:val="auto"/>
              </w:rPr>
            </w:pPr>
          </w:p>
        </w:tc>
        <w:tc>
          <w:tcPr>
            <w:tcW w:w="380" w:type="dxa"/>
            <w:vAlign w:val="bottom"/>
            <w:tcBorders>
              <w:right w:val="single" w:sz="8" w:color="70AD47"/>
            </w:tcBorders>
            <w:shd w:val="clear" w:color="auto" w:fill="C6E0B4"/>
          </w:tcPr>
          <w:p>
            <w:pPr>
              <w:spacing w:after="0"/>
              <w:rPr>
                <w:sz w:val="15"/>
                <w:szCs w:val="15"/>
                <w:color w:val="auto"/>
              </w:rPr>
            </w:pPr>
          </w:p>
        </w:tc>
        <w:tc>
          <w:tcPr>
            <w:tcW w:w="2640" w:type="dxa"/>
            <w:vAlign w:val="bottom"/>
            <w:vMerge w:val="continue"/>
          </w:tcPr>
          <w:p>
            <w:pPr>
              <w:spacing w:after="0"/>
              <w:rPr>
                <w:sz w:val="15"/>
                <w:szCs w:val="15"/>
                <w:color w:val="auto"/>
              </w:rPr>
            </w:pPr>
          </w:p>
        </w:tc>
        <w:tc>
          <w:tcPr>
            <w:tcW w:w="20" w:type="dxa"/>
            <w:vAlign w:val="bottom"/>
            <w:shd w:val="clear" w:color="auto" w:fill="70AD47"/>
          </w:tcPr>
          <w:p>
            <w:pPr>
              <w:spacing w:after="0"/>
              <w:rPr>
                <w:sz w:val="15"/>
                <w:szCs w:val="15"/>
                <w:color w:val="auto"/>
              </w:rPr>
            </w:pPr>
          </w:p>
        </w:tc>
        <w:tc>
          <w:tcPr>
            <w:tcW w:w="2680" w:type="dxa"/>
            <w:vAlign w:val="bottom"/>
            <w:vMerge w:val="continue"/>
          </w:tcPr>
          <w:p>
            <w:pPr>
              <w:spacing w:after="0"/>
              <w:rPr>
                <w:sz w:val="15"/>
                <w:szCs w:val="15"/>
                <w:color w:val="auto"/>
              </w:rPr>
            </w:pPr>
          </w:p>
        </w:tc>
        <w:tc>
          <w:tcPr>
            <w:tcW w:w="20" w:type="dxa"/>
            <w:vAlign w:val="bottom"/>
            <w:shd w:val="clear" w:color="auto" w:fill="70AD47"/>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Input factor</w:t>
            </w:r>
          </w:p>
        </w:tc>
        <w:tc>
          <w:tcPr>
            <w:tcW w:w="180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Change in assumptions</w:t>
            </w:r>
          </w:p>
        </w:tc>
        <w:tc>
          <w:tcPr>
            <w:tcW w:w="2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input factor (in millions €)</w:t>
            </w:r>
          </w:p>
        </w:tc>
        <w:tc>
          <w:tcPr>
            <w:tcW w:w="20" w:type="dxa"/>
            <w:vAlign w:val="bottom"/>
            <w:tcBorders>
              <w:bottom w:val="single" w:sz="8" w:color="70AD47"/>
            </w:tcBorders>
            <w:shd w:val="clear" w:color="auto" w:fill="70AD47"/>
          </w:tcPr>
          <w:p>
            <w:pPr>
              <w:spacing w:after="0"/>
              <w:rPr>
                <w:sz w:val="17"/>
                <w:szCs w:val="17"/>
                <w:color w:val="auto"/>
              </w:rPr>
            </w:pPr>
          </w:p>
        </w:tc>
        <w:tc>
          <w:tcPr>
            <w:tcW w:w="2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input factor (in millions €)</w:t>
            </w:r>
          </w:p>
        </w:tc>
        <w:tc>
          <w:tcPr>
            <w:tcW w:w="20" w:type="dxa"/>
            <w:vAlign w:val="bottom"/>
            <w:tcBorders>
              <w:bottom w:val="single" w:sz="8" w:color="70AD47"/>
            </w:tcBorders>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Cash flow projections</w:t>
            </w:r>
          </w:p>
        </w:tc>
        <w:tc>
          <w:tcPr>
            <w:tcW w:w="14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70AD47"/>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70AD47"/>
            </w:tcBorders>
            <w:shd w:val="clear" w:color="auto" w:fill="70AD47"/>
          </w:tcPr>
          <w:p>
            <w:pPr>
              <w:spacing w:after="0"/>
              <w:rPr>
                <w:sz w:val="18"/>
                <w:szCs w:val="18"/>
                <w:color w:val="auto"/>
              </w:rPr>
            </w:pPr>
          </w:p>
        </w:tc>
        <w:tc>
          <w:tcPr>
            <w:tcW w:w="2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70AD47"/>
            </w:tcBorders>
            <w:shd w:val="clear" w:color="auto" w:fill="70AD47"/>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estimated fair value of non-listed equity investments would, for example, increase (decrease) if price of latest financing round were to increase (decrease) and the overall company value were higher (lower).</w:t>
      </w:r>
    </w:p>
    <w:p>
      <w:pPr>
        <w:spacing w:after="0" w:line="15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12.4</w:t>
      </w:r>
      <w:r>
        <w:rPr>
          <w:sz w:val="20"/>
          <w:szCs w:val="20"/>
          <w:color w:val="auto"/>
        </w:rPr>
        <w:tab/>
      </w:r>
      <w:r>
        <w:rPr>
          <w:rFonts w:ascii="Times New Roman" w:cs="Times New Roman" w:eastAsia="Times New Roman" w:hAnsi="Times New Roman"/>
          <w:sz w:val="14"/>
          <w:szCs w:val="14"/>
          <w:b w:val="1"/>
          <w:bCs w:val="1"/>
          <w:color w:val="auto"/>
        </w:rPr>
        <w:t>Financial Instruments Risk Management Objectives and Policies</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Our financial liabilities mainly comprise obligations derived from license agreements, trade and other payables, lease liabilities, contingent consideration, loans and borrowings, hedging liabilities as well as other financial liabilities. The main purpose of these financial liabilities is to enable our operations. Our principal financial assets include mainly cash, security investments and trade receivables that derive directly from our operations.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exposed to market risk, credit risk and liquidity risk. Our Management Board oversees the management of these risks.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3" w:name="page294"/>
    <w:bookmarkEnd w:id="29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treasury committee provides assurance to our Management Board that our financial risk activities are governed by appropriate policies and procedures and that financial risks are identified, measured and managed in accordance with our policies and risk objectives. The Management Board reviews and agrees policies for managing each of these risks, which are summarized below.</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12.5</w:t>
      </w:r>
      <w:r>
        <w:rPr>
          <w:sz w:val="20"/>
          <w:szCs w:val="20"/>
          <w:color w:val="auto"/>
        </w:rPr>
        <w:tab/>
      </w:r>
      <w:r>
        <w:rPr>
          <w:rFonts w:ascii="Times New Roman" w:cs="Times New Roman" w:eastAsia="Times New Roman" w:hAnsi="Times New Roman"/>
          <w:sz w:val="14"/>
          <w:szCs w:val="14"/>
          <w:b w:val="1"/>
          <w:bCs w:val="1"/>
          <w:color w:val="auto"/>
        </w:rPr>
        <w:t>Market Risks</w:t>
      </w:r>
    </w:p>
    <w:p>
      <w:pPr>
        <w:spacing w:after="0" w:line="8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Market risks address the risks that the fair value or future cash flows of a financial instrument will fluctuate due to changes in market prices. Market risks comprise three types of risk: interest risks, foreign currency risks and other price risks. Financial instruments affected by market risks include financial assets such as security investments, trade and other receivables, cash and cash equivalents as well as financial liabilities such as trade payables and other financial liabilities. We do not consider interest risks as well as other price risks as material risks to us.</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There were no material changes in the way the risks were managed and valued during the years ended December 31, 2023, and 2022. Because of the significantly higher cash balance and security investments – the market risk exposure on counterparty risk increased compared to the previous period.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Foreign Currency Risks</w:t>
      </w:r>
    </w:p>
    <w:p>
      <w:pPr>
        <w:spacing w:after="0" w:line="94" w:lineRule="exact"/>
        <w:rPr>
          <w:sz w:val="20"/>
          <w:szCs w:val="20"/>
          <w:color w:val="auto"/>
        </w:rPr>
      </w:pPr>
    </w:p>
    <w:p>
      <w:pPr>
        <w:jc w:val="both"/>
        <w:ind w:firstLine="384"/>
        <w:spacing w:after="0" w:line="223" w:lineRule="auto"/>
        <w:rPr>
          <w:sz w:val="20"/>
          <w:szCs w:val="20"/>
          <w:color w:val="auto"/>
        </w:rPr>
      </w:pPr>
      <w:r>
        <w:rPr>
          <w:rFonts w:ascii="Times New Roman" w:cs="Times New Roman" w:eastAsia="Times New Roman" w:hAnsi="Times New Roman"/>
          <w:sz w:val="16"/>
          <w:szCs w:val="16"/>
          <w:color w:val="auto"/>
        </w:rPr>
        <w:t>Foreign currency risks address the risks that the fair value or future cash flows of an exposure will fluctuate because of changes in foreign exchange rates</w:t>
      </w:r>
      <w:r>
        <w:rPr>
          <w:rFonts w:ascii="Times New Roman" w:cs="Times New Roman" w:eastAsia="Times New Roman" w:hAnsi="Times New Roman"/>
          <w:sz w:val="16"/>
          <w:szCs w:val="16"/>
          <w:color w:val="231F20"/>
        </w:rPr>
        <w:t>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subject to currency risks, as our income and expenditures are denominated in Euro and the U.S. dollar. As such, we are exposed to exchange rate fluctuations between these currencies. Cash inflows denominated in U.S. dollar mainly result </w:t>
      </w:r>
      <w:r>
        <w:rPr>
          <w:rFonts w:ascii="Times New Roman" w:cs="Times New Roman" w:eastAsia="Times New Roman" w:hAnsi="Times New Roman"/>
          <w:sz w:val="16"/>
          <w:szCs w:val="16"/>
          <w:color w:val="000000"/>
        </w:rPr>
        <w:t>from generating proceeds under our collaboration agreements. Our commercial revenues are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primarily collaboration revenues from earnings based on our partners’ gross profit, which is shared under the respective collaboration agreements and represents payments we receive in U.S. dollar. Cash outflows dominated in U.S. dollar mainly result from amounts spent on research and development activities and license obligations as well as expanding our global footprint further. With the aim of preserving capital, surplus liquidity is mainly invested in domestic currency investments as exchange rate fluctuations can reduce the value of our financial positions. We limit the effects of the identified risks by means of a coordinated and </w:t>
      </w:r>
      <w:r>
        <w:rPr>
          <w:rFonts w:ascii="Times New Roman" w:cs="Times New Roman" w:eastAsia="Times New Roman" w:hAnsi="Times New Roman"/>
          <w:sz w:val="16"/>
          <w:szCs w:val="16"/>
          <w:color w:val="231F20"/>
        </w:rPr>
        <w:t>consistently</w:t>
      </w:r>
      <w:r>
        <w:rPr>
          <w:rFonts w:ascii="Times New Roman" w:cs="Times New Roman" w:eastAsia="Times New Roman" w:hAnsi="Times New Roman"/>
          <w:sz w:val="16"/>
          <w:szCs w:val="16"/>
          <w:color w:val="000000"/>
        </w:rPr>
        <w:t xml:space="preserve"> implemented risk strategy. Besides applying natural hedging relationships where possible, foreign exchange forward contracts are concluded, as a matter of principle, as instruments to </w:t>
      </w:r>
      <w:r>
        <w:rPr>
          <w:rFonts w:ascii="Times New Roman" w:cs="Times New Roman" w:eastAsia="Times New Roman" w:hAnsi="Times New Roman"/>
          <w:sz w:val="16"/>
          <w:szCs w:val="16"/>
          <w:color w:val="231F20"/>
        </w:rPr>
        <w:t>mitigate foreign currency exchange risk associated with foreign currency-denominated payments</w:t>
      </w:r>
      <w:r>
        <w:rPr>
          <w:rFonts w:ascii="Times New Roman" w:cs="Times New Roman" w:eastAsia="Times New Roman" w:hAnsi="Times New Roman"/>
          <w:sz w:val="16"/>
          <w:szCs w:val="16"/>
          <w:color w:val="000000"/>
        </w:rPr>
        <w:t>. However, the foreign exchange forward contracts which we entered into were not designated as hedging instruments under IFRS.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carrying amount of the monetary assets and liabilities denominated in U.S. dollar at the dates indicated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in U.S. dollar</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1,487.4</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Monetary assets in U.S. dollar</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7,098.5</w:t>
            </w:r>
          </w:p>
        </w:tc>
      </w:tr>
      <w:tr>
        <w:trPr>
          <w:trHeight w:val="217"/>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Monetary liabilities and provisions in U.S. dollar</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1,527.8</w:t>
            </w:r>
          </w:p>
        </w:tc>
      </w:tr>
      <w:tr>
        <w:trPr>
          <w:trHeight w:val="208"/>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747.2</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7,058.1</w:t>
            </w:r>
          </w:p>
        </w:tc>
      </w:tr>
    </w:tbl>
    <w:p>
      <w:pPr>
        <w:spacing w:after="0" w:line="251"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tables demonstrate the sensitivity to a reasonable, possible change in U.S. dollar exchange rates or U.S. dollar forward rates, with all other variables held constant. The impact on our profit before tax is due to changes in the fair value of monetary assets and liabilities. The exposure to foreign currency changes for all other currencies is not material.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4000" w:type="dxa"/>
            <w:vAlign w:val="bottom"/>
            <w:tcBorders>
              <w:right w:val="single" w:sz="8" w:color="70AD47"/>
            </w:tcBorders>
          </w:tcPr>
          <w:p>
            <w:pPr>
              <w:ind w:left="3540"/>
              <w:spacing w:after="0"/>
              <w:rPr>
                <w:sz w:val="20"/>
                <w:szCs w:val="20"/>
                <w:color w:val="auto"/>
              </w:rPr>
            </w:pPr>
            <w:r>
              <w:rPr>
                <w:rFonts w:ascii="Times New Roman" w:cs="Times New Roman" w:eastAsia="Times New Roman" w:hAnsi="Times New Roman"/>
                <w:sz w:val="16"/>
                <w:szCs w:val="16"/>
                <w:i w:val="1"/>
                <w:iCs w:val="1"/>
                <w:color w:val="auto"/>
              </w:rPr>
              <w:t>1 € =</w:t>
            </w:r>
          </w:p>
        </w:tc>
        <w:tc>
          <w:tcPr>
            <w:tcW w:w="1760" w:type="dxa"/>
            <w:vAlign w:val="bottom"/>
            <w:tcBorders>
              <w:bottom w:val="single" w:sz="8" w:color="70AD47"/>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Closing rate</w:t>
            </w:r>
          </w:p>
        </w:tc>
        <w:tc>
          <w:tcPr>
            <w:tcW w:w="640" w:type="dxa"/>
            <w:vAlign w:val="bottom"/>
            <w:tcBorders>
              <w:bottom w:val="single" w:sz="8" w:color="70AD47"/>
              <w:right w:val="single" w:sz="8" w:color="70AD47"/>
            </w:tcBorders>
          </w:tcPr>
          <w:p>
            <w:pPr>
              <w:spacing w:after="0"/>
              <w:rPr>
                <w:sz w:val="18"/>
                <w:szCs w:val="18"/>
                <w:color w:val="auto"/>
              </w:rPr>
            </w:pPr>
          </w:p>
        </w:tc>
        <w:tc>
          <w:tcPr>
            <w:tcW w:w="1780" w:type="dxa"/>
            <w:vAlign w:val="bottom"/>
            <w:tcBorders>
              <w:bottom w:val="single" w:sz="8" w:color="70AD47"/>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620" w:type="dxa"/>
            <w:vAlign w:val="bottom"/>
            <w:tcBorders>
              <w:bottom w:val="single" w:sz="8" w:color="70AD47"/>
              <w:right w:val="single" w:sz="8" w:color="70AD47"/>
            </w:tcBorders>
          </w:tcPr>
          <w:p>
            <w:pPr>
              <w:spacing w:after="0"/>
              <w:rPr>
                <w:sz w:val="18"/>
                <w:szCs w:val="18"/>
                <w:color w:val="auto"/>
              </w:rPr>
            </w:pPr>
          </w:p>
        </w:tc>
      </w:tr>
      <w:tr>
        <w:trPr>
          <w:trHeight w:val="207"/>
        </w:trPr>
        <w:tc>
          <w:tcPr>
            <w:tcW w:w="1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000" w:type="dxa"/>
            <w:vAlign w:val="bottom"/>
            <w:tcBorders>
              <w:bottom w:val="single" w:sz="8" w:color="70AD47"/>
              <w:right w:val="single" w:sz="8" w:color="70AD47"/>
            </w:tcBorders>
          </w:tcPr>
          <w:p>
            <w:pPr>
              <w:ind w:left="110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2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70AD47"/>
            </w:tcBorders>
          </w:tcPr>
          <w:p>
            <w:pPr>
              <w:spacing w:after="0"/>
              <w:rPr>
                <w:sz w:val="18"/>
                <w:szCs w:val="18"/>
                <w:color w:val="auto"/>
              </w:rPr>
            </w:pPr>
          </w:p>
        </w:tc>
        <w:tc>
          <w:tcPr>
            <w:tcW w:w="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70AD47"/>
            </w:tcBorders>
          </w:tcPr>
          <w:p>
            <w:pPr>
              <w:spacing w:after="0"/>
              <w:rPr>
                <w:sz w:val="18"/>
                <w:szCs w:val="18"/>
                <w:color w:val="auto"/>
              </w:rPr>
            </w:pP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1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4000" w:type="dxa"/>
            <w:vAlign w:val="bottom"/>
            <w:tcBorders>
              <w:bottom w:val="single" w:sz="8" w:color="70AD47"/>
              <w:right w:val="single" w:sz="8" w:color="70AD47"/>
            </w:tcBorders>
          </w:tcPr>
          <w:p>
            <w:pPr>
              <w:ind w:left="110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560" w:type="dxa"/>
            <w:vAlign w:val="bottom"/>
            <w:tcBorders>
              <w:bottom w:val="single" w:sz="8" w:color="70AD47"/>
            </w:tcBorders>
          </w:tcPr>
          <w:p>
            <w:pPr>
              <w:spacing w:after="0"/>
              <w:rPr>
                <w:sz w:val="18"/>
                <w:szCs w:val="18"/>
                <w:color w:val="auto"/>
              </w:rPr>
            </w:pPr>
          </w:p>
        </w:tc>
        <w:tc>
          <w:tcPr>
            <w:tcW w:w="6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12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580" w:type="dxa"/>
            <w:vAlign w:val="bottom"/>
            <w:tcBorders>
              <w:bottom w:val="single" w:sz="8" w:color="70AD47"/>
            </w:tcBorders>
          </w:tcPr>
          <w:p>
            <w:pPr>
              <w:spacing w:after="0"/>
              <w:rPr>
                <w:sz w:val="18"/>
                <w:szCs w:val="18"/>
                <w:color w:val="auto"/>
              </w:rPr>
            </w:pPr>
          </w:p>
        </w:tc>
        <w:tc>
          <w:tcPr>
            <w:tcW w:w="6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1.0530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4" w:name="page295"/>
    <w:bookmarkEnd w:id="29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66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Change in U.S. dollar</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Effect on profit / (loss)</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Effect on pre-tax equity</w:t>
            </w:r>
          </w:p>
        </w:tc>
        <w:tc>
          <w:tcPr>
            <w:tcW w:w="0" w:type="dxa"/>
            <w:vAlign w:val="bottom"/>
          </w:tcPr>
          <w:p>
            <w:pPr>
              <w:spacing w:after="0"/>
              <w:rPr>
                <w:sz w:val="1"/>
                <w:szCs w:val="1"/>
                <w:color w:val="auto"/>
              </w:rPr>
            </w:pPr>
          </w:p>
        </w:tc>
      </w:tr>
      <w:tr>
        <w:trPr>
          <w:trHeight w:val="132"/>
        </w:trPr>
        <w:tc>
          <w:tcPr>
            <w:tcW w:w="5700" w:type="dxa"/>
            <w:vAlign w:val="bottom"/>
            <w:tcBorders>
              <w:bottom w:val="single" w:sz="8" w:color="70AD47"/>
              <w:right w:val="single" w:sz="8" w:color="70AD47"/>
            </w:tcBorders>
          </w:tcPr>
          <w:p>
            <w:pPr>
              <w:spacing w:after="0"/>
              <w:rPr>
                <w:sz w:val="11"/>
                <w:szCs w:val="11"/>
                <w:color w:val="auto"/>
              </w:rPr>
            </w:pPr>
          </w:p>
        </w:tc>
        <w:tc>
          <w:tcPr>
            <w:tcW w:w="1660" w:type="dxa"/>
            <w:vAlign w:val="bottom"/>
            <w:tcBorders>
              <w:bottom w:val="single" w:sz="8" w:color="70AD47"/>
              <w:right w:val="single" w:sz="8" w:color="70AD47"/>
            </w:tcBorders>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rate</w:t>
            </w:r>
          </w:p>
        </w:tc>
        <w:tc>
          <w:tcPr>
            <w:tcW w:w="1600" w:type="dxa"/>
            <w:vAlign w:val="bottom"/>
            <w:tcBorders>
              <w:bottom w:val="single" w:sz="8" w:color="70AD47"/>
              <w:right w:val="single" w:sz="8" w:color="70AD47"/>
            </w:tcBorders>
          </w:tcPr>
          <w:p>
            <w:pPr>
              <w:jc w:val="right"/>
              <w:ind w:right="403"/>
              <w:spacing w:after="0" w:line="132"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620" w:type="dxa"/>
            <w:vAlign w:val="bottom"/>
            <w:tcBorders>
              <w:bottom w:val="single" w:sz="8" w:color="70AD47"/>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700" w:type="dxa"/>
            <w:vAlign w:val="bottom"/>
            <w:tcBorders>
              <w:right w:val="single" w:sz="8" w:color="70AD47"/>
            </w:tcBorders>
            <w:vMerge w:val="restart"/>
            <w:shd w:val="clear" w:color="auto" w:fill="C6E0B4"/>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60" w:type="dxa"/>
            <w:vAlign w:val="bottom"/>
            <w:tcBorders>
              <w:right w:val="single" w:sz="8" w:color="70AD47"/>
            </w:tcBorders>
            <w:shd w:val="clear" w:color="auto" w:fill="C6E0B4"/>
          </w:tcPr>
          <w:p>
            <w:pPr>
              <w:jc w:val="center"/>
              <w:spacing w:after="0"/>
              <w:rPr>
                <w:sz w:val="20"/>
                <w:szCs w:val="20"/>
                <w:color w:val="auto"/>
              </w:rPr>
            </w:pPr>
            <w:r>
              <w:rPr>
                <w:rFonts w:ascii="Times New Roman" w:cs="Times New Roman" w:eastAsia="Times New Roman" w:hAnsi="Times New Roman"/>
                <w:sz w:val="16"/>
                <w:szCs w:val="16"/>
                <w:color w:val="auto"/>
                <w:w w:val="98"/>
              </w:rPr>
              <w:t>+5 %</w:t>
            </w:r>
          </w:p>
        </w:tc>
        <w:tc>
          <w:tcPr>
            <w:tcW w:w="1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08"/>
        </w:trPr>
        <w:tc>
          <w:tcPr>
            <w:tcW w:w="5700" w:type="dxa"/>
            <w:vAlign w:val="bottom"/>
            <w:tcBorders>
              <w:right w:val="single" w:sz="8" w:color="70AD47"/>
            </w:tcBorders>
            <w:vMerge w:val="continue"/>
            <w:shd w:val="clear" w:color="auto" w:fill="C6E0B4"/>
          </w:tcPr>
          <w:p>
            <w:pPr>
              <w:spacing w:after="0"/>
              <w:rPr>
                <w:sz w:val="9"/>
                <w:szCs w:val="9"/>
                <w:color w:val="auto"/>
              </w:rPr>
            </w:pPr>
          </w:p>
        </w:tc>
        <w:tc>
          <w:tcPr>
            <w:tcW w:w="1660" w:type="dxa"/>
            <w:vAlign w:val="bottom"/>
            <w:tcBorders>
              <w:right w:val="single" w:sz="8" w:color="70AD47"/>
            </w:tcBorders>
            <w:vMerge w:val="restart"/>
            <w:shd w:val="clear" w:color="auto" w:fill="C6E0B4"/>
          </w:tcPr>
          <w:p>
            <w:pPr>
              <w:jc w:val="center"/>
              <w:spacing w:after="0"/>
              <w:rPr>
                <w:sz w:val="20"/>
                <w:szCs w:val="20"/>
                <w:color w:val="auto"/>
              </w:rPr>
            </w:pPr>
            <w:r>
              <w:rPr>
                <w:rFonts w:ascii="Times New Roman" w:cs="Times New Roman" w:eastAsia="Times New Roman" w:hAnsi="Times New Roman"/>
                <w:sz w:val="16"/>
                <w:szCs w:val="16"/>
                <w:color w:val="auto"/>
                <w:w w:val="97"/>
              </w:rPr>
              <w:t>-5 %</w:t>
            </w:r>
          </w:p>
        </w:tc>
        <w:tc>
          <w:tcPr>
            <w:tcW w:w="16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62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109"/>
        </w:trPr>
        <w:tc>
          <w:tcPr>
            <w:tcW w:w="5700" w:type="dxa"/>
            <w:vAlign w:val="bottom"/>
            <w:tcBorders>
              <w:bottom w:val="single" w:sz="8" w:color="70AD47"/>
              <w:right w:val="single" w:sz="8" w:color="70AD47"/>
            </w:tcBorders>
            <w:shd w:val="clear" w:color="auto" w:fill="C6E0B4"/>
          </w:tcPr>
          <w:p>
            <w:pPr>
              <w:spacing w:after="0"/>
              <w:rPr>
                <w:sz w:val="9"/>
                <w:szCs w:val="9"/>
                <w:color w:val="auto"/>
              </w:rPr>
            </w:pPr>
          </w:p>
        </w:tc>
        <w:tc>
          <w:tcPr>
            <w:tcW w:w="16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60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62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570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66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6"/>
                <w:szCs w:val="16"/>
                <w:color w:val="auto"/>
                <w:w w:val="98"/>
              </w:rPr>
              <w:t>+5 %</w:t>
            </w:r>
          </w:p>
        </w:tc>
        <w:tc>
          <w:tcPr>
            <w:tcW w:w="16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6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108"/>
        </w:trPr>
        <w:tc>
          <w:tcPr>
            <w:tcW w:w="5700" w:type="dxa"/>
            <w:vAlign w:val="bottom"/>
            <w:tcBorders>
              <w:right w:val="single" w:sz="8" w:color="70AD47"/>
            </w:tcBorders>
            <w:vMerge w:val="continue"/>
          </w:tcPr>
          <w:p>
            <w:pPr>
              <w:spacing w:after="0"/>
              <w:rPr>
                <w:sz w:val="9"/>
                <w:szCs w:val="9"/>
                <w:color w:val="auto"/>
              </w:rPr>
            </w:pPr>
          </w:p>
        </w:tc>
        <w:tc>
          <w:tcPr>
            <w:tcW w:w="1660" w:type="dxa"/>
            <w:vAlign w:val="bottom"/>
            <w:tcBorders>
              <w:right w:val="single" w:sz="8" w:color="70AD47"/>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-5 %</w:t>
            </w:r>
          </w:p>
        </w:tc>
        <w:tc>
          <w:tcPr>
            <w:tcW w:w="16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62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109"/>
        </w:trPr>
        <w:tc>
          <w:tcPr>
            <w:tcW w:w="5700" w:type="dxa"/>
            <w:vAlign w:val="bottom"/>
            <w:tcBorders>
              <w:bottom w:val="single" w:sz="8" w:color="70AD47"/>
              <w:right w:val="single" w:sz="8" w:color="70AD47"/>
            </w:tcBorders>
          </w:tcPr>
          <w:p>
            <w:pPr>
              <w:spacing w:after="0"/>
              <w:rPr>
                <w:sz w:val="9"/>
                <w:szCs w:val="9"/>
                <w:color w:val="auto"/>
              </w:rPr>
            </w:pPr>
          </w:p>
        </w:tc>
        <w:tc>
          <w:tcPr>
            <w:tcW w:w="1660" w:type="dxa"/>
            <w:vAlign w:val="bottom"/>
            <w:tcBorders>
              <w:bottom w:val="single" w:sz="8" w:color="70AD47"/>
              <w:right w:val="single" w:sz="8" w:color="70AD47"/>
            </w:tcBorders>
            <w:vMerge w:val="continue"/>
          </w:tcPr>
          <w:p>
            <w:pPr>
              <w:spacing w:after="0"/>
              <w:rPr>
                <w:sz w:val="9"/>
                <w:szCs w:val="9"/>
                <w:color w:val="auto"/>
              </w:rPr>
            </w:pPr>
          </w:p>
        </w:tc>
        <w:tc>
          <w:tcPr>
            <w:tcW w:w="1600" w:type="dxa"/>
            <w:vAlign w:val="bottom"/>
            <w:tcBorders>
              <w:bottom w:val="single" w:sz="8" w:color="70AD47"/>
              <w:right w:val="single" w:sz="8" w:color="70AD47"/>
            </w:tcBorders>
            <w:vMerge w:val="continue"/>
          </w:tcPr>
          <w:p>
            <w:pPr>
              <w:spacing w:after="0"/>
              <w:rPr>
                <w:sz w:val="9"/>
                <w:szCs w:val="9"/>
                <w:color w:val="auto"/>
              </w:rPr>
            </w:pPr>
          </w:p>
        </w:tc>
        <w:tc>
          <w:tcPr>
            <w:tcW w:w="1620" w:type="dxa"/>
            <w:vAlign w:val="bottom"/>
            <w:tcBorders>
              <w:bottom w:val="single" w:sz="8" w:color="70AD47"/>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12.6</w:t>
      </w:r>
      <w:r>
        <w:rPr>
          <w:sz w:val="20"/>
          <w:szCs w:val="20"/>
          <w:color w:val="auto"/>
        </w:rPr>
        <w:tab/>
      </w:r>
      <w:r>
        <w:rPr>
          <w:rFonts w:ascii="Times New Roman" w:cs="Times New Roman" w:eastAsia="Times New Roman" w:hAnsi="Times New Roman"/>
          <w:sz w:val="14"/>
          <w:szCs w:val="14"/>
          <w:b w:val="1"/>
          <w:bCs w:val="1"/>
          <w:color w:val="auto"/>
        </w:rPr>
        <w:t>Credit Risk Management</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Credit risks address the risks that a counterparty will not meet its obligations under a financial instrument or customer contract, leading to a financial loss. We are exposed to credit risks from our operating activities, including security investments, bank deposits, reverse repos, foreign exchange transactions, trade and other receivables and cash at banks. The maximum exposure to credit risk for the components of the consolidated statements of financial position as of December 31, 2023, and December 31, 2022, are the carrying amounts as illustrated in Note 12.1 and Note 12.2.</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Security Investments, Bank Deposits, Reverse Repos and Cash at banks</w:t>
      </w:r>
    </w:p>
    <w:p>
      <w:pPr>
        <w:spacing w:after="0" w:line="9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Our financial management is dedicated predominantly to the goal of capital preservation. Thus, all our financial activities are focused towards avoiding risks and, where they cannot be avoided, actively managing and minimizing them. Credit risks from balances with security investments, bank deposits, reverse repos and cash at banks are managed by our Treasury department in accordance with our investment and asset management policy.</w:t>
      </w:r>
    </w:p>
    <w:p>
      <w:pPr>
        <w:spacing w:after="0" w:line="164"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Our security investments are solely invested in the highest-quality liquid assets (e.g. core European sovereign, supranational and agency bonds) and bank deposits with a maturity of more than 3 months (held at selected banks, exclusively rated as investment grade). They do not bear any currency risks or material credit risks. The bank deposits are held at selected banks, exclusively rated as investment grade. We limit our investment engagements individually and track each credit risk continuously. For reverse repos, only investment-grade counterparties qualify as our business partners and even secured investments are solely collateralized by high-quality liquid assets.</w:t>
      </w:r>
    </w:p>
    <w:p>
      <w:pPr>
        <w:spacing w:after="0" w:line="169"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Accordingly, credit risks from these financial assets are limited. Before entering into new business relationships and during ongoing business relationships, we evaluate our business partners with regard to their individual default risk. Therefore, we do not presume an increased credit risk as of the balance sheet date and determine the impairment loss based on the upcoming twelve months.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calculated expected credit losses were not material as of December 31, 2023, and December 31, 2022.</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Trade and Other Receivables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 xml:space="preserve">Our exposure to credit risks of trade and other receivables is primarily related to transactions with corporate customers in the biopharma / biotech industry that operate in the United States or Germany, as well as </w:t>
      </w:r>
      <w:r>
        <w:rPr>
          <w:rFonts w:ascii="Times New Roman" w:cs="Times New Roman" w:eastAsia="Times New Roman" w:hAnsi="Times New Roman"/>
          <w:sz w:val="16"/>
          <w:szCs w:val="16"/>
          <w:color w:val="231F20"/>
        </w:rPr>
        <w:t>governments</w:t>
      </w:r>
      <w:r>
        <w:rPr>
          <w:rFonts w:ascii="Times New Roman" w:cs="Times New Roman" w:eastAsia="Times New Roman" w:hAnsi="Times New Roman"/>
          <w:sz w:val="16"/>
          <w:szCs w:val="16"/>
          <w:color w:val="auto"/>
        </w:rPr>
        <w:t xml:space="preserve"> which are customers, in connection with fulfilling our commercial obligations in our territories as defined in our contracts with customers. An analysis of the aging of receivables and the creditworthiness of customers is used to evaluate this risk at each reporting date. We follow risk control procedures to assess the credit quality of our customers taking into account their financial position, past experience and other factors.</w:t>
      </w:r>
    </w:p>
    <w:p>
      <w:pPr>
        <w:spacing w:after="0" w:line="167"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As of December 31, 2023, outstanding trade and other receivables were mainly due from our collaboration partner Pfizer. Besides well-established pharmaceutical companies and governmental institutions, our other customers – to a smaller extent – are medical universities, other public institutions and peers in the biopharma industry, which have good credit ratings. Due to this customer portfolio, the credit risk on trade and other receivables is generally very low. We have not incurred material bad debt expense and do not expect that this will change with respect to the trade and other receivables outstanding as of December 31, 2023.</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expected credit risk on trade and other receivables derived from applying thesimplified approach in calculating expected credit losses was not material as of December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5" w:name="page296"/>
    <w:bookmarkEnd w:id="29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12.7</w:t>
      </w:r>
      <w:r>
        <w:rPr>
          <w:sz w:val="20"/>
          <w:szCs w:val="20"/>
          <w:color w:val="auto"/>
        </w:rPr>
        <w:tab/>
      </w:r>
      <w:r>
        <w:rPr>
          <w:rFonts w:ascii="Times New Roman" w:cs="Times New Roman" w:eastAsia="Times New Roman" w:hAnsi="Times New Roman"/>
          <w:sz w:val="14"/>
          <w:szCs w:val="14"/>
          <w:b w:val="1"/>
          <w:bCs w:val="1"/>
          <w:color w:val="auto"/>
        </w:rPr>
        <w:t>Liquidity Risk</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We plan to invest heavily in R&amp;D as we make a strong drive to build out our global development organization and diversify our therapeutic area footprint. Additionally, we plan to enhance capabilities through complementary acquisitions, technologies, infrastructure and manufacturing. Our liquidity management ensures the availability of cash and cash equivalents, short term financial instruments for operational activities and further investments through appropriate budget planning. In addition, a sufficient level of cash and cash equivalents, which are managed centrally, is always maintained to finance the operational activities.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monitor liquidity risks using a liquidity planning tool.</w:t>
      </w:r>
    </w:p>
    <w:p>
      <w:pPr>
        <w:spacing w:after="0" w:line="188"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Ultimately, the responsibility for liquidity risk management lies with our Management Board, which has established an appropriate approach to managing short-, medium- and long-term financing and liquidity requirements. We manage liquidity risks by holding appropriate reserves based on our COVID-19 sales, as well as by monitoring forecasted and actual cash flows and reconciling the maturity profiles of financial assets and liabilities. Significant reserves currently exist and were generated during the Covid-19 pandemic.</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Risk Concentration</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Concentrations arise when the number of counterparties is small or when a larger number of counterparties is engaged in similar business activities, or activities in the same geographical region, or has economic features that would cause their ability to meet contractual obligations to be affected similarly by changes in economic, political or other conditions. Concentrations indicate the relative sensitivity of our performance to developments affecting a particular industry. We only have a limited number of customers mainly comprising pharmaceutical companies and governmental institutions.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maturity profile of our financial liabilities based on contractual undiscounted payments is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20" w:type="dxa"/>
            <w:vAlign w:val="bottom"/>
          </w:tcPr>
          <w:p>
            <w:pPr>
              <w:spacing w:after="0"/>
              <w:rPr>
                <w:sz w:val="15"/>
                <w:szCs w:val="15"/>
                <w:color w:val="auto"/>
              </w:rPr>
            </w:pPr>
          </w:p>
        </w:tc>
        <w:tc>
          <w:tcPr>
            <w:tcW w:w="40" w:type="dxa"/>
            <w:vAlign w:val="bottom"/>
            <w:tcBorders>
              <w:right w:val="single" w:sz="8" w:color="70AD47"/>
            </w:tcBorders>
          </w:tcPr>
          <w:p>
            <w:pPr>
              <w:spacing w:after="0"/>
              <w:rPr>
                <w:sz w:val="15"/>
                <w:szCs w:val="15"/>
                <w:color w:val="auto"/>
              </w:rPr>
            </w:pPr>
          </w:p>
        </w:tc>
        <w:tc>
          <w:tcPr>
            <w:tcW w:w="1380" w:type="dxa"/>
            <w:vAlign w:val="bottom"/>
            <w:vMerge w:val="restart"/>
            <w:shd w:val="clear" w:color="auto" w:fill="C5E0B4"/>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140" w:type="dxa"/>
            <w:vAlign w:val="bottom"/>
            <w:vMerge w:val="restart"/>
            <w:shd w:val="clear" w:color="auto" w:fill="C5E0B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040" w:type="dxa"/>
            <w:vAlign w:val="bottom"/>
            <w:tcBorders>
              <w:right w:val="single" w:sz="8" w:color="70AD47"/>
            </w:tcBorders>
            <w:shd w:val="clear" w:color="auto" w:fill="C5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126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1"/>
        </w:trPr>
        <w:tc>
          <w:tcPr>
            <w:tcW w:w="5760" w:type="dxa"/>
            <w:vAlign w:val="bottom"/>
            <w:tcBorders>
              <w:right w:val="single" w:sz="8" w:color="70AD47"/>
            </w:tcBorders>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380" w:type="dxa"/>
            <w:vAlign w:val="bottom"/>
            <w:vMerge w:val="continue"/>
            <w:shd w:val="clear" w:color="auto" w:fill="C5E0B4"/>
          </w:tcPr>
          <w:p>
            <w:pPr>
              <w:spacing w:after="0"/>
              <w:rPr>
                <w:sz w:val="10"/>
                <w:szCs w:val="10"/>
                <w:color w:val="auto"/>
              </w:rPr>
            </w:pPr>
          </w:p>
        </w:tc>
        <w:tc>
          <w:tcPr>
            <w:tcW w:w="1140" w:type="dxa"/>
            <w:vAlign w:val="bottom"/>
            <w:vMerge w:val="continue"/>
            <w:shd w:val="clear" w:color="auto" w:fill="C5E0B4"/>
          </w:tcPr>
          <w:p>
            <w:pPr>
              <w:spacing w:after="0"/>
              <w:rPr>
                <w:sz w:val="10"/>
                <w:szCs w:val="10"/>
                <w:color w:val="auto"/>
              </w:rPr>
            </w:pPr>
          </w:p>
        </w:tc>
        <w:tc>
          <w:tcPr>
            <w:tcW w:w="104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60" w:type="dxa"/>
            <w:vAlign w:val="bottom"/>
            <w:tcBorders>
              <w:right w:val="single" w:sz="8" w:color="70AD47"/>
            </w:tcBorders>
            <w:vMerge w:val="continue"/>
            <w:shd w:val="clear" w:color="auto" w:fill="C5E0B4"/>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760" w:type="dxa"/>
            <w:vAlign w:val="bottom"/>
            <w:tcBorders>
              <w:bottom w:val="single" w:sz="8" w:color="70AD47"/>
              <w:right w:val="single" w:sz="8" w:color="70AD47"/>
            </w:tcBorders>
            <w:gridSpan w:val="2"/>
            <w:vMerge w:val="continue"/>
          </w:tcPr>
          <w:p>
            <w:pPr>
              <w:spacing w:after="0"/>
              <w:rPr>
                <w:sz w:val="7"/>
                <w:szCs w:val="7"/>
                <w:color w:val="auto"/>
              </w:rPr>
            </w:pPr>
          </w:p>
        </w:tc>
        <w:tc>
          <w:tcPr>
            <w:tcW w:w="1380" w:type="dxa"/>
            <w:vAlign w:val="bottom"/>
            <w:tcBorders>
              <w:bottom w:val="single" w:sz="8" w:color="70AD47"/>
            </w:tcBorders>
            <w:shd w:val="clear" w:color="auto" w:fill="C5E0B4"/>
          </w:tcPr>
          <w:p>
            <w:pPr>
              <w:spacing w:after="0"/>
              <w:rPr>
                <w:sz w:val="7"/>
                <w:szCs w:val="7"/>
                <w:color w:val="auto"/>
              </w:rPr>
            </w:pPr>
          </w:p>
        </w:tc>
        <w:tc>
          <w:tcPr>
            <w:tcW w:w="1140" w:type="dxa"/>
            <w:vAlign w:val="bottom"/>
            <w:tcBorders>
              <w:bottom w:val="single" w:sz="8" w:color="70AD47"/>
            </w:tcBorders>
            <w:shd w:val="clear" w:color="auto" w:fill="C5E0B4"/>
          </w:tcPr>
          <w:p>
            <w:pPr>
              <w:spacing w:after="0"/>
              <w:rPr>
                <w:sz w:val="7"/>
                <w:szCs w:val="7"/>
                <w:color w:val="auto"/>
              </w:rPr>
            </w:pPr>
          </w:p>
        </w:tc>
        <w:tc>
          <w:tcPr>
            <w:tcW w:w="1040" w:type="dxa"/>
            <w:vAlign w:val="bottom"/>
            <w:tcBorders>
              <w:bottom w:val="single" w:sz="8" w:color="70AD47"/>
              <w:right w:val="single" w:sz="8" w:color="70AD47"/>
            </w:tcBorders>
            <w:vMerge w:val="continue"/>
            <w:shd w:val="clear" w:color="auto" w:fill="C5E0B4"/>
          </w:tcPr>
          <w:p>
            <w:pPr>
              <w:spacing w:after="0"/>
              <w:rPr>
                <w:sz w:val="7"/>
                <w:szCs w:val="7"/>
                <w:color w:val="auto"/>
              </w:rPr>
            </w:pPr>
          </w:p>
        </w:tc>
        <w:tc>
          <w:tcPr>
            <w:tcW w:w="1260" w:type="dxa"/>
            <w:vAlign w:val="bottom"/>
            <w:tcBorders>
              <w:bottom w:val="single" w:sz="8" w:color="70AD47"/>
              <w:right w:val="single" w:sz="8" w:color="70AD47"/>
            </w:tcBorders>
            <w:shd w:val="clear" w:color="auto" w:fill="C5E0B4"/>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76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1380" w:type="dxa"/>
            <w:vAlign w:val="bottom"/>
            <w:shd w:val="clear" w:color="auto" w:fill="C6E0B4"/>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2.3</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0" w:type="dxa"/>
            <w:vAlign w:val="bottom"/>
          </w:tcPr>
          <w:p>
            <w:pPr>
              <w:spacing w:after="0"/>
              <w:rPr>
                <w:sz w:val="1"/>
                <w:szCs w:val="1"/>
                <w:color w:val="auto"/>
              </w:rPr>
            </w:pPr>
          </w:p>
        </w:tc>
      </w:tr>
      <w:tr>
        <w:trPr>
          <w:trHeight w:val="216"/>
        </w:trPr>
        <w:tc>
          <w:tcPr>
            <w:tcW w:w="576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380" w:type="dxa"/>
            <w:vAlign w:val="bottom"/>
            <w:shd w:val="clear" w:color="auto" w:fill="C6E0B4"/>
          </w:tcPr>
          <w:p>
            <w:pPr>
              <w:jc w:val="right"/>
              <w:ind w:right="142"/>
              <w:spacing w:after="0"/>
              <w:rPr>
                <w:sz w:val="20"/>
                <w:szCs w:val="20"/>
                <w:color w:val="auto"/>
              </w:rPr>
            </w:pPr>
            <w:r>
              <w:rPr>
                <w:rFonts w:ascii="Times New Roman" w:cs="Times New Roman" w:eastAsia="Times New Roman" w:hAnsi="Times New Roman"/>
                <w:sz w:val="16"/>
                <w:szCs w:val="16"/>
                <w:color w:val="auto"/>
              </w:rPr>
              <w:t>354.0</w:t>
            </w:r>
          </w:p>
        </w:tc>
        <w:tc>
          <w:tcPr>
            <w:tcW w:w="1140" w:type="dxa"/>
            <w:vAlign w:val="bottom"/>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354.0</w:t>
            </w:r>
          </w:p>
        </w:tc>
        <w:tc>
          <w:tcPr>
            <w:tcW w:w="0" w:type="dxa"/>
            <w:vAlign w:val="bottom"/>
          </w:tcPr>
          <w:p>
            <w:pPr>
              <w:spacing w:after="0"/>
              <w:rPr>
                <w:sz w:val="1"/>
                <w:szCs w:val="1"/>
                <w:color w:val="auto"/>
              </w:rPr>
            </w:pPr>
          </w:p>
        </w:tc>
      </w:tr>
      <w:tr>
        <w:trPr>
          <w:trHeight w:val="216"/>
        </w:trPr>
        <w:tc>
          <w:tcPr>
            <w:tcW w:w="576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380" w:type="dxa"/>
            <w:vAlign w:val="bottom"/>
            <w:shd w:val="clear" w:color="auto" w:fill="C6E0B4"/>
          </w:tcPr>
          <w:p>
            <w:pPr>
              <w:jc w:val="right"/>
              <w:ind w:right="162"/>
              <w:spacing w:after="0"/>
              <w:rPr>
                <w:sz w:val="20"/>
                <w:szCs w:val="20"/>
                <w:color w:val="auto"/>
              </w:rPr>
            </w:pPr>
            <w:r>
              <w:rPr>
                <w:rFonts w:ascii="Times New Roman" w:cs="Times New Roman" w:eastAsia="Times New Roman" w:hAnsi="Times New Roman"/>
                <w:sz w:val="16"/>
                <w:szCs w:val="16"/>
                <w:color w:val="auto"/>
              </w:rPr>
              <w:t>34.1</w:t>
            </w:r>
          </w:p>
        </w:tc>
        <w:tc>
          <w:tcPr>
            <w:tcW w:w="1140" w:type="dxa"/>
            <w:vAlign w:val="bottom"/>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136.6</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244.4</w:t>
            </w:r>
          </w:p>
        </w:tc>
        <w:tc>
          <w:tcPr>
            <w:tcW w:w="0" w:type="dxa"/>
            <w:vAlign w:val="bottom"/>
          </w:tcPr>
          <w:p>
            <w:pPr>
              <w:spacing w:after="0"/>
              <w:rPr>
                <w:sz w:val="1"/>
                <w:szCs w:val="1"/>
                <w:color w:val="auto"/>
              </w:rPr>
            </w:pPr>
          </w:p>
        </w:tc>
      </w:tr>
      <w:tr>
        <w:trPr>
          <w:trHeight w:val="216"/>
        </w:trPr>
        <w:tc>
          <w:tcPr>
            <w:tcW w:w="576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380" w:type="dxa"/>
            <w:vAlign w:val="bottom"/>
            <w:shd w:val="clear" w:color="auto" w:fill="C6E0B4"/>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57.5</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57.8</w:t>
            </w:r>
          </w:p>
        </w:tc>
        <w:tc>
          <w:tcPr>
            <w:tcW w:w="0" w:type="dxa"/>
            <w:vAlign w:val="bottom"/>
          </w:tcPr>
          <w:p>
            <w:pPr>
              <w:spacing w:after="0"/>
              <w:rPr>
                <w:sz w:val="1"/>
                <w:szCs w:val="1"/>
                <w:color w:val="auto"/>
              </w:rPr>
            </w:pPr>
          </w:p>
        </w:tc>
      </w:tr>
      <w:tr>
        <w:trPr>
          <w:trHeight w:val="216"/>
        </w:trPr>
        <w:tc>
          <w:tcPr>
            <w:tcW w:w="576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380" w:type="dxa"/>
            <w:vAlign w:val="bottom"/>
            <w:shd w:val="clear" w:color="auto" w:fill="C6E0B4"/>
          </w:tcPr>
          <w:p>
            <w:pPr>
              <w:jc w:val="right"/>
              <w:ind w:right="142"/>
              <w:spacing w:after="0"/>
              <w:rPr>
                <w:sz w:val="20"/>
                <w:szCs w:val="20"/>
                <w:color w:val="auto"/>
              </w:rPr>
            </w:pPr>
            <w:r>
              <w:rPr>
                <w:rFonts w:ascii="Times New Roman" w:cs="Times New Roman" w:eastAsia="Times New Roman" w:hAnsi="Times New Roman"/>
                <w:sz w:val="16"/>
                <w:szCs w:val="16"/>
                <w:color w:val="auto"/>
              </w:rPr>
              <w:t>0.4</w:t>
            </w:r>
          </w:p>
        </w:tc>
        <w:tc>
          <w:tcPr>
            <w:tcW w:w="1140" w:type="dxa"/>
            <w:vAlign w:val="bottom"/>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0" w:type="dxa"/>
            <w:vAlign w:val="bottom"/>
          </w:tcPr>
          <w:p>
            <w:pPr>
              <w:spacing w:after="0"/>
              <w:rPr>
                <w:sz w:val="1"/>
                <w:szCs w:val="1"/>
                <w:color w:val="auto"/>
              </w:rPr>
            </w:pPr>
          </w:p>
        </w:tc>
      </w:tr>
      <w:tr>
        <w:trPr>
          <w:trHeight w:val="217"/>
        </w:trPr>
        <w:tc>
          <w:tcPr>
            <w:tcW w:w="576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380" w:type="dxa"/>
            <w:vAlign w:val="bottom"/>
            <w:tcBorders>
              <w:bottom w:val="single" w:sz="8" w:color="70AD47"/>
            </w:tcBorders>
            <w:shd w:val="clear" w:color="auto" w:fill="C6E0B4"/>
          </w:tcPr>
          <w:p>
            <w:pPr>
              <w:jc w:val="right"/>
              <w:ind w:right="142"/>
              <w:spacing w:after="0"/>
              <w:rPr>
                <w:sz w:val="20"/>
                <w:szCs w:val="20"/>
                <w:color w:val="auto"/>
              </w:rPr>
            </w:pPr>
            <w:r>
              <w:rPr>
                <w:rFonts w:ascii="Times New Roman" w:cs="Times New Roman" w:eastAsia="Times New Roman" w:hAnsi="Times New Roman"/>
                <w:sz w:val="16"/>
                <w:szCs w:val="16"/>
                <w:color w:val="auto"/>
              </w:rPr>
              <w:t>414.9</w:t>
            </w:r>
          </w:p>
        </w:tc>
        <w:tc>
          <w:tcPr>
            <w:tcW w:w="1140" w:type="dxa"/>
            <w:vAlign w:val="bottom"/>
            <w:tcBorders>
              <w:bottom w:val="single" w:sz="8" w:color="70AD47"/>
            </w:tcBorders>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414.9</w:t>
            </w:r>
          </w:p>
        </w:tc>
        <w:tc>
          <w:tcPr>
            <w:tcW w:w="0" w:type="dxa"/>
            <w:vAlign w:val="bottom"/>
          </w:tcPr>
          <w:p>
            <w:pPr>
              <w:spacing w:after="0"/>
              <w:rPr>
                <w:sz w:val="1"/>
                <w:szCs w:val="1"/>
                <w:color w:val="auto"/>
              </w:rPr>
            </w:pPr>
          </w:p>
        </w:tc>
      </w:tr>
      <w:tr>
        <w:trPr>
          <w:trHeight w:val="208"/>
        </w:trPr>
        <w:tc>
          <w:tcPr>
            <w:tcW w:w="576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tcBorders>
              <w:bottom w:val="single" w:sz="8" w:color="70AD47"/>
            </w:tcBorders>
            <w:shd w:val="clear" w:color="auto" w:fill="C6E0B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803.4</w:t>
            </w:r>
          </w:p>
        </w:tc>
        <w:tc>
          <w:tcPr>
            <w:tcW w:w="1140" w:type="dxa"/>
            <w:vAlign w:val="bottom"/>
            <w:tcBorders>
              <w:bottom w:val="single" w:sz="8" w:color="70AD47"/>
            </w:tcBorders>
            <w:shd w:val="clear" w:color="auto" w:fill="C6E0B4"/>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196.4</w:t>
            </w:r>
          </w:p>
        </w:tc>
        <w:tc>
          <w:tcPr>
            <w:tcW w:w="10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1,073.8</w:t>
            </w:r>
          </w:p>
        </w:tc>
        <w:tc>
          <w:tcPr>
            <w:tcW w:w="0" w:type="dxa"/>
            <w:vAlign w:val="bottom"/>
          </w:tcPr>
          <w:p>
            <w:pPr>
              <w:spacing w:after="0"/>
              <w:rPr>
                <w:sz w:val="1"/>
                <w:szCs w:val="1"/>
                <w:color w:val="auto"/>
              </w:rPr>
            </w:pPr>
          </w:p>
        </w:tc>
      </w:tr>
      <w:tr>
        <w:trPr>
          <w:trHeight w:val="495"/>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720" w:type="dxa"/>
            <w:vAlign w:val="bottom"/>
            <w:tcBorders>
              <w:right w:val="single" w:sz="8" w:color="70AD47"/>
            </w:tcBorders>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14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040" w:type="dxa"/>
            <w:vAlign w:val="bottom"/>
            <w:tcBorders>
              <w:right w:val="single" w:sz="8" w:color="70AD47"/>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12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1"/>
        </w:trPr>
        <w:tc>
          <w:tcPr>
            <w:tcW w:w="572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6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720" w:type="dxa"/>
            <w:vAlign w:val="bottom"/>
            <w:tcBorders>
              <w:bottom w:val="single" w:sz="8" w:color="70AD47"/>
              <w:right w:val="single" w:sz="8" w:color="70AD47"/>
            </w:tcBorders>
            <w:vMerge w:val="continue"/>
          </w:tcPr>
          <w:p>
            <w:pPr>
              <w:spacing w:after="0"/>
              <w:rPr>
                <w:sz w:val="7"/>
                <w:szCs w:val="7"/>
                <w:color w:val="auto"/>
              </w:rPr>
            </w:pPr>
          </w:p>
        </w:tc>
        <w:tc>
          <w:tcPr>
            <w:tcW w:w="40" w:type="dxa"/>
            <w:vAlign w:val="bottom"/>
            <w:tcBorders>
              <w:bottom w:val="single" w:sz="8" w:color="70AD47"/>
            </w:tcBorders>
          </w:tcPr>
          <w:p>
            <w:pPr>
              <w:spacing w:after="0"/>
              <w:rPr>
                <w:sz w:val="7"/>
                <w:szCs w:val="7"/>
                <w:color w:val="auto"/>
              </w:rPr>
            </w:pPr>
          </w:p>
        </w:tc>
        <w:tc>
          <w:tcPr>
            <w:tcW w:w="1380" w:type="dxa"/>
            <w:vAlign w:val="bottom"/>
            <w:tcBorders>
              <w:bottom w:val="single" w:sz="8" w:color="70AD47"/>
            </w:tcBorders>
          </w:tcPr>
          <w:p>
            <w:pPr>
              <w:spacing w:after="0"/>
              <w:rPr>
                <w:sz w:val="7"/>
                <w:szCs w:val="7"/>
                <w:color w:val="auto"/>
              </w:rPr>
            </w:pPr>
          </w:p>
        </w:tc>
        <w:tc>
          <w:tcPr>
            <w:tcW w:w="1140" w:type="dxa"/>
            <w:vAlign w:val="bottom"/>
            <w:tcBorders>
              <w:bottom w:val="single" w:sz="8" w:color="70AD47"/>
            </w:tcBorders>
          </w:tcPr>
          <w:p>
            <w:pPr>
              <w:spacing w:after="0"/>
              <w:rPr>
                <w:sz w:val="7"/>
                <w:szCs w:val="7"/>
                <w:color w:val="auto"/>
              </w:rPr>
            </w:pPr>
          </w:p>
        </w:tc>
        <w:tc>
          <w:tcPr>
            <w:tcW w:w="1040" w:type="dxa"/>
            <w:vAlign w:val="bottom"/>
            <w:tcBorders>
              <w:bottom w:val="single" w:sz="8" w:color="70AD47"/>
              <w:right w:val="single" w:sz="8" w:color="70AD47"/>
            </w:tcBorders>
            <w:vMerge w:val="continue"/>
          </w:tcPr>
          <w:p>
            <w:pPr>
              <w:spacing w:after="0"/>
              <w:rPr>
                <w:sz w:val="7"/>
                <w:szCs w:val="7"/>
                <w:color w:val="auto"/>
              </w:rPr>
            </w:pPr>
          </w:p>
        </w:tc>
        <w:tc>
          <w:tcPr>
            <w:tcW w:w="126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7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40" w:type="dxa"/>
            <w:vAlign w:val="bottom"/>
          </w:tcPr>
          <w:p>
            <w:pPr>
              <w:spacing w:after="0"/>
              <w:rPr>
                <w:sz w:val="18"/>
                <w:szCs w:val="18"/>
                <w:color w:val="auto"/>
              </w:rPr>
            </w:pPr>
          </w:p>
        </w:tc>
        <w:tc>
          <w:tcPr>
            <w:tcW w:w="1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216"/>
        </w:trPr>
        <w:tc>
          <w:tcPr>
            <w:tcW w:w="57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40" w:type="dxa"/>
            <w:vAlign w:val="bottom"/>
          </w:tcPr>
          <w:p>
            <w:pPr>
              <w:spacing w:after="0"/>
              <w:rPr>
                <w:sz w:val="18"/>
                <w:szCs w:val="18"/>
                <w:color w:val="auto"/>
              </w:rPr>
            </w:pPr>
          </w:p>
        </w:tc>
        <w:tc>
          <w:tcPr>
            <w:tcW w:w="1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204.1</w:t>
            </w: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204.1</w:t>
            </w:r>
          </w:p>
        </w:tc>
        <w:tc>
          <w:tcPr>
            <w:tcW w:w="0" w:type="dxa"/>
            <w:vAlign w:val="bottom"/>
          </w:tcPr>
          <w:p>
            <w:pPr>
              <w:spacing w:after="0"/>
              <w:rPr>
                <w:sz w:val="1"/>
                <w:szCs w:val="1"/>
                <w:color w:val="auto"/>
              </w:rPr>
            </w:pPr>
          </w:p>
        </w:tc>
      </w:tr>
      <w:tr>
        <w:trPr>
          <w:trHeight w:val="216"/>
        </w:trPr>
        <w:tc>
          <w:tcPr>
            <w:tcW w:w="57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0" w:type="dxa"/>
            <w:vAlign w:val="bottom"/>
          </w:tcPr>
          <w:p>
            <w:pPr>
              <w:spacing w:after="0"/>
              <w:rPr>
                <w:sz w:val="18"/>
                <w:szCs w:val="18"/>
                <w:color w:val="auto"/>
              </w:rPr>
            </w:pPr>
          </w:p>
        </w:tc>
        <w:tc>
          <w:tcPr>
            <w:tcW w:w="13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40.5</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112.9</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232.5</w:t>
            </w:r>
          </w:p>
        </w:tc>
        <w:tc>
          <w:tcPr>
            <w:tcW w:w="0" w:type="dxa"/>
            <w:vAlign w:val="bottom"/>
          </w:tcPr>
          <w:p>
            <w:pPr>
              <w:spacing w:after="0"/>
              <w:rPr>
                <w:sz w:val="1"/>
                <w:szCs w:val="1"/>
                <w:color w:val="auto"/>
              </w:rPr>
            </w:pPr>
          </w:p>
        </w:tc>
      </w:tr>
      <w:tr>
        <w:trPr>
          <w:trHeight w:val="216"/>
        </w:trPr>
        <w:tc>
          <w:tcPr>
            <w:tcW w:w="57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40" w:type="dxa"/>
            <w:vAlign w:val="bottom"/>
          </w:tcPr>
          <w:p>
            <w:pPr>
              <w:spacing w:after="0"/>
              <w:rPr>
                <w:sz w:val="18"/>
                <w:szCs w:val="18"/>
                <w:color w:val="auto"/>
              </w:rPr>
            </w:pPr>
          </w:p>
        </w:tc>
        <w:tc>
          <w:tcPr>
            <w:tcW w:w="1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40" w:type="dxa"/>
            <w:vAlign w:val="bottom"/>
            <w:tcBorders>
              <w:bottom w:val="single" w:sz="8" w:color="70AD47"/>
            </w:tcBorders>
          </w:tcPr>
          <w:p>
            <w:pPr>
              <w:spacing w:after="0"/>
              <w:rPr>
                <w:sz w:val="18"/>
                <w:szCs w:val="18"/>
                <w:color w:val="auto"/>
              </w:rPr>
            </w:pPr>
          </w:p>
        </w:tc>
        <w:tc>
          <w:tcPr>
            <w:tcW w:w="1380" w:type="dxa"/>
            <w:vAlign w:val="bottom"/>
            <w:tcBorders>
              <w:bottom w:val="single" w:sz="8" w:color="70AD47"/>
            </w:tcBorders>
          </w:tcPr>
          <w:p>
            <w:pPr>
              <w:jc w:val="right"/>
              <w:ind w:right="122"/>
              <w:spacing w:after="0"/>
              <w:rPr>
                <w:sz w:val="20"/>
                <w:szCs w:val="20"/>
                <w:color w:val="auto"/>
              </w:rPr>
            </w:pPr>
            <w:r>
              <w:rPr>
                <w:rFonts w:ascii="Times New Roman" w:cs="Times New Roman" w:eastAsia="Times New Roman" w:hAnsi="Times New Roman"/>
                <w:sz w:val="16"/>
                <w:szCs w:val="16"/>
                <w:color w:val="auto"/>
              </w:rPr>
              <w:t>785.1</w:t>
            </w:r>
          </w:p>
        </w:tc>
        <w:tc>
          <w:tcPr>
            <w:tcW w:w="1140" w:type="dxa"/>
            <w:vAlign w:val="bottom"/>
            <w:tcBorders>
              <w:bottom w:val="single" w:sz="8" w:color="70AD47"/>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785.1</w:t>
            </w:r>
          </w:p>
        </w:tc>
        <w:tc>
          <w:tcPr>
            <w:tcW w:w="0" w:type="dxa"/>
            <w:vAlign w:val="bottom"/>
          </w:tcPr>
          <w:p>
            <w:pPr>
              <w:spacing w:after="0"/>
              <w:rPr>
                <w:sz w:val="1"/>
                <w:szCs w:val="1"/>
                <w:color w:val="auto"/>
              </w:rPr>
            </w:pPr>
          </w:p>
        </w:tc>
      </w:tr>
      <w:tr>
        <w:trPr>
          <w:trHeight w:val="208"/>
        </w:trPr>
        <w:tc>
          <w:tcPr>
            <w:tcW w:w="57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Borders>
              <w:bottom w:val="single" w:sz="8" w:color="70AD47"/>
            </w:tcBorders>
          </w:tcPr>
          <w:p>
            <w:pPr>
              <w:spacing w:after="0"/>
              <w:rPr>
                <w:sz w:val="18"/>
                <w:szCs w:val="18"/>
                <w:color w:val="auto"/>
              </w:rPr>
            </w:pPr>
          </w:p>
        </w:tc>
        <w:tc>
          <w:tcPr>
            <w:tcW w:w="1380" w:type="dxa"/>
            <w:vAlign w:val="bottom"/>
            <w:tcBorders>
              <w:bottom w:val="single" w:sz="8" w:color="70AD47"/>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1,029.7</w:t>
            </w:r>
          </w:p>
        </w:tc>
        <w:tc>
          <w:tcPr>
            <w:tcW w:w="1140" w:type="dxa"/>
            <w:vAlign w:val="bottom"/>
            <w:tcBorders>
              <w:bottom w:val="single" w:sz="8" w:color="70AD47"/>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115.0</w:t>
            </w:r>
          </w:p>
        </w:tc>
        <w:tc>
          <w:tcPr>
            <w:tcW w:w="10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6" w:name="page297"/>
    <w:bookmarkEnd w:id="29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12.8  Changes in Liabilities Arising from Financing Activities</w:t>
            </w: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16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2023</w:t>
            </w:r>
          </w:p>
        </w:tc>
        <w:tc>
          <w:tcPr>
            <w:tcW w:w="1240" w:type="dxa"/>
            <w:vAlign w:val="bottom"/>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460" w:type="dxa"/>
            <w:vAlign w:val="bottom"/>
            <w:shd w:val="clear" w:color="auto" w:fill="C5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New leases and</w:t>
            </w:r>
          </w:p>
        </w:tc>
        <w:tc>
          <w:tcPr>
            <w:tcW w:w="1860" w:type="dxa"/>
            <w:vAlign w:val="bottom"/>
            <w:vMerge w:val="restart"/>
            <w:shd w:val="clear" w:color="auto" w:fill="C5E0B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96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8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21"/>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400" w:type="dxa"/>
            <w:vAlign w:val="bottom"/>
            <w:tcBorders>
              <w:right w:val="single" w:sz="8" w:color="70AD47"/>
            </w:tcBorders>
            <w:vMerge w:val="continue"/>
            <w:shd w:val="clear" w:color="auto" w:fill="C5E0B4"/>
          </w:tcPr>
          <w:p>
            <w:pPr>
              <w:spacing w:after="0"/>
              <w:rPr>
                <w:sz w:val="10"/>
                <w:szCs w:val="10"/>
                <w:color w:val="auto"/>
              </w:rPr>
            </w:pPr>
          </w:p>
        </w:tc>
        <w:tc>
          <w:tcPr>
            <w:tcW w:w="1240" w:type="dxa"/>
            <w:vAlign w:val="bottom"/>
            <w:vMerge w:val="continue"/>
            <w:shd w:val="clear" w:color="auto" w:fill="C5E0B4"/>
          </w:tcPr>
          <w:p>
            <w:pPr>
              <w:spacing w:after="0"/>
              <w:rPr>
                <w:sz w:val="10"/>
                <w:szCs w:val="10"/>
                <w:color w:val="auto"/>
              </w:rPr>
            </w:pPr>
          </w:p>
        </w:tc>
        <w:tc>
          <w:tcPr>
            <w:tcW w:w="1460" w:type="dxa"/>
            <w:vAlign w:val="bottom"/>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disposals</w:t>
            </w:r>
          </w:p>
        </w:tc>
        <w:tc>
          <w:tcPr>
            <w:tcW w:w="1860" w:type="dxa"/>
            <w:vAlign w:val="bottom"/>
            <w:vMerge w:val="continue"/>
            <w:shd w:val="clear" w:color="auto" w:fill="C5E0B4"/>
          </w:tcPr>
          <w:p>
            <w:pPr>
              <w:spacing w:after="0"/>
              <w:rPr>
                <w:sz w:val="10"/>
                <w:szCs w:val="10"/>
                <w:color w:val="auto"/>
              </w:rPr>
            </w:pPr>
          </w:p>
        </w:tc>
        <w:tc>
          <w:tcPr>
            <w:tcW w:w="960" w:type="dxa"/>
            <w:vAlign w:val="bottom"/>
            <w:tcBorders>
              <w:right w:val="single" w:sz="8" w:color="70AD47"/>
            </w:tcBorders>
            <w:vMerge w:val="continue"/>
            <w:shd w:val="clear" w:color="auto" w:fill="C5E0B4"/>
          </w:tcPr>
          <w:p>
            <w:pPr>
              <w:spacing w:after="0"/>
              <w:rPr>
                <w:sz w:val="10"/>
                <w:szCs w:val="10"/>
                <w:color w:val="auto"/>
              </w:rPr>
            </w:pPr>
          </w:p>
        </w:tc>
        <w:tc>
          <w:tcPr>
            <w:tcW w:w="1480" w:type="dxa"/>
            <w:vAlign w:val="bottom"/>
            <w:tcBorders>
              <w:right w:val="single" w:sz="8" w:color="70AD47"/>
            </w:tcBorders>
            <w:vMerge w:val="continue"/>
            <w:shd w:val="clear" w:color="auto" w:fill="C5E0B4"/>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160" w:type="dxa"/>
            <w:vAlign w:val="bottom"/>
            <w:tcBorders>
              <w:bottom w:val="single" w:sz="8" w:color="70AD47"/>
              <w:right w:val="single" w:sz="8" w:color="70AD47"/>
            </w:tcBorders>
            <w:vMerge w:val="continue"/>
          </w:tcPr>
          <w:p>
            <w:pPr>
              <w:spacing w:after="0"/>
              <w:rPr>
                <w:sz w:val="7"/>
                <w:szCs w:val="7"/>
                <w:color w:val="auto"/>
              </w:rPr>
            </w:pPr>
          </w:p>
        </w:tc>
        <w:tc>
          <w:tcPr>
            <w:tcW w:w="1400" w:type="dxa"/>
            <w:vAlign w:val="bottom"/>
            <w:tcBorders>
              <w:bottom w:val="single" w:sz="8" w:color="70AD47"/>
              <w:right w:val="single" w:sz="8" w:color="70AD47"/>
            </w:tcBorders>
            <w:shd w:val="clear" w:color="auto" w:fill="C5E0B4"/>
          </w:tcPr>
          <w:p>
            <w:pPr>
              <w:spacing w:after="0"/>
              <w:rPr>
                <w:sz w:val="7"/>
                <w:szCs w:val="7"/>
                <w:color w:val="auto"/>
              </w:rPr>
            </w:pPr>
          </w:p>
        </w:tc>
        <w:tc>
          <w:tcPr>
            <w:tcW w:w="1240" w:type="dxa"/>
            <w:vAlign w:val="bottom"/>
            <w:tcBorders>
              <w:bottom w:val="single" w:sz="8" w:color="70AD47"/>
            </w:tcBorders>
            <w:shd w:val="clear" w:color="auto" w:fill="C5E0B4"/>
          </w:tcPr>
          <w:p>
            <w:pPr>
              <w:spacing w:after="0"/>
              <w:rPr>
                <w:sz w:val="7"/>
                <w:szCs w:val="7"/>
                <w:color w:val="auto"/>
              </w:rPr>
            </w:pPr>
          </w:p>
        </w:tc>
        <w:tc>
          <w:tcPr>
            <w:tcW w:w="1460" w:type="dxa"/>
            <w:vAlign w:val="bottom"/>
            <w:tcBorders>
              <w:bottom w:val="single" w:sz="8" w:color="70AD47"/>
            </w:tcBorders>
            <w:vMerge w:val="continue"/>
            <w:shd w:val="clear" w:color="auto" w:fill="C5E0B4"/>
          </w:tcPr>
          <w:p>
            <w:pPr>
              <w:spacing w:after="0"/>
              <w:rPr>
                <w:sz w:val="7"/>
                <w:szCs w:val="7"/>
                <w:color w:val="auto"/>
              </w:rPr>
            </w:pPr>
          </w:p>
        </w:tc>
        <w:tc>
          <w:tcPr>
            <w:tcW w:w="1860" w:type="dxa"/>
            <w:vAlign w:val="bottom"/>
            <w:tcBorders>
              <w:bottom w:val="single" w:sz="8" w:color="70AD47"/>
            </w:tcBorders>
            <w:shd w:val="clear" w:color="auto" w:fill="C5E0B4"/>
          </w:tcPr>
          <w:p>
            <w:pPr>
              <w:spacing w:after="0"/>
              <w:rPr>
                <w:sz w:val="7"/>
                <w:szCs w:val="7"/>
                <w:color w:val="auto"/>
              </w:rPr>
            </w:pPr>
          </w:p>
        </w:tc>
        <w:tc>
          <w:tcPr>
            <w:tcW w:w="960" w:type="dxa"/>
            <w:vAlign w:val="bottom"/>
            <w:tcBorders>
              <w:bottom w:val="single" w:sz="8" w:color="70AD47"/>
              <w:right w:val="single" w:sz="8" w:color="70AD47"/>
            </w:tcBorders>
            <w:shd w:val="clear" w:color="auto" w:fill="C5E0B4"/>
          </w:tcPr>
          <w:p>
            <w:pPr>
              <w:spacing w:after="0"/>
              <w:rPr>
                <w:sz w:val="7"/>
                <w:szCs w:val="7"/>
                <w:color w:val="auto"/>
              </w:rPr>
            </w:pPr>
          </w:p>
        </w:tc>
        <w:tc>
          <w:tcPr>
            <w:tcW w:w="1480" w:type="dxa"/>
            <w:vAlign w:val="bottom"/>
            <w:tcBorders>
              <w:bottom w:val="single" w:sz="8" w:color="70AD47"/>
              <w:right w:val="single" w:sz="8" w:color="70AD47"/>
            </w:tcBorders>
            <w:shd w:val="clear" w:color="auto" w:fill="C5E0B4"/>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160" w:type="dxa"/>
            <w:vAlign w:val="bottom"/>
            <w:tcBorders>
              <w:right w:val="single" w:sz="8" w:color="70AD47"/>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Current obligations under lease</w:t>
            </w:r>
          </w:p>
        </w:tc>
        <w:tc>
          <w:tcPr>
            <w:tcW w:w="14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40" w:type="dxa"/>
            <w:vAlign w:val="bottom"/>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60" w:type="dxa"/>
            <w:vAlign w:val="bottom"/>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60" w:type="dxa"/>
            <w:vAlign w:val="bottom"/>
            <w:vMerge w:val="restart"/>
            <w:shd w:val="clear" w:color="auto" w:fill="C6E0B4"/>
          </w:tcPr>
          <w:p>
            <w:pPr>
              <w:jc w:val="right"/>
              <w:ind w:right="302"/>
              <w:spacing w:after="0"/>
              <w:rPr>
                <w:sz w:val="20"/>
                <w:szCs w:val="20"/>
                <w:color w:val="auto"/>
              </w:rPr>
            </w:pPr>
            <w:r>
              <w:rPr>
                <w:rFonts w:ascii="Times New Roman" w:cs="Times New Roman" w:eastAsia="Times New Roman" w:hAnsi="Times New Roman"/>
                <w:sz w:val="16"/>
                <w:szCs w:val="16"/>
                <w:color w:val="auto"/>
              </w:rPr>
              <w:t>34.1</w:t>
            </w:r>
          </w:p>
        </w:tc>
        <w:tc>
          <w:tcPr>
            <w:tcW w:w="9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0" w:type="dxa"/>
            <w:vAlign w:val="bottom"/>
          </w:tcPr>
          <w:p>
            <w:pPr>
              <w:spacing w:after="0"/>
              <w:rPr>
                <w:sz w:val="1"/>
                <w:szCs w:val="1"/>
                <w:color w:val="auto"/>
              </w:rPr>
            </w:pPr>
          </w:p>
        </w:tc>
      </w:tr>
      <w:tr>
        <w:trPr>
          <w:trHeight w:val="119"/>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contracts</w:t>
            </w:r>
          </w:p>
        </w:tc>
        <w:tc>
          <w:tcPr>
            <w:tcW w:w="1400" w:type="dxa"/>
            <w:vAlign w:val="bottom"/>
            <w:tcBorders>
              <w:right w:val="single" w:sz="8" w:color="70AD47"/>
            </w:tcBorders>
            <w:vMerge w:val="continue"/>
            <w:shd w:val="clear" w:color="auto" w:fill="C6E0B4"/>
          </w:tcPr>
          <w:p>
            <w:pPr>
              <w:spacing w:after="0"/>
              <w:rPr>
                <w:sz w:val="10"/>
                <w:szCs w:val="10"/>
                <w:color w:val="auto"/>
              </w:rPr>
            </w:pPr>
          </w:p>
        </w:tc>
        <w:tc>
          <w:tcPr>
            <w:tcW w:w="1240" w:type="dxa"/>
            <w:vAlign w:val="bottom"/>
            <w:vMerge w:val="continue"/>
            <w:shd w:val="clear" w:color="auto" w:fill="C6E0B4"/>
          </w:tcPr>
          <w:p>
            <w:pPr>
              <w:spacing w:after="0"/>
              <w:rPr>
                <w:sz w:val="10"/>
                <w:szCs w:val="10"/>
                <w:color w:val="auto"/>
              </w:rPr>
            </w:pPr>
          </w:p>
        </w:tc>
        <w:tc>
          <w:tcPr>
            <w:tcW w:w="1460" w:type="dxa"/>
            <w:vAlign w:val="bottom"/>
            <w:vMerge w:val="continue"/>
            <w:shd w:val="clear" w:color="auto" w:fill="C6E0B4"/>
          </w:tcPr>
          <w:p>
            <w:pPr>
              <w:spacing w:after="0"/>
              <w:rPr>
                <w:sz w:val="10"/>
                <w:szCs w:val="10"/>
                <w:color w:val="auto"/>
              </w:rPr>
            </w:pPr>
          </w:p>
        </w:tc>
        <w:tc>
          <w:tcPr>
            <w:tcW w:w="1860" w:type="dxa"/>
            <w:vAlign w:val="bottom"/>
            <w:vMerge w:val="continue"/>
            <w:shd w:val="clear" w:color="auto" w:fill="C6E0B4"/>
          </w:tcPr>
          <w:p>
            <w:pPr>
              <w:spacing w:after="0"/>
              <w:rPr>
                <w:sz w:val="10"/>
                <w:szCs w:val="10"/>
                <w:color w:val="auto"/>
              </w:rPr>
            </w:pPr>
          </w:p>
        </w:tc>
        <w:tc>
          <w:tcPr>
            <w:tcW w:w="960" w:type="dxa"/>
            <w:vAlign w:val="bottom"/>
            <w:tcBorders>
              <w:right w:val="single" w:sz="8" w:color="70AD47"/>
            </w:tcBorders>
            <w:vMerge w:val="continue"/>
            <w:shd w:val="clear" w:color="auto" w:fill="C6E0B4"/>
          </w:tcPr>
          <w:p>
            <w:pPr>
              <w:spacing w:after="0"/>
              <w:rPr>
                <w:sz w:val="10"/>
                <w:szCs w:val="10"/>
                <w:color w:val="auto"/>
              </w:rPr>
            </w:pPr>
          </w:p>
        </w:tc>
        <w:tc>
          <w:tcPr>
            <w:tcW w:w="1480" w:type="dxa"/>
            <w:vAlign w:val="bottom"/>
            <w:tcBorders>
              <w:right w:val="single" w:sz="8" w:color="70AD47"/>
            </w:tcBorders>
            <w:vMerge w:val="continue"/>
            <w:shd w:val="clear" w:color="auto" w:fill="C6E0B4"/>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70AD47"/>
            </w:tcBorders>
            <w:vMerge w:val="continue"/>
          </w:tcPr>
          <w:p>
            <w:pPr>
              <w:spacing w:after="0"/>
              <w:rPr>
                <w:sz w:val="7"/>
                <w:szCs w:val="7"/>
                <w:color w:val="auto"/>
              </w:rPr>
            </w:pPr>
          </w:p>
        </w:tc>
        <w:tc>
          <w:tcPr>
            <w:tcW w:w="1400" w:type="dxa"/>
            <w:vAlign w:val="bottom"/>
            <w:tcBorders>
              <w:right w:val="single" w:sz="8" w:color="70AD47"/>
            </w:tcBorders>
            <w:shd w:val="clear" w:color="auto" w:fill="C6E0B4"/>
          </w:tcPr>
          <w:p>
            <w:pPr>
              <w:spacing w:after="0"/>
              <w:rPr>
                <w:sz w:val="7"/>
                <w:szCs w:val="7"/>
                <w:color w:val="auto"/>
              </w:rPr>
            </w:pPr>
          </w:p>
        </w:tc>
        <w:tc>
          <w:tcPr>
            <w:tcW w:w="1240" w:type="dxa"/>
            <w:vAlign w:val="bottom"/>
            <w:shd w:val="clear" w:color="auto" w:fill="C6E0B4"/>
          </w:tcPr>
          <w:p>
            <w:pPr>
              <w:spacing w:after="0"/>
              <w:rPr>
                <w:sz w:val="7"/>
                <w:szCs w:val="7"/>
                <w:color w:val="auto"/>
              </w:rPr>
            </w:pPr>
          </w:p>
        </w:tc>
        <w:tc>
          <w:tcPr>
            <w:tcW w:w="1460" w:type="dxa"/>
            <w:vAlign w:val="bottom"/>
            <w:shd w:val="clear" w:color="auto" w:fill="C6E0B4"/>
          </w:tcPr>
          <w:p>
            <w:pPr>
              <w:spacing w:after="0"/>
              <w:rPr>
                <w:sz w:val="7"/>
                <w:szCs w:val="7"/>
                <w:color w:val="auto"/>
              </w:rPr>
            </w:pPr>
          </w:p>
        </w:tc>
        <w:tc>
          <w:tcPr>
            <w:tcW w:w="1860" w:type="dxa"/>
            <w:vAlign w:val="bottom"/>
            <w:shd w:val="clear" w:color="auto" w:fill="C6E0B4"/>
          </w:tcPr>
          <w:p>
            <w:pPr>
              <w:spacing w:after="0"/>
              <w:rPr>
                <w:sz w:val="7"/>
                <w:szCs w:val="7"/>
                <w:color w:val="auto"/>
              </w:rPr>
            </w:pPr>
          </w:p>
        </w:tc>
        <w:tc>
          <w:tcPr>
            <w:tcW w:w="960" w:type="dxa"/>
            <w:vAlign w:val="bottom"/>
            <w:tcBorders>
              <w:right w:val="single" w:sz="8" w:color="70AD47"/>
            </w:tcBorders>
            <w:shd w:val="clear" w:color="auto" w:fill="C6E0B4"/>
          </w:tcPr>
          <w:p>
            <w:pPr>
              <w:spacing w:after="0"/>
              <w:rPr>
                <w:sz w:val="7"/>
                <w:szCs w:val="7"/>
                <w:color w:val="auto"/>
              </w:rPr>
            </w:pPr>
          </w:p>
        </w:tc>
        <w:tc>
          <w:tcPr>
            <w:tcW w:w="1480" w:type="dxa"/>
            <w:vAlign w:val="bottom"/>
            <w:tcBorders>
              <w:right w:val="single" w:sz="8" w:color="70AD47"/>
            </w:tcBorders>
            <w:shd w:val="clear" w:color="auto" w:fill="C6E0B4"/>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160" w:type="dxa"/>
            <w:vAlign w:val="bottom"/>
            <w:tcBorders>
              <w:right w:val="single" w:sz="8" w:color="70AD47"/>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Non-current obligations under</w:t>
            </w:r>
          </w:p>
        </w:tc>
        <w:tc>
          <w:tcPr>
            <w:tcW w:w="14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240" w:type="dxa"/>
            <w:vAlign w:val="bottom"/>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860" w:type="dxa"/>
            <w:vAlign w:val="bottom"/>
            <w:vMerge w:val="restart"/>
            <w:shd w:val="clear" w:color="auto" w:fill="C6E0B4"/>
          </w:tcPr>
          <w:p>
            <w:pPr>
              <w:jc w:val="right"/>
              <w:ind w:right="282"/>
              <w:spacing w:after="0"/>
              <w:rPr>
                <w:sz w:val="20"/>
                <w:szCs w:val="20"/>
                <w:color w:val="auto"/>
              </w:rPr>
            </w:pPr>
            <w:r>
              <w:rPr>
                <w:rFonts w:ascii="Times New Roman" w:cs="Times New Roman" w:eastAsia="Times New Roman" w:hAnsi="Times New Roman"/>
                <w:sz w:val="16"/>
                <w:szCs w:val="16"/>
                <w:color w:val="auto"/>
              </w:rPr>
              <w:t>(34.1)</w:t>
            </w:r>
          </w:p>
        </w:tc>
        <w:tc>
          <w:tcPr>
            <w:tcW w:w="9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188.6</w:t>
            </w:r>
          </w:p>
        </w:tc>
        <w:tc>
          <w:tcPr>
            <w:tcW w:w="0" w:type="dxa"/>
            <w:vAlign w:val="bottom"/>
          </w:tcPr>
          <w:p>
            <w:pPr>
              <w:spacing w:after="0"/>
              <w:rPr>
                <w:sz w:val="1"/>
                <w:szCs w:val="1"/>
                <w:color w:val="auto"/>
              </w:rPr>
            </w:pPr>
          </w:p>
        </w:tc>
      </w:tr>
      <w:tr>
        <w:trPr>
          <w:trHeight w:val="119"/>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lease contracts</w:t>
            </w:r>
          </w:p>
        </w:tc>
        <w:tc>
          <w:tcPr>
            <w:tcW w:w="1400" w:type="dxa"/>
            <w:vAlign w:val="bottom"/>
            <w:tcBorders>
              <w:right w:val="single" w:sz="8" w:color="70AD47"/>
            </w:tcBorders>
            <w:vMerge w:val="continue"/>
            <w:shd w:val="clear" w:color="auto" w:fill="C6E0B4"/>
          </w:tcPr>
          <w:p>
            <w:pPr>
              <w:spacing w:after="0"/>
              <w:rPr>
                <w:sz w:val="10"/>
                <w:szCs w:val="10"/>
                <w:color w:val="auto"/>
              </w:rPr>
            </w:pPr>
          </w:p>
        </w:tc>
        <w:tc>
          <w:tcPr>
            <w:tcW w:w="1240" w:type="dxa"/>
            <w:vAlign w:val="bottom"/>
            <w:vMerge w:val="continue"/>
            <w:shd w:val="clear" w:color="auto" w:fill="C6E0B4"/>
          </w:tcPr>
          <w:p>
            <w:pPr>
              <w:spacing w:after="0"/>
              <w:rPr>
                <w:sz w:val="10"/>
                <w:szCs w:val="10"/>
                <w:color w:val="auto"/>
              </w:rPr>
            </w:pPr>
          </w:p>
        </w:tc>
        <w:tc>
          <w:tcPr>
            <w:tcW w:w="1460" w:type="dxa"/>
            <w:vAlign w:val="bottom"/>
            <w:vMerge w:val="continue"/>
            <w:shd w:val="clear" w:color="auto" w:fill="C6E0B4"/>
          </w:tcPr>
          <w:p>
            <w:pPr>
              <w:spacing w:after="0"/>
              <w:rPr>
                <w:sz w:val="10"/>
                <w:szCs w:val="10"/>
                <w:color w:val="auto"/>
              </w:rPr>
            </w:pPr>
          </w:p>
        </w:tc>
        <w:tc>
          <w:tcPr>
            <w:tcW w:w="1860" w:type="dxa"/>
            <w:vAlign w:val="bottom"/>
            <w:vMerge w:val="continue"/>
            <w:shd w:val="clear" w:color="auto" w:fill="C6E0B4"/>
          </w:tcPr>
          <w:p>
            <w:pPr>
              <w:spacing w:after="0"/>
              <w:rPr>
                <w:sz w:val="10"/>
                <w:szCs w:val="10"/>
                <w:color w:val="auto"/>
              </w:rPr>
            </w:pPr>
          </w:p>
        </w:tc>
        <w:tc>
          <w:tcPr>
            <w:tcW w:w="960" w:type="dxa"/>
            <w:vAlign w:val="bottom"/>
            <w:tcBorders>
              <w:right w:val="single" w:sz="8" w:color="70AD47"/>
            </w:tcBorders>
            <w:vMerge w:val="continue"/>
            <w:shd w:val="clear" w:color="auto" w:fill="C6E0B4"/>
          </w:tcPr>
          <w:p>
            <w:pPr>
              <w:spacing w:after="0"/>
              <w:rPr>
                <w:sz w:val="10"/>
                <w:szCs w:val="10"/>
                <w:color w:val="auto"/>
              </w:rPr>
            </w:pPr>
          </w:p>
        </w:tc>
        <w:tc>
          <w:tcPr>
            <w:tcW w:w="1480" w:type="dxa"/>
            <w:vAlign w:val="bottom"/>
            <w:tcBorders>
              <w:right w:val="single" w:sz="8" w:color="70AD47"/>
            </w:tcBorders>
            <w:vMerge w:val="continue"/>
            <w:shd w:val="clear" w:color="auto" w:fill="C6E0B4"/>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70AD47"/>
            </w:tcBorders>
            <w:vMerge w:val="continue"/>
          </w:tcPr>
          <w:p>
            <w:pPr>
              <w:spacing w:after="0"/>
              <w:rPr>
                <w:sz w:val="7"/>
                <w:szCs w:val="7"/>
                <w:color w:val="auto"/>
              </w:rPr>
            </w:pPr>
          </w:p>
        </w:tc>
        <w:tc>
          <w:tcPr>
            <w:tcW w:w="1400" w:type="dxa"/>
            <w:vAlign w:val="bottom"/>
            <w:tcBorders>
              <w:right w:val="single" w:sz="8" w:color="70AD47"/>
            </w:tcBorders>
            <w:shd w:val="clear" w:color="auto" w:fill="C6E0B4"/>
          </w:tcPr>
          <w:p>
            <w:pPr>
              <w:spacing w:after="0"/>
              <w:rPr>
                <w:sz w:val="7"/>
                <w:szCs w:val="7"/>
                <w:color w:val="auto"/>
              </w:rPr>
            </w:pPr>
          </w:p>
        </w:tc>
        <w:tc>
          <w:tcPr>
            <w:tcW w:w="1240" w:type="dxa"/>
            <w:vAlign w:val="bottom"/>
            <w:shd w:val="clear" w:color="auto" w:fill="C6E0B4"/>
          </w:tcPr>
          <w:p>
            <w:pPr>
              <w:spacing w:after="0"/>
              <w:rPr>
                <w:sz w:val="7"/>
                <w:szCs w:val="7"/>
                <w:color w:val="auto"/>
              </w:rPr>
            </w:pPr>
          </w:p>
        </w:tc>
        <w:tc>
          <w:tcPr>
            <w:tcW w:w="1460" w:type="dxa"/>
            <w:vAlign w:val="bottom"/>
            <w:shd w:val="clear" w:color="auto" w:fill="C6E0B4"/>
          </w:tcPr>
          <w:p>
            <w:pPr>
              <w:spacing w:after="0"/>
              <w:rPr>
                <w:sz w:val="7"/>
                <w:szCs w:val="7"/>
                <w:color w:val="auto"/>
              </w:rPr>
            </w:pPr>
          </w:p>
        </w:tc>
        <w:tc>
          <w:tcPr>
            <w:tcW w:w="1860" w:type="dxa"/>
            <w:vAlign w:val="bottom"/>
            <w:shd w:val="clear" w:color="auto" w:fill="C6E0B4"/>
          </w:tcPr>
          <w:p>
            <w:pPr>
              <w:spacing w:after="0"/>
              <w:rPr>
                <w:sz w:val="7"/>
                <w:szCs w:val="7"/>
                <w:color w:val="auto"/>
              </w:rPr>
            </w:pPr>
          </w:p>
        </w:tc>
        <w:tc>
          <w:tcPr>
            <w:tcW w:w="960" w:type="dxa"/>
            <w:vAlign w:val="bottom"/>
            <w:tcBorders>
              <w:right w:val="single" w:sz="8" w:color="70AD47"/>
            </w:tcBorders>
            <w:shd w:val="clear" w:color="auto" w:fill="C6E0B4"/>
          </w:tcPr>
          <w:p>
            <w:pPr>
              <w:spacing w:after="0"/>
              <w:rPr>
                <w:sz w:val="7"/>
                <w:szCs w:val="7"/>
                <w:color w:val="auto"/>
              </w:rPr>
            </w:pPr>
          </w:p>
        </w:tc>
        <w:tc>
          <w:tcPr>
            <w:tcW w:w="1480" w:type="dxa"/>
            <w:vAlign w:val="bottom"/>
            <w:tcBorders>
              <w:right w:val="single" w:sz="8" w:color="70AD47"/>
            </w:tcBorders>
            <w:shd w:val="clear" w:color="auto" w:fill="C6E0B4"/>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1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70AD47"/>
            </w:tcBorders>
            <w:shd w:val="clear" w:color="auto" w:fill="C6E0B4"/>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212.2</w:t>
            </w:r>
          </w:p>
        </w:tc>
        <w:tc>
          <w:tcPr>
            <w:tcW w:w="12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14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1860" w:type="dxa"/>
            <w:vAlign w:val="bottom"/>
            <w:tcBorders>
              <w:bottom w:val="single" w:sz="8" w:color="70AD47"/>
            </w:tcBorders>
            <w:shd w:val="clear" w:color="auto" w:fill="C6E0B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4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219.0</w:t>
            </w:r>
          </w:p>
        </w:tc>
        <w:tc>
          <w:tcPr>
            <w:tcW w:w="0" w:type="dxa"/>
            <w:vAlign w:val="bottom"/>
          </w:tcPr>
          <w:p>
            <w:pPr>
              <w:spacing w:after="0"/>
              <w:rPr>
                <w:sz w:val="1"/>
                <w:szCs w:val="1"/>
                <w:color w:val="auto"/>
              </w:rPr>
            </w:pPr>
          </w:p>
        </w:tc>
      </w:tr>
      <w:tr>
        <w:trPr>
          <w:trHeight w:val="495"/>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6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460" w:type="dxa"/>
            <w:vAlign w:val="bottom"/>
          </w:tcPr>
          <w:p>
            <w:pPr>
              <w:jc w:val="right"/>
              <w:ind w:right="2"/>
              <w:spacing w:after="0" w:line="179" w:lineRule="exact"/>
              <w:rPr>
                <w:sz w:val="20"/>
                <w:szCs w:val="20"/>
                <w:color w:val="auto"/>
              </w:rPr>
            </w:pPr>
            <w:r>
              <w:rPr>
                <w:rFonts w:ascii="Times New Roman" w:cs="Times New Roman" w:eastAsia="Times New Roman" w:hAnsi="Times New Roman"/>
                <w:sz w:val="16"/>
                <w:szCs w:val="16"/>
                <w:b w:val="1"/>
                <w:bCs w:val="1"/>
                <w:color w:val="auto"/>
              </w:rPr>
              <w:t>New leases and</w:t>
            </w:r>
          </w:p>
        </w:tc>
        <w:tc>
          <w:tcPr>
            <w:tcW w:w="1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9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21"/>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400" w:type="dxa"/>
            <w:vAlign w:val="bottom"/>
            <w:tcBorders>
              <w:right w:val="single" w:sz="8" w:color="70AD47"/>
            </w:tcBorders>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disposals</w:t>
            </w:r>
          </w:p>
        </w:tc>
        <w:tc>
          <w:tcPr>
            <w:tcW w:w="1860" w:type="dxa"/>
            <w:vAlign w:val="bottom"/>
            <w:vMerge w:val="continue"/>
          </w:tcPr>
          <w:p>
            <w:pPr>
              <w:spacing w:after="0"/>
              <w:rPr>
                <w:sz w:val="10"/>
                <w:szCs w:val="10"/>
                <w:color w:val="auto"/>
              </w:rPr>
            </w:pPr>
          </w:p>
        </w:tc>
        <w:tc>
          <w:tcPr>
            <w:tcW w:w="960" w:type="dxa"/>
            <w:vAlign w:val="bottom"/>
            <w:tcBorders>
              <w:right w:val="single" w:sz="8" w:color="70AD47"/>
            </w:tcBorders>
            <w:vMerge w:val="continue"/>
          </w:tcPr>
          <w:p>
            <w:pPr>
              <w:spacing w:after="0"/>
              <w:rPr>
                <w:sz w:val="10"/>
                <w:szCs w:val="10"/>
                <w:color w:val="auto"/>
              </w:rPr>
            </w:pPr>
          </w:p>
        </w:tc>
        <w:tc>
          <w:tcPr>
            <w:tcW w:w="148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tcBorders>
              <w:bottom w:val="single" w:sz="8" w:color="70AD47"/>
              <w:right w:val="single" w:sz="8" w:color="70AD47"/>
            </w:tcBorders>
            <w:vMerge w:val="continue"/>
          </w:tcPr>
          <w:p>
            <w:pPr>
              <w:spacing w:after="0"/>
              <w:rPr>
                <w:sz w:val="7"/>
                <w:szCs w:val="7"/>
                <w:color w:val="auto"/>
              </w:rPr>
            </w:pPr>
          </w:p>
        </w:tc>
        <w:tc>
          <w:tcPr>
            <w:tcW w:w="1400" w:type="dxa"/>
            <w:vAlign w:val="bottom"/>
            <w:tcBorders>
              <w:bottom w:val="single" w:sz="8" w:color="70AD47"/>
              <w:right w:val="single" w:sz="8" w:color="70AD47"/>
            </w:tcBorders>
          </w:tcPr>
          <w:p>
            <w:pPr>
              <w:spacing w:after="0"/>
              <w:rPr>
                <w:sz w:val="7"/>
                <w:szCs w:val="7"/>
                <w:color w:val="auto"/>
              </w:rPr>
            </w:pPr>
          </w:p>
        </w:tc>
        <w:tc>
          <w:tcPr>
            <w:tcW w:w="1240" w:type="dxa"/>
            <w:vAlign w:val="bottom"/>
            <w:tcBorders>
              <w:bottom w:val="single" w:sz="8" w:color="70AD47"/>
            </w:tcBorders>
          </w:tcPr>
          <w:p>
            <w:pPr>
              <w:spacing w:after="0"/>
              <w:rPr>
                <w:sz w:val="7"/>
                <w:szCs w:val="7"/>
                <w:color w:val="auto"/>
              </w:rPr>
            </w:pPr>
          </w:p>
        </w:tc>
        <w:tc>
          <w:tcPr>
            <w:tcW w:w="1460" w:type="dxa"/>
            <w:vAlign w:val="bottom"/>
            <w:tcBorders>
              <w:bottom w:val="single" w:sz="8" w:color="70AD47"/>
            </w:tcBorders>
            <w:vMerge w:val="continue"/>
          </w:tcPr>
          <w:p>
            <w:pPr>
              <w:spacing w:after="0"/>
              <w:rPr>
                <w:sz w:val="7"/>
                <w:szCs w:val="7"/>
                <w:color w:val="auto"/>
              </w:rPr>
            </w:pPr>
          </w:p>
        </w:tc>
        <w:tc>
          <w:tcPr>
            <w:tcW w:w="1860" w:type="dxa"/>
            <w:vAlign w:val="bottom"/>
            <w:tcBorders>
              <w:bottom w:val="single" w:sz="8" w:color="70AD47"/>
            </w:tcBorders>
          </w:tcPr>
          <w:p>
            <w:pPr>
              <w:spacing w:after="0"/>
              <w:rPr>
                <w:sz w:val="7"/>
                <w:szCs w:val="7"/>
                <w:color w:val="auto"/>
              </w:rPr>
            </w:pPr>
          </w:p>
        </w:tc>
        <w:tc>
          <w:tcPr>
            <w:tcW w:w="960" w:type="dxa"/>
            <w:vAlign w:val="bottom"/>
            <w:tcBorders>
              <w:bottom w:val="single" w:sz="8" w:color="70AD47"/>
              <w:right w:val="single" w:sz="8" w:color="70AD47"/>
            </w:tcBorders>
          </w:tcPr>
          <w:p>
            <w:pPr>
              <w:spacing w:after="0"/>
              <w:rPr>
                <w:sz w:val="7"/>
                <w:szCs w:val="7"/>
                <w:color w:val="auto"/>
              </w:rPr>
            </w:pPr>
          </w:p>
        </w:tc>
        <w:tc>
          <w:tcPr>
            <w:tcW w:w="1480" w:type="dxa"/>
            <w:vAlign w:val="bottom"/>
            <w:tcBorders>
              <w:bottom w:val="single" w:sz="8" w:color="70AD47"/>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160" w:type="dxa"/>
            <w:vAlign w:val="bottom"/>
            <w:tcBorders>
              <w:right w:val="single" w:sz="8" w:color="70AD47"/>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Current obligations under lease</w:t>
            </w:r>
          </w:p>
        </w:tc>
        <w:tc>
          <w:tcPr>
            <w:tcW w:w="1400" w:type="dxa"/>
            <w:vAlign w:val="bottom"/>
            <w:tcBorders>
              <w:right w:val="single" w:sz="8" w:color="70AD47"/>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27.9</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186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color w:val="auto"/>
              </w:rPr>
              <w:t>33.3</w:t>
            </w:r>
          </w:p>
        </w:tc>
        <w:tc>
          <w:tcPr>
            <w:tcW w:w="9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0" w:type="dxa"/>
            <w:vAlign w:val="bottom"/>
          </w:tcPr>
          <w:p>
            <w:pPr>
              <w:spacing w:after="0"/>
              <w:rPr>
                <w:sz w:val="1"/>
                <w:szCs w:val="1"/>
                <w:color w:val="auto"/>
              </w:rPr>
            </w:pPr>
          </w:p>
        </w:tc>
      </w:tr>
      <w:tr>
        <w:trPr>
          <w:trHeight w:val="119"/>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contracts</w:t>
            </w:r>
          </w:p>
        </w:tc>
        <w:tc>
          <w:tcPr>
            <w:tcW w:w="1400" w:type="dxa"/>
            <w:vAlign w:val="bottom"/>
            <w:tcBorders>
              <w:right w:val="single" w:sz="8" w:color="70AD47"/>
            </w:tcBorders>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60" w:type="dxa"/>
            <w:vAlign w:val="bottom"/>
            <w:tcBorders>
              <w:right w:val="single" w:sz="8" w:color="70AD47"/>
            </w:tcBorders>
            <w:vMerge w:val="continue"/>
          </w:tcPr>
          <w:p>
            <w:pPr>
              <w:spacing w:after="0"/>
              <w:rPr>
                <w:sz w:val="10"/>
                <w:szCs w:val="10"/>
                <w:color w:val="auto"/>
              </w:rPr>
            </w:pPr>
          </w:p>
        </w:tc>
        <w:tc>
          <w:tcPr>
            <w:tcW w:w="148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70AD47"/>
            </w:tcBorders>
            <w:vMerge w:val="continue"/>
          </w:tcPr>
          <w:p>
            <w:pPr>
              <w:spacing w:after="0"/>
              <w:rPr>
                <w:sz w:val="7"/>
                <w:szCs w:val="7"/>
                <w:color w:val="auto"/>
              </w:rPr>
            </w:pPr>
          </w:p>
        </w:tc>
        <w:tc>
          <w:tcPr>
            <w:tcW w:w="1400" w:type="dxa"/>
            <w:vAlign w:val="bottom"/>
            <w:tcBorders>
              <w:right w:val="single" w:sz="8" w:color="70AD47"/>
            </w:tcBorders>
          </w:tcPr>
          <w:p>
            <w:pPr>
              <w:spacing w:after="0"/>
              <w:rPr>
                <w:sz w:val="7"/>
                <w:szCs w:val="7"/>
                <w:color w:val="auto"/>
              </w:rPr>
            </w:pP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60" w:type="dxa"/>
            <w:vAlign w:val="bottom"/>
            <w:tcBorders>
              <w:right w:val="single" w:sz="8" w:color="70AD47"/>
            </w:tcBorders>
          </w:tcPr>
          <w:p>
            <w:pPr>
              <w:spacing w:after="0"/>
              <w:rPr>
                <w:sz w:val="7"/>
                <w:szCs w:val="7"/>
                <w:color w:val="auto"/>
              </w:rPr>
            </w:pPr>
          </w:p>
        </w:tc>
        <w:tc>
          <w:tcPr>
            <w:tcW w:w="1480" w:type="dxa"/>
            <w:vAlign w:val="bottom"/>
            <w:tcBorders>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160" w:type="dxa"/>
            <w:vAlign w:val="bottom"/>
            <w:tcBorders>
              <w:right w:val="single" w:sz="8" w:color="70AD47"/>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Non-current obligations under</w:t>
            </w:r>
          </w:p>
        </w:tc>
        <w:tc>
          <w:tcPr>
            <w:tcW w:w="1400" w:type="dxa"/>
            <w:vAlign w:val="bottom"/>
            <w:tcBorders>
              <w:right w:val="single" w:sz="8" w:color="70AD47"/>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153.7</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52.6</w:t>
            </w:r>
          </w:p>
        </w:tc>
        <w:tc>
          <w:tcPr>
            <w:tcW w:w="1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color w:val="auto"/>
              </w:rPr>
              <w:t>(33.3)</w:t>
            </w:r>
          </w:p>
        </w:tc>
        <w:tc>
          <w:tcPr>
            <w:tcW w:w="9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0" w:type="dxa"/>
            <w:vAlign w:val="bottom"/>
          </w:tcPr>
          <w:p>
            <w:pPr>
              <w:spacing w:after="0"/>
              <w:rPr>
                <w:sz w:val="1"/>
                <w:szCs w:val="1"/>
                <w:color w:val="auto"/>
              </w:rPr>
            </w:pPr>
          </w:p>
        </w:tc>
      </w:tr>
      <w:tr>
        <w:trPr>
          <w:trHeight w:val="119"/>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lease contracts</w:t>
            </w:r>
          </w:p>
        </w:tc>
        <w:tc>
          <w:tcPr>
            <w:tcW w:w="1400" w:type="dxa"/>
            <w:vAlign w:val="bottom"/>
            <w:tcBorders>
              <w:right w:val="single" w:sz="8" w:color="70AD47"/>
            </w:tcBorders>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60" w:type="dxa"/>
            <w:vAlign w:val="bottom"/>
            <w:tcBorders>
              <w:right w:val="single" w:sz="8" w:color="70AD47"/>
            </w:tcBorders>
            <w:vMerge w:val="continue"/>
          </w:tcPr>
          <w:p>
            <w:pPr>
              <w:spacing w:after="0"/>
              <w:rPr>
                <w:sz w:val="10"/>
                <w:szCs w:val="10"/>
                <w:color w:val="auto"/>
              </w:rPr>
            </w:pPr>
          </w:p>
        </w:tc>
        <w:tc>
          <w:tcPr>
            <w:tcW w:w="148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70AD47"/>
            </w:tcBorders>
            <w:vMerge w:val="continue"/>
          </w:tcPr>
          <w:p>
            <w:pPr>
              <w:spacing w:after="0"/>
              <w:rPr>
                <w:sz w:val="7"/>
                <w:szCs w:val="7"/>
                <w:color w:val="auto"/>
              </w:rPr>
            </w:pPr>
          </w:p>
        </w:tc>
        <w:tc>
          <w:tcPr>
            <w:tcW w:w="1400" w:type="dxa"/>
            <w:vAlign w:val="bottom"/>
            <w:tcBorders>
              <w:right w:val="single" w:sz="8" w:color="70AD47"/>
            </w:tcBorders>
          </w:tcPr>
          <w:p>
            <w:pPr>
              <w:spacing w:after="0"/>
              <w:rPr>
                <w:sz w:val="7"/>
                <w:szCs w:val="7"/>
                <w:color w:val="auto"/>
              </w:rPr>
            </w:pP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60" w:type="dxa"/>
            <w:vAlign w:val="bottom"/>
            <w:tcBorders>
              <w:right w:val="single" w:sz="8" w:color="70AD47"/>
            </w:tcBorders>
          </w:tcPr>
          <w:p>
            <w:pPr>
              <w:spacing w:after="0"/>
              <w:rPr>
                <w:sz w:val="7"/>
                <w:szCs w:val="7"/>
                <w:color w:val="auto"/>
              </w:rPr>
            </w:pPr>
          </w:p>
        </w:tc>
        <w:tc>
          <w:tcPr>
            <w:tcW w:w="1480" w:type="dxa"/>
            <w:vAlign w:val="bottom"/>
            <w:tcBorders>
              <w:right w:val="single" w:sz="8" w:color="70AD47"/>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Loans and borrowings</w:t>
            </w:r>
          </w:p>
        </w:tc>
        <w:tc>
          <w:tcPr>
            <w:tcW w:w="1400" w:type="dxa"/>
            <w:vAlign w:val="bottom"/>
            <w:tcBorders>
              <w:right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color w:val="auto"/>
              </w:rPr>
              <w:t>119.9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70AD47"/>
            </w:tcBorders>
          </w:tcPr>
          <w:p>
            <w:pPr>
              <w:jc w:val="right"/>
              <w:spacing w:after="0" w:line="229" w:lineRule="exact"/>
              <w:rPr>
                <w:sz w:val="20"/>
                <w:szCs w:val="20"/>
                <w:color w:val="auto"/>
              </w:rPr>
            </w:pPr>
            <w:r>
              <w:rPr>
                <w:rFonts w:ascii="Times New Roman" w:cs="Times New Roman" w:eastAsia="Times New Roman" w:hAnsi="Times New Roman"/>
                <w:sz w:val="16"/>
                <w:szCs w:val="16"/>
                <w:color w:val="auto"/>
              </w:rPr>
              <w:t>(99.8)</w:t>
            </w:r>
            <w:r>
              <w:rPr>
                <w:rFonts w:ascii="Times New Roman" w:cs="Times New Roman" w:eastAsia="Times New Roman" w:hAnsi="Times New Roman"/>
                <w:sz w:val="21"/>
                <w:szCs w:val="21"/>
                <w:color w:val="auto"/>
                <w:vertAlign w:val="superscript"/>
              </w:rPr>
              <w:t>(1)</w:t>
            </w:r>
          </w:p>
        </w:tc>
        <w:tc>
          <w:tcPr>
            <w:tcW w:w="14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168"/>
        </w:trPr>
        <w:tc>
          <w:tcPr>
            <w:tcW w:w="2160" w:type="dxa"/>
            <w:vAlign w:val="bottom"/>
            <w:tcBorders>
              <w:right w:val="single" w:sz="8" w:color="70AD47"/>
            </w:tcBorders>
          </w:tcPr>
          <w:p>
            <w:pPr>
              <w:ind w:left="20"/>
              <w:spacing w:after="0" w:line="168" w:lineRule="exact"/>
              <w:rPr>
                <w:sz w:val="20"/>
                <w:szCs w:val="20"/>
                <w:color w:val="auto"/>
              </w:rPr>
            </w:pPr>
            <w:r>
              <w:rPr>
                <w:rFonts w:ascii="Times New Roman" w:cs="Times New Roman" w:eastAsia="Times New Roman" w:hAnsi="Times New Roman"/>
                <w:sz w:val="16"/>
                <w:szCs w:val="16"/>
                <w:color w:val="auto"/>
              </w:rPr>
              <w:t>Convertible note – embedded</w:t>
            </w:r>
          </w:p>
        </w:tc>
        <w:tc>
          <w:tcPr>
            <w:tcW w:w="1400" w:type="dxa"/>
            <w:vAlign w:val="bottom"/>
            <w:tcBorders>
              <w:right w:val="single" w:sz="8" w:color="70AD47"/>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308.7</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(308.7)</w:t>
            </w:r>
            <w:r>
              <w:rPr>
                <w:rFonts w:ascii="Times New Roman" w:cs="Times New Roman" w:eastAsia="Times New Roman" w:hAnsi="Times New Roman"/>
                <w:sz w:val="21"/>
                <w:szCs w:val="21"/>
                <w:color w:val="auto"/>
                <w:vertAlign w:val="superscript"/>
              </w:rPr>
              <w:t>(1)</w:t>
            </w:r>
          </w:p>
        </w:tc>
        <w:tc>
          <w:tcPr>
            <w:tcW w:w="14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7"/>
        </w:trPr>
        <w:tc>
          <w:tcPr>
            <w:tcW w:w="21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w:t>
            </w:r>
          </w:p>
        </w:tc>
        <w:tc>
          <w:tcPr>
            <w:tcW w:w="1400" w:type="dxa"/>
            <w:vAlign w:val="bottom"/>
            <w:tcBorders>
              <w:right w:val="single" w:sz="8" w:color="70AD47"/>
            </w:tcBorders>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960" w:type="dxa"/>
            <w:vAlign w:val="bottom"/>
            <w:tcBorders>
              <w:right w:val="single" w:sz="8" w:color="70AD47"/>
            </w:tcBorders>
            <w:vMerge w:val="continue"/>
          </w:tcPr>
          <w:p>
            <w:pPr>
              <w:spacing w:after="0"/>
              <w:rPr>
                <w:sz w:val="13"/>
                <w:szCs w:val="13"/>
                <w:color w:val="auto"/>
              </w:rPr>
            </w:pPr>
          </w:p>
        </w:tc>
        <w:tc>
          <w:tcPr>
            <w:tcW w:w="1480" w:type="dxa"/>
            <w:vAlign w:val="bottom"/>
            <w:tcBorders>
              <w:right w:val="single" w:sz="8" w:color="70AD47"/>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160" w:type="dxa"/>
            <w:vAlign w:val="bottom"/>
            <w:tcBorders>
              <w:bottom w:val="single" w:sz="8" w:color="70AD47"/>
              <w:right w:val="single" w:sz="8" w:color="70AD47"/>
            </w:tcBorders>
            <w:vMerge w:val="continue"/>
          </w:tcPr>
          <w:p>
            <w:pPr>
              <w:spacing w:after="0"/>
              <w:rPr>
                <w:sz w:val="4"/>
                <w:szCs w:val="4"/>
                <w:color w:val="auto"/>
              </w:rPr>
            </w:pPr>
          </w:p>
        </w:tc>
        <w:tc>
          <w:tcPr>
            <w:tcW w:w="1400" w:type="dxa"/>
            <w:vAlign w:val="bottom"/>
            <w:tcBorders>
              <w:bottom w:val="single" w:sz="8" w:color="70AD47"/>
              <w:right w:val="single" w:sz="8" w:color="70AD47"/>
            </w:tcBorders>
          </w:tcPr>
          <w:p>
            <w:pPr>
              <w:spacing w:after="0"/>
              <w:rPr>
                <w:sz w:val="4"/>
                <w:szCs w:val="4"/>
                <w:color w:val="auto"/>
              </w:rPr>
            </w:pPr>
          </w:p>
        </w:tc>
        <w:tc>
          <w:tcPr>
            <w:tcW w:w="1240" w:type="dxa"/>
            <w:vAlign w:val="bottom"/>
            <w:tcBorders>
              <w:bottom w:val="single" w:sz="8" w:color="70AD47"/>
            </w:tcBorders>
          </w:tcPr>
          <w:p>
            <w:pPr>
              <w:spacing w:after="0"/>
              <w:rPr>
                <w:sz w:val="4"/>
                <w:szCs w:val="4"/>
                <w:color w:val="auto"/>
              </w:rPr>
            </w:pPr>
          </w:p>
        </w:tc>
        <w:tc>
          <w:tcPr>
            <w:tcW w:w="1460" w:type="dxa"/>
            <w:vAlign w:val="bottom"/>
            <w:tcBorders>
              <w:bottom w:val="single" w:sz="8" w:color="70AD47"/>
            </w:tcBorders>
          </w:tcPr>
          <w:p>
            <w:pPr>
              <w:spacing w:after="0"/>
              <w:rPr>
                <w:sz w:val="4"/>
                <w:szCs w:val="4"/>
                <w:color w:val="auto"/>
              </w:rPr>
            </w:pPr>
          </w:p>
        </w:tc>
        <w:tc>
          <w:tcPr>
            <w:tcW w:w="1860" w:type="dxa"/>
            <w:vAlign w:val="bottom"/>
            <w:tcBorders>
              <w:bottom w:val="single" w:sz="8" w:color="70AD47"/>
            </w:tcBorders>
          </w:tcPr>
          <w:p>
            <w:pPr>
              <w:spacing w:after="0"/>
              <w:rPr>
                <w:sz w:val="4"/>
                <w:szCs w:val="4"/>
                <w:color w:val="auto"/>
              </w:rPr>
            </w:pPr>
          </w:p>
        </w:tc>
        <w:tc>
          <w:tcPr>
            <w:tcW w:w="960" w:type="dxa"/>
            <w:vAlign w:val="bottom"/>
            <w:tcBorders>
              <w:bottom w:val="single" w:sz="8" w:color="70AD47"/>
              <w:right w:val="single" w:sz="8" w:color="70AD47"/>
            </w:tcBorders>
          </w:tcPr>
          <w:p>
            <w:pPr>
              <w:spacing w:after="0"/>
              <w:rPr>
                <w:sz w:val="4"/>
                <w:szCs w:val="4"/>
                <w:color w:val="auto"/>
              </w:rPr>
            </w:pPr>
          </w:p>
        </w:tc>
        <w:tc>
          <w:tcPr>
            <w:tcW w:w="1480" w:type="dxa"/>
            <w:vAlign w:val="bottom"/>
            <w:tcBorders>
              <w:bottom w:val="single" w:sz="8" w:color="70AD47"/>
              <w:right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70AD47"/>
              <w:right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610.2</w:t>
            </w:r>
          </w:p>
        </w:tc>
        <w:tc>
          <w:tcPr>
            <w:tcW w:w="12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(59.1)</w:t>
            </w:r>
          </w:p>
        </w:tc>
        <w:tc>
          <w:tcPr>
            <w:tcW w:w="1460" w:type="dxa"/>
            <w:vAlign w:val="bottom"/>
            <w:tcBorders>
              <w:bottom w:val="single" w:sz="8" w:color="70AD47"/>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67.4</w:t>
            </w:r>
          </w:p>
        </w:tc>
        <w:tc>
          <w:tcPr>
            <w:tcW w:w="1860" w:type="dxa"/>
            <w:vAlign w:val="bottom"/>
            <w:tcBorders>
              <w:bottom w:val="single" w:sz="8" w:color="70AD47"/>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(406.3)</w:t>
            </w:r>
          </w:p>
        </w:tc>
        <w:tc>
          <w:tcPr>
            <w:tcW w:w="148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80" w:hanging="274"/>
        <w:spacing w:after="0"/>
        <w:tabs>
          <w:tab w:leader="none" w:pos="280"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Related to the early redemption of our convertible note during the year ended December 31, 2023, as further described in Note 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13  Inventories</w:t>
            </w:r>
          </w:p>
        </w:tc>
        <w:tc>
          <w:tcPr>
            <w:tcW w:w="1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98"/>
        </w:trPr>
        <w:tc>
          <w:tcPr>
            <w:tcW w:w="7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5"/>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Unfinished goods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7"/>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8"/>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357.7</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439.6</w:t>
            </w:r>
          </w:p>
        </w:tc>
      </w:tr>
    </w:tbl>
    <w:p>
      <w:pPr>
        <w:spacing w:after="0" w:line="25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2023 expenses from inventory write-downs to net realizable value due to inventories expected to be unsellable, not fulfilling the specification defined by our quality standards, shelf-life expiry or disposals resulted in €94.5 million, compared to €484.6 million in the previous period. The inventories valued at net realizable value in our consolidated statements of financial position as of December 31, 2023, take contractual compensation payments into consideration. We have not pledged any inventories as securities for liabilities. During the years ended December 31, 2023, and 2022, costs of inventories in the amount of €354.4 million and €1,550.6 million, respectively, were recognized as cost of sales.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97" w:name="page298"/>
    <w:bookmarkEnd w:id="29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  Other Non-Financial Assets</w:t>
            </w:r>
          </w:p>
        </w:tc>
        <w:tc>
          <w:tcPr>
            <w:tcW w:w="17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98"/>
        </w:trPr>
        <w:tc>
          <w:tcPr>
            <w:tcW w:w="7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760" w:type="dxa"/>
            <w:vAlign w:val="bottom"/>
          </w:tcPr>
          <w:p>
            <w:pPr>
              <w:spacing w:after="0"/>
              <w:rPr>
                <w:sz w:val="8"/>
                <w:szCs w:val="8"/>
                <w:color w:val="auto"/>
              </w:rPr>
            </w:pPr>
          </w:p>
        </w:tc>
      </w:tr>
      <w:tr>
        <w:trPr>
          <w:trHeight w:val="215"/>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Sales tax receivable</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Prepayments related to CRO and CMO contracts</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7"/>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8"/>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278.4</w:t>
            </w:r>
          </w:p>
        </w:tc>
      </w:tr>
      <w:tr>
        <w:trPr>
          <w:trHeight w:val="207"/>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r>
      <w:tr>
        <w:trPr>
          <w:trHeight w:val="218"/>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Total non-current</w:t>
            </w:r>
          </w:p>
        </w:tc>
        <w:tc>
          <w:tcPr>
            <w:tcW w:w="17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bl>
    <w:p>
      <w:pPr>
        <w:spacing w:after="0" w:line="251"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Deferred expenses mainly comprise prepayments for future expenses of €151.1 million (nil as of December 31, 2022) for the settlement fee of the European Commission to our collaboration partner and prepayments for our collaborations with OncoC4 Inc., Rockville, USA, €22.5 million (nil as of December 31, 2022), Ryvu Therapeutics S.A., Krakau, Poland, €15.7 million (€19.7 million as of December 31, 2022) and Medigene Immunotherapies GmbH, Planegg/Martinsried, €5.1 million (€9.4 million as of December 31, 2022). Prior year deferred expenses mainly comprise service contracts and insurance obligations.</w:t>
      </w:r>
    </w:p>
    <w:p>
      <w:pPr>
        <w:spacing w:after="0" w:line="1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4"/>
          <w:szCs w:val="14"/>
          <w:b w:val="1"/>
          <w:bCs w:val="1"/>
          <w:color w:val="auto"/>
        </w:rPr>
        <w:t>Issued Capital and Reserves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2023, the number of shares outstanding was 237,725,735. This amount excludes 10,826,465 shares held in treasury. For the year ended December 31, 2022, the number of shares outstanding was 243,215,169, excluding 5,337,031 shares held in treasury.</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Capital Transactions During the Year Ended December 31, 2023</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March 2022, our Management Board and Supervisory Board authorized the 2022 share repurchase program of ADSs, pursuant to which we were permitted to repurchase ADSs, each representing one ordinary share, with a value of up to $1.5 billion a two- year period, commencing on May 2, 2022. The first tranche of our 2022 share repurchase program of ADSs, with a value of up to $1.0 billion, concluded on October 10, 2022. The second tranche with a value of up to $0.5 billion commenced on December 7, 2022 and concluded on March 17, 2023.</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repurchases under the programs occurred: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2022 Program first tranche ($1.0 billion)</w:t>
            </w:r>
          </w:p>
        </w:tc>
        <w:tc>
          <w:tcPr>
            <w:tcW w:w="2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6"/>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ADSs purchased</w:t>
            </w:r>
          </w:p>
        </w:tc>
        <w:tc>
          <w:tcPr>
            <w:tcW w:w="2620" w:type="dxa"/>
            <w:vAlign w:val="bottom"/>
            <w:tcBorders>
              <w:bottom w:val="single" w:sz="8" w:color="70AD47"/>
              <w:right w:val="single" w:sz="8" w:color="70AD47"/>
            </w:tcBorders>
            <w:shd w:val="clear" w:color="auto" w:fill="C6E0B4"/>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Average price paid per ADS</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Net amount spent (in millions)</w:t>
            </w:r>
          </w:p>
        </w:tc>
      </w:tr>
      <w:tr>
        <w:trPr>
          <w:trHeight w:val="315"/>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May 2022</w:t>
            </w:r>
          </w:p>
        </w:tc>
        <w:tc>
          <w:tcPr>
            <w:tcW w:w="480" w:type="dxa"/>
            <w:vAlign w:val="bottom"/>
            <w:shd w:val="clear" w:color="auto" w:fill="C6E0B4"/>
          </w:tcPr>
          <w:p>
            <w:pPr>
              <w:spacing w:after="0"/>
              <w:rPr>
                <w:sz w:val="24"/>
                <w:szCs w:val="24"/>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917,988</w:t>
            </w:r>
          </w:p>
        </w:tc>
        <w:tc>
          <w:tcPr>
            <w:tcW w:w="2620" w:type="dxa"/>
            <w:vAlign w:val="bottom"/>
            <w:tcBorders>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$151.76 (€143.99)</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$139.3 (€132.2)</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June 2022</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1,160,219</w:t>
            </w:r>
          </w:p>
        </w:tc>
        <w:tc>
          <w:tcPr>
            <w:tcW w:w="2620" w:type="dxa"/>
            <w:vAlign w:val="bottom"/>
            <w:tcBorders>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$140.82 (€133.35)</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$163.4 (€154.7)</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July 2022</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519,320</w:t>
            </w:r>
          </w:p>
        </w:tc>
        <w:tc>
          <w:tcPr>
            <w:tcW w:w="2620" w:type="dxa"/>
            <w:vAlign w:val="bottom"/>
            <w:tcBorders>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$162.03 (€159.40)</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$84.1 (€82.8</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August 2022</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1,666,515</w:t>
            </w:r>
          </w:p>
        </w:tc>
        <w:tc>
          <w:tcPr>
            <w:tcW w:w="2620" w:type="dxa"/>
            <w:vAlign w:val="bottom"/>
            <w:tcBorders>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$149.08 (€148.24)</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$248.4 (€247.0)</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September 2022</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2,280,988</w:t>
            </w:r>
          </w:p>
        </w:tc>
        <w:tc>
          <w:tcPr>
            <w:tcW w:w="2620" w:type="dxa"/>
            <w:vAlign w:val="bottom"/>
            <w:tcBorders>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$135.95 (€137.66)</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$310.1 (€314.0)</w:t>
            </w:r>
          </w:p>
        </w:tc>
      </w:tr>
      <w:tr>
        <w:trPr>
          <w:trHeight w:val="217"/>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October 2022</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400,483</w:t>
            </w:r>
          </w:p>
        </w:tc>
        <w:tc>
          <w:tcPr>
            <w:tcW w:w="2620" w:type="dxa"/>
            <w:vAlign w:val="bottom"/>
            <w:tcBorders>
              <w:bottom w:val="single" w:sz="8" w:color="70AD47"/>
              <w:right w:val="single" w:sz="8" w:color="70AD47"/>
            </w:tcBorders>
            <w:shd w:val="clear" w:color="auto" w:fill="C6E0B4"/>
          </w:tcPr>
          <w:p>
            <w:pPr>
              <w:ind w:left="1440"/>
              <w:spacing w:after="0"/>
              <w:rPr>
                <w:sz w:val="20"/>
                <w:szCs w:val="20"/>
                <w:color w:val="auto"/>
              </w:rPr>
            </w:pPr>
            <w:r>
              <w:rPr>
                <w:rFonts w:ascii="Times New Roman" w:cs="Times New Roman" w:eastAsia="Times New Roman" w:hAnsi="Times New Roman"/>
                <w:sz w:val="16"/>
                <w:szCs w:val="16"/>
                <w:color w:val="auto"/>
                <w:w w:val="96"/>
              </w:rPr>
              <w:t>$136.37 (€139.09)</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$54.6 (€55.7)</w:t>
            </w:r>
          </w:p>
        </w:tc>
      </w:tr>
      <w:tr>
        <w:trPr>
          <w:trHeight w:val="208"/>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6,945,513</w:t>
            </w:r>
          </w:p>
        </w:tc>
        <w:tc>
          <w:tcPr>
            <w:tcW w:w="2620" w:type="dxa"/>
            <w:vAlign w:val="bottom"/>
            <w:tcBorders>
              <w:bottom w:val="single" w:sz="8" w:color="70AD47"/>
              <w:right w:val="single" w:sz="8" w:color="C6E0B4"/>
            </w:tcBorders>
            <w:shd w:val="clear" w:color="auto" w:fill="C6E0B4"/>
          </w:tcPr>
          <w:p>
            <w:pPr>
              <w:spacing w:after="0"/>
              <w:rPr>
                <w:sz w:val="18"/>
                <w:szCs w:val="18"/>
                <w:color w:val="auto"/>
              </w:rPr>
            </w:pP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$999.9 (€986.4)</w:t>
            </w:r>
          </w:p>
        </w:tc>
      </w:tr>
      <w:tr>
        <w:trPr>
          <w:trHeight w:val="4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2022 Program second tranche ($0.5 billion)</w:t>
            </w:r>
          </w:p>
        </w:tc>
        <w:tc>
          <w:tcPr>
            <w:tcW w:w="2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ADSs purchased</w:t>
            </w:r>
          </w:p>
        </w:tc>
        <w:tc>
          <w:tcPr>
            <w:tcW w:w="2620" w:type="dxa"/>
            <w:vAlign w:val="bottom"/>
            <w:tcBorders>
              <w:bottom w:val="single" w:sz="8" w:color="70AD47"/>
              <w:right w:val="single" w:sz="8" w:color="70AD47"/>
            </w:tcBorders>
            <w:shd w:val="clear" w:color="auto" w:fill="C6E0B4"/>
          </w:tcPr>
          <w:p>
            <w:pPr>
              <w:ind w:left="700"/>
              <w:spacing w:after="0"/>
              <w:rPr>
                <w:sz w:val="20"/>
                <w:szCs w:val="20"/>
                <w:color w:val="auto"/>
              </w:rPr>
            </w:pPr>
            <w:r>
              <w:rPr>
                <w:rFonts w:ascii="Times New Roman" w:cs="Times New Roman" w:eastAsia="Times New Roman" w:hAnsi="Times New Roman"/>
                <w:sz w:val="16"/>
                <w:szCs w:val="16"/>
                <w:b w:val="1"/>
                <w:bCs w:val="1"/>
                <w:color w:val="auto"/>
                <w:w w:val="97"/>
              </w:rPr>
              <w:t>Average price paid per ADS</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Net amount spent (in millions)</w:t>
            </w:r>
          </w:p>
        </w:tc>
      </w:tr>
      <w:tr>
        <w:trPr>
          <w:trHeight w:val="207"/>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January 2023</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618,355</w:t>
            </w:r>
          </w:p>
        </w:tc>
        <w:tc>
          <w:tcPr>
            <w:tcW w:w="2620" w:type="dxa"/>
            <w:vAlign w:val="bottom"/>
            <w:tcBorders>
              <w:right w:val="single" w:sz="8" w:color="70AD47"/>
            </w:tcBorders>
            <w:shd w:val="clear" w:color="auto" w:fill="C6E0B4"/>
          </w:tcPr>
          <w:p>
            <w:pPr>
              <w:ind w:left="1420"/>
              <w:spacing w:after="0"/>
              <w:rPr>
                <w:sz w:val="20"/>
                <w:szCs w:val="20"/>
                <w:color w:val="auto"/>
              </w:rPr>
            </w:pPr>
            <w:r>
              <w:rPr>
                <w:rFonts w:ascii="Times New Roman" w:cs="Times New Roman" w:eastAsia="Times New Roman" w:hAnsi="Times New Roman"/>
                <w:sz w:val="16"/>
                <w:szCs w:val="16"/>
                <w:color w:val="auto"/>
                <w:w w:val="97"/>
              </w:rPr>
              <w:t>$142.26 (€131.12)</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$88.0 (€81.1)</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February 2023</w:t>
            </w:r>
          </w:p>
        </w:tc>
        <w:tc>
          <w:tcPr>
            <w:tcW w:w="480" w:type="dxa"/>
            <w:vAlign w:val="bottom"/>
            <w:shd w:val="clear" w:color="auto" w:fill="C6E0B4"/>
          </w:tcPr>
          <w:p>
            <w:pPr>
              <w:spacing w:after="0"/>
              <w:rPr>
                <w:sz w:val="18"/>
                <w:szCs w:val="18"/>
                <w:color w:val="auto"/>
              </w:rPr>
            </w:pPr>
          </w:p>
        </w:tc>
        <w:tc>
          <w:tcPr>
            <w:tcW w:w="21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857,620</w:t>
            </w:r>
          </w:p>
        </w:tc>
        <w:tc>
          <w:tcPr>
            <w:tcW w:w="2620" w:type="dxa"/>
            <w:vAlign w:val="bottom"/>
            <w:tcBorders>
              <w:right w:val="single" w:sz="8" w:color="70AD47"/>
            </w:tcBorders>
            <w:shd w:val="clear" w:color="auto" w:fill="C6E0B4"/>
          </w:tcPr>
          <w:p>
            <w:pPr>
              <w:ind w:left="1420"/>
              <w:spacing w:after="0"/>
              <w:rPr>
                <w:sz w:val="20"/>
                <w:szCs w:val="20"/>
                <w:color w:val="auto"/>
              </w:rPr>
            </w:pPr>
            <w:r>
              <w:rPr>
                <w:rFonts w:ascii="Times New Roman" w:cs="Times New Roman" w:eastAsia="Times New Roman" w:hAnsi="Times New Roman"/>
                <w:sz w:val="16"/>
                <w:szCs w:val="16"/>
                <w:color w:val="auto"/>
                <w:w w:val="97"/>
              </w:rPr>
              <w:t>$138.05 (€129.06)</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$118.4 (€110.7)</w:t>
            </w:r>
          </w:p>
        </w:tc>
      </w:tr>
      <w:tr>
        <w:trPr>
          <w:trHeight w:val="217"/>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March 2023</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745,196</w:t>
            </w:r>
          </w:p>
        </w:tc>
        <w:tc>
          <w:tcPr>
            <w:tcW w:w="2620" w:type="dxa"/>
            <w:vAlign w:val="bottom"/>
            <w:tcBorders>
              <w:bottom w:val="single" w:sz="8" w:color="70AD47"/>
              <w:right w:val="single" w:sz="8" w:color="70AD47"/>
            </w:tcBorders>
            <w:shd w:val="clear" w:color="auto" w:fill="C6E0B4"/>
          </w:tcPr>
          <w:p>
            <w:pPr>
              <w:ind w:left="1420"/>
              <w:spacing w:after="0"/>
              <w:rPr>
                <w:sz w:val="20"/>
                <w:szCs w:val="20"/>
                <w:color w:val="auto"/>
              </w:rPr>
            </w:pPr>
            <w:r>
              <w:rPr>
                <w:rFonts w:ascii="Times New Roman" w:cs="Times New Roman" w:eastAsia="Times New Roman" w:hAnsi="Times New Roman"/>
                <w:sz w:val="16"/>
                <w:szCs w:val="16"/>
                <w:color w:val="auto"/>
                <w:w w:val="97"/>
              </w:rPr>
              <w:t>$128.49 (€121.08)</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$95.7 (€90.2)</w:t>
            </w:r>
          </w:p>
        </w:tc>
      </w:tr>
      <w:tr>
        <w:trPr>
          <w:trHeight w:val="208"/>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bottom w:val="single" w:sz="8" w:color="70AD47"/>
            </w:tcBorders>
            <w:shd w:val="clear" w:color="auto" w:fill="C6E0B4"/>
          </w:tcPr>
          <w:p>
            <w:pPr>
              <w:spacing w:after="0"/>
              <w:rPr>
                <w:sz w:val="18"/>
                <w:szCs w:val="18"/>
                <w:color w:val="auto"/>
              </w:rPr>
            </w:pPr>
          </w:p>
        </w:tc>
        <w:tc>
          <w:tcPr>
            <w:tcW w:w="21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2,221,171</w:t>
            </w:r>
          </w:p>
        </w:tc>
        <w:tc>
          <w:tcPr>
            <w:tcW w:w="2620" w:type="dxa"/>
            <w:vAlign w:val="bottom"/>
            <w:tcBorders>
              <w:bottom w:val="single" w:sz="8" w:color="70AD47"/>
              <w:right w:val="single" w:sz="8" w:color="C6E0B4"/>
            </w:tcBorders>
            <w:shd w:val="clear" w:color="auto" w:fill="C6E0B4"/>
          </w:tcPr>
          <w:p>
            <w:pPr>
              <w:spacing w:after="0"/>
              <w:rPr>
                <w:sz w:val="18"/>
                <w:szCs w:val="18"/>
                <w:color w:val="auto"/>
              </w:rPr>
            </w:pP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$302.1 (€282.0)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8" w:name="page299"/>
    <w:bookmarkEnd w:id="29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March 2023, our Management Board and Supervisory Board authorized the 2023 share repurchase program, under which we were permitted to purchase ADSs, each representing one ordinary share, with a value of up to $0.5 billion, which started June 2, 2023 and concluded on September 18,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repurchases under the programs occurred: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Program 2023 ($0.5 billion)</w:t>
            </w:r>
          </w:p>
        </w:tc>
        <w:tc>
          <w:tcPr>
            <w:tcW w:w="2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6"/>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ADSs purchased</w:t>
            </w:r>
          </w:p>
        </w:tc>
        <w:tc>
          <w:tcPr>
            <w:tcW w:w="2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paid per ADS</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Net amount spent (in millions)</w:t>
            </w:r>
          </w:p>
        </w:tc>
      </w:tr>
      <w:tr>
        <w:trPr>
          <w:trHeight w:val="207"/>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June 2023</w:t>
            </w:r>
          </w:p>
        </w:tc>
        <w:tc>
          <w:tcPr>
            <w:tcW w:w="26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1,532,685</w:t>
            </w:r>
          </w:p>
        </w:tc>
        <w:tc>
          <w:tcPr>
            <w:tcW w:w="2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$108.92 (€100.45)</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$166.9 (€154.0)</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July 2023</w:t>
            </w:r>
          </w:p>
        </w:tc>
        <w:tc>
          <w:tcPr>
            <w:tcW w:w="26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1,738,061</w:t>
            </w:r>
          </w:p>
        </w:tc>
        <w:tc>
          <w:tcPr>
            <w:tcW w:w="2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$107.92 (€97.57)</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$187.6 (€169.6)</w:t>
            </w:r>
          </w:p>
        </w:tc>
      </w:tr>
      <w:tr>
        <w:trPr>
          <w:trHeight w:val="216"/>
        </w:trPr>
        <w:tc>
          <w:tcPr>
            <w:tcW w:w="26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August 2023</w:t>
            </w:r>
          </w:p>
        </w:tc>
        <w:tc>
          <w:tcPr>
            <w:tcW w:w="26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1,261,706</w:t>
            </w:r>
          </w:p>
        </w:tc>
        <w:tc>
          <w:tcPr>
            <w:tcW w:w="2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$105.07 (€95.85)</w:t>
            </w:r>
          </w:p>
        </w:tc>
        <w:tc>
          <w:tcPr>
            <w:tcW w:w="26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$132.6 (€120.9)</w:t>
            </w:r>
          </w:p>
        </w:tc>
      </w:tr>
      <w:tr>
        <w:trPr>
          <w:trHeight w:val="217"/>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September 2023</w:t>
            </w:r>
          </w:p>
        </w:tc>
        <w:tc>
          <w:tcPr>
            <w:tcW w:w="26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114,513</w:t>
            </w:r>
          </w:p>
        </w:tc>
        <w:tc>
          <w:tcPr>
            <w:tcW w:w="2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$112.22 (€105.07)</w:t>
            </w: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$12.9 (€12.0)</w:t>
            </w:r>
          </w:p>
        </w:tc>
      </w:tr>
      <w:tr>
        <w:trPr>
          <w:trHeight w:val="208"/>
        </w:trPr>
        <w:tc>
          <w:tcPr>
            <w:tcW w:w="26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4,646,965</w:t>
            </w:r>
          </w:p>
        </w:tc>
        <w:tc>
          <w:tcPr>
            <w:tcW w:w="2620" w:type="dxa"/>
            <w:vAlign w:val="bottom"/>
            <w:tcBorders>
              <w:bottom w:val="single" w:sz="8" w:color="70AD47"/>
              <w:right w:val="single" w:sz="8" w:color="C6E0B4"/>
            </w:tcBorders>
            <w:shd w:val="clear" w:color="auto" w:fill="C6E0B4"/>
          </w:tcPr>
          <w:p>
            <w:pPr>
              <w:spacing w:after="0"/>
              <w:rPr>
                <w:sz w:val="18"/>
                <w:szCs w:val="18"/>
                <w:color w:val="auto"/>
              </w:rPr>
            </w:pPr>
          </w:p>
        </w:tc>
        <w:tc>
          <w:tcPr>
            <w:tcW w:w="26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$500.0 (€456.5)</w:t>
            </w:r>
          </w:p>
        </w:tc>
      </w:tr>
    </w:tbl>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Capital Transactions During the Year Ended December 31, 2022</w:t>
      </w:r>
    </w:p>
    <w:p>
      <w:pPr>
        <w:spacing w:after="0" w:line="94" w:lineRule="exact"/>
        <w:rPr>
          <w:sz w:val="20"/>
          <w:szCs w:val="20"/>
          <w:color w:val="auto"/>
        </w:rPr>
      </w:pPr>
    </w:p>
    <w:p>
      <w:pPr>
        <w:jc w:val="both"/>
        <w:ind w:firstLine="384"/>
        <w:spacing w:after="0" w:line="238" w:lineRule="auto"/>
        <w:rPr>
          <w:sz w:val="20"/>
          <w:szCs w:val="20"/>
          <w:color w:val="auto"/>
        </w:rPr>
      </w:pPr>
      <w:r>
        <w:rPr>
          <w:rFonts w:ascii="Times New Roman" w:cs="Times New Roman" w:eastAsia="Times New Roman" w:hAnsi="Times New Roman"/>
          <w:sz w:val="16"/>
          <w:szCs w:val="16"/>
          <w:color w:val="auto"/>
        </w:rPr>
        <w:t>In January 2022, we announced a new research, development and commercialization collaboration with Pfizer to develop potentially the first mRNA-based vaccine for the prevention of shingles (herpes zoster virus, or HZV). In connection with this collaboration, Pfizer agreed to make an equity investment in us, acquiring 497,727 ordinary shares paying a total amount of €110.6 million. The issuance of 497,727 ordinary shares with the nominal amount of €0.5 million was registered with the commercial register (</w:t>
      </w:r>
      <w:r>
        <w:rPr>
          <w:rFonts w:ascii="Times New Roman" w:cs="Times New Roman" w:eastAsia="Times New Roman" w:hAnsi="Times New Roman"/>
          <w:sz w:val="16"/>
          <w:szCs w:val="16"/>
          <w:i w:val="1"/>
          <w:iCs w:val="1"/>
          <w:color w:val="auto"/>
        </w:rPr>
        <w:t>Handelsregister</w:t>
      </w:r>
      <w:r>
        <w:rPr>
          <w:rFonts w:ascii="Times New Roman" w:cs="Times New Roman" w:eastAsia="Times New Roman" w:hAnsi="Times New Roman"/>
          <w:sz w:val="16"/>
          <w:szCs w:val="16"/>
          <w:color w:val="auto"/>
        </w:rPr>
        <w:t xml:space="preserve"> ) on March 24, 2022. The equity investment, which was issued in a foreign currency, represents a derivative from the date of signing until the date of closing of the transaction. From the fair value measurement of this derivative, €43.0 million were recognized in finance income in our consolidated statements of profit or loss during the year ended December 31, 2022. At the closing date, in February 2022, this derivative and the agreed investment amount were recognized in our capital reserve and, taking an increase in share capital of €0.5 million into account, led to a net increase of the capital reserve of €67.1 million in our consolidated statements of financial position.</w:t>
      </w:r>
    </w:p>
    <w:p>
      <w:pPr>
        <w:spacing w:after="0" w:line="173"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In March 2022, we redeemed our convertible note by exercising our early redemption option (see Note 12), which was fulfilled in April 2022, by issuing 1,744,392 ordinary shares. The nominal amount of €1.8 million was recorded in share capital and, finally, as a result of the transaction, the capital reserve increased by €233.2 million in our consolidated statements of financial position. The declaratory registration with the commercial register (</w:t>
      </w:r>
      <w:r>
        <w:rPr>
          <w:rFonts w:ascii="Times New Roman" w:cs="Times New Roman" w:eastAsia="Times New Roman" w:hAnsi="Times New Roman"/>
          <w:sz w:val="16"/>
          <w:szCs w:val="16"/>
          <w:i w:val="1"/>
          <w:iCs w:val="1"/>
          <w:color w:val="auto"/>
        </w:rPr>
        <w:t>Handelsregister</w:t>
      </w:r>
      <w:r>
        <w:rPr>
          <w:rFonts w:ascii="Times New Roman" w:cs="Times New Roman" w:eastAsia="Times New Roman" w:hAnsi="Times New Roman"/>
          <w:sz w:val="16"/>
          <w:szCs w:val="16"/>
          <w:color w:val="auto"/>
        </w:rPr>
        <w:t>) was made on May 20, 2022.</w:t>
      </w:r>
    </w:p>
    <w:p>
      <w:pPr>
        <w:spacing w:after="0" w:line="16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June 2022, at the Annual General Meeting, our shareholders approved the proposed special cash dividend of €2.00 per ordinary share (including those held in the form of ADSs), which led to an aggregate payment of €484.3 million.</w:t>
      </w:r>
    </w:p>
    <w:p>
      <w:pPr>
        <w:spacing w:after="0" w:line="155"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November and December 2022, the ESOP 2018 and LTI-plus awards were settled by transferring ordinary shares previously held in treasury to the entitled employees and Management Board members (see Note 16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9" w:name="page300"/>
    <w:bookmarkEnd w:id="29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4"/>
          <w:szCs w:val="14"/>
          <w:b w:val="1"/>
          <w:bCs w:val="1"/>
          <w:color w:val="auto"/>
        </w:rPr>
        <w:t>Share-Based Payments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80" w:type="dxa"/>
            <w:vAlign w:val="bottom"/>
            <w:gridSpan w:val="4"/>
          </w:tcPr>
          <w:p>
            <w:pPr>
              <w:jc w:val="right"/>
              <w:ind w:right="422"/>
              <w:spacing w:after="0"/>
              <w:rPr>
                <w:sz w:val="20"/>
                <w:szCs w:val="20"/>
                <w:color w:val="auto"/>
              </w:rPr>
            </w:pPr>
            <w:r>
              <w:rPr>
                <w:rFonts w:ascii="Times New Roman" w:cs="Times New Roman" w:eastAsia="Times New Roman" w:hAnsi="Times New Roman"/>
                <w:sz w:val="16"/>
                <w:szCs w:val="16"/>
                <w:color w:val="auto"/>
              </w:rPr>
              <w:t>During the years ended December 31, 2023, 2022, and 2021, our share-based payment arrangements led to the following expenses: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580" w:type="dxa"/>
            <w:vAlign w:val="bottom"/>
            <w:tcBorders>
              <w:bottom w:val="single" w:sz="8" w:color="70AD47"/>
              <w:right w:val="single" w:sz="8" w:color="70AD47"/>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5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arising from equity-settled share-based payment arrangements</w:t>
            </w:r>
          </w:p>
        </w:tc>
        <w:tc>
          <w:tcPr>
            <w:tcW w:w="580" w:type="dxa"/>
            <w:vAlign w:val="bottom"/>
            <w:tcBorders>
              <w:right w:val="single" w:sz="8" w:color="70AD47"/>
            </w:tcBorders>
          </w:tcPr>
          <w:p>
            <w:pPr>
              <w:spacing w:after="0"/>
              <w:rPr>
                <w:sz w:val="18"/>
                <w:szCs w:val="18"/>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Employee Stock Ownership Plan</w:t>
            </w:r>
          </w:p>
        </w:tc>
        <w:tc>
          <w:tcPr>
            <w:tcW w:w="580" w:type="dxa"/>
            <w:vAlign w:val="bottom"/>
            <w:tcBorders>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16.5</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13.8</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20.2</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Grant</w:t>
            </w:r>
          </w:p>
        </w:tc>
        <w:tc>
          <w:tcPr>
            <w:tcW w:w="580" w:type="dxa"/>
            <w:vAlign w:val="bottom"/>
            <w:tcBorders>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16.4</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3.1</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5.9</w:t>
            </w:r>
          </w:p>
        </w:tc>
        <w:tc>
          <w:tcPr>
            <w:tcW w:w="0" w:type="dxa"/>
            <w:vAlign w:val="bottom"/>
          </w:tcPr>
          <w:p>
            <w:pPr>
              <w:spacing w:after="0"/>
              <w:rPr>
                <w:sz w:val="1"/>
                <w:szCs w:val="1"/>
                <w:color w:val="auto"/>
              </w:rPr>
            </w:pPr>
          </w:p>
        </w:tc>
      </w:tr>
      <w:tr>
        <w:trPr>
          <w:trHeight w:val="227"/>
        </w:trPr>
        <w:tc>
          <w:tcPr>
            <w:tcW w:w="5480" w:type="dxa"/>
            <w:vAlign w:val="bottom"/>
          </w:tcPr>
          <w:p>
            <w:pPr>
              <w:ind w:left="120"/>
              <w:spacing w:after="0" w:line="227" w:lineRule="exact"/>
              <w:rPr>
                <w:sz w:val="20"/>
                <w:szCs w:val="20"/>
                <w:color w:val="auto"/>
              </w:rPr>
            </w:pPr>
            <w:r>
              <w:rPr>
                <w:rFonts w:ascii="Times New Roman" w:cs="Times New Roman" w:eastAsia="Times New Roman" w:hAnsi="Times New Roman"/>
                <w:sz w:val="16"/>
                <w:szCs w:val="16"/>
                <w:i w:val="1"/>
                <w:iCs w:val="1"/>
                <w:color w:val="auto"/>
              </w:rPr>
              <w:t>Management Board Grant</w:t>
            </w:r>
            <w:r>
              <w:rPr>
                <w:rFonts w:ascii="Times New Roman" w:cs="Times New Roman" w:eastAsia="Times New Roman" w:hAnsi="Times New Roman"/>
                <w:sz w:val="21"/>
                <w:szCs w:val="21"/>
                <w:i w:val="1"/>
                <w:iCs w:val="1"/>
                <w:color w:val="auto"/>
                <w:vertAlign w:val="superscript"/>
              </w:rPr>
              <w:t>(1)</w:t>
            </w:r>
          </w:p>
        </w:tc>
        <w:tc>
          <w:tcPr>
            <w:tcW w:w="580" w:type="dxa"/>
            <w:vAlign w:val="bottom"/>
            <w:tcBorders>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16.3</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3.2</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4.3</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w:t>
            </w: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w w:val="98"/>
              </w:rPr>
              <w:t>BioNTech 2020 Employee Equity Plan for Employees Based Outside North America</w:t>
            </w:r>
          </w:p>
        </w:tc>
        <w:tc>
          <w:tcPr>
            <w:tcW w:w="580" w:type="dxa"/>
            <w:vAlign w:val="bottom"/>
            <w:tcBorders>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16.1</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36.3</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25.3</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32.5</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line="229" w:lineRule="exact"/>
              <w:rPr>
                <w:sz w:val="20"/>
                <w:szCs w:val="20"/>
                <w:color w:val="auto"/>
              </w:rPr>
            </w:pPr>
            <w:r>
              <w:rPr>
                <w:rFonts w:ascii="Times New Roman" w:cs="Times New Roman" w:eastAsia="Times New Roman" w:hAnsi="Times New Roman"/>
                <w:sz w:val="16"/>
                <w:szCs w:val="16"/>
                <w:i w:val="1"/>
                <w:iCs w:val="1"/>
                <w:color w:val="auto"/>
              </w:rPr>
              <w:t>InstaDeep Employee Incentive Plan</w:t>
            </w:r>
            <w:r>
              <w:rPr>
                <w:rFonts w:ascii="Times New Roman" w:cs="Times New Roman" w:eastAsia="Times New Roman" w:hAnsi="Times New Roman"/>
                <w:sz w:val="21"/>
                <w:szCs w:val="21"/>
                <w:i w:val="1"/>
                <w:iCs w:val="1"/>
                <w:color w:val="auto"/>
                <w:vertAlign w:val="superscript"/>
              </w:rPr>
              <w:t>(2)</w:t>
            </w:r>
          </w:p>
        </w:tc>
        <w:tc>
          <w:tcPr>
            <w:tcW w:w="580" w:type="dxa"/>
            <w:vAlign w:val="bottom"/>
            <w:tcBorders>
              <w:right w:val="single" w:sz="8" w:color="70AD47"/>
            </w:tcBorders>
          </w:tcPr>
          <w:p>
            <w:pPr>
              <w:spacing w:after="0"/>
              <w:rPr>
                <w:sz w:val="19"/>
                <w:szCs w:val="19"/>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3.4</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 (Income) arising from cash-settled share-based payment arrangements</w:t>
            </w:r>
          </w:p>
        </w:tc>
        <w:tc>
          <w:tcPr>
            <w:tcW w:w="580" w:type="dxa"/>
            <w:vAlign w:val="bottom"/>
            <w:tcBorders>
              <w:right w:val="single" w:sz="8" w:color="70AD47"/>
            </w:tcBorders>
          </w:tcPr>
          <w:p>
            <w:pPr>
              <w:spacing w:after="0"/>
              <w:rPr>
                <w:sz w:val="17"/>
                <w:szCs w:val="17"/>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Employee Stock Ownership Plan</w:t>
            </w:r>
          </w:p>
        </w:tc>
        <w:tc>
          <w:tcPr>
            <w:tcW w:w="580" w:type="dxa"/>
            <w:vAlign w:val="bottom"/>
            <w:tcBorders>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16.5</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(0.9)</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53.4</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6.3</w:t>
            </w:r>
          </w:p>
        </w:tc>
        <w:tc>
          <w:tcPr>
            <w:tcW w:w="0" w:type="dxa"/>
            <w:vAlign w:val="bottom"/>
          </w:tcPr>
          <w:p>
            <w:pPr>
              <w:spacing w:after="0"/>
              <w:rPr>
                <w:sz w:val="1"/>
                <w:szCs w:val="1"/>
                <w:color w:val="auto"/>
              </w:rPr>
            </w:pPr>
          </w:p>
        </w:tc>
      </w:tr>
      <w:tr>
        <w:trPr>
          <w:trHeight w:val="181"/>
        </w:trPr>
        <w:tc>
          <w:tcPr>
            <w:tcW w:w="54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i w:val="1"/>
                <w:iCs w:val="1"/>
                <w:color w:val="auto"/>
              </w:rPr>
              <w:t>Management Board Grant</w:t>
            </w:r>
            <w:r>
              <w:rPr>
                <w:rFonts w:ascii="Times New Roman" w:cs="Times New Roman" w:eastAsia="Times New Roman" w:hAnsi="Times New Roman"/>
                <w:sz w:val="21"/>
                <w:szCs w:val="21"/>
                <w:i w:val="1"/>
                <w:iCs w:val="1"/>
                <w:color w:val="auto"/>
                <w:vertAlign w:val="superscript"/>
              </w:rPr>
              <w:t>(1)</w:t>
            </w:r>
          </w:p>
        </w:tc>
        <w:tc>
          <w:tcPr>
            <w:tcW w:w="580" w:type="dxa"/>
            <w:vAlign w:val="bottom"/>
            <w:tcBorders>
              <w:right w:val="single" w:sz="8" w:color="70AD47"/>
            </w:tcBorders>
          </w:tcPr>
          <w:p>
            <w:pPr>
              <w:jc w:val="center"/>
              <w:ind w:right="22"/>
              <w:spacing w:after="0" w:line="181" w:lineRule="exact"/>
              <w:rPr>
                <w:sz w:val="20"/>
                <w:szCs w:val="20"/>
                <w:color w:val="auto"/>
              </w:rPr>
            </w:pPr>
            <w:r>
              <w:rPr>
                <w:rFonts w:ascii="Times New Roman" w:cs="Times New Roman" w:eastAsia="Times New Roman" w:hAnsi="Times New Roman"/>
                <w:sz w:val="16"/>
                <w:szCs w:val="16"/>
                <w:color w:val="auto"/>
                <w:w w:val="99"/>
              </w:rPr>
              <w:t>16.2,</w:t>
            </w:r>
          </w:p>
        </w:tc>
        <w:tc>
          <w:tcPr>
            <w:tcW w:w="150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(2.4)</w:t>
            </w:r>
          </w:p>
        </w:tc>
        <w:tc>
          <w:tcPr>
            <w:tcW w:w="152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50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3.6</w:t>
            </w:r>
          </w:p>
        </w:tc>
        <w:tc>
          <w:tcPr>
            <w:tcW w:w="0" w:type="dxa"/>
            <w:vAlign w:val="bottom"/>
          </w:tcPr>
          <w:p>
            <w:pPr>
              <w:spacing w:after="0"/>
              <w:rPr>
                <w:sz w:val="1"/>
                <w:szCs w:val="1"/>
                <w:color w:val="auto"/>
              </w:rPr>
            </w:pPr>
          </w:p>
        </w:tc>
      </w:tr>
      <w:tr>
        <w:trPr>
          <w:trHeight w:val="157"/>
        </w:trPr>
        <w:tc>
          <w:tcPr>
            <w:tcW w:w="5480" w:type="dxa"/>
            <w:vAlign w:val="bottom"/>
            <w:vMerge w:val="continue"/>
          </w:tcPr>
          <w:p>
            <w:pPr>
              <w:spacing w:after="0"/>
              <w:rPr>
                <w:sz w:val="13"/>
                <w:szCs w:val="13"/>
                <w:color w:val="auto"/>
              </w:rPr>
            </w:pPr>
          </w:p>
        </w:tc>
        <w:tc>
          <w:tcPr>
            <w:tcW w:w="580" w:type="dxa"/>
            <w:vAlign w:val="bottom"/>
            <w:tcBorders>
              <w:right w:val="single" w:sz="8" w:color="70AD47"/>
            </w:tcBorders>
            <w:vMerge w:val="restart"/>
          </w:tcPr>
          <w:p>
            <w:pPr>
              <w:jc w:val="center"/>
              <w:ind w:right="22"/>
              <w:spacing w:after="0"/>
              <w:rPr>
                <w:sz w:val="20"/>
                <w:szCs w:val="20"/>
                <w:color w:val="auto"/>
              </w:rPr>
            </w:pPr>
            <w:r>
              <w:rPr>
                <w:rFonts w:ascii="Times New Roman" w:cs="Times New Roman" w:eastAsia="Times New Roman" w:hAnsi="Times New Roman"/>
                <w:sz w:val="16"/>
                <w:szCs w:val="16"/>
                <w:color w:val="auto"/>
                <w:w w:val="99"/>
              </w:rPr>
              <w:t>16.3</w:t>
            </w:r>
          </w:p>
        </w:tc>
        <w:tc>
          <w:tcPr>
            <w:tcW w:w="1500" w:type="dxa"/>
            <w:vAlign w:val="bottom"/>
            <w:tcBorders>
              <w:right w:val="single" w:sz="8" w:color="70AD47"/>
            </w:tcBorders>
            <w:vMerge w:val="continue"/>
            <w:shd w:val="clear" w:color="auto" w:fill="C6E0B4"/>
          </w:tcPr>
          <w:p>
            <w:pPr>
              <w:spacing w:after="0"/>
              <w:rPr>
                <w:sz w:val="13"/>
                <w:szCs w:val="13"/>
                <w:color w:val="auto"/>
              </w:rPr>
            </w:pPr>
          </w:p>
        </w:tc>
        <w:tc>
          <w:tcPr>
            <w:tcW w:w="1520" w:type="dxa"/>
            <w:vAlign w:val="bottom"/>
            <w:tcBorders>
              <w:right w:val="single" w:sz="8" w:color="70AD47"/>
            </w:tcBorders>
            <w:vMerge w:val="continue"/>
          </w:tcPr>
          <w:p>
            <w:pPr>
              <w:spacing w:after="0"/>
              <w:rPr>
                <w:sz w:val="13"/>
                <w:szCs w:val="13"/>
                <w:color w:val="auto"/>
              </w:rPr>
            </w:pPr>
          </w:p>
        </w:tc>
        <w:tc>
          <w:tcPr>
            <w:tcW w:w="1500" w:type="dxa"/>
            <w:vAlign w:val="bottom"/>
            <w:tcBorders>
              <w:right w:val="single" w:sz="8" w:color="70AD47"/>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580" w:type="dxa"/>
            <w:vAlign w:val="bottom"/>
            <w:tcBorders>
              <w:right w:val="single" w:sz="8" w:color="70AD47"/>
            </w:tcBorders>
            <w:vMerge w:val="continue"/>
          </w:tcPr>
          <w:p>
            <w:pPr>
              <w:spacing w:after="0"/>
              <w:rPr>
                <w:sz w:val="4"/>
                <w:szCs w:val="4"/>
                <w:color w:val="auto"/>
              </w:rPr>
            </w:pPr>
          </w:p>
        </w:tc>
        <w:tc>
          <w:tcPr>
            <w:tcW w:w="1500" w:type="dxa"/>
            <w:vAlign w:val="bottom"/>
            <w:tcBorders>
              <w:right w:val="single" w:sz="8" w:color="70AD47"/>
            </w:tcBorders>
            <w:shd w:val="clear" w:color="auto" w:fill="C6E0B4"/>
          </w:tcPr>
          <w:p>
            <w:pPr>
              <w:spacing w:after="0"/>
              <w:rPr>
                <w:sz w:val="4"/>
                <w:szCs w:val="4"/>
                <w:color w:val="auto"/>
              </w:rPr>
            </w:pPr>
          </w:p>
        </w:tc>
        <w:tc>
          <w:tcPr>
            <w:tcW w:w="1520" w:type="dxa"/>
            <w:vAlign w:val="bottom"/>
            <w:tcBorders>
              <w:right w:val="single" w:sz="8" w:color="70AD47"/>
            </w:tcBorders>
          </w:tcPr>
          <w:p>
            <w:pPr>
              <w:spacing w:after="0"/>
              <w:rPr>
                <w:sz w:val="4"/>
                <w:szCs w:val="4"/>
                <w:color w:val="auto"/>
              </w:rPr>
            </w:pPr>
          </w:p>
        </w:tc>
        <w:tc>
          <w:tcPr>
            <w:tcW w:w="1500" w:type="dxa"/>
            <w:vAlign w:val="bottom"/>
            <w:tcBorders>
              <w:right w:val="single" w:sz="8" w:color="70AD47"/>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70AD47"/>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BioNTech Restricted Stock Unit Plan for North America Employees</w:t>
            </w:r>
          </w:p>
        </w:tc>
        <w:tc>
          <w:tcPr>
            <w:tcW w:w="580" w:type="dxa"/>
            <w:vAlign w:val="bottom"/>
            <w:tcBorders>
              <w:bottom w:val="single" w:sz="8" w:color="70AD47"/>
              <w:right w:val="single" w:sz="8" w:color="70AD47"/>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16.1</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10.6</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8.1</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22.8</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51.4</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580" w:type="dxa"/>
            <w:vAlign w:val="bottom"/>
            <w:tcBorders>
              <w:right w:val="single" w:sz="8" w:color="70AD47"/>
            </w:tcBorders>
          </w:tcPr>
          <w:p>
            <w:pPr>
              <w:spacing w:after="0"/>
              <w:rPr>
                <w:sz w:val="18"/>
                <w:szCs w:val="18"/>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80" w:type="dxa"/>
            <w:vAlign w:val="bottom"/>
            <w:tcBorders>
              <w:right w:val="single" w:sz="8" w:color="70AD47"/>
            </w:tcBorders>
          </w:tcPr>
          <w:p>
            <w:pPr>
              <w:spacing w:after="0"/>
              <w:rPr>
                <w:sz w:val="18"/>
                <w:szCs w:val="18"/>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580" w:type="dxa"/>
            <w:vAlign w:val="bottom"/>
            <w:tcBorders>
              <w:right w:val="single" w:sz="8" w:color="70AD47"/>
            </w:tcBorders>
          </w:tcPr>
          <w:p>
            <w:pPr>
              <w:spacing w:after="0"/>
              <w:rPr>
                <w:sz w:val="18"/>
                <w:szCs w:val="18"/>
                <w:color w:val="auto"/>
              </w:rPr>
            </w:pP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8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Borders>
              <w:bottom w:val="single" w:sz="8" w:color="70AD47"/>
              <w:right w:val="single" w:sz="8" w:color="70AD47"/>
            </w:tcBorders>
          </w:tcPr>
          <w:p>
            <w:pPr>
              <w:spacing w:after="0"/>
              <w:rPr>
                <w:sz w:val="18"/>
                <w:szCs w:val="18"/>
                <w:color w:val="auto"/>
              </w:rPr>
            </w:pP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51.4</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240" w:hanging="234"/>
        <w:spacing w:after="0" w:line="236" w:lineRule="auto"/>
        <w:tabs>
          <w:tab w:leader="none" w:pos="253" w:val="left"/>
        </w:tabs>
        <w:numPr>
          <w:ilvl w:val="0"/>
          <w:numId w:val="19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May 2021 and 2022, phantom options were granted under the Management Board Grant for the years 2021 and 2022 which led to a modification from an equity-settled to cash-settled share-based payment arrangement and a reclassification of €1.1 million and €3.3 million between equity and non-current other liabilities, respectively. Expenses incurred before and after the modification dates have been disclosed as equity-settled or cash-settled share-based payment arrangement, respectively. The amount includes expenses incurred with respect to a one-time signing bonus granted to Jens Holstein as of his appointment to the Management Board (see Note 21.2).</w:t>
      </w:r>
    </w:p>
    <w:p>
      <w:pPr>
        <w:spacing w:after="0" w:line="30" w:lineRule="exact"/>
        <w:rPr>
          <w:rFonts w:ascii="Times New Roman" w:cs="Times New Roman" w:eastAsia="Times New Roman" w:hAnsi="Times New Roman"/>
          <w:sz w:val="19"/>
          <w:szCs w:val="19"/>
          <w:color w:val="auto"/>
          <w:vertAlign w:val="superscript"/>
        </w:rPr>
      </w:pPr>
    </w:p>
    <w:p>
      <w:pPr>
        <w:jc w:val="both"/>
        <w:ind w:left="240" w:right="20" w:hanging="234"/>
        <w:spacing w:after="0" w:line="236" w:lineRule="auto"/>
        <w:tabs>
          <w:tab w:leader="none" w:pos="242" w:val="left"/>
        </w:tabs>
        <w:numPr>
          <w:ilvl w:val="0"/>
          <w:numId w:val="19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part of the acquisition of InstaDeep (see Note 5), it was agreed to issue long-term equity awards with a total target incentive value of £15.0 million, each for options and RSUs. The allocation shall be made in a manner consistent with BioNTech's existing share-based payment arrangements. The arrangement was communicated to the employees as part of the acquisition but relates to future services. Following the rules of IFRS 2, starting with the service commencement date during the year ended December 31, 2023 and in advance of the grant date, expenses were recorded based on the estimated grant date fair values and numbers of equity instruments.</w:t>
      </w:r>
    </w:p>
    <w:p>
      <w:pPr>
        <w:spacing w:after="0" w:line="174"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During the years ended December 31, 2023, 2022 and 2021, our share -based payment arrangements led to a cash outflow of €766.2 million, € 51.8 million and €13.4 million, respectively. We expect to settle the equity- settled share-based payment arrangements of our 2020 Management Board Grant (see Note 16.3), the Chief Executive Officer Grant (see Note 16.4) and the Employee Stock Ownership Plan (see Note 16.5) on a net basis by delivering to the participant a number of ADSs equal to the net value of the exercised option rights after deduction of (i) the exercise price and (ii) the applicable wage taxes (including solidarity surcharge thereon and church tax, if applicable) and social security contributions resulting from such exercise. This reduces the dilutive impact of the respective rights compared to an all-equity settlement. If all of the equity-settled rights outstanding as of December 31, 2023, were to be exercised accordingly, the cash outflow to the tax authority in 2024 would amount to approximately €213.0 million (based on the share price as of December 31, 2023).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0" w:name="page301"/>
    <w:bookmarkEnd w:id="30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16.1</w:t>
      </w:r>
      <w:r>
        <w:rPr>
          <w:sz w:val="20"/>
          <w:szCs w:val="20"/>
          <w:color w:val="auto"/>
        </w:rPr>
        <w:tab/>
      </w:r>
      <w:r>
        <w:rPr>
          <w:rFonts w:ascii="Times New Roman" w:cs="Times New Roman" w:eastAsia="Times New Roman" w:hAnsi="Times New Roman"/>
          <w:sz w:val="14"/>
          <w:szCs w:val="14"/>
          <w:b w:val="1"/>
          <w:bCs w:val="1"/>
          <w:color w:val="auto"/>
        </w:rPr>
        <w:t>BioNTech Employee Equity Plan</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BioNTech 2020 Employee Equity Plan for Employees Based Outside North America (Equity-Settled)</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Description of Share-Based Payments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December 2020, we approved the BioNTech 2020 Employee Equity Plan for employees based outside North America, or the European Plan. Under the European Plan, Restricted Stock Units, or RSUs, are offered to our employees.</w:t>
      </w:r>
    </w:p>
    <w:p>
      <w:pPr>
        <w:spacing w:after="0" w:line="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Award agreements were entered as of the respective grant dates in February 2021 (LTI 2020 and LTI -plus program), January 2022 (LTI 2021 program) and December 2022 (LTI 2022 program). RSUs issued under the LTI 2020, LTI 2021 and LTI 2022 programs vest annually in equal installments over respective waiting periods of four years, commencing in December 2020, December 2021 and December 2022, respectively. RSUs issued under the LTI-plus program vested annually in equal installments over the waiting period of two years, which elapsed in December 2022. Hence, during the year ended December 31, 2022, the LTI-plus awards were settled by transferring shares previously held in treasury, see Note 15. All programs were classified as equity-settled as we have the ability to determine the method of settlement.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Measurement of Fair Values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values of the awards issued under the European Plan were based upon the price of our ADSs representing ordinary shares at the grant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Reconciliation of Outstanding Share-Options</w:t>
            </w: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6"/>
        </w:trPr>
        <w:tc>
          <w:tcPr>
            <w:tcW w:w="4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5"/>
        </w:trPr>
        <w:tc>
          <w:tcPr>
            <w:tcW w:w="4200" w:type="dxa"/>
            <w:vAlign w:val="bottom"/>
            <w:tcBorders>
              <w:bottom w:val="single" w:sz="8" w:color="70AD47"/>
              <w:right w:val="single" w:sz="8" w:color="70AD47"/>
            </w:tcBorders>
          </w:tcPr>
          <w:p>
            <w:pPr>
              <w:spacing w:after="0"/>
              <w:rPr>
                <w:sz w:val="18"/>
                <w:szCs w:val="18"/>
                <w:color w:val="auto"/>
              </w:rPr>
            </w:pP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LTI-plus program</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2020 program</w:t>
            </w:r>
          </w:p>
        </w:tc>
        <w:tc>
          <w:tcPr>
            <w:tcW w:w="15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2021 program</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2022 program</w:t>
            </w:r>
          </w:p>
        </w:tc>
      </w:tr>
      <w:tr>
        <w:trPr>
          <w:trHeight w:val="207"/>
        </w:trPr>
        <w:tc>
          <w:tcPr>
            <w:tcW w:w="42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 of January 1, 2022</w:t>
            </w:r>
          </w:p>
        </w:tc>
        <w:tc>
          <w:tcPr>
            <w:tcW w:w="16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372,011</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242,416</w:t>
            </w:r>
          </w:p>
        </w:tc>
        <w:tc>
          <w:tcPr>
            <w:tcW w:w="152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110,036</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Forfeited / Modified</w:t>
            </w:r>
          </w:p>
        </w:tc>
        <w:tc>
          <w:tcPr>
            <w:tcW w:w="16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152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Granted / Allocated</w:t>
            </w:r>
          </w:p>
        </w:tc>
        <w:tc>
          <w:tcPr>
            <w:tcW w:w="16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396,110</w:t>
            </w:r>
          </w:p>
        </w:tc>
      </w:tr>
      <w:tr>
        <w:trPr>
          <w:trHeight w:val="218"/>
        </w:trPr>
        <w:tc>
          <w:tcPr>
            <w:tcW w:w="4200" w:type="dxa"/>
            <w:vAlign w:val="bottom"/>
            <w:tcBorders>
              <w:bottom w:val="single" w:sz="8" w:color="70AD47"/>
              <w:right w:val="single" w:sz="8" w:color="70AD47"/>
            </w:tcBorders>
          </w:tcPr>
          <w:p>
            <w:pPr>
              <w:ind w:left="20"/>
              <w:spacing w:after="0" w:line="218" w:lineRule="exact"/>
              <w:rPr>
                <w:sz w:val="20"/>
                <w:szCs w:val="20"/>
                <w:color w:val="auto"/>
              </w:rPr>
            </w:pPr>
            <w:r>
              <w:rPr>
                <w:rFonts w:ascii="Times New Roman" w:cs="Times New Roman" w:eastAsia="Times New Roman" w:hAnsi="Times New Roman"/>
                <w:sz w:val="16"/>
                <w:szCs w:val="16"/>
                <w:color w:val="auto"/>
              </w:rPr>
              <w:t>Settled</w:t>
            </w:r>
            <w:r>
              <w:rPr>
                <w:rFonts w:ascii="Times New Roman" w:cs="Times New Roman" w:eastAsia="Times New Roman" w:hAnsi="Times New Roman"/>
                <w:sz w:val="21"/>
                <w:szCs w:val="21"/>
                <w:color w:val="auto"/>
                <w:vertAlign w:val="superscript"/>
              </w:rPr>
              <w:t>(1)</w:t>
            </w: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(364,079)</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70AD47"/>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70AD47"/>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2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235,305</w:t>
            </w:r>
          </w:p>
        </w:tc>
        <w:tc>
          <w:tcPr>
            <w:tcW w:w="1520" w:type="dxa"/>
            <w:vAlign w:val="bottom"/>
            <w:tcBorders>
              <w:bottom w:val="single" w:sz="8" w:color="70AD47"/>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104,608</w:t>
            </w:r>
          </w:p>
        </w:tc>
        <w:tc>
          <w:tcPr>
            <w:tcW w:w="1560" w:type="dxa"/>
            <w:vAlign w:val="bottom"/>
            <w:tcBorders>
              <w:bottom w:val="single" w:sz="8" w:color="70AD47"/>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396,110</w:t>
            </w:r>
          </w:p>
        </w:tc>
      </w:tr>
      <w:tr>
        <w:trPr>
          <w:trHeight w:val="207"/>
        </w:trPr>
        <w:tc>
          <w:tcPr>
            <w:tcW w:w="42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 of January 1, 2023</w:t>
            </w:r>
          </w:p>
        </w:tc>
        <w:tc>
          <w:tcPr>
            <w:tcW w:w="16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235,305</w:t>
            </w:r>
          </w:p>
        </w:tc>
        <w:tc>
          <w:tcPr>
            <w:tcW w:w="152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104,608</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396,110</w:t>
            </w:r>
          </w:p>
        </w:tc>
      </w:tr>
      <w:tr>
        <w:trPr>
          <w:trHeight w:val="217"/>
        </w:trPr>
        <w:tc>
          <w:tcPr>
            <w:tcW w:w="42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Forfeited / Modified</w:t>
            </w: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5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(16,141)</w:t>
            </w:r>
          </w:p>
        </w:tc>
      </w:tr>
      <w:tr>
        <w:trPr>
          <w:trHeight w:val="208"/>
        </w:trPr>
        <w:tc>
          <w:tcPr>
            <w:tcW w:w="42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230,905</w:t>
            </w:r>
          </w:p>
        </w:tc>
        <w:tc>
          <w:tcPr>
            <w:tcW w:w="1520" w:type="dxa"/>
            <w:vAlign w:val="bottom"/>
            <w:tcBorders>
              <w:bottom w:val="single" w:sz="8" w:color="70AD47"/>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101,111</w:t>
            </w:r>
          </w:p>
        </w:tc>
        <w:tc>
          <w:tcPr>
            <w:tcW w:w="1560" w:type="dxa"/>
            <w:vAlign w:val="bottom"/>
            <w:tcBorders>
              <w:bottom w:val="single" w:sz="8" w:color="70AD47"/>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379,969</w:t>
            </w:r>
          </w:p>
        </w:tc>
      </w:tr>
      <w:tr>
        <w:trPr>
          <w:trHeight w:val="207"/>
        </w:trPr>
        <w:tc>
          <w:tcPr>
            <w:tcW w:w="42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vested</w:t>
            </w:r>
          </w:p>
        </w:tc>
        <w:tc>
          <w:tcPr>
            <w:tcW w:w="16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175,523</w:t>
            </w:r>
          </w:p>
        </w:tc>
        <w:tc>
          <w:tcPr>
            <w:tcW w:w="1520" w:type="dxa"/>
            <w:vAlign w:val="bottom"/>
            <w:tcBorders>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i w:val="1"/>
                <w:iCs w:val="1"/>
                <w:color w:val="auto"/>
              </w:rPr>
              <w:t>51,905</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96,466</w:t>
            </w:r>
          </w:p>
        </w:tc>
      </w:tr>
      <w:tr>
        <w:trPr>
          <w:trHeight w:val="217"/>
        </w:trPr>
        <w:tc>
          <w:tcPr>
            <w:tcW w:w="42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unvested</w:t>
            </w:r>
          </w:p>
        </w:tc>
        <w:tc>
          <w:tcPr>
            <w:tcW w:w="16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55,382</w:t>
            </w:r>
          </w:p>
        </w:tc>
        <w:tc>
          <w:tcPr>
            <w:tcW w:w="1520" w:type="dxa"/>
            <w:vAlign w:val="bottom"/>
            <w:tcBorders>
              <w:bottom w:val="single" w:sz="8" w:color="70AD47"/>
              <w:right w:val="single" w:sz="8" w:color="70AD47"/>
            </w:tcBorders>
            <w:shd w:val="clear" w:color="auto" w:fill="C5E0B4"/>
          </w:tcPr>
          <w:p>
            <w:pPr>
              <w:jc w:val="right"/>
              <w:ind w:right="2"/>
              <w:spacing w:after="0"/>
              <w:rPr>
                <w:sz w:val="20"/>
                <w:szCs w:val="20"/>
                <w:color w:val="auto"/>
              </w:rPr>
            </w:pPr>
            <w:r>
              <w:rPr>
                <w:rFonts w:ascii="Times New Roman" w:cs="Times New Roman" w:eastAsia="Times New Roman" w:hAnsi="Times New Roman"/>
                <w:sz w:val="16"/>
                <w:szCs w:val="16"/>
                <w:i w:val="1"/>
                <w:iCs w:val="1"/>
                <w:color w:val="auto"/>
              </w:rPr>
              <w:t>49,206</w:t>
            </w:r>
          </w:p>
        </w:tc>
        <w:tc>
          <w:tcPr>
            <w:tcW w:w="1560" w:type="dxa"/>
            <w:vAlign w:val="bottom"/>
            <w:tcBorders>
              <w:bottom w:val="single" w:sz="8" w:color="70AD47"/>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283,503</w:t>
            </w:r>
          </w:p>
        </w:tc>
      </w:tr>
    </w:tbl>
    <w:p>
      <w:pPr>
        <w:spacing w:after="0" w:line="96" w:lineRule="exact"/>
        <w:rPr>
          <w:sz w:val="20"/>
          <w:szCs w:val="20"/>
          <w:color w:val="auto"/>
        </w:rPr>
      </w:pPr>
    </w:p>
    <w:p>
      <w:pPr>
        <w:ind w:left="240" w:hanging="234"/>
        <w:spacing w:after="0" w:line="225" w:lineRule="auto"/>
        <w:tabs>
          <w:tab w:leader="none" w:pos="289" w:val="left"/>
        </w:tabs>
        <w:numPr>
          <w:ilvl w:val="0"/>
          <w:numId w:val="20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closing price of an American Depositary Share of BioNTech on Nasdaq on December 15, 2022, the settlement date, converted from USD to Euro using the exchange rate published by the German Central Bank (Deutsche Bundesbank) on the same day was €171.40.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Inputs Used in Measurement of the Fair Values at Grant Dates</w:t>
            </w: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6"/>
        </w:trPr>
        <w:tc>
          <w:tcPr>
            <w:tcW w:w="4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5"/>
        </w:trPr>
        <w:tc>
          <w:tcPr>
            <w:tcW w:w="4260" w:type="dxa"/>
            <w:vAlign w:val="bottom"/>
            <w:tcBorders>
              <w:bottom w:val="single" w:sz="8" w:color="70AD47"/>
              <w:right w:val="single" w:sz="8" w:color="70AD47"/>
            </w:tcBorders>
          </w:tcPr>
          <w:p>
            <w:pPr>
              <w:spacing w:after="0"/>
              <w:rPr>
                <w:sz w:val="18"/>
                <w:szCs w:val="18"/>
                <w:color w:val="auto"/>
              </w:rPr>
            </w:pPr>
          </w:p>
        </w:tc>
        <w:tc>
          <w:tcPr>
            <w:tcW w:w="15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LTI-plus program</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2020 program</w:t>
            </w:r>
          </w:p>
        </w:tc>
        <w:tc>
          <w:tcPr>
            <w:tcW w:w="16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2021 program</w:t>
            </w:r>
          </w:p>
        </w:tc>
        <w:tc>
          <w:tcPr>
            <w:tcW w:w="15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LTI 2022 program</w:t>
            </w:r>
          </w:p>
        </w:tc>
      </w:tr>
      <w:tr>
        <w:trPr>
          <w:trHeight w:val="207"/>
        </w:trPr>
        <w:tc>
          <w:tcPr>
            <w:tcW w:w="42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58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87.60</w:t>
            </w:r>
          </w:p>
        </w:tc>
        <w:tc>
          <w:tcPr>
            <w:tcW w:w="156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92.21</w:t>
            </w:r>
          </w:p>
        </w:tc>
        <w:tc>
          <w:tcPr>
            <w:tcW w:w="160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203.22</w:t>
            </w:r>
          </w:p>
        </w:tc>
        <w:tc>
          <w:tcPr>
            <w:tcW w:w="1580" w:type="dxa"/>
            <w:vAlign w:val="bottom"/>
            <w:tcBorders>
              <w:right w:val="single" w:sz="8" w:color="70AD47"/>
            </w:tcBorders>
            <w:shd w:val="clear" w:color="auto" w:fill="C5E0B4"/>
          </w:tcPr>
          <w:p>
            <w:pPr>
              <w:jc w:val="right"/>
              <w:ind w:right="22"/>
              <w:spacing w:after="0"/>
              <w:rPr>
                <w:sz w:val="20"/>
                <w:szCs w:val="20"/>
                <w:color w:val="auto"/>
              </w:rPr>
            </w:pPr>
            <w:r>
              <w:rPr>
                <w:rFonts w:ascii="Times New Roman" w:cs="Times New Roman" w:eastAsia="Times New Roman" w:hAnsi="Times New Roman"/>
                <w:sz w:val="16"/>
                <w:szCs w:val="16"/>
                <w:color w:val="auto"/>
              </w:rPr>
              <w:t>165.03</w:t>
            </w:r>
          </w:p>
        </w:tc>
      </w:tr>
      <w:tr>
        <w:trPr>
          <w:trHeight w:val="217"/>
        </w:trPr>
        <w:tc>
          <w:tcPr>
            <w:tcW w:w="42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Waiting period (in years)</w:t>
            </w:r>
          </w:p>
        </w:tc>
        <w:tc>
          <w:tcPr>
            <w:tcW w:w="15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5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BioNTech 2020 Restricted Stock Unit Plan for North America Employees (Cash-Settled)</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Description of Share-Based Payments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In December 2020, we approved the BioNTech 2020 Restricted Stock Unit Plan for North America Employees, or the North American Plan. Under the North American Plan, RSUs are offered to our employees. These RSUs vest over four years, with 25% vesting one year after the service commencement date and the remainder vesting in equal quarterly installments thereafter. The first awards under the North American Plan were granted in February 2021. The service date for these awards is the date as of which the employee became employed by BioNTech US. During the years ended December 31, 2023, and 2022, further awards were granted under the North American Plan, which included awards granted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01" w:name="page302"/>
    <w:bookmarkEnd w:id="30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to new-hire employees and ongoing, recurring awards to existing employees on the approximate anniversary of each employee’s start date of employment with BioNTech US. As these RSUs are intended to be cash-settled upon vesting, the awards were defined as a cash- settled share-based payment arrangement. During the years ended December 31, 2023, 2022 and 2021, the exercise of RSUs resulted in a cash outflow of €10.0 million, €9.4 million and €10.1 million, respectively.</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2023, the liability related to these awards amounted to €14.4 million (€13.4 million as ofDecember 31, 2022).</w:t>
      </w:r>
    </w:p>
    <w:p>
      <w:pPr>
        <w:spacing w:after="0" w:line="1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16.2</w:t>
      </w:r>
      <w:r>
        <w:rPr>
          <w:sz w:val="20"/>
          <w:szCs w:val="20"/>
          <w:color w:val="auto"/>
        </w:rPr>
        <w:tab/>
      </w:r>
      <w:r>
        <w:rPr>
          <w:rFonts w:ascii="Times New Roman" w:cs="Times New Roman" w:eastAsia="Times New Roman" w:hAnsi="Times New Roman"/>
          <w:sz w:val="14"/>
          <w:szCs w:val="14"/>
          <w:b w:val="1"/>
          <w:bCs w:val="1"/>
          <w:color w:val="auto"/>
        </w:rPr>
        <w:t xml:space="preserve">Management Board Grant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Short-Term Incentive (Cash-Settled)</w:t>
      </w:r>
    </w:p>
    <w:p>
      <w:pPr>
        <w:spacing w:after="0" w:line="1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Management Board’s service agreements also include a short-term incentive compensation component, which is an annual performance-related bonus for the years of their respective service periods.</w:t>
      </w:r>
    </w:p>
    <w:p>
      <w:pPr>
        <w:spacing w:after="0" w:line="155" w:lineRule="exact"/>
        <w:rPr>
          <w:sz w:val="20"/>
          <w:szCs w:val="20"/>
          <w:color w:val="auto"/>
        </w:rPr>
      </w:pPr>
    </w:p>
    <w:p>
      <w:pPr>
        <w:jc w:val="both"/>
        <w:ind w:right="20" w:firstLine="384"/>
        <w:spacing w:after="0" w:line="283" w:lineRule="auto"/>
        <w:rPr>
          <w:sz w:val="20"/>
          <w:szCs w:val="20"/>
          <w:color w:val="auto"/>
        </w:rPr>
      </w:pPr>
      <w:r>
        <w:rPr>
          <w:rFonts w:ascii="Times New Roman" w:cs="Times New Roman" w:eastAsia="Times New Roman" w:hAnsi="Times New Roman"/>
          <w:sz w:val="14"/>
          <w:szCs w:val="14"/>
          <w:color w:val="auto"/>
        </w:rPr>
        <w:t>50% of those yearly awards are paid out one year after the achievement of the performance targets for the respective bonus year has been determined, subject to an adjustment relative to the performance of the price of the American Depositary Shares representing our ordinary shares during that year (second installment). The</w:t>
      </w:r>
    </w:p>
    <w:p>
      <w:pPr>
        <w:spacing w:after="0" w:line="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second installments represent cash-settled share-based payment arrangements. The fair values of the liabilities are recognized over the awards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vesting periods beginning when entering or renewing service agreements, i.e., the service commencement date, until each separate determination date and are remeasured until the settlement date. As of December 31, 2023, the liability related to these awards amounted to €2.1 million (€2.3 million as of December 31, 2022).</w:t>
      </w:r>
    </w:p>
    <w:p>
      <w:pPr>
        <w:spacing w:after="0" w:line="1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16.3</w:t>
      </w:r>
      <w:r>
        <w:rPr>
          <w:sz w:val="20"/>
          <w:szCs w:val="20"/>
          <w:color w:val="auto"/>
        </w:rPr>
        <w:tab/>
      </w:r>
      <w:r>
        <w:rPr>
          <w:rFonts w:ascii="Times New Roman" w:cs="Times New Roman" w:eastAsia="Times New Roman" w:hAnsi="Times New Roman"/>
          <w:sz w:val="14"/>
          <w:szCs w:val="14"/>
          <w:b w:val="1"/>
          <w:bCs w:val="1"/>
          <w:color w:val="auto"/>
        </w:rPr>
        <w:t>Management Board Grant Long-Term Incentive (Partly Equity-Settled, Partly Cash-Settled)</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Description of Share-Based Payments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Our Management Board’s service agreements provide for long-term incentive compensation (Management Board Grant - LTI) through an annual grant of options to acquire BioNTech shares during their respective service periods. </w:t>
      </w:r>
      <w:r>
        <w:rPr>
          <w:rFonts w:ascii="Times New Roman" w:cs="Times New Roman" w:eastAsia="Times New Roman" w:hAnsi="Times New Roman"/>
          <w:sz w:val="16"/>
          <w:szCs w:val="16"/>
          <w:color w:val="231F20"/>
        </w:rPr>
        <w:t>The</w:t>
      </w:r>
      <w:r>
        <w:rPr>
          <w:rFonts w:ascii="Times New Roman" w:cs="Times New Roman" w:eastAsia="Times New Roman" w:hAnsi="Times New Roman"/>
          <w:sz w:val="16"/>
          <w:szCs w:val="16"/>
          <w:color w:val="auto"/>
        </w:rPr>
        <w:t xml:space="preserve"> options </w:t>
      </w:r>
      <w:r>
        <w:rPr>
          <w:rFonts w:ascii="Times New Roman" w:cs="Times New Roman" w:eastAsia="Times New Roman" w:hAnsi="Times New Roman"/>
          <w:sz w:val="16"/>
          <w:szCs w:val="16"/>
          <w:color w:val="231F20"/>
        </w:rPr>
        <w:t>granted each year are subject to the terms and conditions of the respective authorizations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of the Annual General Meeting creating our Employee Stock Ownership Plan (ESOP) and the applicable option agreements thereunder</w:t>
      </w:r>
      <w:r>
        <w:rPr>
          <w:rFonts w:ascii="Times New Roman" w:cs="Times New Roman" w:eastAsia="Times New Roman" w:hAnsi="Times New Roman"/>
          <w:sz w:val="16"/>
          <w:szCs w:val="16"/>
          <w:color w:val="000000"/>
        </w:rPr>
        <w:t>.</w:t>
      </w:r>
    </w:p>
    <w:p>
      <w:pPr>
        <w:spacing w:after="0" w:line="16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auto"/>
        </w:rPr>
        <w:t>The options vest annually in equal installments over four years commencing on the first anniversary of the allocation date and are exercisable four years after the allocation date. The vested options can only be exercised if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Following the expiry of the waiting period, option rights may be exercised during the exercise windows as set out in the ESOP agreement. The option rights can be exercised up to ten years after the allocation date. If they have not been exercised by that date, they will be forfeited without compensation.</w:t>
      </w:r>
    </w:p>
    <w:p>
      <w:pPr>
        <w:spacing w:after="0" w:line="174" w:lineRule="exact"/>
        <w:rPr>
          <w:sz w:val="20"/>
          <w:szCs w:val="20"/>
          <w:color w:val="auto"/>
        </w:rPr>
      </w:pPr>
    </w:p>
    <w:p>
      <w:pPr>
        <w:jc w:val="both"/>
        <w:ind w:right="20" w:firstLine="384"/>
        <w:spacing w:after="0" w:line="241" w:lineRule="auto"/>
        <w:rPr>
          <w:sz w:val="20"/>
          <w:szCs w:val="20"/>
          <w:color w:val="auto"/>
        </w:rPr>
      </w:pPr>
      <w:r>
        <w:rPr>
          <w:rFonts w:ascii="Times New Roman" w:cs="Times New Roman" w:eastAsia="Times New Roman" w:hAnsi="Times New Roman"/>
          <w:sz w:val="16"/>
          <w:szCs w:val="16"/>
          <w:color w:val="auto"/>
        </w:rPr>
        <w:t>The right to receive options generally represents an equity-settled share-based payment arrangement. The allocation of the number of issued options in 2020 occurred in February 2020. In May 2021 and May 2022, the Management Board received phantom options equivalent to the number of options the Management Board members would have been entitled to receive for 2021 and 2022, which led to a modification from equity -settled to cash-settled share-based payment arrangement and a reclassification of €1.1 million and €3.3 million between equity and non-current other liabilities as of the respective allocation dates. During 2023, options were granted in May 2023.</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Measurement of Fair Values</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A Monte- Carlo simulation model has been used to measure the fair values at the (estimated) allocation dates of the Management Board Grant. This model incorporates the impact of the performance criteria regarding share price and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2" w:name="page303"/>
    <w:bookmarkEnd w:id="30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described above. The parameters used for measuring the fair values as of the respective (estimated) allocation dates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tcBorders>
              <w:right w:val="single" w:sz="8" w:color="70AD47"/>
            </w:tcBorders>
          </w:tcPr>
          <w:p>
            <w:pPr>
              <w:spacing w:after="0"/>
              <w:rPr>
                <w:sz w:val="22"/>
                <w:szCs w:val="22"/>
                <w:color w:val="auto"/>
              </w:rPr>
            </w:pP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Allocation date</w:t>
            </w:r>
          </w:p>
        </w:tc>
        <w:tc>
          <w:tcPr>
            <w:tcW w:w="164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w w:val="98"/>
              </w:rPr>
              <w:t>Allocation date May 12,</w:t>
            </w:r>
          </w:p>
        </w:tc>
        <w:tc>
          <w:tcPr>
            <w:tcW w:w="1660" w:type="dxa"/>
            <w:vAlign w:val="bottom"/>
            <w:tcBorders>
              <w:right w:val="single" w:sz="8" w:color="70AD47"/>
            </w:tcBorders>
            <w:gridSpan w:val="2"/>
            <w:shd w:val="clear" w:color="auto" w:fill="C6E0B4"/>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Allocation date May 17,</w:t>
            </w:r>
          </w:p>
        </w:tc>
        <w:tc>
          <w:tcPr>
            <w:tcW w:w="760" w:type="dxa"/>
            <w:vAlign w:val="bottom"/>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date  May</w:t>
            </w:r>
          </w:p>
        </w:tc>
      </w:tr>
      <w:tr>
        <w:trPr>
          <w:trHeight w:val="233"/>
        </w:trPr>
        <w:tc>
          <w:tcPr>
            <w:tcW w:w="4000" w:type="dxa"/>
            <w:vAlign w:val="bottom"/>
            <w:tcBorders>
              <w:bottom w:val="single" w:sz="8" w:color="70AD47"/>
              <w:right w:val="single" w:sz="8" w:color="70AD47"/>
            </w:tcBorders>
          </w:tcPr>
          <w:p>
            <w:pPr>
              <w:spacing w:after="0"/>
              <w:rPr>
                <w:sz w:val="20"/>
                <w:szCs w:val="20"/>
                <w:color w:val="auto"/>
              </w:rPr>
            </w:pP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2020</w:t>
            </w:r>
          </w:p>
        </w:tc>
        <w:tc>
          <w:tcPr>
            <w:tcW w:w="164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9"/>
                <w:szCs w:val="9"/>
                <w:color w:val="auto"/>
              </w:rPr>
              <w:t>(1)</w:t>
            </w:r>
          </w:p>
        </w:tc>
        <w:tc>
          <w:tcPr>
            <w:tcW w:w="760" w:type="dxa"/>
            <w:vAlign w:val="bottom"/>
            <w:tcBorders>
              <w:bottom w:val="single" w:sz="8" w:color="70AD47"/>
            </w:tcBorders>
            <w:shd w:val="clear" w:color="auto" w:fill="C6E0B4"/>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9"/>
                <w:szCs w:val="9"/>
                <w:color w:val="auto"/>
              </w:rPr>
              <w:t>(1)</w:t>
            </w:r>
          </w:p>
        </w:tc>
        <w:tc>
          <w:tcPr>
            <w:tcW w:w="900" w:type="dxa"/>
            <w:vAlign w:val="bottom"/>
            <w:tcBorders>
              <w:bottom w:val="single" w:sz="8" w:color="70AD47"/>
              <w:right w:val="single" w:sz="8" w:color="70AD47"/>
            </w:tcBorders>
            <w:shd w:val="clear" w:color="auto" w:fill="C6E0B4"/>
          </w:tcPr>
          <w:p>
            <w:pPr>
              <w:spacing w:after="0"/>
              <w:rPr>
                <w:sz w:val="20"/>
                <w:szCs w:val="20"/>
                <w:color w:val="auto"/>
              </w:rPr>
            </w:pPr>
          </w:p>
        </w:tc>
        <w:tc>
          <w:tcPr>
            <w:tcW w:w="760" w:type="dxa"/>
            <w:vAlign w:val="bottom"/>
            <w:tcBorders>
              <w:bottom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9"/>
                <w:szCs w:val="9"/>
                <w:color w:val="auto"/>
              </w:rPr>
              <w:t>(1)</w:t>
            </w:r>
          </w:p>
        </w:tc>
        <w:tc>
          <w:tcPr>
            <w:tcW w:w="880" w:type="dxa"/>
            <w:vAlign w:val="bottom"/>
            <w:tcBorders>
              <w:bottom w:val="single" w:sz="8" w:color="70AD47"/>
              <w:right w:val="single" w:sz="8" w:color="70AD47"/>
            </w:tcBorders>
            <w:shd w:val="clear" w:color="auto" w:fill="C6E0B4"/>
          </w:tcPr>
          <w:p>
            <w:pPr>
              <w:spacing w:after="0"/>
              <w:rPr>
                <w:sz w:val="20"/>
                <w:szCs w:val="20"/>
                <w:color w:val="auto"/>
              </w:rPr>
            </w:pPr>
          </w:p>
        </w:tc>
      </w:tr>
      <w:tr>
        <w:trPr>
          <w:trHeight w:val="309"/>
        </w:trPr>
        <w:tc>
          <w:tcPr>
            <w:tcW w:w="4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760" w:type="dxa"/>
            <w:vAlign w:val="bottom"/>
            <w:shd w:val="clear" w:color="auto" w:fill="C6E0B4"/>
          </w:tcPr>
          <w:p>
            <w:pPr>
              <w:spacing w:after="0"/>
              <w:rPr>
                <w:sz w:val="24"/>
                <w:szCs w:val="24"/>
                <w:color w:val="auto"/>
              </w:rPr>
            </w:pPr>
          </w:p>
        </w:tc>
        <w:tc>
          <w:tcPr>
            <w:tcW w:w="9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760" w:type="dxa"/>
            <w:vAlign w:val="bottom"/>
            <w:shd w:val="clear" w:color="auto" w:fill="C6E0B4"/>
          </w:tcPr>
          <w:p>
            <w:pPr>
              <w:spacing w:after="0"/>
              <w:rPr>
                <w:sz w:val="24"/>
                <w:szCs w:val="24"/>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€38.88</w:t>
            </w:r>
          </w:p>
        </w:tc>
      </w:tr>
      <w:tr>
        <w:trPr>
          <w:trHeight w:val="324"/>
        </w:trPr>
        <w:tc>
          <w:tcPr>
            <w:tcW w:w="4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€168.44</w:t>
            </w:r>
          </w:p>
        </w:tc>
        <w:tc>
          <w:tcPr>
            <w:tcW w:w="760" w:type="dxa"/>
            <w:vAlign w:val="bottom"/>
            <w:shd w:val="clear" w:color="auto" w:fill="C6E0B4"/>
          </w:tcPr>
          <w:p>
            <w:pPr>
              <w:spacing w:after="0"/>
              <w:rPr>
                <w:sz w:val="24"/>
                <w:szCs w:val="24"/>
                <w:color w:val="auto"/>
              </w:rPr>
            </w:pPr>
          </w:p>
        </w:tc>
        <w:tc>
          <w:tcPr>
            <w:tcW w:w="9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€179.46</w:t>
            </w:r>
          </w:p>
        </w:tc>
        <w:tc>
          <w:tcPr>
            <w:tcW w:w="760" w:type="dxa"/>
            <w:vAlign w:val="bottom"/>
            <w:shd w:val="clear" w:color="auto" w:fill="C6E0B4"/>
          </w:tcPr>
          <w:p>
            <w:pPr>
              <w:spacing w:after="0"/>
              <w:rPr>
                <w:sz w:val="24"/>
                <w:szCs w:val="24"/>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€147.84</w:t>
            </w:r>
          </w:p>
        </w:tc>
      </w:tr>
      <w:tr>
        <w:trPr>
          <w:trHeight w:val="338"/>
        </w:trPr>
        <w:tc>
          <w:tcPr>
            <w:tcW w:w="4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 price</w:t>
            </w:r>
            <w:r>
              <w:rPr>
                <w:rFonts w:ascii="Times New Roman" w:cs="Times New Roman" w:eastAsia="Times New Roman" w:hAnsi="Times New Roman"/>
                <w:sz w:val="21"/>
                <w:szCs w:val="21"/>
                <w:color w:val="auto"/>
                <w:vertAlign w:val="superscript"/>
              </w:rPr>
              <w:t>(2)</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760" w:type="dxa"/>
            <w:vAlign w:val="bottom"/>
            <w:shd w:val="clear" w:color="auto" w:fill="C6E0B4"/>
          </w:tcPr>
          <w:p>
            <w:pPr>
              <w:spacing w:after="0"/>
              <w:rPr>
                <w:sz w:val="24"/>
                <w:szCs w:val="24"/>
                <w:color w:val="auto"/>
              </w:rPr>
            </w:pPr>
          </w:p>
        </w:tc>
        <w:tc>
          <w:tcPr>
            <w:tcW w:w="9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€169.08</w:t>
            </w:r>
          </w:p>
        </w:tc>
        <w:tc>
          <w:tcPr>
            <w:tcW w:w="760" w:type="dxa"/>
            <w:vAlign w:val="bottom"/>
            <w:shd w:val="clear" w:color="auto" w:fill="C6E0B4"/>
          </w:tcPr>
          <w:p>
            <w:pPr>
              <w:spacing w:after="0"/>
              <w:rPr>
                <w:sz w:val="24"/>
                <w:szCs w:val="24"/>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€137.65</w:t>
            </w:r>
          </w:p>
        </w:tc>
      </w:tr>
      <w:tr>
        <w:trPr>
          <w:trHeight w:val="215"/>
        </w:trPr>
        <w:tc>
          <w:tcPr>
            <w:tcW w:w="4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40" w:type="dxa"/>
            <w:vAlign w:val="bottom"/>
            <w:tcBorders>
              <w:right w:val="single" w:sz="8" w:color="70AD47"/>
            </w:tcBorders>
            <w:shd w:val="clear" w:color="auto" w:fill="C6E0B4"/>
          </w:tcPr>
          <w:p>
            <w:pPr>
              <w:jc w:val="right"/>
              <w:ind w:right="22"/>
              <w:spacing w:after="0"/>
              <w:rPr>
                <w:sz w:val="20"/>
                <w:szCs w:val="20"/>
                <w:color w:val="auto"/>
              </w:rPr>
            </w:pPr>
            <w:r>
              <w:rPr>
                <w:rFonts w:ascii="Times New Roman" w:cs="Times New Roman" w:eastAsia="Times New Roman" w:hAnsi="Times New Roman"/>
                <w:sz w:val="16"/>
                <w:szCs w:val="16"/>
                <w:color w:val="auto"/>
              </w:rPr>
              <w:t>36.6 %</w:t>
            </w:r>
          </w:p>
        </w:tc>
        <w:tc>
          <w:tcPr>
            <w:tcW w:w="164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49.7 %</w:t>
            </w:r>
          </w:p>
        </w:tc>
        <w:tc>
          <w:tcPr>
            <w:tcW w:w="760" w:type="dxa"/>
            <w:vAlign w:val="bottom"/>
            <w:shd w:val="clear" w:color="auto" w:fill="C6E0B4"/>
          </w:tcPr>
          <w:p>
            <w:pPr>
              <w:spacing w:after="0"/>
              <w:rPr>
                <w:sz w:val="18"/>
                <w:szCs w:val="18"/>
                <w:color w:val="auto"/>
              </w:rPr>
            </w:pPr>
          </w:p>
        </w:tc>
        <w:tc>
          <w:tcPr>
            <w:tcW w:w="90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49.7 %</w:t>
            </w:r>
          </w:p>
        </w:tc>
        <w:tc>
          <w:tcPr>
            <w:tcW w:w="760" w:type="dxa"/>
            <w:vAlign w:val="bottom"/>
            <w:shd w:val="clear" w:color="auto" w:fill="C6E0B4"/>
          </w:tcPr>
          <w:p>
            <w:pPr>
              <w:spacing w:after="0"/>
              <w:rPr>
                <w:sz w:val="18"/>
                <w:szCs w:val="18"/>
                <w:color w:val="auto"/>
              </w:rPr>
            </w:pPr>
          </w:p>
        </w:tc>
        <w:tc>
          <w:tcPr>
            <w:tcW w:w="88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49.7 %</w:t>
            </w:r>
          </w:p>
        </w:tc>
      </w:tr>
      <w:tr>
        <w:trPr>
          <w:trHeight w:val="325"/>
        </w:trPr>
        <w:tc>
          <w:tcPr>
            <w:tcW w:w="4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760" w:type="dxa"/>
            <w:vAlign w:val="bottom"/>
            <w:shd w:val="clear" w:color="auto" w:fill="C6E0B4"/>
          </w:tcPr>
          <w:p>
            <w:pPr>
              <w:spacing w:after="0"/>
              <w:rPr>
                <w:sz w:val="24"/>
                <w:szCs w:val="24"/>
                <w:color w:val="auto"/>
              </w:rPr>
            </w:pPr>
          </w:p>
        </w:tc>
        <w:tc>
          <w:tcPr>
            <w:tcW w:w="9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760" w:type="dxa"/>
            <w:vAlign w:val="bottom"/>
            <w:shd w:val="clear" w:color="auto" w:fill="C6E0B4"/>
          </w:tcPr>
          <w:p>
            <w:pPr>
              <w:spacing w:after="0"/>
              <w:rPr>
                <w:sz w:val="24"/>
                <w:szCs w:val="24"/>
                <w:color w:val="auto"/>
              </w:rPr>
            </w:pPr>
          </w:p>
        </w:tc>
        <w:tc>
          <w:tcPr>
            <w:tcW w:w="8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5"/>
        </w:trPr>
        <w:tc>
          <w:tcPr>
            <w:tcW w:w="4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40" w:type="dxa"/>
            <w:vAlign w:val="bottom"/>
            <w:tcBorders>
              <w:bottom w:val="single" w:sz="8" w:color="70AD47"/>
              <w:right w:val="single" w:sz="8" w:color="70AD47"/>
            </w:tcBorders>
            <w:shd w:val="clear" w:color="auto" w:fill="C6E0B4"/>
          </w:tcPr>
          <w:p>
            <w:pPr>
              <w:jc w:val="right"/>
              <w:ind w:right="22"/>
              <w:spacing w:after="0"/>
              <w:rPr>
                <w:sz w:val="20"/>
                <w:szCs w:val="20"/>
                <w:color w:val="auto"/>
              </w:rPr>
            </w:pPr>
            <w:r>
              <w:rPr>
                <w:rFonts w:ascii="Times New Roman" w:cs="Times New Roman" w:eastAsia="Times New Roman" w:hAnsi="Times New Roman"/>
                <w:sz w:val="16"/>
                <w:szCs w:val="16"/>
                <w:color w:val="auto"/>
              </w:rPr>
              <w:t>1.6 %</w:t>
            </w:r>
          </w:p>
        </w:tc>
        <w:tc>
          <w:tcPr>
            <w:tcW w:w="164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c>
          <w:tcPr>
            <w:tcW w:w="760" w:type="dxa"/>
            <w:vAlign w:val="bottom"/>
            <w:tcBorders>
              <w:bottom w:val="single" w:sz="8" w:color="70AD47"/>
            </w:tcBorders>
            <w:shd w:val="clear" w:color="auto" w:fill="C6E0B4"/>
          </w:tcPr>
          <w:p>
            <w:pPr>
              <w:spacing w:after="0"/>
              <w:rPr>
                <w:sz w:val="18"/>
                <w:szCs w:val="18"/>
                <w:color w:val="auto"/>
              </w:rPr>
            </w:pPr>
          </w:p>
        </w:tc>
        <w:tc>
          <w:tcPr>
            <w:tcW w:w="90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c>
          <w:tcPr>
            <w:tcW w:w="760" w:type="dxa"/>
            <w:vAlign w:val="bottom"/>
            <w:tcBorders>
              <w:bottom w:val="single" w:sz="8" w:color="70AD47"/>
            </w:tcBorders>
            <w:shd w:val="clear" w:color="auto" w:fill="C6E0B4"/>
          </w:tcPr>
          <w:p>
            <w:pPr>
              <w:spacing w:after="0"/>
              <w:rPr>
                <w:sz w:val="18"/>
                <w:szCs w:val="18"/>
                <w:color w:val="auto"/>
              </w:rPr>
            </w:pPr>
          </w:p>
        </w:tc>
        <w:tc>
          <w:tcPr>
            <w:tcW w:w="88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r>
    </w:tbl>
    <w:p>
      <w:pPr>
        <w:spacing w:after="0" w:line="78" w:lineRule="exact"/>
        <w:rPr>
          <w:sz w:val="20"/>
          <w:szCs w:val="20"/>
          <w:color w:val="auto"/>
        </w:rPr>
      </w:pPr>
    </w:p>
    <w:p>
      <w:pPr>
        <w:ind w:left="260" w:hanging="254"/>
        <w:spacing w:after="0"/>
        <w:tabs>
          <w:tab w:leader="none" w:pos="260" w:val="left"/>
        </w:tabs>
        <w:numPr>
          <w:ilvl w:val="0"/>
          <w:numId w:val="20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Classified as cash-settled share-based payment arrangement; all other share-based payment arrangements are classified as equity-settled.</w:t>
      </w:r>
    </w:p>
    <w:p>
      <w:pPr>
        <w:spacing w:after="0" w:line="43" w:lineRule="exact"/>
        <w:rPr>
          <w:rFonts w:ascii="Times New Roman" w:cs="Times New Roman" w:eastAsia="Times New Roman" w:hAnsi="Times New Roman"/>
          <w:sz w:val="19"/>
          <w:szCs w:val="19"/>
          <w:color w:val="auto"/>
          <w:vertAlign w:val="superscript"/>
        </w:rPr>
      </w:pPr>
    </w:p>
    <w:p>
      <w:pPr>
        <w:ind w:left="240" w:hanging="234"/>
        <w:spacing w:after="0"/>
        <w:tabs>
          <w:tab w:leader="none" w:pos="267" w:val="left"/>
        </w:tabs>
        <w:numPr>
          <w:ilvl w:val="0"/>
          <w:numId w:val="20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share options allocated as of February 2020 and May 2023 as well as the phantom share options allocated as of May 2021 and 2022 are subject to an effective exercise price cap.</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Borders>
              <w:right w:val="single" w:sz="8" w:color="70AD47"/>
            </w:tcBorders>
          </w:tcPr>
          <w:p>
            <w:pPr>
              <w:spacing w:after="0"/>
              <w:rPr>
                <w:sz w:val="16"/>
                <w:szCs w:val="16"/>
                <w:color w:val="auto"/>
              </w:rPr>
            </w:pP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Allocation date May</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r>
      <w:tr>
        <w:trPr>
          <w:trHeight w:val="206"/>
        </w:trPr>
        <w:tc>
          <w:tcPr>
            <w:tcW w:w="4020" w:type="dxa"/>
            <w:vAlign w:val="bottom"/>
            <w:tcBorders>
              <w:bottom w:val="single" w:sz="8" w:color="70AD47"/>
              <w:right w:val="single" w:sz="8" w:color="70AD47"/>
            </w:tcBorders>
          </w:tcPr>
          <w:p>
            <w:pPr>
              <w:spacing w:after="0"/>
              <w:rPr>
                <w:sz w:val="17"/>
                <w:szCs w:val="17"/>
                <w:color w:val="auto"/>
              </w:rPr>
            </w:pP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date 2024</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date 2025</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date 2026</w:t>
            </w:r>
          </w:p>
        </w:tc>
      </w:tr>
      <w:tr>
        <w:trPr>
          <w:trHeight w:val="303"/>
        </w:trPr>
        <w:tc>
          <w:tcPr>
            <w:tcW w:w="40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r>
              <w:rPr>
                <w:rFonts w:ascii="Times New Roman" w:cs="Times New Roman" w:eastAsia="Times New Roman" w:hAnsi="Times New Roman"/>
                <w:sz w:val="9"/>
                <w:szCs w:val="9"/>
                <w:color w:val="auto"/>
              </w:rPr>
              <w:t>(1)</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€32.86</w:t>
            </w:r>
          </w:p>
        </w:tc>
      </w:tr>
      <w:tr>
        <w:trPr>
          <w:trHeight w:val="324"/>
        </w:trPr>
        <w:tc>
          <w:tcPr>
            <w:tcW w:w="40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 price</w:t>
            </w:r>
            <w:r>
              <w:rPr>
                <w:rFonts w:ascii="Times New Roman" w:cs="Times New Roman" w:eastAsia="Times New Roman" w:hAnsi="Times New Roman"/>
                <w:sz w:val="9"/>
                <w:szCs w:val="9"/>
                <w:color w:val="auto"/>
              </w:rPr>
              <w:t>(1)</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€98.93</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€95.51</w:t>
            </w:r>
          </w:p>
        </w:tc>
      </w:tr>
      <w:tr>
        <w:trPr>
          <w:trHeight w:val="324"/>
        </w:trPr>
        <w:tc>
          <w:tcPr>
            <w:tcW w:w="40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 price</w:t>
            </w:r>
            <w:r>
              <w:rPr>
                <w:rFonts w:ascii="Times New Roman" w:cs="Times New Roman" w:eastAsia="Times New Roman" w:hAnsi="Times New Roman"/>
                <w:sz w:val="9"/>
                <w:szCs w:val="9"/>
                <w:color w:val="auto"/>
              </w:rPr>
              <w:t>(1)</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€105.42</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€96.82</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€105.13</w:t>
            </w:r>
          </w:p>
        </w:tc>
      </w:tr>
      <w:tr>
        <w:trPr>
          <w:trHeight w:val="229"/>
        </w:trPr>
        <w:tc>
          <w:tcPr>
            <w:tcW w:w="40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4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47.2 %</w:t>
            </w:r>
          </w:p>
        </w:tc>
        <w:tc>
          <w:tcPr>
            <w:tcW w:w="1640" w:type="dxa"/>
            <w:vAlign w:val="bottom"/>
            <w:tcBorders>
              <w:right w:val="single" w:sz="8" w:color="70AD47"/>
            </w:tcBorders>
            <w:shd w:val="clear" w:color="auto" w:fill="C6E0B4"/>
          </w:tcPr>
          <w:p>
            <w:pPr>
              <w:jc w:val="right"/>
              <w:ind w:right="22"/>
              <w:spacing w:after="0"/>
              <w:rPr>
                <w:sz w:val="20"/>
                <w:szCs w:val="20"/>
                <w:color w:val="auto"/>
              </w:rPr>
            </w:pPr>
            <w:r>
              <w:rPr>
                <w:rFonts w:ascii="Times New Roman" w:cs="Times New Roman" w:eastAsia="Times New Roman" w:hAnsi="Times New Roman"/>
                <w:sz w:val="16"/>
                <w:szCs w:val="16"/>
                <w:color w:val="auto"/>
              </w:rPr>
              <w:t>47.7 %</w:t>
            </w:r>
          </w:p>
        </w:tc>
        <w:tc>
          <w:tcPr>
            <w:tcW w:w="164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43.0 %</w:t>
            </w:r>
          </w:p>
        </w:tc>
        <w:tc>
          <w:tcPr>
            <w:tcW w:w="164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36.8 %</w:t>
            </w:r>
          </w:p>
        </w:tc>
      </w:tr>
      <w:tr>
        <w:trPr>
          <w:trHeight w:val="325"/>
        </w:trPr>
        <w:tc>
          <w:tcPr>
            <w:tcW w:w="40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life (years)</w:t>
            </w:r>
            <w:r>
              <w:rPr>
                <w:rFonts w:ascii="Times New Roman" w:cs="Times New Roman" w:eastAsia="Times New Roman" w:hAnsi="Times New Roman"/>
                <w:sz w:val="9"/>
                <w:szCs w:val="9"/>
                <w:color w:val="auto"/>
              </w:rPr>
              <w:t>(1)</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5"/>
        </w:trPr>
        <w:tc>
          <w:tcPr>
            <w:tcW w:w="40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4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3.7 %</w:t>
            </w:r>
          </w:p>
        </w:tc>
        <w:tc>
          <w:tcPr>
            <w:tcW w:w="1640" w:type="dxa"/>
            <w:vAlign w:val="bottom"/>
            <w:tcBorders>
              <w:bottom w:val="single" w:sz="8" w:color="70AD47"/>
              <w:right w:val="single" w:sz="8" w:color="70AD47"/>
            </w:tcBorders>
            <w:shd w:val="clear" w:color="auto" w:fill="C6E0B4"/>
          </w:tcPr>
          <w:p>
            <w:pPr>
              <w:jc w:val="right"/>
              <w:ind w:right="22"/>
              <w:spacing w:after="0"/>
              <w:rPr>
                <w:sz w:val="20"/>
                <w:szCs w:val="20"/>
                <w:color w:val="auto"/>
              </w:rPr>
            </w:pPr>
            <w:r>
              <w:rPr>
                <w:rFonts w:ascii="Times New Roman" w:cs="Times New Roman" w:eastAsia="Times New Roman" w:hAnsi="Times New Roman"/>
                <w:sz w:val="16"/>
                <w:szCs w:val="16"/>
                <w:color w:val="auto"/>
              </w:rPr>
              <w:t>3.9 %</w:t>
            </w:r>
          </w:p>
        </w:tc>
        <w:tc>
          <w:tcPr>
            <w:tcW w:w="164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c>
          <w:tcPr>
            <w:tcW w:w="1640" w:type="dxa"/>
            <w:vAlign w:val="bottom"/>
            <w:tcBorders>
              <w:bottom w:val="single" w:sz="8" w:color="70AD47"/>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r>
    </w:tbl>
    <w:p>
      <w:pPr>
        <w:spacing w:after="0" w:line="78" w:lineRule="exact"/>
        <w:rPr>
          <w:sz w:val="20"/>
          <w:szCs w:val="20"/>
          <w:color w:val="auto"/>
        </w:rPr>
      </w:pPr>
    </w:p>
    <w:p>
      <w:pPr>
        <w:ind w:left="260" w:hanging="254"/>
        <w:spacing w:after="0"/>
        <w:tabs>
          <w:tab w:leader="none" w:pos="260" w:val="left"/>
        </w:tabs>
        <w:numPr>
          <w:ilvl w:val="0"/>
          <w:numId w:val="2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Valuation parameter for estimated allocation dates derived from the Monte-Carlo simulation model.</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For the awards with estimated allocation dates, the exercise prices of options expected to be allocated have been derived from the Monte-Carlo simulation model.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Those will be adjusted until the actual allocation has occurred and the exercise price has ultimately been determined.</w:t>
      </w:r>
    </w:p>
    <w:p>
      <w:pPr>
        <w:spacing w:after="0" w:line="170"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All options are subject to an effective exercise price cap, which means that the exercise price shall be adjusted to ensure that the current price of an ADS as of the exercise date does not exceed 800% of the exercise price. With respect to the LTI 2020 agreement, the maximum economic benefit receivable in respect of any exercised option is capped at $246.24, with the effective exercise price being capped at a Euro amount equivalent to $30.78. With respect to the phantom share options issued under the LTI 2021 and 2022 as well as the options issued under the LTI 2023 programs, the maximum compensation that the Management Board members are entitled to receive under such programs, together with other compensation components received by each such board member in the respective grant year, shall not exceed €20.0 million for Ugur Sahin as Chief Executive Officer (CEO) and €10.0 million for all other Management Board members.</w:t>
      </w:r>
    </w:p>
    <w:p>
      <w:pPr>
        <w:spacing w:after="0" w:line="173"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Expected volatility was based on an evaluation of the historical volatilities of comparable companies over the historical period commensurate with the expected option term. The expected term was based on general option holder behavior for employee options.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3" w:name="page304"/>
    <w:bookmarkEnd w:id="30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Reconciliation of Outstanding Share-Options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(phantom) share options allocated and expected to be allocated to our Management Board as of December 31, 2023, are presented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60" w:type="dxa"/>
            <w:vAlign w:val="bottom"/>
            <w:tcBorders>
              <w:right w:val="single" w:sz="8" w:color="70AD47"/>
            </w:tcBorders>
          </w:tcPr>
          <w:p>
            <w:pPr>
              <w:spacing w:after="0"/>
              <w:rPr>
                <w:sz w:val="22"/>
                <w:szCs w:val="22"/>
                <w:color w:val="auto"/>
              </w:rPr>
            </w:pP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Allocation date</w:t>
            </w:r>
          </w:p>
        </w:tc>
        <w:tc>
          <w:tcPr>
            <w:tcW w:w="1640" w:type="dxa"/>
            <w:vAlign w:val="bottom"/>
            <w:tcBorders>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Allocation date May 12,</w:t>
            </w:r>
          </w:p>
        </w:tc>
        <w:tc>
          <w:tcPr>
            <w:tcW w:w="1620" w:type="dxa"/>
            <w:vAlign w:val="bottom"/>
            <w:tcBorders>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w w:val="97"/>
              </w:rPr>
              <w:t>Allocation date May 17,</w:t>
            </w:r>
          </w:p>
        </w:tc>
        <w:tc>
          <w:tcPr>
            <w:tcW w:w="1640" w:type="dxa"/>
            <w:vAlign w:val="bottom"/>
            <w:tcBorders>
              <w:right w:val="single" w:sz="8" w:color="70AD47"/>
            </w:tcBorders>
            <w:shd w:val="clear" w:color="auto" w:fill="C6E0B4"/>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Allocation date May</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70AD47"/>
              <w:right w:val="single" w:sz="8" w:color="70AD47"/>
            </w:tcBorders>
          </w:tcPr>
          <w:p>
            <w:pPr>
              <w:spacing w:after="0"/>
              <w:rPr>
                <w:sz w:val="20"/>
                <w:szCs w:val="20"/>
                <w:color w:val="auto"/>
              </w:rPr>
            </w:pP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2020</w:t>
            </w:r>
          </w:p>
        </w:tc>
        <w:tc>
          <w:tcPr>
            <w:tcW w:w="800" w:type="dxa"/>
            <w:vAlign w:val="bottom"/>
            <w:tcBorders>
              <w:bottom w:val="single" w:sz="8" w:color="70AD47"/>
            </w:tcBorders>
            <w:shd w:val="clear" w:color="auto" w:fill="C6E0B4"/>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4"/>
              </w:rPr>
              <w:t>2021</w:t>
            </w:r>
            <w:r>
              <w:rPr>
                <w:rFonts w:ascii="Times New Roman" w:cs="Times New Roman" w:eastAsia="Times New Roman" w:hAnsi="Times New Roman"/>
                <w:sz w:val="9"/>
                <w:szCs w:val="9"/>
                <w:color w:val="auto"/>
                <w:w w:val="94"/>
              </w:rPr>
              <w:t>(1)</w:t>
            </w:r>
          </w:p>
        </w:tc>
        <w:tc>
          <w:tcPr>
            <w:tcW w:w="840" w:type="dxa"/>
            <w:vAlign w:val="bottom"/>
            <w:tcBorders>
              <w:bottom w:val="single" w:sz="8" w:color="70AD47"/>
              <w:right w:val="single" w:sz="8" w:color="70AD47"/>
            </w:tcBorders>
            <w:shd w:val="clear" w:color="auto" w:fill="C6E0B4"/>
          </w:tcPr>
          <w:p>
            <w:pPr>
              <w:spacing w:after="0"/>
              <w:rPr>
                <w:sz w:val="20"/>
                <w:szCs w:val="20"/>
                <w:color w:val="auto"/>
              </w:rPr>
            </w:pPr>
          </w:p>
        </w:tc>
        <w:tc>
          <w:tcPr>
            <w:tcW w:w="1620" w:type="dxa"/>
            <w:vAlign w:val="bottom"/>
            <w:tcBorders>
              <w:bottom w:val="single" w:sz="8" w:color="70AD47"/>
              <w:right w:val="single" w:sz="8" w:color="70AD47"/>
            </w:tcBorders>
            <w:shd w:val="clear" w:color="auto" w:fill="C6E0B4"/>
          </w:tcPr>
          <w:p>
            <w:pPr>
              <w:spacing w:after="0"/>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9"/>
                <w:szCs w:val="9"/>
                <w:color w:val="auto"/>
              </w:rPr>
              <w:t>(1)</w:t>
            </w:r>
          </w:p>
        </w:tc>
        <w:tc>
          <w:tcPr>
            <w:tcW w:w="1640" w:type="dxa"/>
            <w:vAlign w:val="bottom"/>
            <w:tcBorders>
              <w:bottom w:val="single" w:sz="8" w:color="70AD47"/>
              <w:right w:val="single" w:sz="8" w:color="70AD47"/>
            </w:tcBorders>
            <w:shd w:val="clear" w:color="auto" w:fill="C6E0B4"/>
          </w:tcPr>
          <w:p>
            <w:pPr>
              <w:ind w:left="1180"/>
              <w:spacing w:after="0" w:line="240" w:lineRule="exact"/>
              <w:rPr>
                <w:sz w:val="20"/>
                <w:szCs w:val="20"/>
                <w:color w:val="auto"/>
              </w:rPr>
            </w:pPr>
            <w:r>
              <w:rPr>
                <w:rFonts w:ascii="Times New Roman" w:cs="Times New Roman" w:eastAsia="Times New Roman" w:hAnsi="Times New Roman"/>
                <w:sz w:val="16"/>
                <w:szCs w:val="16"/>
                <w:b w:val="1"/>
                <w:bCs w:val="1"/>
                <w:color w:val="auto"/>
                <w:w w:val="86"/>
              </w:rPr>
              <w:t>2022</w:t>
            </w:r>
            <w:r>
              <w:rPr>
                <w:rFonts w:ascii="Times New Roman" w:cs="Times New Roman" w:eastAsia="Times New Roman" w:hAnsi="Times New Roman"/>
                <w:sz w:val="21"/>
                <w:szCs w:val="21"/>
                <w:b w:val="1"/>
                <w:bCs w:val="1"/>
                <w:color w:val="auto"/>
                <w:w w:val="86"/>
                <w:vertAlign w:val="superscript"/>
              </w:rPr>
              <w:t>(1)</w:t>
            </w:r>
          </w:p>
        </w:tc>
        <w:tc>
          <w:tcPr>
            <w:tcW w:w="0" w:type="dxa"/>
            <w:vAlign w:val="bottom"/>
          </w:tcPr>
          <w:p>
            <w:pPr>
              <w:spacing w:after="0"/>
              <w:rPr>
                <w:sz w:val="1"/>
                <w:szCs w:val="1"/>
                <w:color w:val="auto"/>
              </w:rPr>
            </w:pPr>
          </w:p>
        </w:tc>
      </w:tr>
      <w:tr>
        <w:trPr>
          <w:trHeight w:val="206"/>
        </w:trPr>
        <w:tc>
          <w:tcPr>
            <w:tcW w:w="406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(Phantom) share options outstanding</w:t>
            </w: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248,096</w:t>
            </w:r>
          </w:p>
        </w:tc>
        <w:tc>
          <w:tcPr>
            <w:tcW w:w="800" w:type="dxa"/>
            <w:vAlign w:val="bottom"/>
            <w:shd w:val="clear" w:color="auto" w:fill="C6E0B4"/>
          </w:tcPr>
          <w:p>
            <w:pPr>
              <w:spacing w:after="0"/>
              <w:rPr>
                <w:sz w:val="17"/>
                <w:szCs w:val="17"/>
                <w:color w:val="auto"/>
              </w:rPr>
            </w:pPr>
          </w:p>
        </w:tc>
        <w:tc>
          <w:tcPr>
            <w:tcW w:w="8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45,279</w:t>
            </w: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640" w:type="dxa"/>
            <w:vAlign w:val="bottom"/>
            <w:tcBorders>
              <w:right w:val="single" w:sz="8" w:color="70AD47"/>
            </w:tcBorders>
            <w:shd w:val="clear" w:color="auto" w:fill="C6E0B4"/>
          </w:tcPr>
          <w:p>
            <w:pPr>
              <w:ind w:left="1180"/>
              <w:spacing w:after="0"/>
              <w:rPr>
                <w:sz w:val="20"/>
                <w:szCs w:val="20"/>
                <w:color w:val="auto"/>
              </w:rPr>
            </w:pPr>
            <w:r>
              <w:rPr>
                <w:rFonts w:ascii="Times New Roman" w:cs="Times New Roman" w:eastAsia="Times New Roman" w:hAnsi="Times New Roman"/>
                <w:sz w:val="16"/>
                <w:szCs w:val="16"/>
                <w:color w:val="auto"/>
                <w:w w:val="95"/>
              </w:rPr>
              <w:t>86,118</w:t>
            </w:r>
          </w:p>
        </w:tc>
        <w:tc>
          <w:tcPr>
            <w:tcW w:w="0" w:type="dxa"/>
            <w:vAlign w:val="bottom"/>
          </w:tcPr>
          <w:p>
            <w:pPr>
              <w:spacing w:after="0"/>
              <w:rPr>
                <w:sz w:val="1"/>
                <w:szCs w:val="1"/>
                <w:color w:val="auto"/>
              </w:rPr>
            </w:pPr>
          </w:p>
        </w:tc>
      </w:tr>
      <w:tr>
        <w:trPr>
          <w:trHeight w:val="179"/>
        </w:trPr>
        <w:tc>
          <w:tcPr>
            <w:tcW w:w="4060" w:type="dxa"/>
            <w:vAlign w:val="bottom"/>
            <w:tcBorders>
              <w:right w:val="single" w:sz="8" w:color="70AD47"/>
            </w:tcBorders>
          </w:tcPr>
          <w:p>
            <w:pPr>
              <w:ind w:left="20"/>
              <w:spacing w:after="0" w:line="179" w:lineRule="exact"/>
              <w:rPr>
                <w:sz w:val="20"/>
                <w:szCs w:val="20"/>
                <w:color w:val="auto"/>
              </w:rPr>
            </w:pPr>
            <w:r>
              <w:rPr>
                <w:rFonts w:ascii="Times New Roman" w:cs="Times New Roman" w:eastAsia="Times New Roman" w:hAnsi="Times New Roman"/>
                <w:sz w:val="16"/>
                <w:szCs w:val="16"/>
                <w:i w:val="1"/>
                <w:iCs w:val="1"/>
                <w:color w:val="auto"/>
              </w:rPr>
              <w:t>thereof allocated and vested but subject to performance and</w:t>
            </w:r>
          </w:p>
        </w:tc>
        <w:tc>
          <w:tcPr>
            <w:tcW w:w="162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186,072</w:t>
            </w:r>
          </w:p>
        </w:tc>
        <w:tc>
          <w:tcPr>
            <w:tcW w:w="800" w:type="dxa"/>
            <w:vAlign w:val="bottom"/>
            <w:shd w:val="clear" w:color="auto" w:fill="C6E0B4"/>
          </w:tcPr>
          <w:p>
            <w:pPr>
              <w:spacing w:after="0"/>
              <w:rPr>
                <w:sz w:val="15"/>
                <w:szCs w:val="15"/>
                <w:color w:val="auto"/>
              </w:rPr>
            </w:pPr>
          </w:p>
        </w:tc>
        <w:tc>
          <w:tcPr>
            <w:tcW w:w="84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22,640</w:t>
            </w:r>
          </w:p>
        </w:tc>
        <w:tc>
          <w:tcPr>
            <w:tcW w:w="162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3,232</w:t>
            </w:r>
          </w:p>
        </w:tc>
        <w:tc>
          <w:tcPr>
            <w:tcW w:w="1640" w:type="dxa"/>
            <w:vAlign w:val="bottom"/>
            <w:tcBorders>
              <w:right w:val="single" w:sz="8" w:color="70AD47"/>
            </w:tcBorders>
            <w:vMerge w:val="restart"/>
            <w:shd w:val="clear" w:color="auto" w:fill="C6E0B4"/>
          </w:tcPr>
          <w:p>
            <w:pPr>
              <w:ind w:left="1180"/>
              <w:spacing w:after="0"/>
              <w:rPr>
                <w:sz w:val="20"/>
                <w:szCs w:val="20"/>
                <w:color w:val="auto"/>
              </w:rPr>
            </w:pPr>
            <w:r>
              <w:rPr>
                <w:rFonts w:ascii="Times New Roman" w:cs="Times New Roman" w:eastAsia="Times New Roman" w:hAnsi="Times New Roman"/>
                <w:sz w:val="16"/>
                <w:szCs w:val="16"/>
                <w:i w:val="1"/>
                <w:iCs w:val="1"/>
                <w:color w:val="auto"/>
                <w:w w:val="95"/>
              </w:rPr>
              <w:t>21,531</w:t>
            </w:r>
          </w:p>
        </w:tc>
        <w:tc>
          <w:tcPr>
            <w:tcW w:w="0" w:type="dxa"/>
            <w:vAlign w:val="bottom"/>
          </w:tcPr>
          <w:p>
            <w:pPr>
              <w:spacing w:after="0"/>
              <w:rPr>
                <w:sz w:val="1"/>
                <w:szCs w:val="1"/>
                <w:color w:val="auto"/>
              </w:rPr>
            </w:pPr>
          </w:p>
        </w:tc>
      </w:tr>
      <w:tr>
        <w:trPr>
          <w:trHeight w:val="121"/>
        </w:trPr>
        <w:tc>
          <w:tcPr>
            <w:tcW w:w="406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waiting requirements</w:t>
            </w:r>
          </w:p>
        </w:tc>
        <w:tc>
          <w:tcPr>
            <w:tcW w:w="1620" w:type="dxa"/>
            <w:vAlign w:val="bottom"/>
            <w:tcBorders>
              <w:right w:val="single" w:sz="8" w:color="70AD47"/>
            </w:tcBorders>
            <w:vMerge w:val="continue"/>
            <w:shd w:val="clear" w:color="auto" w:fill="C6E0B4"/>
          </w:tcPr>
          <w:p>
            <w:pPr>
              <w:spacing w:after="0"/>
              <w:rPr>
                <w:sz w:val="10"/>
                <w:szCs w:val="10"/>
                <w:color w:val="auto"/>
              </w:rPr>
            </w:pPr>
          </w:p>
        </w:tc>
        <w:tc>
          <w:tcPr>
            <w:tcW w:w="800" w:type="dxa"/>
            <w:vAlign w:val="bottom"/>
            <w:shd w:val="clear" w:color="auto" w:fill="C6E0B4"/>
          </w:tcPr>
          <w:p>
            <w:pPr>
              <w:spacing w:after="0"/>
              <w:rPr>
                <w:sz w:val="10"/>
                <w:szCs w:val="10"/>
                <w:color w:val="auto"/>
              </w:rPr>
            </w:pPr>
          </w:p>
        </w:tc>
        <w:tc>
          <w:tcPr>
            <w:tcW w:w="840" w:type="dxa"/>
            <w:vAlign w:val="bottom"/>
            <w:tcBorders>
              <w:right w:val="single" w:sz="8" w:color="70AD47"/>
            </w:tcBorders>
            <w:vMerge w:val="continue"/>
            <w:shd w:val="clear" w:color="auto" w:fill="C6E0B4"/>
          </w:tcPr>
          <w:p>
            <w:pPr>
              <w:spacing w:after="0"/>
              <w:rPr>
                <w:sz w:val="10"/>
                <w:szCs w:val="10"/>
                <w:color w:val="auto"/>
              </w:rPr>
            </w:pPr>
          </w:p>
        </w:tc>
        <w:tc>
          <w:tcPr>
            <w:tcW w:w="1620" w:type="dxa"/>
            <w:vAlign w:val="bottom"/>
            <w:tcBorders>
              <w:right w:val="single" w:sz="8" w:color="70AD47"/>
            </w:tcBorders>
            <w:vMerge w:val="continue"/>
            <w:shd w:val="clear" w:color="auto" w:fill="C6E0B4"/>
          </w:tcPr>
          <w:p>
            <w:pPr>
              <w:spacing w:after="0"/>
              <w:rPr>
                <w:sz w:val="10"/>
                <w:szCs w:val="10"/>
                <w:color w:val="auto"/>
              </w:rPr>
            </w:pPr>
          </w:p>
        </w:tc>
        <w:tc>
          <w:tcPr>
            <w:tcW w:w="1640" w:type="dxa"/>
            <w:vAlign w:val="bottom"/>
            <w:tcBorders>
              <w:right w:val="single" w:sz="8" w:color="70AD47"/>
            </w:tcBorders>
            <w:vMerge w:val="continue"/>
            <w:shd w:val="clear" w:color="auto" w:fill="C6E0B4"/>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60" w:type="dxa"/>
            <w:vAlign w:val="bottom"/>
            <w:tcBorders>
              <w:right w:val="single" w:sz="8" w:color="70AD47"/>
            </w:tcBorders>
            <w:vMerge w:val="continue"/>
          </w:tcPr>
          <w:p>
            <w:pPr>
              <w:spacing w:after="0"/>
              <w:rPr>
                <w:sz w:val="7"/>
                <w:szCs w:val="7"/>
                <w:color w:val="auto"/>
              </w:rPr>
            </w:pPr>
          </w:p>
        </w:tc>
        <w:tc>
          <w:tcPr>
            <w:tcW w:w="1620" w:type="dxa"/>
            <w:vAlign w:val="bottom"/>
            <w:tcBorders>
              <w:right w:val="single" w:sz="8" w:color="70AD47"/>
            </w:tcBorders>
            <w:shd w:val="clear" w:color="auto" w:fill="C6E0B4"/>
          </w:tcPr>
          <w:p>
            <w:pPr>
              <w:spacing w:after="0"/>
              <w:rPr>
                <w:sz w:val="7"/>
                <w:szCs w:val="7"/>
                <w:color w:val="auto"/>
              </w:rPr>
            </w:pPr>
          </w:p>
        </w:tc>
        <w:tc>
          <w:tcPr>
            <w:tcW w:w="800" w:type="dxa"/>
            <w:vAlign w:val="bottom"/>
            <w:shd w:val="clear" w:color="auto" w:fill="C6E0B4"/>
          </w:tcPr>
          <w:p>
            <w:pPr>
              <w:spacing w:after="0"/>
              <w:rPr>
                <w:sz w:val="7"/>
                <w:szCs w:val="7"/>
                <w:color w:val="auto"/>
              </w:rPr>
            </w:pPr>
          </w:p>
        </w:tc>
        <w:tc>
          <w:tcPr>
            <w:tcW w:w="840" w:type="dxa"/>
            <w:vAlign w:val="bottom"/>
            <w:tcBorders>
              <w:right w:val="single" w:sz="8" w:color="70AD47"/>
            </w:tcBorders>
            <w:shd w:val="clear" w:color="auto" w:fill="C6E0B4"/>
          </w:tcPr>
          <w:p>
            <w:pPr>
              <w:spacing w:after="0"/>
              <w:rPr>
                <w:sz w:val="7"/>
                <w:szCs w:val="7"/>
                <w:color w:val="auto"/>
              </w:rPr>
            </w:pPr>
          </w:p>
        </w:tc>
        <w:tc>
          <w:tcPr>
            <w:tcW w:w="1620" w:type="dxa"/>
            <w:vAlign w:val="bottom"/>
            <w:tcBorders>
              <w:right w:val="single" w:sz="8" w:color="70AD47"/>
            </w:tcBorders>
            <w:shd w:val="clear" w:color="auto" w:fill="C6E0B4"/>
          </w:tcPr>
          <w:p>
            <w:pPr>
              <w:spacing w:after="0"/>
              <w:rPr>
                <w:sz w:val="7"/>
                <w:szCs w:val="7"/>
                <w:color w:val="auto"/>
              </w:rPr>
            </w:pPr>
          </w:p>
        </w:tc>
        <w:tc>
          <w:tcPr>
            <w:tcW w:w="1640" w:type="dxa"/>
            <w:vAlign w:val="bottom"/>
            <w:tcBorders>
              <w:right w:val="single" w:sz="8" w:color="70AD47"/>
            </w:tcBorders>
            <w:shd w:val="clear" w:color="auto" w:fill="C6E0B4"/>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allocated and unvested</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62,024</w:t>
            </w:r>
          </w:p>
        </w:tc>
        <w:tc>
          <w:tcPr>
            <w:tcW w:w="800" w:type="dxa"/>
            <w:vAlign w:val="bottom"/>
            <w:tcBorders>
              <w:bottom w:val="single" w:sz="8" w:color="70AD47"/>
            </w:tcBorders>
            <w:shd w:val="clear" w:color="auto" w:fill="C6E0B4"/>
          </w:tcPr>
          <w:p>
            <w:pPr>
              <w:spacing w:after="0"/>
              <w:rPr>
                <w:sz w:val="18"/>
                <w:szCs w:val="18"/>
                <w:color w:val="auto"/>
              </w:rPr>
            </w:pPr>
          </w:p>
        </w:tc>
        <w:tc>
          <w:tcPr>
            <w:tcW w:w="8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22,639</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3,231</w:t>
            </w:r>
          </w:p>
        </w:tc>
        <w:tc>
          <w:tcPr>
            <w:tcW w:w="1640" w:type="dxa"/>
            <w:vAlign w:val="bottom"/>
            <w:tcBorders>
              <w:bottom w:val="single" w:sz="8" w:color="70AD47"/>
              <w:right w:val="single" w:sz="8" w:color="70AD47"/>
            </w:tcBorders>
            <w:shd w:val="clear" w:color="auto" w:fill="C6E0B4"/>
          </w:tcPr>
          <w:p>
            <w:pPr>
              <w:ind w:left="1180"/>
              <w:spacing w:after="0"/>
              <w:rPr>
                <w:sz w:val="20"/>
                <w:szCs w:val="20"/>
                <w:color w:val="auto"/>
              </w:rPr>
            </w:pPr>
            <w:r>
              <w:rPr>
                <w:rFonts w:ascii="Times New Roman" w:cs="Times New Roman" w:eastAsia="Times New Roman" w:hAnsi="Times New Roman"/>
                <w:sz w:val="16"/>
                <w:szCs w:val="16"/>
                <w:i w:val="1"/>
                <w:iCs w:val="1"/>
                <w:color w:val="auto"/>
                <w:w w:val="95"/>
              </w:rPr>
              <w:t>64,587</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exercise price (€)</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800" w:type="dxa"/>
            <w:vAlign w:val="bottom"/>
            <w:tcBorders>
              <w:bottom w:val="single" w:sz="8" w:color="70AD47"/>
            </w:tcBorders>
            <w:shd w:val="clear" w:color="auto" w:fill="C6E0B4"/>
          </w:tcPr>
          <w:p>
            <w:pPr>
              <w:spacing w:after="0"/>
              <w:rPr>
                <w:sz w:val="18"/>
                <w:szCs w:val="18"/>
                <w:color w:val="auto"/>
              </w:rPr>
            </w:pPr>
          </w:p>
        </w:tc>
        <w:tc>
          <w:tcPr>
            <w:tcW w:w="8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167.63</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169.08</w:t>
            </w:r>
          </w:p>
        </w:tc>
        <w:tc>
          <w:tcPr>
            <w:tcW w:w="1640" w:type="dxa"/>
            <w:vAlign w:val="bottom"/>
            <w:tcBorders>
              <w:bottom w:val="single" w:sz="8" w:color="70AD47"/>
              <w:right w:val="single" w:sz="8" w:color="70AD47"/>
            </w:tcBorders>
            <w:shd w:val="clear" w:color="auto" w:fill="C6E0B4"/>
          </w:tcPr>
          <w:p>
            <w:pPr>
              <w:ind w:left="1180"/>
              <w:spacing w:after="0"/>
              <w:rPr>
                <w:sz w:val="20"/>
                <w:szCs w:val="20"/>
                <w:color w:val="auto"/>
              </w:rPr>
            </w:pPr>
            <w:r>
              <w:rPr>
                <w:rFonts w:ascii="Times New Roman" w:cs="Times New Roman" w:eastAsia="Times New Roman" w:hAnsi="Times New Roman"/>
                <w:sz w:val="16"/>
                <w:szCs w:val="16"/>
                <w:color w:val="auto"/>
                <w:w w:val="95"/>
              </w:rPr>
              <w:t>137.65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hanging="254"/>
        <w:spacing w:after="0"/>
        <w:tabs>
          <w:tab w:leader="none" w:pos="260" w:val="left"/>
        </w:tabs>
        <w:numPr>
          <w:ilvl w:val="0"/>
          <w:numId w:val="2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Classified as cash-settled share-based payment arrangement; all other share-based payment arrangements are classified as equity-settled.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Borders>
              <w:right w:val="single" w:sz="8" w:color="70AD47"/>
            </w:tcBorders>
          </w:tcPr>
          <w:p>
            <w:pPr>
              <w:spacing w:after="0"/>
              <w:rPr>
                <w:sz w:val="16"/>
                <w:szCs w:val="16"/>
                <w:color w:val="auto"/>
              </w:rPr>
            </w:pP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Allocation date May</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allocation</w:t>
            </w:r>
          </w:p>
        </w:tc>
      </w:tr>
      <w:tr>
        <w:trPr>
          <w:trHeight w:val="207"/>
        </w:trPr>
        <w:tc>
          <w:tcPr>
            <w:tcW w:w="4040" w:type="dxa"/>
            <w:vAlign w:val="bottom"/>
            <w:tcBorders>
              <w:bottom w:val="single" w:sz="8" w:color="70AD47"/>
              <w:right w:val="single" w:sz="8" w:color="70AD47"/>
            </w:tcBorders>
          </w:tcPr>
          <w:p>
            <w:pPr>
              <w:spacing w:after="0"/>
              <w:rPr>
                <w:sz w:val="18"/>
                <w:szCs w:val="18"/>
                <w:color w:val="auto"/>
              </w:rPr>
            </w:pPr>
          </w:p>
        </w:tc>
        <w:tc>
          <w:tcPr>
            <w:tcW w:w="1640" w:type="dxa"/>
            <w:vAlign w:val="bottom"/>
            <w:tcBorders>
              <w:bottom w:val="single" w:sz="8" w:color="70AD47"/>
              <w:right w:val="single" w:sz="8" w:color="70AD47"/>
            </w:tcBorders>
            <w:shd w:val="clear" w:color="auto" w:fill="C6E0B4"/>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1"/>
                <w:szCs w:val="21"/>
                <w:b w:val="1"/>
                <w:bCs w:val="1"/>
                <w:color w:val="auto"/>
                <w:vertAlign w:val="superscript"/>
              </w:rPr>
              <w:t>(1)</w:t>
            </w:r>
          </w:p>
        </w:tc>
        <w:tc>
          <w:tcPr>
            <w:tcW w:w="1640" w:type="dxa"/>
            <w:vAlign w:val="bottom"/>
            <w:tcBorders>
              <w:bottom w:val="single" w:sz="8" w:color="70AD47"/>
              <w:right w:val="single" w:sz="8" w:color="70AD47"/>
            </w:tcBorders>
            <w:shd w:val="clear" w:color="auto" w:fill="C6E0B4"/>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date 2024</w:t>
            </w:r>
            <w:r>
              <w:rPr>
                <w:rFonts w:ascii="Times New Roman" w:cs="Times New Roman" w:eastAsia="Times New Roman" w:hAnsi="Times New Roman"/>
                <w:sz w:val="21"/>
                <w:szCs w:val="21"/>
                <w:b w:val="1"/>
                <w:bCs w:val="1"/>
                <w:color w:val="auto"/>
                <w:vertAlign w:val="superscript"/>
              </w:rPr>
              <w:t>(1)</w:t>
            </w:r>
          </w:p>
        </w:tc>
        <w:tc>
          <w:tcPr>
            <w:tcW w:w="1620" w:type="dxa"/>
            <w:vAlign w:val="bottom"/>
            <w:tcBorders>
              <w:bottom w:val="single" w:sz="8" w:color="70AD47"/>
              <w:right w:val="single" w:sz="8" w:color="70AD47"/>
            </w:tcBorders>
            <w:shd w:val="clear" w:color="auto" w:fill="C6E0B4"/>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date 2025</w:t>
            </w:r>
            <w:r>
              <w:rPr>
                <w:rFonts w:ascii="Times New Roman" w:cs="Times New Roman" w:eastAsia="Times New Roman" w:hAnsi="Times New Roman"/>
                <w:sz w:val="21"/>
                <w:szCs w:val="21"/>
                <w:b w:val="1"/>
                <w:bCs w:val="1"/>
                <w:color w:val="auto"/>
                <w:vertAlign w:val="superscript"/>
              </w:rPr>
              <w:t>(1)</w:t>
            </w:r>
          </w:p>
        </w:tc>
        <w:tc>
          <w:tcPr>
            <w:tcW w:w="1640" w:type="dxa"/>
            <w:vAlign w:val="bottom"/>
            <w:tcBorders>
              <w:bottom w:val="single" w:sz="8" w:color="70AD47"/>
              <w:right w:val="single" w:sz="8" w:color="70AD47"/>
            </w:tcBorders>
            <w:shd w:val="clear" w:color="auto" w:fill="C6E0B4"/>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date 2026</w:t>
            </w:r>
            <w:r>
              <w:rPr>
                <w:rFonts w:ascii="Times New Roman" w:cs="Times New Roman" w:eastAsia="Times New Roman" w:hAnsi="Times New Roman"/>
                <w:sz w:val="21"/>
                <w:szCs w:val="21"/>
                <w:b w:val="1"/>
                <w:bCs w:val="1"/>
                <w:color w:val="auto"/>
                <w:vertAlign w:val="superscript"/>
              </w:rPr>
              <w:t>(1)</w:t>
            </w:r>
          </w:p>
        </w:tc>
      </w:tr>
      <w:tr>
        <w:trPr>
          <w:trHeight w:val="206"/>
        </w:trPr>
        <w:tc>
          <w:tcPr>
            <w:tcW w:w="40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Share options outstanding / expected to be allocated</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130,586</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164,148</w:t>
            </w:r>
          </w:p>
        </w:tc>
        <w:tc>
          <w:tcPr>
            <w:tcW w:w="16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118,312</w:t>
            </w:r>
          </w:p>
        </w:tc>
        <w:tc>
          <w:tcPr>
            <w:tcW w:w="16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93,561</w:t>
            </w:r>
          </w:p>
        </w:tc>
      </w:tr>
      <w:tr>
        <w:trPr>
          <w:trHeight w:val="217"/>
        </w:trPr>
        <w:tc>
          <w:tcPr>
            <w:tcW w:w="4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allocated and unvested</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130,586</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4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exercise price (€)</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105.42</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96.82</w:t>
            </w:r>
          </w:p>
        </w:tc>
        <w:tc>
          <w:tcPr>
            <w:tcW w:w="16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16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105.13</w:t>
            </w:r>
          </w:p>
        </w:tc>
      </w:tr>
    </w:tbl>
    <w:p>
      <w:pPr>
        <w:spacing w:after="0" w:line="78" w:lineRule="exact"/>
        <w:rPr>
          <w:sz w:val="20"/>
          <w:szCs w:val="20"/>
          <w:color w:val="auto"/>
        </w:rPr>
      </w:pPr>
    </w:p>
    <w:p>
      <w:pPr>
        <w:ind w:left="260" w:hanging="254"/>
        <w:spacing w:after="0"/>
        <w:tabs>
          <w:tab w:leader="none" w:pos="260" w:val="left"/>
        </w:tabs>
        <w:numPr>
          <w:ilvl w:val="0"/>
          <w:numId w:val="20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Valuation parameter derived from the Monte-Carlo simulation model.</w:t>
      </w:r>
    </w:p>
    <w:p>
      <w:pPr>
        <w:spacing w:after="0" w:line="171"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For the awards with estimated allocation dates, the numbers of options expected to be allocated have been derived from a Monte-Carlo simulation model. Those will be adjusted until the actual allocation has occurred and the number of options granted has ultimately been determined.</w:t>
      </w:r>
    </w:p>
    <w:p>
      <w:pPr>
        <w:spacing w:after="0" w:line="15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2023, the share options allocated and expected to be allocated under our equity-settled share-based payment arrangements had a remaining weighted average expected life of 4.1 years (as of December 31, 2022: 4.0 years).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2023, the liability related to the phantom option awards amounted to €3.6 million (€5.6 million as ofDecember 31, 2022).</w:t>
      </w:r>
    </w:p>
    <w:p>
      <w:pPr>
        <w:spacing w:after="0" w:line="1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16.4</w:t>
      </w:r>
      <w:r>
        <w:rPr>
          <w:sz w:val="20"/>
          <w:szCs w:val="20"/>
          <w:color w:val="auto"/>
        </w:rPr>
        <w:tab/>
      </w:r>
      <w:r>
        <w:rPr>
          <w:rFonts w:ascii="Times New Roman" w:cs="Times New Roman" w:eastAsia="Times New Roman" w:hAnsi="Times New Roman"/>
          <w:sz w:val="14"/>
          <w:szCs w:val="14"/>
          <w:b w:val="1"/>
          <w:bCs w:val="1"/>
          <w:color w:val="auto"/>
        </w:rPr>
        <w:t>Chief Executive Officer Grant (Equity-Settled)</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Description of Share-Based Payments</w:t>
      </w:r>
    </w:p>
    <w:p>
      <w:pPr>
        <w:spacing w:after="0" w:line="9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231F20"/>
        </w:rPr>
        <w:t xml:space="preserve">In September 2019, we granted Ugur Sahin an option to purchase </w:t>
      </w:r>
      <w:r>
        <w:rPr>
          <w:rFonts w:ascii="Times New Roman" w:cs="Times New Roman" w:eastAsia="Times New Roman" w:hAnsi="Times New Roman"/>
          <w:sz w:val="16"/>
          <w:szCs w:val="16"/>
          <w:color w:val="000000"/>
        </w:rPr>
        <w:t>4,374,963</w:t>
      </w:r>
      <w:r>
        <w:rPr>
          <w:rFonts w:ascii="Times New Roman" w:cs="Times New Roman" w:eastAsia="Times New Roman" w:hAnsi="Times New Roman"/>
          <w:sz w:val="16"/>
          <w:szCs w:val="16"/>
          <w:color w:val="231F20"/>
        </w:rPr>
        <w:t xml:space="preserve"> of our ordinary shares, subject to Sahin’s continuous employment with us. The options’ exercise price per share is the Euro translation of the public offering price from our initial public offering, </w:t>
      </w:r>
      <w:r>
        <w:rPr>
          <w:rFonts w:ascii="Times New Roman" w:cs="Times New Roman" w:eastAsia="Times New Roman" w:hAnsi="Times New Roman"/>
          <w:sz w:val="16"/>
          <w:szCs w:val="16"/>
          <w:color w:val="000000"/>
        </w:rPr>
        <w:t>€13.60 ( $15.00),</w:t>
      </w:r>
      <w:r>
        <w:rPr>
          <w:rFonts w:ascii="Times New Roman" w:cs="Times New Roman" w:eastAsia="Times New Roman" w:hAnsi="Times New Roman"/>
          <w:sz w:val="16"/>
          <w:szCs w:val="16"/>
          <w:color w:val="231F20"/>
        </w:rPr>
        <w:t xml:space="preserve"> which is subject to the effective exercise price cap and the maximum cap mechanism. Under the </w:t>
      </w:r>
      <w:r>
        <w:rPr>
          <w:rFonts w:ascii="Times New Roman" w:cs="Times New Roman" w:eastAsia="Times New Roman" w:hAnsi="Times New Roman"/>
          <w:sz w:val="16"/>
          <w:szCs w:val="16"/>
          <w:color w:val="000000"/>
        </w:rPr>
        <w:t>exercise price cap the exercise price shall be adjusted to ensure that the current price of an ADS as of the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exercise date does not exceed 800% of the exercise price. </w:t>
      </w:r>
      <w:r>
        <w:rPr>
          <w:rFonts w:ascii="Times New Roman" w:cs="Times New Roman" w:eastAsia="Times New Roman" w:hAnsi="Times New Roman"/>
          <w:sz w:val="16"/>
          <w:szCs w:val="16"/>
          <w:color w:val="231F20"/>
        </w:rPr>
        <w:t>Under the maximum cap mechanism the</w:t>
      </w:r>
      <w:r>
        <w:rPr>
          <w:rFonts w:ascii="Times New Roman" w:cs="Times New Roman" w:eastAsia="Times New Roman" w:hAnsi="Times New Roman"/>
          <w:sz w:val="16"/>
          <w:szCs w:val="16"/>
          <w:color w:val="000000"/>
        </w:rPr>
        <w:t xml:space="preserve"> maximum economic benefit receivable in respect of any exercised option </w:t>
      </w:r>
      <w:r>
        <w:rPr>
          <w:rFonts w:ascii="Times New Roman" w:cs="Times New Roman" w:eastAsia="Times New Roman" w:hAnsi="Times New Roman"/>
          <w:sz w:val="16"/>
          <w:szCs w:val="16"/>
          <w:color w:val="231F20"/>
        </w:rPr>
        <w:t>is capped at $240.00 with the effective exercise price being capped at a Euro amount equivalent to $30.00</w:t>
      </w:r>
      <w:r>
        <w:rPr>
          <w:rFonts w:ascii="Times New Roman" w:cs="Times New Roman" w:eastAsia="Times New Roman" w:hAnsi="Times New Roman"/>
          <w:sz w:val="14"/>
          <w:szCs w:val="14"/>
          <w:color w:val="000000"/>
        </w:rPr>
        <w:t>.</w:t>
      </w:r>
    </w:p>
    <w:p>
      <w:pPr>
        <w:spacing w:after="0" w:line="169"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The options vest annually in equal installments after four years commencing on the first anniversary of the initial public offering and have a waiting period of four years after the initial public offering. The vested option rights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shares outstanding immediately following the initial public offering (other than shares owned by us), and (b) for each twelve-month period starting on the fifth or subsequent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4" w:name="page305"/>
    <w:bookmarkEnd w:id="30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anniversary of the allocation date, 107% of the target share price applicable for the prior twelve- 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Following the expiry of the waiting period, option rights may be exercised during the exercise windows as defined by our ESOP. The option rights can be exercised up to ten years after the allocation date. If they have not been exercised by that date, they will be forfeited without compensation.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Measurement of Fair Values</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 Monte-Carlo simulation model has been used to measure the fair value at the grant date of the Chief Executive Officer Grant. This model incorporates the impact of the performance criteria regarding share price and index development described above in the calculation of the award’s fair value at the grant date. The inputs used in the measurement of the fair value at the grant date of the Chief Executive Officer Grant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Borders>
              <w:bottom w:val="single" w:sz="8" w:color="70AD47"/>
              <w:right w:val="single" w:sz="8" w:color="70AD47"/>
            </w:tcBorders>
          </w:tcPr>
          <w:p>
            <w:pPr>
              <w:spacing w:after="0"/>
              <w:rPr>
                <w:sz w:val="18"/>
                <w:szCs w:val="18"/>
                <w:color w:val="auto"/>
              </w:rPr>
            </w:pPr>
          </w:p>
        </w:tc>
        <w:tc>
          <w:tcPr>
            <w:tcW w:w="2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October 9, 2019</w:t>
            </w:r>
          </w:p>
        </w:tc>
      </w:tr>
      <w:tr>
        <w:trPr>
          <w:trHeight w:val="206"/>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2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6"/>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2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€13.60</w:t>
            </w:r>
          </w:p>
        </w:tc>
      </w:tr>
      <w:tr>
        <w:trPr>
          <w:trHeight w:val="216"/>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2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€13.60</w:t>
            </w:r>
          </w:p>
        </w:tc>
      </w:tr>
      <w:tr>
        <w:trPr>
          <w:trHeight w:val="216"/>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580" w:type="dxa"/>
            <w:vAlign w:val="bottom"/>
            <w:tcBorders>
              <w:right w:val="single" w:sz="8" w:color="70AD47"/>
            </w:tcBorders>
            <w:shd w:val="clear" w:color="auto" w:fill="C6E0B4"/>
          </w:tcPr>
          <w:p>
            <w:pPr>
              <w:jc w:val="right"/>
              <w:ind w:right="2"/>
              <w:spacing w:after="0"/>
              <w:rPr>
                <w:sz w:val="20"/>
                <w:szCs w:val="20"/>
                <w:color w:val="auto"/>
              </w:rPr>
            </w:pPr>
            <w:r>
              <w:rPr>
                <w:rFonts w:ascii="Times New Roman" w:cs="Times New Roman" w:eastAsia="Times New Roman" w:hAnsi="Times New Roman"/>
                <w:sz w:val="16"/>
                <w:szCs w:val="16"/>
                <w:color w:val="auto"/>
              </w:rPr>
              <w:t>41.4 %</w:t>
            </w:r>
          </w:p>
        </w:tc>
      </w:tr>
      <w:tr>
        <w:trPr>
          <w:trHeight w:val="216"/>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2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7"/>
        </w:trPr>
        <w:tc>
          <w:tcPr>
            <w:tcW w:w="8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580" w:type="dxa"/>
            <w:vAlign w:val="bottom"/>
            <w:tcBorders>
              <w:bottom w:val="single" w:sz="8" w:color="70AD47"/>
              <w:right w:val="single" w:sz="8" w:color="70AD47"/>
            </w:tcBorders>
            <w:shd w:val="clear" w:color="auto" w:fill="C6E0B4"/>
          </w:tcPr>
          <w:p>
            <w:pPr>
              <w:jc w:val="right"/>
              <w:ind w:right="2"/>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51"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Expected volatility was based on an evaluation of the historical volatilities of comparable companies over the historical period commensurate with the expected term. The expected term was based on general option holder behavior for employee options.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Reconciliation of Outstanding Share-Options</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231F20"/>
        </w:rPr>
        <w:t>On October 9, 2023, with the final installment vesting, all 4,374,963 options became exercisable under the rules of the ESOP and the ESOP agreement. During the year ended December 31, 2023, no options were exercised.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2023, the share options outstanding had a remaining weighted average expected life of 1.1 years (as of December 31, 2022: 2.1 years).</w:t>
      </w:r>
    </w:p>
    <w:p>
      <w:pPr>
        <w:spacing w:after="0" w:line="1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16.5</w:t>
      </w:r>
      <w:r>
        <w:rPr>
          <w:sz w:val="20"/>
          <w:szCs w:val="20"/>
          <w:color w:val="auto"/>
        </w:rPr>
        <w:tab/>
      </w:r>
      <w:r>
        <w:rPr>
          <w:rFonts w:ascii="Times New Roman" w:cs="Times New Roman" w:eastAsia="Times New Roman" w:hAnsi="Times New Roman"/>
          <w:sz w:val="14"/>
          <w:szCs w:val="14"/>
          <w:b w:val="1"/>
          <w:bCs w:val="1"/>
          <w:color w:val="auto"/>
        </w:rPr>
        <w:t>Employee Stock Ownership Plan (Partly Equity-Settled, Partly Cash-Settled)</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Description of Share-Based Payments</w:t>
      </w:r>
    </w:p>
    <w:p>
      <w:pPr>
        <w:spacing w:after="0" w:line="94" w:lineRule="exact"/>
        <w:rPr>
          <w:sz w:val="20"/>
          <w:szCs w:val="20"/>
          <w:color w:val="auto"/>
        </w:rPr>
      </w:pPr>
    </w:p>
    <w:p>
      <w:pPr>
        <w:jc w:val="both"/>
        <w:ind w:firstLine="384"/>
        <w:spacing w:after="0" w:line="237" w:lineRule="auto"/>
        <w:rPr>
          <w:sz w:val="20"/>
          <w:szCs w:val="20"/>
          <w:color w:val="auto"/>
        </w:rPr>
      </w:pPr>
      <w:r>
        <w:rPr>
          <w:rFonts w:ascii="Times New Roman" w:cs="Times New Roman" w:eastAsia="Times New Roman" w:hAnsi="Times New Roman"/>
          <w:sz w:val="16"/>
          <w:szCs w:val="16"/>
          <w:color w:val="231F20"/>
        </w:rPr>
        <w:t xml:space="preserve">Based on an authorization of the general meeting on August 18, 2017, we established a share option program under which we granted selected employees options to receive our shares. The program is designed as an Employee Stock Ownership Plan, or ESOP. We offered participants a certain number of option rights by their explicit acceptance of an option rights agreement. The exercise of option rights in accordance with the agreement gives the participants the right to obtain shares against payment of the exercise price. With respect to the Management Board members serving at the time of allocation, the options are subject to the effective exercise price cap and maximum cap mechanisms. Under the </w:t>
      </w:r>
      <w:r>
        <w:rPr>
          <w:rFonts w:ascii="Times New Roman" w:cs="Times New Roman" w:eastAsia="Times New Roman" w:hAnsi="Times New Roman"/>
          <w:sz w:val="16"/>
          <w:szCs w:val="16"/>
          <w:color w:val="000000"/>
        </w:rPr>
        <w:t>exercise price cap, the exercise price shall be adjusted to ensure that the current price of an ADS as of the exercise date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does not exceed 800% of the exercise price. Under </w:t>
      </w:r>
      <w:r>
        <w:rPr>
          <w:rFonts w:ascii="Times New Roman" w:cs="Times New Roman" w:eastAsia="Times New Roman" w:hAnsi="Times New Roman"/>
          <w:sz w:val="16"/>
          <w:szCs w:val="16"/>
          <w:color w:val="231F20"/>
        </w:rPr>
        <w:t>the maximum cap mechanism,</w:t>
      </w:r>
      <w:r>
        <w:rPr>
          <w:rFonts w:ascii="Times New Roman" w:cs="Times New Roman" w:eastAsia="Times New Roman" w:hAnsi="Times New Roman"/>
          <w:sz w:val="16"/>
          <w:szCs w:val="16"/>
          <w:color w:val="000000"/>
        </w:rPr>
        <w:t xml:space="preserve"> the maximum economic benefit receivable in respect of any exercised option, is capped at </w:t>
      </w:r>
      <w:r>
        <w:rPr>
          <w:rFonts w:ascii="Times New Roman" w:cs="Times New Roman" w:eastAsia="Times New Roman" w:hAnsi="Times New Roman"/>
          <w:sz w:val="16"/>
          <w:szCs w:val="16"/>
          <w:color w:val="231F20"/>
        </w:rPr>
        <w:t>$240</w:t>
      </w:r>
      <w:r>
        <w:rPr>
          <w:rFonts w:ascii="Times New Roman" w:cs="Times New Roman" w:eastAsia="Times New Roman" w:hAnsi="Times New Roman"/>
          <w:sz w:val="16"/>
          <w:szCs w:val="16"/>
          <w:color w:val="000000"/>
        </w:rPr>
        <w:t xml:space="preserve">, with the effective exercise price being capped at </w:t>
      </w:r>
      <w:r>
        <w:rPr>
          <w:rFonts w:ascii="Times New Roman" w:cs="Times New Roman" w:eastAsia="Times New Roman" w:hAnsi="Times New Roman"/>
          <w:sz w:val="16"/>
          <w:szCs w:val="16"/>
          <w:color w:val="231F20"/>
        </w:rPr>
        <w:t>a Euro amount equivalent to $30.00. Under the ESOP, the option rights (other than Özlem Türeci’s, and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 xml:space="preserve">Ryan Richardson’s options) fully vest after </w:t>
      </w:r>
      <w:r>
        <w:rPr>
          <w:rFonts w:ascii="Times New Roman" w:cs="Times New Roman" w:eastAsia="Times New Roman" w:hAnsi="Times New Roman"/>
          <w:sz w:val="16"/>
          <w:szCs w:val="16"/>
          <w:color w:val="000000"/>
        </w:rPr>
        <w:t>four years</w:t>
      </w:r>
      <w:r>
        <w:rPr>
          <w:rFonts w:ascii="Times New Roman" w:cs="Times New Roman" w:eastAsia="Times New Roman" w:hAnsi="Times New Roman"/>
          <w:sz w:val="16"/>
          <w:szCs w:val="16"/>
          <w:color w:val="231F20"/>
        </w:rPr>
        <w:t xml:space="preserve"> and can be exercised if: (i) the waiting period of </w:t>
      </w:r>
      <w:r>
        <w:rPr>
          <w:rFonts w:ascii="Times New Roman" w:cs="Times New Roman" w:eastAsia="Times New Roman" w:hAnsi="Times New Roman"/>
          <w:sz w:val="16"/>
          <w:szCs w:val="16"/>
          <w:color w:val="000000"/>
        </w:rPr>
        <w:t>four years</w:t>
      </w:r>
      <w:r>
        <w:rPr>
          <w:rFonts w:ascii="Times New Roman" w:cs="Times New Roman" w:eastAsia="Times New Roman" w:hAnsi="Times New Roman"/>
          <w:sz w:val="16"/>
          <w:szCs w:val="16"/>
          <w:color w:val="231F20"/>
        </w:rPr>
        <w:t xml:space="preserve"> has elapsed; and (ii)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Following the expiry of the waiting period, option rights may be exercised within a period of four weeks from the date of the Annual General Meeting or the publication of the annual financial statements, the semi-annual report or our most recent quarterly report or interim report (exercise windows).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5" w:name="page306"/>
    <w:bookmarkEnd w:id="305"/>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option rights can be exercised up to eight years after the allocation date. If they have not been exercised by that date, they will be forfeited without compensation.</w:t>
      </w:r>
    </w:p>
    <w:p>
      <w:pPr>
        <w:spacing w:after="0" w:line="21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231F20"/>
        </w:rPr>
        <w:t>By way of a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Furthermore,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Measurement of Fair Values</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The fair value of the ESOP has been measured using a binomial model. Service conditions attached to the arrangement were not taken into account in measuring the fair value.</w:t>
      </w:r>
    </w:p>
    <w:p>
      <w:pPr>
        <w:spacing w:after="0" w:line="155"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The share options can only be exercised by the grantee if the price of the share is equal or greater to the threshold amount as defined in the arrangement. Moreover, the option rights can only be exercised if the IPO has occurred. Both conditions have been incorporated into the fair value at the grant date.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inputs used in the measurement of the fair values at the grant date of the ESOP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Borders>
              <w:right w:val="single" w:sz="8" w:color="70AD47"/>
            </w:tcBorders>
          </w:tcPr>
          <w:p>
            <w:pPr>
              <w:spacing w:after="0"/>
              <w:rPr>
                <w:sz w:val="16"/>
                <w:szCs w:val="16"/>
                <w:color w:val="auto"/>
              </w:rPr>
            </w:pPr>
          </w:p>
        </w:tc>
        <w:tc>
          <w:tcPr>
            <w:tcW w:w="1380" w:type="dxa"/>
            <w:vAlign w:val="bottom"/>
            <w:tcBorders>
              <w:right w:val="single" w:sz="8" w:color="70AD47"/>
            </w:tcBorders>
            <w:shd w:val="clear" w:color="auto" w:fill="C5E0B4"/>
          </w:tcPr>
          <w:p>
            <w:pPr>
              <w:spacing w:after="0"/>
              <w:rPr>
                <w:sz w:val="16"/>
                <w:szCs w:val="16"/>
                <w:color w:val="auto"/>
              </w:rPr>
            </w:pP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dates</w:t>
            </w:r>
          </w:p>
        </w:tc>
        <w:tc>
          <w:tcPr>
            <w:tcW w:w="12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dates</w:t>
            </w:r>
          </w:p>
        </w:tc>
        <w:tc>
          <w:tcPr>
            <w:tcW w:w="1340" w:type="dxa"/>
            <w:vAlign w:val="bottom"/>
            <w:tcBorders>
              <w:right w:val="single" w:sz="8" w:color="70AD47"/>
            </w:tcBorders>
            <w:shd w:val="clear" w:color="auto" w:fill="C5E0B4"/>
          </w:tcPr>
          <w:p>
            <w:pPr>
              <w:spacing w:after="0"/>
              <w:rPr>
                <w:sz w:val="16"/>
                <w:szCs w:val="16"/>
                <w:color w:val="auto"/>
              </w:rPr>
            </w:pPr>
          </w:p>
        </w:tc>
      </w:tr>
      <w:tr>
        <w:trPr>
          <w:trHeight w:val="168"/>
        </w:trPr>
        <w:tc>
          <w:tcPr>
            <w:tcW w:w="5280" w:type="dxa"/>
            <w:vAlign w:val="bottom"/>
            <w:tcBorders>
              <w:right w:val="single" w:sz="8" w:color="70AD47"/>
            </w:tcBorders>
          </w:tcPr>
          <w:p>
            <w:pPr>
              <w:spacing w:after="0"/>
              <w:rPr>
                <w:sz w:val="14"/>
                <w:szCs w:val="14"/>
                <w:color w:val="auto"/>
              </w:rPr>
            </w:pPr>
          </w:p>
        </w:tc>
        <w:tc>
          <w:tcPr>
            <w:tcW w:w="1380" w:type="dxa"/>
            <w:vAlign w:val="bottom"/>
            <w:tcBorders>
              <w:right w:val="single" w:sz="8" w:color="70AD47"/>
            </w:tcBorders>
            <w:shd w:val="clear" w:color="auto" w:fill="C5E0B4"/>
          </w:tcPr>
          <w:p>
            <w:pPr>
              <w:jc w:val="right"/>
              <w:ind w:right="2"/>
              <w:spacing w:after="0" w:line="168"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between</w:t>
            </w:r>
          </w:p>
        </w:tc>
        <w:tc>
          <w:tcPr>
            <w:tcW w:w="1260" w:type="dxa"/>
            <w:vAlign w:val="bottom"/>
            <w:tcBorders>
              <w:right w:val="single" w:sz="8" w:color="70AD47"/>
            </w:tcBorders>
            <w:shd w:val="clear" w:color="auto" w:fill="C5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between</w:t>
            </w:r>
          </w:p>
        </w:tc>
        <w:tc>
          <w:tcPr>
            <w:tcW w:w="1340" w:type="dxa"/>
            <w:vAlign w:val="bottom"/>
            <w:tcBorders>
              <w:right w:val="single" w:sz="8" w:color="70AD47"/>
            </w:tcBorders>
            <w:shd w:val="clear" w:color="auto" w:fill="C5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68"/>
        </w:trPr>
        <w:tc>
          <w:tcPr>
            <w:tcW w:w="5280" w:type="dxa"/>
            <w:vAlign w:val="bottom"/>
            <w:tcBorders>
              <w:right w:val="single" w:sz="8" w:color="70AD47"/>
            </w:tcBorders>
          </w:tcPr>
          <w:p>
            <w:pPr>
              <w:spacing w:after="0"/>
              <w:rPr>
                <w:sz w:val="14"/>
                <w:szCs w:val="14"/>
                <w:color w:val="auto"/>
              </w:rPr>
            </w:pPr>
          </w:p>
        </w:tc>
        <w:tc>
          <w:tcPr>
            <w:tcW w:w="1380" w:type="dxa"/>
            <w:vAlign w:val="bottom"/>
            <w:tcBorders>
              <w:right w:val="single" w:sz="8" w:color="70AD47"/>
            </w:tcBorders>
            <w:shd w:val="clear" w:color="auto" w:fill="C5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November 15, 2018</w:t>
            </w:r>
          </w:p>
        </w:tc>
        <w:tc>
          <w:tcPr>
            <w:tcW w:w="1320" w:type="dxa"/>
            <w:vAlign w:val="bottom"/>
            <w:tcBorders>
              <w:right w:val="single" w:sz="8" w:color="70AD47"/>
            </w:tcBorders>
            <w:shd w:val="clear" w:color="auto" w:fill="C6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February 21 and</w:t>
            </w:r>
          </w:p>
        </w:tc>
        <w:tc>
          <w:tcPr>
            <w:tcW w:w="1260" w:type="dxa"/>
            <w:vAlign w:val="bottom"/>
            <w:tcBorders>
              <w:right w:val="single" w:sz="8" w:color="70AD47"/>
            </w:tcBorders>
            <w:shd w:val="clear" w:color="auto" w:fill="C5E0B4"/>
          </w:tcPr>
          <w:p>
            <w:pPr>
              <w:ind w:left="340"/>
              <w:spacing w:after="0" w:line="168" w:lineRule="exact"/>
              <w:rPr>
                <w:sz w:val="20"/>
                <w:szCs w:val="20"/>
                <w:color w:val="auto"/>
              </w:rPr>
            </w:pPr>
            <w:r>
              <w:rPr>
                <w:rFonts w:ascii="Times New Roman" w:cs="Times New Roman" w:eastAsia="Times New Roman" w:hAnsi="Times New Roman"/>
                <w:sz w:val="16"/>
                <w:szCs w:val="16"/>
                <w:b w:val="1"/>
                <w:bCs w:val="1"/>
                <w:color w:val="auto"/>
              </w:rPr>
              <w:t>April 29 and</w:t>
            </w:r>
          </w:p>
        </w:tc>
        <w:tc>
          <w:tcPr>
            <w:tcW w:w="1340" w:type="dxa"/>
            <w:vAlign w:val="bottom"/>
            <w:tcBorders>
              <w:right w:val="single" w:sz="8" w:color="70AD47"/>
            </w:tcBorders>
            <w:shd w:val="clear" w:color="auto" w:fill="C5E0B4"/>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December 1, 2019</w:t>
            </w:r>
          </w:p>
        </w:tc>
      </w:tr>
      <w:tr>
        <w:trPr>
          <w:trHeight w:val="206"/>
        </w:trPr>
        <w:tc>
          <w:tcPr>
            <w:tcW w:w="5280" w:type="dxa"/>
            <w:vAlign w:val="bottom"/>
            <w:tcBorders>
              <w:bottom w:val="single" w:sz="8" w:color="70AD47"/>
              <w:right w:val="single" w:sz="8" w:color="70AD47"/>
            </w:tcBorders>
          </w:tcPr>
          <w:p>
            <w:pPr>
              <w:spacing w:after="0"/>
              <w:rPr>
                <w:sz w:val="17"/>
                <w:szCs w:val="17"/>
                <w:color w:val="auto"/>
              </w:rPr>
            </w:pPr>
          </w:p>
        </w:tc>
        <w:tc>
          <w:tcPr>
            <w:tcW w:w="1380" w:type="dxa"/>
            <w:vAlign w:val="bottom"/>
            <w:tcBorders>
              <w:bottom w:val="single" w:sz="8" w:color="70AD47"/>
              <w:right w:val="single" w:sz="8" w:color="70AD47"/>
            </w:tcBorders>
            <w:shd w:val="clear" w:color="auto" w:fill="C5E0B4"/>
          </w:tcPr>
          <w:p>
            <w:pPr>
              <w:spacing w:after="0"/>
              <w:rPr>
                <w:sz w:val="17"/>
                <w:szCs w:val="17"/>
                <w:color w:val="auto"/>
              </w:rPr>
            </w:pPr>
          </w:p>
        </w:tc>
        <w:tc>
          <w:tcPr>
            <w:tcW w:w="13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April 3, 2019</w:t>
            </w:r>
          </w:p>
        </w:tc>
        <w:tc>
          <w:tcPr>
            <w:tcW w:w="1260" w:type="dxa"/>
            <w:vAlign w:val="bottom"/>
            <w:tcBorders>
              <w:bottom w:val="single" w:sz="8" w:color="70AD47"/>
              <w:right w:val="single" w:sz="8" w:color="70AD47"/>
            </w:tcBorders>
            <w:shd w:val="clear" w:color="auto" w:fill="C5E0B4"/>
          </w:tcPr>
          <w:p>
            <w:pPr>
              <w:ind w:left="340"/>
              <w:spacing w:after="0"/>
              <w:rPr>
                <w:sz w:val="20"/>
                <w:szCs w:val="20"/>
                <w:color w:val="auto"/>
              </w:rPr>
            </w:pPr>
            <w:r>
              <w:rPr>
                <w:rFonts w:ascii="Times New Roman" w:cs="Times New Roman" w:eastAsia="Times New Roman" w:hAnsi="Times New Roman"/>
                <w:sz w:val="16"/>
                <w:szCs w:val="16"/>
                <w:b w:val="1"/>
                <w:bCs w:val="1"/>
                <w:color w:val="auto"/>
                <w:w w:val="96"/>
              </w:rPr>
              <w:t>May 31, 2019</w:t>
            </w:r>
          </w:p>
        </w:tc>
        <w:tc>
          <w:tcPr>
            <w:tcW w:w="1340" w:type="dxa"/>
            <w:vAlign w:val="bottom"/>
            <w:tcBorders>
              <w:bottom w:val="single" w:sz="8" w:color="70AD47"/>
              <w:right w:val="single" w:sz="8" w:color="70AD47"/>
            </w:tcBorders>
            <w:shd w:val="clear" w:color="auto" w:fill="C5E0B4"/>
          </w:tcPr>
          <w:p>
            <w:pPr>
              <w:spacing w:after="0"/>
              <w:rPr>
                <w:sz w:val="17"/>
                <w:szCs w:val="17"/>
                <w:color w:val="auto"/>
              </w:rPr>
            </w:pPr>
          </w:p>
        </w:tc>
      </w:tr>
      <w:tr>
        <w:trPr>
          <w:trHeight w:val="207"/>
        </w:trPr>
        <w:tc>
          <w:tcPr>
            <w:tcW w:w="52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16"/>
        </w:trPr>
        <w:tc>
          <w:tcPr>
            <w:tcW w:w="52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326"/>
        </w:trPr>
        <w:tc>
          <w:tcPr>
            <w:tcW w:w="52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 price</w:t>
            </w:r>
            <w:r>
              <w:rPr>
                <w:rFonts w:ascii="Times New Roman" w:cs="Times New Roman" w:eastAsia="Times New Roman" w:hAnsi="Times New Roman"/>
                <w:sz w:val="21"/>
                <w:szCs w:val="21"/>
                <w:color w:val="auto"/>
                <w:vertAlign w:val="superscript"/>
              </w:rPr>
              <w:t>(1)</w:t>
            </w:r>
          </w:p>
        </w:tc>
        <w:tc>
          <w:tcPr>
            <w:tcW w:w="13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3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3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215"/>
        </w:trPr>
        <w:tc>
          <w:tcPr>
            <w:tcW w:w="52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38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46.0 %</w:t>
            </w:r>
          </w:p>
        </w:tc>
        <w:tc>
          <w:tcPr>
            <w:tcW w:w="1320" w:type="dxa"/>
            <w:vAlign w:val="bottom"/>
            <w:tcBorders>
              <w:right w:val="single" w:sz="8" w:color="70AD47"/>
            </w:tcBorders>
            <w:shd w:val="clear" w:color="auto" w:fill="C6E0B4"/>
          </w:tcPr>
          <w:p>
            <w:pPr>
              <w:jc w:val="right"/>
              <w:ind w:right="22"/>
              <w:spacing w:after="0"/>
              <w:rPr>
                <w:sz w:val="20"/>
                <w:szCs w:val="20"/>
                <w:color w:val="auto"/>
              </w:rPr>
            </w:pPr>
            <w:r>
              <w:rPr>
                <w:rFonts w:ascii="Times New Roman" w:cs="Times New Roman" w:eastAsia="Times New Roman" w:hAnsi="Times New Roman"/>
                <w:sz w:val="16"/>
                <w:szCs w:val="16"/>
                <w:color w:val="auto"/>
              </w:rPr>
              <w:t>46.0 %</w:t>
            </w:r>
          </w:p>
        </w:tc>
        <w:tc>
          <w:tcPr>
            <w:tcW w:w="1260" w:type="dxa"/>
            <w:vAlign w:val="bottom"/>
            <w:tcBorders>
              <w:right w:val="single" w:sz="8" w:color="70AD47"/>
            </w:tcBorders>
            <w:shd w:val="clear" w:color="auto" w:fill="C6E0B4"/>
          </w:tcPr>
          <w:p>
            <w:pPr>
              <w:jc w:val="right"/>
              <w:ind w:right="2"/>
              <w:spacing w:after="0"/>
              <w:rPr>
                <w:sz w:val="20"/>
                <w:szCs w:val="20"/>
                <w:color w:val="auto"/>
              </w:rPr>
            </w:pPr>
            <w:r>
              <w:rPr>
                <w:rFonts w:ascii="Times New Roman" w:cs="Times New Roman" w:eastAsia="Times New Roman" w:hAnsi="Times New Roman"/>
                <w:sz w:val="16"/>
                <w:szCs w:val="16"/>
                <w:color w:val="auto"/>
              </w:rPr>
              <w:t>46.0 %</w:t>
            </w:r>
          </w:p>
        </w:tc>
        <w:tc>
          <w:tcPr>
            <w:tcW w:w="1340" w:type="dxa"/>
            <w:vAlign w:val="bottom"/>
            <w:tcBorders>
              <w:right w:val="single" w:sz="8" w:color="70AD47"/>
            </w:tcBorders>
            <w:shd w:val="clear" w:color="auto" w:fill="C6E0B4"/>
          </w:tcPr>
          <w:p>
            <w:pPr>
              <w:jc w:val="right"/>
              <w:ind w:right="42"/>
              <w:spacing w:after="0"/>
              <w:rPr>
                <w:sz w:val="20"/>
                <w:szCs w:val="20"/>
                <w:color w:val="auto"/>
              </w:rPr>
            </w:pPr>
            <w:r>
              <w:rPr>
                <w:rFonts w:ascii="Times New Roman" w:cs="Times New Roman" w:eastAsia="Times New Roman" w:hAnsi="Times New Roman"/>
                <w:sz w:val="16"/>
                <w:szCs w:val="16"/>
                <w:color w:val="auto"/>
              </w:rPr>
              <w:t>46.0 %</w:t>
            </w:r>
          </w:p>
        </w:tc>
      </w:tr>
      <w:tr>
        <w:trPr>
          <w:trHeight w:val="215"/>
        </w:trPr>
        <w:tc>
          <w:tcPr>
            <w:tcW w:w="52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138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32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3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52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3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3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3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0.1  %</w:t>
            </w:r>
          </w:p>
        </w:tc>
      </w:tr>
    </w:tbl>
    <w:p>
      <w:pPr>
        <w:spacing w:after="0" w:line="120" w:lineRule="exact"/>
        <w:rPr>
          <w:sz w:val="20"/>
          <w:szCs w:val="20"/>
          <w:color w:val="auto"/>
        </w:rPr>
      </w:pPr>
    </w:p>
    <w:p>
      <w:pPr>
        <w:ind w:left="240" w:right="20" w:hanging="234"/>
        <w:spacing w:after="0" w:line="206" w:lineRule="auto"/>
        <w:tabs>
          <w:tab w:leader="none" w:pos="288" w:val="left"/>
        </w:tabs>
        <w:numPr>
          <w:ilvl w:val="0"/>
          <w:numId w:val="2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With respect to the Management Board members appointed as such at the time the options were granted, the options are subject to the effective exercise price cap as well as the maximum cap mechanism.</w:t>
      </w:r>
    </w:p>
    <w:p>
      <w:pPr>
        <w:spacing w:after="0" w:line="172"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6" w:name="page307"/>
    <w:bookmarkEnd w:id="306"/>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Reconciliation of Outstanding Share-Options (Equity-Settled)</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Set out below is an overview of changes to share options outstanding and number of ordinary shares underlying these options that occurred during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Borders>
              <w:right w:val="single" w:sz="8" w:color="70AD47"/>
            </w:tcBorders>
          </w:tcPr>
          <w:p>
            <w:pPr>
              <w:spacing w:after="0"/>
              <w:rPr>
                <w:sz w:val="16"/>
                <w:szCs w:val="16"/>
                <w:color w:val="auto"/>
              </w:rPr>
            </w:pP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Share options</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7"/>
        </w:trPr>
        <w:tc>
          <w:tcPr>
            <w:tcW w:w="5420" w:type="dxa"/>
            <w:vAlign w:val="bottom"/>
            <w:tcBorders>
              <w:bottom w:val="single" w:sz="8" w:color="70AD47"/>
              <w:right w:val="single" w:sz="8" w:color="70AD47"/>
            </w:tcBorders>
          </w:tcPr>
          <w:p>
            <w:pPr>
              <w:spacing w:after="0"/>
              <w:rPr>
                <w:sz w:val="18"/>
                <w:szCs w:val="18"/>
                <w:color w:val="auto"/>
              </w:rPr>
            </w:pP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shares underlying options</w:t>
            </w:r>
          </w:p>
        </w:tc>
        <w:tc>
          <w:tcPr>
            <w:tcW w:w="1640" w:type="dxa"/>
            <w:vAlign w:val="bottom"/>
            <w:tcBorders>
              <w:bottom w:val="single" w:sz="8" w:color="70AD47"/>
              <w:right w:val="single" w:sz="8" w:color="70AD47"/>
            </w:tcBorders>
            <w:shd w:val="clear" w:color="auto" w:fill="C5E0B4"/>
          </w:tcPr>
          <w:p>
            <w:pPr>
              <w:jc w:val="right"/>
              <w:spacing w:after="0" w:line="207" w:lineRule="exact"/>
              <w:rPr>
                <w:sz w:val="20"/>
                <w:szCs w:val="20"/>
                <w:color w:val="auto"/>
              </w:rPr>
            </w:pPr>
            <w:r>
              <w:rPr>
                <w:rFonts w:ascii="Times New Roman" w:cs="Times New Roman" w:eastAsia="Times New Roman" w:hAnsi="Times New Roman"/>
                <w:sz w:val="16"/>
                <w:szCs w:val="16"/>
                <w:b w:val="1"/>
                <w:bCs w:val="1"/>
                <w:color w:val="auto"/>
              </w:rPr>
              <w:t>exercise price (€)</w:t>
            </w:r>
            <w:r>
              <w:rPr>
                <w:rFonts w:ascii="Times New Roman" w:cs="Times New Roman" w:eastAsia="Times New Roman" w:hAnsi="Times New Roman"/>
                <w:sz w:val="21"/>
                <w:szCs w:val="21"/>
                <w:b w:val="1"/>
                <w:bCs w:val="1"/>
                <w:color w:val="auto"/>
                <w:vertAlign w:val="superscript"/>
              </w:rPr>
              <w:t>(1)</w:t>
            </w:r>
          </w:p>
        </w:tc>
      </w:tr>
      <w:tr>
        <w:trPr>
          <w:trHeight w:val="206"/>
        </w:trPr>
        <w:tc>
          <w:tcPr>
            <w:tcW w:w="54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 of January 1, 2022</w:t>
            </w:r>
          </w:p>
        </w:tc>
        <w:tc>
          <w:tcPr>
            <w:tcW w:w="17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642,007</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11,556,124</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10.23</w:t>
            </w:r>
          </w:p>
        </w:tc>
      </w:tr>
      <w:tr>
        <w:trPr>
          <w:trHeight w:val="218"/>
        </w:trPr>
        <w:tc>
          <w:tcPr>
            <w:tcW w:w="5420" w:type="dxa"/>
            <w:vAlign w:val="bottom"/>
            <w:tcBorders>
              <w:right w:val="single" w:sz="8" w:color="70AD47"/>
            </w:tcBorders>
          </w:tcPr>
          <w:p>
            <w:pPr>
              <w:ind w:left="20"/>
              <w:spacing w:after="0" w:line="218" w:lineRule="exact"/>
              <w:rPr>
                <w:sz w:val="20"/>
                <w:szCs w:val="20"/>
                <w:color w:val="auto"/>
              </w:rPr>
            </w:pPr>
            <w:r>
              <w:rPr>
                <w:rFonts w:ascii="Times New Roman" w:cs="Times New Roman" w:eastAsia="Times New Roman" w:hAnsi="Times New Roman"/>
                <w:sz w:val="16"/>
                <w:szCs w:val="16"/>
                <w:color w:val="auto"/>
              </w:rPr>
              <w:t>Modified</w:t>
            </w:r>
            <w:r>
              <w:rPr>
                <w:rFonts w:ascii="Times New Roman" w:cs="Times New Roman" w:eastAsia="Times New Roman" w:hAnsi="Times New Roman"/>
                <w:sz w:val="21"/>
                <w:szCs w:val="21"/>
                <w:color w:val="auto"/>
                <w:vertAlign w:val="superscript"/>
              </w:rPr>
              <w:t>(2)</w:t>
            </w:r>
          </w:p>
        </w:tc>
        <w:tc>
          <w:tcPr>
            <w:tcW w:w="17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(18,720)</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317"/>
        </w:trPr>
        <w:tc>
          <w:tcPr>
            <w:tcW w:w="5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9"/>
                <w:szCs w:val="9"/>
                <w:color w:val="auto"/>
              </w:rPr>
              <w:t>(3)</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(583,383)</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(10,500,890)</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15"/>
        </w:trPr>
        <w:tc>
          <w:tcPr>
            <w:tcW w:w="5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57,584</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1,036,514</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r>
      <w:tr>
        <w:trPr>
          <w:trHeight w:val="208"/>
        </w:trPr>
        <w:tc>
          <w:tcPr>
            <w:tcW w:w="54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As of January 1, 2023</w:t>
            </w:r>
          </w:p>
        </w:tc>
        <w:tc>
          <w:tcPr>
            <w:tcW w:w="17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57,584</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1,036,514</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318"/>
        </w:trPr>
        <w:tc>
          <w:tcPr>
            <w:tcW w:w="5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9"/>
                <w:szCs w:val="9"/>
                <w:color w:val="auto"/>
              </w:rPr>
              <w:t>(3)</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(39,785)</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(716,121)</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14"/>
        </w:trPr>
        <w:tc>
          <w:tcPr>
            <w:tcW w:w="5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17,799</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320,393</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11.24</w:t>
            </w:r>
          </w:p>
        </w:tc>
      </w:tr>
      <w:tr>
        <w:trPr>
          <w:trHeight w:val="207"/>
        </w:trPr>
        <w:tc>
          <w:tcPr>
            <w:tcW w:w="542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vested</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17,799</w:t>
            </w:r>
          </w:p>
        </w:tc>
        <w:tc>
          <w:tcPr>
            <w:tcW w:w="176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320,393</w:t>
            </w:r>
          </w:p>
        </w:tc>
        <w:tc>
          <w:tcPr>
            <w:tcW w:w="1640" w:type="dxa"/>
            <w:vAlign w:val="bottom"/>
            <w:tcBorders>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11.24</w:t>
            </w:r>
          </w:p>
        </w:tc>
      </w:tr>
      <w:tr>
        <w:trPr>
          <w:trHeight w:val="217"/>
        </w:trPr>
        <w:tc>
          <w:tcPr>
            <w:tcW w:w="542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thereof unvested</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7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6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108" w:lineRule="exact"/>
        <w:rPr>
          <w:sz w:val="20"/>
          <w:szCs w:val="20"/>
          <w:color w:val="auto"/>
        </w:rPr>
      </w:pPr>
    </w:p>
    <w:p>
      <w:pPr>
        <w:ind w:left="240" w:right="40" w:hanging="234"/>
        <w:spacing w:after="0" w:line="225" w:lineRule="auto"/>
        <w:tabs>
          <w:tab w:leader="none" w:pos="275" w:val="left"/>
        </w:tabs>
        <w:numPr>
          <w:ilvl w:val="0"/>
          <w:numId w:val="2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With respect to the Management Board members appointed as such at the time the options were granted, the options are subject to the effective exercise price cap as well as the maximum cap mechanism.</w:t>
      </w:r>
    </w:p>
    <w:p>
      <w:pPr>
        <w:ind w:left="260" w:hanging="254"/>
        <w:spacing w:after="0" w:line="237" w:lineRule="auto"/>
        <w:tabs>
          <w:tab w:leader="none" w:pos="260" w:val="left"/>
        </w:tabs>
        <w:numPr>
          <w:ilvl w:val="0"/>
          <w:numId w:val="2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Rights have been modified to cash-settled rights, all other terms remained unchanged.</w:t>
      </w:r>
    </w:p>
    <w:p>
      <w:pPr>
        <w:spacing w:after="0" w:line="44" w:lineRule="exact"/>
        <w:rPr>
          <w:rFonts w:ascii="Times New Roman" w:cs="Times New Roman" w:eastAsia="Times New Roman" w:hAnsi="Times New Roman"/>
          <w:sz w:val="19"/>
          <w:szCs w:val="19"/>
          <w:color w:val="auto"/>
          <w:vertAlign w:val="superscript"/>
        </w:rPr>
      </w:pPr>
    </w:p>
    <w:p>
      <w:pPr>
        <w:jc w:val="both"/>
        <w:ind w:left="240" w:right="40" w:hanging="234"/>
        <w:spacing w:after="0" w:line="225" w:lineRule="auto"/>
        <w:tabs>
          <w:tab w:leader="none" w:pos="264" w:val="left"/>
        </w:tabs>
        <w:numPr>
          <w:ilvl w:val="0"/>
          <w:numId w:val="2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average closing price of an American Depositary Share of BioNTech on Nasdaq weighted over the various dates immediately preceding the settlement dates, converted from USD to Euro using the exchange rate published by the German Central Bank (Deutsche Bundesbank) on the same days was €96.49 and €160.44 for all settlements during the years ended December 31, 2023 and 2022, respectively.</w:t>
      </w:r>
    </w:p>
    <w:p>
      <w:pPr>
        <w:spacing w:after="0" w:line="173"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In September 2022, the Supervisory Board determined the ESOP settlement by the delivery of treasury shares (in the form of ADSs) equal to the net value of the exercised option rights after deduction of (i) the exercise price and (ii) the applicable wage taxes (including solidarity surcharge thereon and church tax, if applicable) and social security contributions resulting from such exercise. The settlement was applied during the exercise windows in 2022 and 2023. The applicable wage taxes (including solidarity surcharge thereon and church tax, if applicable) and social security contributions resulting from and withheld upon the exercise amounted to € 724.0 million and were paid in January 2023 in cash directly to the respective authorities. The settlement mechanism decision did not change the rights as such, neither did it change the classification as equity-settled option rights.</w:t>
      </w:r>
    </w:p>
    <w:p>
      <w:pPr>
        <w:spacing w:after="0" w:line="173" w:lineRule="exact"/>
        <w:rPr>
          <w:sz w:val="20"/>
          <w:szCs w:val="20"/>
          <w:color w:val="auto"/>
        </w:rPr>
      </w:pPr>
    </w:p>
    <w:p>
      <w:pPr>
        <w:jc w:val="both"/>
        <w:ind w:right="4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2023, the share options outstanding under our equity-settled share-based payment arrangements had a remaining weighted average expected life of 0.8 years (as of December 31, 2022: 1.7 years).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Development of Share-Options (Cash-Settled)</w:t>
      </w:r>
    </w:p>
    <w:p>
      <w:pPr>
        <w:spacing w:after="0" w:line="94" w:lineRule="exact"/>
        <w:rPr>
          <w:sz w:val="20"/>
          <w:szCs w:val="20"/>
          <w:color w:val="auto"/>
        </w:rPr>
      </w:pPr>
    </w:p>
    <w:p>
      <w:pPr>
        <w:jc w:val="both"/>
        <w:ind w:firstLine="384"/>
        <w:spacing w:after="0" w:line="275" w:lineRule="auto"/>
        <w:rPr>
          <w:sz w:val="20"/>
          <w:szCs w:val="20"/>
          <w:color w:val="auto"/>
        </w:rPr>
      </w:pPr>
      <w:r>
        <w:rPr>
          <w:rFonts w:ascii="Times New Roman" w:cs="Times New Roman" w:eastAsia="Times New Roman" w:hAnsi="Times New Roman"/>
          <w:sz w:val="14"/>
          <w:szCs w:val="14"/>
          <w:color w:val="auto"/>
        </w:rPr>
        <w:t xml:space="preserve">Phantom options which were granted under the ESOP mainly during the year ended December 31, 2022 each give the participants the right to receive a cash payment equal to the difference between an exercise closing price (average closing price of an American Depositary Share of BioNTech on Nasdaq over the last ten trading days preceding the exercise date) and the exercise price. The majority of options have an </w:t>
      </w:r>
      <w:r>
        <w:rPr>
          <w:rFonts w:ascii="Times New Roman" w:cs="Times New Roman" w:eastAsia="Times New Roman" w:hAnsi="Times New Roman"/>
          <w:sz w:val="14"/>
          <w:szCs w:val="14"/>
          <w:color w:val="231F20"/>
        </w:rPr>
        <w:t>exercise price of</w:t>
      </w:r>
      <w:r>
        <w:rPr>
          <w:rFonts w:ascii="Times New Roman" w:cs="Times New Roman" w:eastAsia="Times New Roman" w:hAnsi="Times New Roman"/>
          <w:sz w:val="14"/>
          <w:szCs w:val="14"/>
          <w:color w:val="auto"/>
        </w:rPr>
        <w:t xml:space="preserve"> €10.14. During the years ended December 31, 2023, and 2022, 52,100 and 289,168 cash-settled phantom option rights were exercised and resulted in a cash outflow of €4.5 million and €42.2 million, respectively. The average closing prices (10-day averages) of an American Depositary Share of BioNTech on Nasdaq weighted over the various settlement dates converted from USD to Euro using the exchange rate published by the German Central Bank (</w:t>
      </w:r>
      <w:r>
        <w:rPr>
          <w:rFonts w:ascii="Times New Roman" w:cs="Times New Roman" w:eastAsia="Times New Roman" w:hAnsi="Times New Roman"/>
          <w:sz w:val="14"/>
          <w:szCs w:val="14"/>
          <w:i w:val="1"/>
          <w:iCs w:val="1"/>
          <w:color w:val="auto"/>
        </w:rPr>
        <w:t>Deutsche Bundesbank</w:t>
      </w:r>
      <w:r>
        <w:rPr>
          <w:rFonts w:ascii="Times New Roman" w:cs="Times New Roman" w:eastAsia="Times New Roman" w:hAnsi="Times New Roman"/>
          <w:sz w:val="14"/>
          <w:szCs w:val="14"/>
          <w:color w:val="auto"/>
        </w:rPr>
        <w:t>) on the same days was €96.25 and €155.39. As of December 31, 2023, 109,651 cash-settled option rights remained outstanding. As of December 31, 2023, the liability related to cash-settled share- based payment option rights amounted to €8.5 million (€14.5 million as of December 31, 2022), of which €8.3 million ( €11.2 million as of December 31, 2022) related to rights already vested (partly subject to performance and waiting requirements). The liability is based on the fair value of the respective rights. The fair value is measured using a binomial model consistent with the grant date fair value measurement of the equity-based option rights described above, which is updated on every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07" w:name="page308"/>
    <w:bookmarkEnd w:id="307"/>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17  Provisions</w:t>
            </w:r>
          </w:p>
        </w:tc>
        <w:tc>
          <w:tcPr>
            <w:tcW w:w="17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10"/>
        </w:trPr>
        <w:tc>
          <w:tcPr>
            <w:tcW w:w="70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5"/>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Contractual disputes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16"/>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Obligations from onerous CMO contracts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17"/>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8"/>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278.1</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375.8</w:t>
            </w:r>
          </w:p>
        </w:tc>
      </w:tr>
      <w:tr>
        <w:trPr>
          <w:trHeight w:val="207"/>
        </w:trPr>
        <w:tc>
          <w:tcPr>
            <w:tcW w:w="7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367.2</w:t>
            </w:r>
          </w:p>
        </w:tc>
      </w:tr>
      <w:tr>
        <w:trPr>
          <w:trHeight w:val="218"/>
        </w:trPr>
        <w:tc>
          <w:tcPr>
            <w:tcW w:w="7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Total non-current</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7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155"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2023, our current provisions included €118.2 million in contractual disputes mainly related to purported obligations arising out of certain contractual disputes unrelated to the below- mentioned patent proceedings (€88.9 million as of December 31, 2022). Acknowledging an increase in obligations identified as contractual disputes, the change of €29.3 million compared to the previous period related mainly to additions.</w:t>
      </w:r>
    </w:p>
    <w:p>
      <w:pPr>
        <w:spacing w:after="0" w:line="164"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As of December 31, 2023, our current provisions included €80.2 million (€235.5 million as of December 31, 2022) of obligations for production capacities derived from contracts with Contract Manufacturing Organizations, or CMOs, that became redundant The effects were driven by reducing production capacities as well as further fostering the global production network with our collaboration partners during the year ended December 31, 2023. The related expenses were recognized in cost of sales in our consolidated statements of profit or loss. The change of €(155.3) million compared to the previous period related to addition (€45.1 million), to release (€126.0 million) and usage (€74.5 million).</w:t>
      </w:r>
    </w:p>
    <w:p>
      <w:pPr>
        <w:spacing w:after="0" w:line="169"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2023, our current provisions included €79.7 million in other obligations mainly comprising inventor remunerations as well as customs and duties (€ 51.4 million as of December 31, 2022, mainly comprising inventor remunerations as well as customs and duties). The change of €28.3 million compared to the previous period related mainly to additions.</w:t>
      </w:r>
    </w:p>
    <w:p>
      <w:pPr>
        <w:spacing w:after="0" w:line="66" w:lineRule="exact"/>
        <w:rPr>
          <w:sz w:val="20"/>
          <w:szCs w:val="20"/>
          <w:color w:val="auto"/>
        </w:rPr>
      </w:pPr>
    </w:p>
    <w:p>
      <w:pPr>
        <w:ind w:left="400" w:right="7040" w:hanging="394"/>
        <w:spacing w:after="0" w:line="353" w:lineRule="auto"/>
        <w:tabs>
          <w:tab w:leader="none" w:pos="367" w:val="left"/>
        </w:tabs>
        <w:numPr>
          <w:ilvl w:val="0"/>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Contingencies and other financial commitments Contingencies</w:t>
      </w:r>
    </w:p>
    <w:p>
      <w:pPr>
        <w:spacing w:after="0" w:line="1" w:lineRule="exact"/>
        <w:rPr>
          <w:sz w:val="20"/>
          <w:szCs w:val="20"/>
          <w:color w:val="auto"/>
        </w:rPr>
      </w:pPr>
    </w:p>
    <w:p>
      <w:pPr>
        <w:jc w:val="both"/>
        <w:ind w:right="20" w:firstLine="384"/>
        <w:spacing w:after="0" w:line="273" w:lineRule="auto"/>
        <w:rPr>
          <w:sz w:val="20"/>
          <w:szCs w:val="20"/>
          <w:color w:val="auto"/>
        </w:rPr>
      </w:pPr>
      <w:r>
        <w:rPr>
          <w:rFonts w:ascii="Times New Roman" w:cs="Times New Roman" w:eastAsia="Times New Roman" w:hAnsi="Times New Roman"/>
          <w:sz w:val="14"/>
          <w:szCs w:val="14"/>
          <w:color w:val="auto"/>
        </w:rPr>
        <w:t>Our contingencies include, but are not limited to, intellectual property disputes and product liability and other product-related litigation. From time to time, in the normal course and conduct of our business, we may be involved in discussions with third parties about considering, for example, the use and/or remuneration for use of such third party’s intellectual property. As of December 31, 2023, none of such intellectual property-related considerations that we have been notified of, and for which potential claims could be brought against us or our subsidiaries in the future, fulfill the criteria for recording a provision. We are subject to an increasing number of product liability claims. Such claims often involve highly complex issues related to medical causation, correctness and completeness of product information (Summary of Product Characteristics/package leaflet) as well as label warnings and reliance thereon, scientific evidence and findings, actual and provable injury, and other matters. These complexities vary from matter to matter. As of December 31, 2023, none of these claims fulfill the criteria for recording a provision. Substantially all of our contingencies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Certain pending matters to which we are a party are discussed below.</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Alnylam Proceedings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8" w:name="page309"/>
    <w:bookmarkEnd w:id="308"/>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76" w:lineRule="auto"/>
        <w:rPr>
          <w:sz w:val="20"/>
          <w:szCs w:val="20"/>
          <w:color w:val="auto"/>
        </w:rPr>
      </w:pPr>
      <w:r>
        <w:rPr>
          <w:rFonts w:ascii="Times New Roman" w:cs="Times New Roman" w:eastAsia="Times New Roman" w:hAnsi="Times New Roman"/>
          <w:sz w:val="14"/>
          <w:szCs w:val="14"/>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Times New Roman" w:cs="Times New Roman" w:eastAsia="Times New Roman" w:hAnsi="Times New Roman"/>
          <w:sz w:val="14"/>
          <w:szCs w:val="14"/>
          <w:i w:val="1"/>
          <w:iCs w:val="1"/>
          <w:color w:val="auto"/>
        </w:rPr>
        <w:t>Comirnaty</w:t>
      </w:r>
      <w:r>
        <w:rPr>
          <w:rFonts w:ascii="Times New Roman" w:cs="Times New Roman" w:eastAsia="Times New Roman" w:hAnsi="Times New Roman"/>
          <w:sz w:val="14"/>
          <w:szCs w:val="14"/>
          <w:color w:val="auto"/>
        </w:rPr>
        <w:t>, and seeking monetary relief, which is not specified in their filings. We filed a counterclaim to become party to the Alnylam proceeding, and in June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patents. All of the proceedings have been consolidated and are currently pending.</w:t>
      </w:r>
    </w:p>
    <w:p>
      <w:pPr>
        <w:spacing w:after="0" w:line="200"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CureVac Proceedings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Germany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EP’122, DE’961, DE‘974, DE’575, and EP’668</w:t>
      </w:r>
    </w:p>
    <w:p>
      <w:pPr>
        <w:spacing w:after="0" w:line="92"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one European patent, EP1857122B1, or the EP’122 Patent, and three Utility Models DE202015009961U1, DE202015009974U1, and DE202021003575U1. In August 2022, CureVac added European Patent EP3708668B1, or the EP’668 Patent, to its German lawsuit.</w:t>
      </w:r>
    </w:p>
    <w:p>
      <w:pPr>
        <w:spacing w:after="0" w:line="7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 122 by the Federal Court of Justice.</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EP’755, DE’123, and DE’130</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one European patent, EP4023755B1, or the EP’755 Patent, and two Utility Models DE202021004123U1, and DE202021004130U1.</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Nullity Proceedings – EP’122</w:t>
      </w:r>
    </w:p>
    <w:p>
      <w:pPr>
        <w:spacing w:after="0" w:line="92" w:lineRule="exact"/>
        <w:rPr>
          <w:sz w:val="20"/>
          <w:szCs w:val="20"/>
          <w:color w:val="auto"/>
        </w:rPr>
      </w:pPr>
    </w:p>
    <w:p>
      <w:pPr>
        <w:jc w:val="both"/>
        <w:ind w:right="20" w:firstLine="384"/>
        <w:spacing w:after="0" w:line="264" w:lineRule="auto"/>
        <w:rPr>
          <w:sz w:val="20"/>
          <w:szCs w:val="20"/>
          <w:color w:val="auto"/>
        </w:rPr>
      </w:pPr>
      <w:r>
        <w:rPr>
          <w:rFonts w:ascii="Times New Roman" w:cs="Times New Roman" w:eastAsia="Times New Roman" w:hAnsi="Times New Roman"/>
          <w:sz w:val="16"/>
          <w:szCs w:val="16"/>
          <w:color w:val="auto"/>
        </w:rPr>
        <w:t>In September 2022, we filed a nullity action in the Federal Patent Court of Germany seeking a declaration that the EP’122 Patent is invalid. In April 2023, the Federal Patent Court of Germany issued a preliminary opinion in the EP’122 nullity action in support of the validity of the EP’122 Patent. The preliminary opinion did not address any infringement of the EP’122 Patent. The preliminary opinion is a preliminary assessment by the court of the merits of a claim, and is non-binding. On December 19, 2023, the Federal Patent Court held an oral hearing, after which it nullified EP’122.</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Cancellation Proceedings– DE’961, DE‘974, and DE’575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09" w:name="page310"/>
    <w:bookmarkEnd w:id="309"/>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In November 2022, we filed cancellation actions seeking the cancellation of the three German Utility Models in the German Patent and Trademark Office. On December 27, 2023, the German Patent Office issued a preliminary opinion that DE’974 is likely to be cancelled based on invalidity pursuant to para. 1 (2) no. 5 Utility Model Act.</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States</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Kingdom</w:t>
      </w:r>
    </w:p>
    <w:p>
      <w:pPr>
        <w:spacing w:after="0" w:line="9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September 2022, we and Pfizer filed a declaration of non-infringement and revocation action against the EP’122 Patent and the EP’668 Patent in the Business and Property Courts of England and Wales. In October 2022, CureVac responded by filing a counterclaim alleging infringement of the EP’122 and EP’668 patents in the Business And Property Courts of England and Wales. On December 18, 2023, we amended our pleadings to further allege non-infringement and invalidity against EP’755.</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of the above proceedings are currently pending.</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Moderna Proceedings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Germany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Infringement Proceedings – EP’949 and EP’565</w:t>
      </w:r>
    </w:p>
    <w:p>
      <w:pPr>
        <w:spacing w:after="0" w:line="92"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the EP’949 Patent, and 3718565B1, or the EP’565 Patent. On November 7, 2023, the European Patent Office (“EPO”) Opposition Division revoked EP’565 after a one-day oral hearing. The Opposition Division issued a preliminary opinion on December 8, 2023 noting that it believes EP’949 is likely invalid. As a result of these EPO proceedings, the Düsseldorf Regional Court postponed its hearing on infringement, originally scheduled for December 12, 2023, to January 21, 2025.</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Kingdom</w:t>
      </w:r>
    </w:p>
    <w:p>
      <w:pPr>
        <w:spacing w:after="0" w:line="90" w:lineRule="exact"/>
        <w:rPr>
          <w:sz w:val="20"/>
          <w:szCs w:val="20"/>
          <w:color w:val="auto"/>
        </w:rPr>
      </w:pPr>
    </w:p>
    <w:p>
      <w:pPr>
        <w:jc w:val="both"/>
        <w:ind w:right="20" w:firstLine="384"/>
        <w:spacing w:after="0" w:line="244" w:lineRule="auto"/>
        <w:rPr>
          <w:sz w:val="20"/>
          <w:szCs w:val="20"/>
          <w:color w:val="auto"/>
        </w:rPr>
      </w:pPr>
      <w:r>
        <w:rPr>
          <w:rFonts w:ascii="Times New Roman" w:cs="Times New Roman" w:eastAsia="Times New Roman" w:hAnsi="Times New Roman"/>
          <w:sz w:val="16"/>
          <w:szCs w:val="16"/>
          <w:color w:val="auto"/>
        </w:rPr>
        <w:t xml:space="preserve">In August 2022, Moderna filed a lawsuit asserting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EP’565 Patent against us and our wholly owned subsidiaries, BioNTech Manufacturing GmbH, BioNTech Europe GmbH and BioNTech Manufacturing Marburg GmbH, Pfizer Limited, Pfizer Manufacturing Belgium NV and Pfizer Inc. in the Business and Property Courts of England and Wales. In September 2022, we and Pfizer filed a revocation action in the Business and Property Courts of England and Wales requesting revocation of the EP’949 Patent and EP’565 Patent.</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United States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U.S. District Court Litigation</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August 2022, Moderna filed a lawsuit in the United States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U.S. Patent Nos. 10,898,574, 10,702,600 and 10,933,127 and seeking monetary relief.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0" w:name="page311"/>
    <w:bookmarkEnd w:id="310"/>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u w:val="single" w:color="auto"/>
          <w:color w:val="auto"/>
        </w:rPr>
        <w:t xml:space="preserve">Inter Partes </w:t>
      </w:r>
      <w:r>
        <w:rPr>
          <w:rFonts w:ascii="Times New Roman" w:cs="Times New Roman" w:eastAsia="Times New Roman" w:hAnsi="Times New Roman"/>
          <w:sz w:val="16"/>
          <w:szCs w:val="16"/>
          <w:u w:val="single" w:color="auto"/>
          <w:color w:val="auto"/>
        </w:rPr>
        <w:t>Review</w:t>
      </w:r>
    </w:p>
    <w:p>
      <w:pPr>
        <w:spacing w:after="0" w:line="94"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In August 2023, Pfizer and we filed petitions seeking inter partes review of U.S. Patent Nos. 10,702,600 and 10,933,127 before the United States Patent Trial and Appeal Board.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Netherlands</w:t>
      </w:r>
    </w:p>
    <w:p>
      <w:pPr>
        <w:spacing w:after="0" w:line="92"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In September 2022, Moderna filed a lawsuit against us and our wholly owned subsidiary BioNTech Manufacturing GmbH and Pfizer B.V., Pfizer Export B.V., C.P. Pharmaceuticals International C.V. and Pfizer Inc. in the District Court of The Hague alleging Comirnaty’s infringement of the EP ‘949 Patent and the EP ’565 Patent. The District Court of the Hague held a hearing on October 6, 2023 on infringement and validity with respect to the EP ’949 Patent. On December 6, 2023, the Court found EP’949 to be invalid. The EP’565 case has been stayed pending Moderna’s appeal of the Opposition Division’s revocation of EP’565.</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Ireland</w:t>
      </w:r>
    </w:p>
    <w:p>
      <w:pPr>
        <w:spacing w:after="0" w:line="9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EP’565 Patent in the High Court of Ireland.</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u w:val="single" w:color="auto"/>
          <w:color w:val="auto"/>
        </w:rPr>
        <w:t>Belgium</w:t>
      </w:r>
    </w:p>
    <w:p>
      <w:pPr>
        <w:spacing w:after="0" w:line="92"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’s infringement of the EP’949 Patent and the EP’565 Patent in the Brussels Dutch-speaking Enterprise Court.</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All of the above proceedings are currently pending.</w:t>
      </w:r>
    </w:p>
    <w:p>
      <w:pPr>
        <w:spacing w:after="0" w:line="92"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Arbutus and Genevant Proceedings</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and seeking monetary relief. This proceeding is currently pending.</w:t>
      </w:r>
    </w:p>
    <w:p>
      <w:pPr>
        <w:spacing w:after="0" w:line="71" w:lineRule="exact"/>
        <w:rPr>
          <w:sz w:val="20"/>
          <w:szCs w:val="20"/>
          <w:color w:val="auto"/>
        </w:rPr>
      </w:pPr>
    </w:p>
    <w:p>
      <w:pPr>
        <w:jc w:val="both"/>
        <w:ind w:firstLine="384"/>
        <w:spacing w:after="0" w:line="241" w:lineRule="auto"/>
        <w:rPr>
          <w:sz w:val="20"/>
          <w:szCs w:val="20"/>
          <w:color w:val="auto"/>
        </w:rPr>
      </w:pPr>
      <w:r>
        <w:rPr>
          <w:rFonts w:ascii="Times New Roman" w:cs="Times New Roman" w:eastAsia="Times New Roman" w:hAnsi="Times New Roman"/>
          <w:sz w:val="16"/>
          <w:szCs w:val="16"/>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Promosome Proceedings</w:t>
      </w:r>
    </w:p>
    <w:p>
      <w:pPr>
        <w:spacing w:after="0" w:line="94" w:lineRule="exact"/>
        <w:rPr>
          <w:sz w:val="20"/>
          <w:szCs w:val="20"/>
          <w:color w:val="auto"/>
        </w:rPr>
      </w:pPr>
    </w:p>
    <w:p>
      <w:pPr>
        <w:jc w:val="both"/>
        <w:ind w:firstLine="384"/>
        <w:spacing w:after="0" w:line="243" w:lineRule="auto"/>
        <w:rPr>
          <w:sz w:val="20"/>
          <w:szCs w:val="20"/>
          <w:color w:val="auto"/>
        </w:rPr>
      </w:pPr>
      <w:r>
        <w:rPr>
          <w:rFonts w:ascii="Times New Roman" w:cs="Times New Roman" w:eastAsia="Times New Roman" w:hAnsi="Times New Roman"/>
          <w:sz w:val="16"/>
          <w:szCs w:val="16"/>
          <w:color w:val="auto"/>
        </w:rPr>
        <w:t xml:space="preserve">In June 2023, Promosome LLC filed a lawsuit against Pfizer, us, and BioNTech Manufacturing GmbH in the U.S. District Court for the Southern District of California alleging that Pfizer and our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xml:space="preserve"> vaccine has infringed U.S. Patent No. 8,853,179, and seeking monetary relief. On October 4, 2023, the parties filed a joint stipulation of dismissal, dismissing the lawsuit with prejudice. As part of this stipulation of dismissal, Promosome agreed to a covenant not to assert U.S. Patent No. 8,853,179 against Pfizer and us or any of their products, including </w:t>
      </w:r>
      <w:r>
        <w:rPr>
          <w:rFonts w:ascii="Times New Roman" w:cs="Times New Roman" w:eastAsia="Times New Roman" w:hAnsi="Times New Roman"/>
          <w:sz w:val="16"/>
          <w:szCs w:val="16"/>
          <w:i w:val="1"/>
          <w:iCs w:val="1"/>
          <w:color w:val="auto"/>
        </w:rPr>
        <w:t>Comirnaty</w:t>
      </w:r>
      <w:r>
        <w:rPr>
          <w:rFonts w:ascii="Times New Roman" w:cs="Times New Roman" w:eastAsia="Times New Roman" w:hAnsi="Times New Roman"/>
          <w:sz w:val="16"/>
          <w:szCs w:val="16"/>
          <w:color w:val="auto"/>
        </w:rPr>
        <w:t>. This matter is considered closed.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1" w:name="page312"/>
    <w:bookmarkEnd w:id="311"/>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Other financial commitments</w:t>
            </w: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76"/>
        </w:trPr>
        <w:tc>
          <w:tcPr>
            <w:tcW w:w="7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other financial commitments were as follows:</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0"/>
        </w:trPr>
        <w:tc>
          <w:tcPr>
            <w:tcW w:w="7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215"/>
        </w:trPr>
        <w:tc>
          <w:tcPr>
            <w:tcW w:w="71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2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7"/>
        </w:trPr>
        <w:tc>
          <w:tcPr>
            <w:tcW w:w="71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Commitments under purchase agreements for property, plant and equipment</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7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7"/>
        </w:trPr>
        <w:tc>
          <w:tcPr>
            <w:tcW w:w="71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Contractual obligation to acquire intangible assets</w:t>
            </w:r>
          </w:p>
        </w:tc>
        <w:tc>
          <w:tcPr>
            <w:tcW w:w="17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1,721.1</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1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1,875.5</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105.2</w:t>
            </w:r>
          </w:p>
        </w:tc>
      </w:tr>
    </w:tbl>
    <w:p>
      <w:pPr>
        <w:spacing w:after="0" w:line="251" w:lineRule="exact"/>
        <w:rPr>
          <w:sz w:val="20"/>
          <w:szCs w:val="20"/>
          <w:color w:val="auto"/>
        </w:rPr>
      </w:pPr>
    </w:p>
    <w:p>
      <w:pPr>
        <w:jc w:val="both"/>
        <w:ind w:firstLine="384"/>
        <w:spacing w:after="0" w:line="239" w:lineRule="auto"/>
        <w:rPr>
          <w:sz w:val="20"/>
          <w:szCs w:val="20"/>
          <w:color w:val="auto"/>
        </w:rPr>
      </w:pPr>
      <w:r>
        <w:rPr>
          <w:rFonts w:ascii="Times New Roman" w:cs="Times New Roman" w:eastAsia="Times New Roman" w:hAnsi="Times New Roman"/>
          <w:sz w:val="16"/>
          <w:szCs w:val="16"/>
          <w:color w:val="auto"/>
        </w:rPr>
        <w:t>Contractual obligations to acquire intangible assets exist in connection with in-licensing and research and development collaborations. We have entered into obligations to make milestone payments once specific targets have been reached. Provided that all of the milestone events are achieved, we would be obligated to pay up to €1,721.1 million as of December 31, 2023 (nil as of December 31, 2022) in connection with the acquisition of intangible assets. The amounts shown represent the maximum payments to be made, and it is unlikely that they will all fall due. The amounts and the dates of the actual payments may both vary considerably from those stated in the table, since the achievement of the conditions for payment is possible but uncertain. Other financial obligations from possible future sales-based milestone and license payments were not included in the table above.</w:t>
      </w:r>
    </w:p>
    <w:p>
      <w:pPr>
        <w:spacing w:after="0" w:line="173"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expected maturities of payment obligations under purchase agreements for property, plant and equipment and contractual obligations to acquire intangible assets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80" w:type="dxa"/>
            <w:vAlign w:val="bottom"/>
            <w:tcBorders>
              <w:right w:val="single" w:sz="8" w:color="70AD47"/>
            </w:tcBorders>
          </w:tcPr>
          <w:p>
            <w:pPr>
              <w:spacing w:after="0"/>
              <w:rPr>
                <w:sz w:val="15"/>
                <w:szCs w:val="15"/>
                <w:color w:val="auto"/>
              </w:rPr>
            </w:pPr>
          </w:p>
        </w:tc>
        <w:tc>
          <w:tcPr>
            <w:tcW w:w="1160" w:type="dxa"/>
            <w:vAlign w:val="bottom"/>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80" w:type="dxa"/>
            <w:vAlign w:val="bottom"/>
            <w:tcBorders>
              <w:right w:val="single" w:sz="8" w:color="C5E0B4"/>
            </w:tcBorders>
            <w:shd w:val="clear" w:color="auto" w:fill="C5E0B4"/>
          </w:tcPr>
          <w:p>
            <w:pPr>
              <w:spacing w:after="0"/>
              <w:rPr>
                <w:sz w:val="15"/>
                <w:szCs w:val="15"/>
                <w:color w:val="auto"/>
              </w:rPr>
            </w:pPr>
          </w:p>
        </w:tc>
        <w:tc>
          <w:tcPr>
            <w:tcW w:w="980" w:type="dxa"/>
            <w:vAlign w:val="bottom"/>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220" w:type="dxa"/>
            <w:vAlign w:val="bottom"/>
            <w:tcBorders>
              <w:right w:val="single" w:sz="8" w:color="70AD47"/>
            </w:tcBorders>
            <w:gridSpan w:val="2"/>
            <w:shd w:val="clear" w:color="auto" w:fill="C5E0B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126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1"/>
        </w:trPr>
        <w:tc>
          <w:tcPr>
            <w:tcW w:w="5780" w:type="dxa"/>
            <w:vAlign w:val="bottom"/>
            <w:tcBorders>
              <w:right w:val="single" w:sz="8" w:color="70AD47"/>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160" w:type="dxa"/>
            <w:vAlign w:val="bottom"/>
            <w:vMerge w:val="continue"/>
            <w:shd w:val="clear" w:color="auto" w:fill="C5E0B4"/>
          </w:tcPr>
          <w:p>
            <w:pPr>
              <w:spacing w:after="0"/>
              <w:rPr>
                <w:sz w:val="10"/>
                <w:szCs w:val="10"/>
                <w:color w:val="auto"/>
              </w:rPr>
            </w:pPr>
          </w:p>
        </w:tc>
        <w:tc>
          <w:tcPr>
            <w:tcW w:w="180" w:type="dxa"/>
            <w:vAlign w:val="bottom"/>
            <w:tcBorders>
              <w:right w:val="single" w:sz="8" w:color="C5E0B4"/>
            </w:tcBorders>
            <w:shd w:val="clear" w:color="auto" w:fill="C5E0B4"/>
          </w:tcPr>
          <w:p>
            <w:pPr>
              <w:spacing w:after="0"/>
              <w:rPr>
                <w:sz w:val="10"/>
                <w:szCs w:val="10"/>
                <w:color w:val="auto"/>
              </w:rPr>
            </w:pPr>
          </w:p>
        </w:tc>
        <w:tc>
          <w:tcPr>
            <w:tcW w:w="980" w:type="dxa"/>
            <w:vAlign w:val="bottom"/>
            <w:vMerge w:val="continue"/>
            <w:shd w:val="clear" w:color="auto" w:fill="C5E0B4"/>
          </w:tcPr>
          <w:p>
            <w:pPr>
              <w:spacing w:after="0"/>
              <w:rPr>
                <w:sz w:val="10"/>
                <w:szCs w:val="10"/>
                <w:color w:val="auto"/>
              </w:rPr>
            </w:pPr>
          </w:p>
        </w:tc>
        <w:tc>
          <w:tcPr>
            <w:tcW w:w="740" w:type="dxa"/>
            <w:vAlign w:val="bottom"/>
            <w:tcBorders>
              <w:right w:val="single" w:sz="8" w:color="C5E0B4"/>
            </w:tcBorders>
            <w:shd w:val="clear" w:color="auto" w:fill="C5E0B4"/>
          </w:tcPr>
          <w:p>
            <w:pPr>
              <w:spacing w:after="0"/>
              <w:rPr>
                <w:sz w:val="10"/>
                <w:szCs w:val="10"/>
                <w:color w:val="auto"/>
              </w:rPr>
            </w:pPr>
          </w:p>
        </w:tc>
        <w:tc>
          <w:tcPr>
            <w:tcW w:w="480" w:type="dxa"/>
            <w:vAlign w:val="bottom"/>
            <w:tcBorders>
              <w:right w:val="single" w:sz="8" w:color="70AD47"/>
            </w:tcBorders>
            <w:vMerge w:val="restart"/>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60" w:type="dxa"/>
            <w:vAlign w:val="bottom"/>
            <w:tcBorders>
              <w:right w:val="single" w:sz="8" w:color="70AD47"/>
            </w:tcBorders>
            <w:vMerge w:val="continue"/>
            <w:shd w:val="clear" w:color="auto" w:fill="C5E0B4"/>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780" w:type="dxa"/>
            <w:vAlign w:val="bottom"/>
            <w:tcBorders>
              <w:bottom w:val="single" w:sz="8" w:color="70AD47"/>
              <w:right w:val="single" w:sz="8" w:color="70AD47"/>
            </w:tcBorders>
            <w:vMerge w:val="continue"/>
          </w:tcPr>
          <w:p>
            <w:pPr>
              <w:spacing w:after="0"/>
              <w:rPr>
                <w:sz w:val="7"/>
                <w:szCs w:val="7"/>
                <w:color w:val="auto"/>
              </w:rPr>
            </w:pPr>
          </w:p>
        </w:tc>
        <w:tc>
          <w:tcPr>
            <w:tcW w:w="1160" w:type="dxa"/>
            <w:vAlign w:val="bottom"/>
            <w:tcBorders>
              <w:bottom w:val="single" w:sz="8" w:color="70AD47"/>
            </w:tcBorders>
            <w:shd w:val="clear" w:color="auto" w:fill="C5E0B4"/>
          </w:tcPr>
          <w:p>
            <w:pPr>
              <w:spacing w:after="0"/>
              <w:rPr>
                <w:sz w:val="7"/>
                <w:szCs w:val="7"/>
                <w:color w:val="auto"/>
              </w:rPr>
            </w:pPr>
          </w:p>
        </w:tc>
        <w:tc>
          <w:tcPr>
            <w:tcW w:w="180" w:type="dxa"/>
            <w:vAlign w:val="bottom"/>
            <w:tcBorders>
              <w:bottom w:val="single" w:sz="8" w:color="70AD47"/>
              <w:right w:val="single" w:sz="8" w:color="C5E0B4"/>
            </w:tcBorders>
            <w:shd w:val="clear" w:color="auto" w:fill="C5E0B4"/>
          </w:tcPr>
          <w:p>
            <w:pPr>
              <w:spacing w:after="0"/>
              <w:rPr>
                <w:sz w:val="7"/>
                <w:szCs w:val="7"/>
                <w:color w:val="auto"/>
              </w:rPr>
            </w:pPr>
          </w:p>
        </w:tc>
        <w:tc>
          <w:tcPr>
            <w:tcW w:w="980" w:type="dxa"/>
            <w:vAlign w:val="bottom"/>
            <w:tcBorders>
              <w:bottom w:val="single" w:sz="8" w:color="70AD47"/>
            </w:tcBorders>
            <w:shd w:val="clear" w:color="auto" w:fill="C5E0B4"/>
          </w:tcPr>
          <w:p>
            <w:pPr>
              <w:spacing w:after="0"/>
              <w:rPr>
                <w:sz w:val="7"/>
                <w:szCs w:val="7"/>
                <w:color w:val="auto"/>
              </w:rPr>
            </w:pPr>
          </w:p>
        </w:tc>
        <w:tc>
          <w:tcPr>
            <w:tcW w:w="740" w:type="dxa"/>
            <w:vAlign w:val="bottom"/>
            <w:tcBorders>
              <w:bottom w:val="single" w:sz="8" w:color="70AD47"/>
              <w:right w:val="single" w:sz="8" w:color="C5E0B4"/>
            </w:tcBorders>
            <w:shd w:val="clear" w:color="auto" w:fill="C5E0B4"/>
          </w:tcPr>
          <w:p>
            <w:pPr>
              <w:spacing w:after="0"/>
              <w:rPr>
                <w:sz w:val="7"/>
                <w:szCs w:val="7"/>
                <w:color w:val="auto"/>
              </w:rPr>
            </w:pPr>
          </w:p>
        </w:tc>
        <w:tc>
          <w:tcPr>
            <w:tcW w:w="480" w:type="dxa"/>
            <w:vAlign w:val="bottom"/>
            <w:tcBorders>
              <w:bottom w:val="single" w:sz="8" w:color="70AD47"/>
              <w:right w:val="single" w:sz="8" w:color="70AD47"/>
            </w:tcBorders>
            <w:vMerge w:val="continue"/>
            <w:shd w:val="clear" w:color="auto" w:fill="C5E0B4"/>
          </w:tcPr>
          <w:p>
            <w:pPr>
              <w:spacing w:after="0"/>
              <w:rPr>
                <w:sz w:val="7"/>
                <w:szCs w:val="7"/>
                <w:color w:val="auto"/>
              </w:rPr>
            </w:pPr>
          </w:p>
        </w:tc>
        <w:tc>
          <w:tcPr>
            <w:tcW w:w="1260" w:type="dxa"/>
            <w:vAlign w:val="bottom"/>
            <w:tcBorders>
              <w:bottom w:val="single" w:sz="8" w:color="70AD47"/>
              <w:right w:val="single" w:sz="8" w:color="70AD47"/>
            </w:tcBorders>
            <w:shd w:val="clear" w:color="auto" w:fill="C5E0B4"/>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7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Commitments under purchase agreements for property, plant and equipment</w:t>
            </w:r>
          </w:p>
        </w:tc>
        <w:tc>
          <w:tcPr>
            <w:tcW w:w="116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160" w:type="dxa"/>
            <w:vAlign w:val="bottom"/>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740" w:type="dxa"/>
            <w:vAlign w:val="bottom"/>
            <w:tcBorders>
              <w:right w:val="single" w:sz="8" w:color="C6E0B4"/>
            </w:tcBorders>
            <w:shd w:val="clear" w:color="auto" w:fill="C6E0B4"/>
          </w:tcPr>
          <w:p>
            <w:pPr>
              <w:spacing w:after="0"/>
              <w:rPr>
                <w:sz w:val="18"/>
                <w:szCs w:val="18"/>
                <w:color w:val="auto"/>
              </w:rPr>
            </w:pPr>
          </w:p>
        </w:tc>
        <w:tc>
          <w:tcPr>
            <w:tcW w:w="4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154.4</w:t>
            </w:r>
          </w:p>
        </w:tc>
        <w:tc>
          <w:tcPr>
            <w:tcW w:w="0" w:type="dxa"/>
            <w:vAlign w:val="bottom"/>
          </w:tcPr>
          <w:p>
            <w:pPr>
              <w:spacing w:after="0"/>
              <w:rPr>
                <w:sz w:val="1"/>
                <w:szCs w:val="1"/>
                <w:color w:val="auto"/>
              </w:rPr>
            </w:pPr>
          </w:p>
        </w:tc>
      </w:tr>
      <w:tr>
        <w:trPr>
          <w:trHeight w:val="217"/>
        </w:trPr>
        <w:tc>
          <w:tcPr>
            <w:tcW w:w="57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Contractual obligation to acquire intangible assets</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16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122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1,721.1</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401.9</w:t>
            </w:r>
          </w:p>
        </w:tc>
        <w:tc>
          <w:tcPr>
            <w:tcW w:w="1160" w:type="dxa"/>
            <w:vAlign w:val="bottom"/>
            <w:tcBorders>
              <w:bottom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956.8</w:t>
            </w:r>
          </w:p>
        </w:tc>
        <w:tc>
          <w:tcPr>
            <w:tcW w:w="1220" w:type="dxa"/>
            <w:vAlign w:val="bottom"/>
            <w:tcBorders>
              <w:bottom w:val="single" w:sz="8" w:color="70AD47"/>
              <w:right w:val="single" w:sz="8" w:color="70AD47"/>
            </w:tcBorders>
            <w:gridSpan w:val="2"/>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516.8</w:t>
            </w:r>
          </w:p>
        </w:tc>
        <w:tc>
          <w:tcPr>
            <w:tcW w:w="12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1,875.5</w:t>
            </w:r>
          </w:p>
        </w:tc>
        <w:tc>
          <w:tcPr>
            <w:tcW w:w="0" w:type="dxa"/>
            <w:vAlign w:val="bottom"/>
          </w:tcPr>
          <w:p>
            <w:pPr>
              <w:spacing w:after="0"/>
              <w:rPr>
                <w:sz w:val="1"/>
                <w:szCs w:val="1"/>
                <w:color w:val="auto"/>
              </w:rPr>
            </w:pPr>
          </w:p>
        </w:tc>
      </w:tr>
      <w:tr>
        <w:trPr>
          <w:trHeight w:val="351"/>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financial obligations were recognized at nominal value.</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19  Other Non-Financial Liabilities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160" w:type="dxa"/>
            <w:vAlign w:val="bottom"/>
            <w:tcBorders>
              <w:bottom w:val="single" w:sz="8" w:color="70AD47"/>
            </w:tcBorders>
          </w:tcPr>
          <w:p>
            <w:pPr>
              <w:spacing w:after="0"/>
              <w:rPr>
                <w:sz w:val="18"/>
                <w:szCs w:val="18"/>
                <w:color w:val="auto"/>
              </w:rPr>
            </w:pPr>
          </w:p>
        </w:tc>
        <w:tc>
          <w:tcPr>
            <w:tcW w:w="180" w:type="dxa"/>
            <w:vAlign w:val="bottom"/>
            <w:tcBorders>
              <w:bottom w:val="single" w:sz="8" w:color="70AD47"/>
              <w:right w:val="single" w:sz="8" w:color="70AD47"/>
            </w:tcBorders>
          </w:tcPr>
          <w:p>
            <w:pPr>
              <w:spacing w:after="0"/>
              <w:rPr>
                <w:sz w:val="18"/>
                <w:szCs w:val="18"/>
                <w:color w:val="auto"/>
              </w:rPr>
            </w:pPr>
          </w:p>
        </w:tc>
        <w:tc>
          <w:tcPr>
            <w:tcW w:w="1720" w:type="dxa"/>
            <w:vAlign w:val="bottom"/>
            <w:tcBorders>
              <w:bottom w:val="single" w:sz="8" w:color="70AD47"/>
              <w:right w:val="single" w:sz="8" w:color="70AD47"/>
            </w:tcBorders>
            <w:gridSpan w:val="2"/>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80" w:type="dxa"/>
            <w:vAlign w:val="bottom"/>
            <w:tcBorders>
              <w:bottom w:val="single" w:sz="8" w:color="70AD47"/>
            </w:tcBorders>
          </w:tcPr>
          <w:p>
            <w:pPr>
              <w:spacing w:after="0"/>
              <w:rPr>
                <w:sz w:val="18"/>
                <w:szCs w:val="18"/>
                <w:color w:val="auto"/>
              </w:rPr>
            </w:pP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December 31, 2022</w:t>
            </w:r>
          </w:p>
        </w:tc>
        <w:tc>
          <w:tcPr>
            <w:tcW w:w="0" w:type="dxa"/>
            <w:vAlign w:val="bottom"/>
          </w:tcPr>
          <w:p>
            <w:pPr>
              <w:spacing w:after="0"/>
              <w:rPr>
                <w:sz w:val="1"/>
                <w:szCs w:val="1"/>
                <w:color w:val="auto"/>
              </w:rPr>
            </w:pPr>
          </w:p>
        </w:tc>
      </w:tr>
      <w:tr>
        <w:trPr>
          <w:trHeight w:val="20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to employees</w:t>
            </w:r>
          </w:p>
        </w:tc>
        <w:tc>
          <w:tcPr>
            <w:tcW w:w="1160" w:type="dxa"/>
            <w:vAlign w:val="bottom"/>
          </w:tcPr>
          <w:p>
            <w:pPr>
              <w:spacing w:after="0"/>
              <w:rPr>
                <w:sz w:val="18"/>
                <w:szCs w:val="18"/>
                <w:color w:val="auto"/>
              </w:rPr>
            </w:pPr>
          </w:p>
        </w:tc>
        <w:tc>
          <w:tcPr>
            <w:tcW w:w="180" w:type="dxa"/>
            <w:vAlign w:val="bottom"/>
            <w:tcBorders>
              <w:right w:val="single" w:sz="8" w:color="70AD47"/>
            </w:tcBorders>
          </w:tcPr>
          <w:p>
            <w:pPr>
              <w:spacing w:after="0"/>
              <w:rPr>
                <w:sz w:val="18"/>
                <w:szCs w:val="18"/>
                <w:color w:val="auto"/>
              </w:rPr>
            </w:pPr>
          </w:p>
        </w:tc>
        <w:tc>
          <w:tcPr>
            <w:tcW w:w="980" w:type="dxa"/>
            <w:vAlign w:val="bottom"/>
            <w:shd w:val="clear" w:color="auto" w:fill="C6E0B4"/>
          </w:tcPr>
          <w:p>
            <w:pPr>
              <w:spacing w:after="0"/>
              <w:rPr>
                <w:sz w:val="18"/>
                <w:szCs w:val="18"/>
                <w:color w:val="auto"/>
              </w:rPr>
            </w:pPr>
          </w:p>
        </w:tc>
        <w:tc>
          <w:tcPr>
            <w:tcW w:w="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480" w:type="dxa"/>
            <w:vAlign w:val="bottom"/>
          </w:tcPr>
          <w:p>
            <w:pPr>
              <w:spacing w:after="0"/>
              <w:rPr>
                <w:sz w:val="18"/>
                <w:szCs w:val="18"/>
                <w:color w:val="auto"/>
              </w:rPr>
            </w:pP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from share-based payment arrangements</w:t>
            </w:r>
          </w:p>
        </w:tc>
        <w:tc>
          <w:tcPr>
            <w:tcW w:w="1160" w:type="dxa"/>
            <w:vAlign w:val="bottom"/>
          </w:tcPr>
          <w:p>
            <w:pPr>
              <w:spacing w:after="0"/>
              <w:rPr>
                <w:sz w:val="18"/>
                <w:szCs w:val="18"/>
                <w:color w:val="auto"/>
              </w:rPr>
            </w:pPr>
          </w:p>
        </w:tc>
        <w:tc>
          <w:tcPr>
            <w:tcW w:w="180" w:type="dxa"/>
            <w:vAlign w:val="bottom"/>
            <w:tcBorders>
              <w:right w:val="single" w:sz="8" w:color="70AD47"/>
            </w:tcBorders>
          </w:tcPr>
          <w:p>
            <w:pPr>
              <w:spacing w:after="0"/>
              <w:rPr>
                <w:sz w:val="18"/>
                <w:szCs w:val="18"/>
                <w:color w:val="auto"/>
              </w:rPr>
            </w:pPr>
          </w:p>
        </w:tc>
        <w:tc>
          <w:tcPr>
            <w:tcW w:w="980" w:type="dxa"/>
            <w:vAlign w:val="bottom"/>
            <w:shd w:val="clear" w:color="auto" w:fill="C6E0B4"/>
          </w:tcPr>
          <w:p>
            <w:pPr>
              <w:spacing w:after="0"/>
              <w:rPr>
                <w:sz w:val="18"/>
                <w:szCs w:val="18"/>
                <w:color w:val="auto"/>
              </w:rPr>
            </w:pPr>
          </w:p>
        </w:tc>
        <w:tc>
          <w:tcPr>
            <w:tcW w:w="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480" w:type="dxa"/>
            <w:vAlign w:val="bottom"/>
          </w:tcPr>
          <w:p>
            <w:pPr>
              <w:spacing w:after="0"/>
              <w:rPr>
                <w:sz w:val="18"/>
                <w:szCs w:val="18"/>
                <w:color w:val="auto"/>
              </w:rPr>
            </w:pP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from wage taxes and social securities expenses</w:t>
            </w:r>
          </w:p>
        </w:tc>
        <w:tc>
          <w:tcPr>
            <w:tcW w:w="1160" w:type="dxa"/>
            <w:vAlign w:val="bottom"/>
          </w:tcPr>
          <w:p>
            <w:pPr>
              <w:spacing w:after="0"/>
              <w:rPr>
                <w:sz w:val="18"/>
                <w:szCs w:val="18"/>
                <w:color w:val="auto"/>
              </w:rPr>
            </w:pPr>
          </w:p>
        </w:tc>
        <w:tc>
          <w:tcPr>
            <w:tcW w:w="180" w:type="dxa"/>
            <w:vAlign w:val="bottom"/>
            <w:tcBorders>
              <w:right w:val="single" w:sz="8" w:color="70AD47"/>
            </w:tcBorders>
          </w:tcPr>
          <w:p>
            <w:pPr>
              <w:spacing w:after="0"/>
              <w:rPr>
                <w:sz w:val="18"/>
                <w:szCs w:val="18"/>
                <w:color w:val="auto"/>
              </w:rPr>
            </w:pPr>
          </w:p>
        </w:tc>
        <w:tc>
          <w:tcPr>
            <w:tcW w:w="980" w:type="dxa"/>
            <w:vAlign w:val="bottom"/>
            <w:shd w:val="clear" w:color="auto" w:fill="C6E0B4"/>
          </w:tcPr>
          <w:p>
            <w:pPr>
              <w:spacing w:after="0"/>
              <w:rPr>
                <w:sz w:val="18"/>
                <w:szCs w:val="18"/>
                <w:color w:val="auto"/>
              </w:rPr>
            </w:pPr>
          </w:p>
        </w:tc>
        <w:tc>
          <w:tcPr>
            <w:tcW w:w="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80" w:type="dxa"/>
            <w:vAlign w:val="bottom"/>
          </w:tcPr>
          <w:p>
            <w:pPr>
              <w:spacing w:after="0"/>
              <w:rPr>
                <w:sz w:val="18"/>
                <w:szCs w:val="18"/>
                <w:color w:val="auto"/>
              </w:rPr>
            </w:pP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0" w:type="dxa"/>
            <w:vAlign w:val="bottom"/>
          </w:tcPr>
          <w:p>
            <w:pPr>
              <w:spacing w:after="0"/>
              <w:rPr>
                <w:sz w:val="1"/>
                <w:szCs w:val="1"/>
                <w:color w:val="auto"/>
              </w:rPr>
            </w:pPr>
          </w:p>
        </w:tc>
      </w:tr>
      <w:tr>
        <w:trPr>
          <w:trHeight w:val="217"/>
        </w:trPr>
        <w:tc>
          <w:tcPr>
            <w:tcW w:w="5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tcBorders>
              <w:bottom w:val="single" w:sz="8" w:color="70AD47"/>
            </w:tcBorders>
          </w:tcPr>
          <w:p>
            <w:pPr>
              <w:spacing w:after="0"/>
              <w:rPr>
                <w:sz w:val="18"/>
                <w:szCs w:val="18"/>
                <w:color w:val="auto"/>
              </w:rPr>
            </w:pPr>
          </w:p>
        </w:tc>
        <w:tc>
          <w:tcPr>
            <w:tcW w:w="180" w:type="dxa"/>
            <w:vAlign w:val="bottom"/>
            <w:tcBorders>
              <w:bottom w:val="single" w:sz="8" w:color="70AD47"/>
              <w:right w:val="single" w:sz="8" w:color="70AD47"/>
            </w:tcBorders>
          </w:tcPr>
          <w:p>
            <w:pPr>
              <w:spacing w:after="0"/>
              <w:rPr>
                <w:sz w:val="18"/>
                <w:szCs w:val="18"/>
                <w:color w:val="auto"/>
              </w:rPr>
            </w:pPr>
          </w:p>
        </w:tc>
        <w:tc>
          <w:tcPr>
            <w:tcW w:w="980" w:type="dxa"/>
            <w:vAlign w:val="bottom"/>
            <w:tcBorders>
              <w:bottom w:val="single" w:sz="8" w:color="70AD47"/>
            </w:tcBorders>
            <w:shd w:val="clear" w:color="auto" w:fill="C6E0B4"/>
          </w:tcPr>
          <w:p>
            <w:pPr>
              <w:spacing w:after="0"/>
              <w:rPr>
                <w:sz w:val="18"/>
                <w:szCs w:val="18"/>
                <w:color w:val="auto"/>
              </w:rPr>
            </w:pPr>
          </w:p>
        </w:tc>
        <w:tc>
          <w:tcPr>
            <w:tcW w:w="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480" w:type="dxa"/>
            <w:vAlign w:val="bottom"/>
            <w:tcBorders>
              <w:bottom w:val="single" w:sz="8" w:color="70AD47"/>
            </w:tcBorders>
          </w:tcPr>
          <w:p>
            <w:pPr>
              <w:spacing w:after="0"/>
              <w:rPr>
                <w:sz w:val="18"/>
                <w:szCs w:val="18"/>
                <w:color w:val="auto"/>
              </w:rPr>
            </w:pP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Borders>
              <w:bottom w:val="single" w:sz="8" w:color="70AD47"/>
            </w:tcBorders>
          </w:tcPr>
          <w:p>
            <w:pPr>
              <w:spacing w:after="0"/>
              <w:rPr>
                <w:sz w:val="18"/>
                <w:szCs w:val="18"/>
                <w:color w:val="auto"/>
              </w:rPr>
            </w:pPr>
          </w:p>
        </w:tc>
        <w:tc>
          <w:tcPr>
            <w:tcW w:w="180" w:type="dxa"/>
            <w:vAlign w:val="bottom"/>
            <w:tcBorders>
              <w:bottom w:val="single" w:sz="8" w:color="70AD47"/>
              <w:right w:val="single" w:sz="8" w:color="70AD47"/>
            </w:tcBorders>
          </w:tcPr>
          <w:p>
            <w:pPr>
              <w:spacing w:after="0"/>
              <w:rPr>
                <w:sz w:val="18"/>
                <w:szCs w:val="18"/>
                <w:color w:val="auto"/>
              </w:rPr>
            </w:pPr>
          </w:p>
        </w:tc>
        <w:tc>
          <w:tcPr>
            <w:tcW w:w="980" w:type="dxa"/>
            <w:vAlign w:val="bottom"/>
            <w:tcBorders>
              <w:bottom w:val="single" w:sz="8" w:color="70AD47"/>
            </w:tcBorders>
            <w:shd w:val="clear" w:color="auto" w:fill="C6E0B4"/>
          </w:tcPr>
          <w:p>
            <w:pPr>
              <w:spacing w:after="0"/>
              <w:rPr>
                <w:sz w:val="18"/>
                <w:szCs w:val="18"/>
                <w:color w:val="auto"/>
              </w:rPr>
            </w:pPr>
          </w:p>
        </w:tc>
        <w:tc>
          <w:tcPr>
            <w:tcW w:w="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138.2</w:t>
            </w:r>
          </w:p>
        </w:tc>
        <w:tc>
          <w:tcPr>
            <w:tcW w:w="480" w:type="dxa"/>
            <w:vAlign w:val="bottom"/>
            <w:tcBorders>
              <w:bottom w:val="single" w:sz="8" w:color="70AD47"/>
            </w:tcBorders>
          </w:tcPr>
          <w:p>
            <w:pPr>
              <w:spacing w:after="0"/>
              <w:rPr>
                <w:sz w:val="18"/>
                <w:szCs w:val="18"/>
                <w:color w:val="auto"/>
              </w:rPr>
            </w:pP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877.8</w:t>
            </w:r>
          </w:p>
        </w:tc>
        <w:tc>
          <w:tcPr>
            <w:tcW w:w="0" w:type="dxa"/>
            <w:vAlign w:val="bottom"/>
          </w:tcPr>
          <w:p>
            <w:pPr>
              <w:spacing w:after="0"/>
              <w:rPr>
                <w:sz w:val="1"/>
                <w:szCs w:val="1"/>
                <w:color w:val="auto"/>
              </w:rPr>
            </w:pPr>
          </w:p>
        </w:tc>
      </w:tr>
      <w:tr>
        <w:trPr>
          <w:trHeight w:val="20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160" w:type="dxa"/>
            <w:vAlign w:val="bottom"/>
          </w:tcPr>
          <w:p>
            <w:pPr>
              <w:spacing w:after="0"/>
              <w:rPr>
                <w:sz w:val="18"/>
                <w:szCs w:val="18"/>
                <w:color w:val="auto"/>
              </w:rPr>
            </w:pPr>
          </w:p>
        </w:tc>
        <w:tc>
          <w:tcPr>
            <w:tcW w:w="180" w:type="dxa"/>
            <w:vAlign w:val="bottom"/>
            <w:tcBorders>
              <w:right w:val="single" w:sz="8" w:color="70AD47"/>
            </w:tcBorders>
          </w:tcPr>
          <w:p>
            <w:pPr>
              <w:spacing w:after="0"/>
              <w:rPr>
                <w:sz w:val="18"/>
                <w:szCs w:val="18"/>
                <w:color w:val="auto"/>
              </w:rPr>
            </w:pPr>
          </w:p>
        </w:tc>
        <w:tc>
          <w:tcPr>
            <w:tcW w:w="980" w:type="dxa"/>
            <w:vAlign w:val="bottom"/>
            <w:shd w:val="clear" w:color="auto" w:fill="C6E0B4"/>
          </w:tcPr>
          <w:p>
            <w:pPr>
              <w:spacing w:after="0"/>
              <w:rPr>
                <w:sz w:val="18"/>
                <w:szCs w:val="18"/>
                <w:color w:val="auto"/>
              </w:rPr>
            </w:pPr>
          </w:p>
        </w:tc>
        <w:tc>
          <w:tcPr>
            <w:tcW w:w="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480" w:type="dxa"/>
            <w:vAlign w:val="bottom"/>
          </w:tcPr>
          <w:p>
            <w:pPr>
              <w:spacing w:after="0"/>
              <w:rPr>
                <w:sz w:val="18"/>
                <w:szCs w:val="18"/>
                <w:color w:val="auto"/>
              </w:rPr>
            </w:pPr>
          </w:p>
        </w:tc>
        <w:tc>
          <w:tcPr>
            <w:tcW w:w="12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0" w:type="dxa"/>
            <w:vAlign w:val="bottom"/>
          </w:tcPr>
          <w:p>
            <w:pPr>
              <w:spacing w:after="0"/>
              <w:rPr>
                <w:sz w:val="1"/>
                <w:szCs w:val="1"/>
                <w:color w:val="auto"/>
              </w:rPr>
            </w:pPr>
          </w:p>
        </w:tc>
      </w:tr>
      <w:tr>
        <w:trPr>
          <w:trHeight w:val="217"/>
        </w:trPr>
        <w:tc>
          <w:tcPr>
            <w:tcW w:w="5780" w:type="dxa"/>
            <w:vAlign w:val="bottom"/>
            <w:tcBorders>
              <w:bottom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Total non-current</w:t>
            </w:r>
          </w:p>
        </w:tc>
        <w:tc>
          <w:tcPr>
            <w:tcW w:w="1160" w:type="dxa"/>
            <w:vAlign w:val="bottom"/>
            <w:tcBorders>
              <w:bottom w:val="single" w:sz="8" w:color="70AD47"/>
            </w:tcBorders>
          </w:tcPr>
          <w:p>
            <w:pPr>
              <w:spacing w:after="0"/>
              <w:rPr>
                <w:sz w:val="18"/>
                <w:szCs w:val="18"/>
                <w:color w:val="auto"/>
              </w:rPr>
            </w:pPr>
          </w:p>
        </w:tc>
        <w:tc>
          <w:tcPr>
            <w:tcW w:w="180" w:type="dxa"/>
            <w:vAlign w:val="bottom"/>
            <w:tcBorders>
              <w:bottom w:val="single" w:sz="8" w:color="70AD47"/>
              <w:right w:val="single" w:sz="8" w:color="70AD47"/>
            </w:tcBorders>
          </w:tcPr>
          <w:p>
            <w:pPr>
              <w:spacing w:after="0"/>
              <w:rPr>
                <w:sz w:val="18"/>
                <w:szCs w:val="18"/>
                <w:color w:val="auto"/>
              </w:rPr>
            </w:pPr>
          </w:p>
        </w:tc>
        <w:tc>
          <w:tcPr>
            <w:tcW w:w="980" w:type="dxa"/>
            <w:vAlign w:val="bottom"/>
            <w:tcBorders>
              <w:bottom w:val="single" w:sz="8" w:color="70AD47"/>
            </w:tcBorders>
            <w:shd w:val="clear" w:color="auto" w:fill="C6E0B4"/>
          </w:tcPr>
          <w:p>
            <w:pPr>
              <w:spacing w:after="0"/>
              <w:rPr>
                <w:sz w:val="18"/>
                <w:szCs w:val="18"/>
                <w:color w:val="auto"/>
              </w:rPr>
            </w:pPr>
          </w:p>
        </w:tc>
        <w:tc>
          <w:tcPr>
            <w:tcW w:w="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80" w:type="dxa"/>
            <w:vAlign w:val="bottom"/>
            <w:tcBorders>
              <w:bottom w:val="single" w:sz="8" w:color="70AD47"/>
            </w:tcBorders>
          </w:tcPr>
          <w:p>
            <w:pPr>
              <w:spacing w:after="0"/>
              <w:rPr>
                <w:sz w:val="18"/>
                <w:szCs w:val="18"/>
                <w:color w:val="auto"/>
              </w:rPr>
            </w:pPr>
          </w:p>
        </w:tc>
        <w:tc>
          <w:tcPr>
            <w:tcW w:w="12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2" w:name="page313"/>
    <w:bookmarkEnd w:id="312"/>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4"/>
          <w:szCs w:val="14"/>
          <w:b w:val="1"/>
          <w:bCs w:val="1"/>
          <w:color w:val="auto"/>
        </w:rPr>
        <w:t>Leases</w:t>
      </w:r>
    </w:p>
    <w:p>
      <w:pPr>
        <w:spacing w:after="0" w:line="9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20.1</w:t>
      </w:r>
      <w:r>
        <w:rPr>
          <w:sz w:val="20"/>
          <w:szCs w:val="20"/>
          <w:color w:val="auto"/>
        </w:rPr>
        <w:tab/>
      </w:r>
      <w:r>
        <w:rPr>
          <w:rFonts w:ascii="Times New Roman" w:cs="Times New Roman" w:eastAsia="Times New Roman" w:hAnsi="Times New Roman"/>
          <w:sz w:val="14"/>
          <w:szCs w:val="14"/>
          <w:b w:val="1"/>
          <w:bCs w:val="1"/>
          <w:color w:val="auto"/>
        </w:rPr>
        <w:t>Amounts Recognized in the Consolidated Statements of Financial Position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Right-of-Use Assets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amounts are presented as right-of-use assets within the consolidated statements of financial position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6"/>
        </w:trPr>
        <w:tc>
          <w:tcPr>
            <w:tcW w:w="71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Production facilities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7"/>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operating equipment</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71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214.4</w:t>
            </w:r>
          </w:p>
        </w:tc>
        <w:tc>
          <w:tcPr>
            <w:tcW w:w="17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w:t>
            </w: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Additions to the right-of-use assets during the year ended December 31, 2023, were €66.4 million (during the year ended December 31, 2022: €118.3 million).</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Lease Liability</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amounts are included in lease liabilities, loans and borrowings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440" w:type="dxa"/>
            <w:vAlign w:val="bottom"/>
            <w:tcBorders>
              <w:bottom w:val="single" w:sz="8" w:color="70AD47"/>
              <w:right w:val="single" w:sz="8" w:color="C5E0B4"/>
            </w:tcBorders>
            <w:shd w:val="clear" w:color="auto" w:fill="C5E0B4"/>
          </w:tcPr>
          <w:p>
            <w:pPr>
              <w:spacing w:after="0"/>
              <w:rPr>
                <w:sz w:val="18"/>
                <w:szCs w:val="18"/>
                <w:color w:val="auto"/>
              </w:rPr>
            </w:pPr>
          </w:p>
        </w:tc>
        <w:tc>
          <w:tcPr>
            <w:tcW w:w="13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240" w:type="dxa"/>
            <w:vAlign w:val="bottom"/>
            <w:tcBorders>
              <w:bottom w:val="single" w:sz="8" w:color="70AD47"/>
            </w:tcBorders>
          </w:tcPr>
          <w:p>
            <w:pPr>
              <w:spacing w:after="0"/>
              <w:rPr>
                <w:sz w:val="18"/>
                <w:szCs w:val="18"/>
                <w:color w:val="auto"/>
              </w:rPr>
            </w:pP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7080" w:type="dxa"/>
            <w:vAlign w:val="bottom"/>
            <w:tcBorders>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440" w:type="dxa"/>
            <w:vAlign w:val="bottom"/>
            <w:tcBorders>
              <w:right w:val="single" w:sz="8" w:color="C6E0B4"/>
            </w:tcBorders>
            <w:shd w:val="clear" w:color="auto" w:fill="C6E0B4"/>
          </w:tcPr>
          <w:p>
            <w:pPr>
              <w:spacing w:after="0"/>
              <w:rPr>
                <w:sz w:val="17"/>
                <w:szCs w:val="17"/>
                <w:color w:val="auto"/>
              </w:rPr>
            </w:pPr>
          </w:p>
        </w:tc>
        <w:tc>
          <w:tcPr>
            <w:tcW w:w="13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7"/>
                <w:szCs w:val="17"/>
                <w:color w:val="auto"/>
              </w:rPr>
            </w:pP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7"/>
        </w:trPr>
        <w:tc>
          <w:tcPr>
            <w:tcW w:w="708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440" w:type="dxa"/>
            <w:vAlign w:val="bottom"/>
            <w:tcBorders>
              <w:bottom w:val="single" w:sz="8" w:color="70AD47"/>
              <w:right w:val="single" w:sz="8" w:color="C6E0B4"/>
            </w:tcBorders>
            <w:shd w:val="clear" w:color="auto" w:fill="C6E0B4"/>
          </w:tcPr>
          <w:p>
            <w:pPr>
              <w:spacing w:after="0"/>
              <w:rPr>
                <w:sz w:val="18"/>
                <w:szCs w:val="18"/>
                <w:color w:val="auto"/>
              </w:rPr>
            </w:pP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240" w:type="dxa"/>
            <w:vAlign w:val="bottom"/>
            <w:tcBorders>
              <w:bottom w:val="single" w:sz="8" w:color="70AD47"/>
            </w:tcBorders>
          </w:tcPr>
          <w:p>
            <w:pPr>
              <w:spacing w:after="0"/>
              <w:rPr>
                <w:sz w:val="18"/>
                <w:szCs w:val="18"/>
                <w:color w:val="auto"/>
              </w:rPr>
            </w:pP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r>
      <w:tr>
        <w:trPr>
          <w:trHeight w:val="208"/>
        </w:trPr>
        <w:tc>
          <w:tcPr>
            <w:tcW w:w="7080" w:type="dxa"/>
            <w:vAlign w:val="bottom"/>
            <w:tcBorders>
              <w:bottom w:val="single" w:sz="8" w:color="70AD47"/>
              <w:right w:val="single" w:sz="8" w:color="70AD47"/>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Borders>
              <w:bottom w:val="single" w:sz="8" w:color="70AD47"/>
              <w:right w:val="single" w:sz="8" w:color="C6E0B4"/>
            </w:tcBorders>
            <w:shd w:val="clear" w:color="auto" w:fill="C6E0B4"/>
          </w:tcPr>
          <w:p>
            <w:pPr>
              <w:spacing w:after="0"/>
              <w:rPr>
                <w:sz w:val="18"/>
                <w:szCs w:val="18"/>
                <w:color w:val="auto"/>
              </w:rPr>
            </w:pPr>
          </w:p>
        </w:tc>
        <w:tc>
          <w:tcPr>
            <w:tcW w:w="13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216.7</w:t>
            </w:r>
          </w:p>
        </w:tc>
        <w:tc>
          <w:tcPr>
            <w:tcW w:w="240" w:type="dxa"/>
            <w:vAlign w:val="bottom"/>
            <w:tcBorders>
              <w:bottom w:val="single" w:sz="8" w:color="70AD47"/>
            </w:tcBorders>
          </w:tcPr>
          <w:p>
            <w:pPr>
              <w:spacing w:after="0"/>
              <w:rPr>
                <w:sz w:val="18"/>
                <w:szCs w:val="18"/>
                <w:color w:val="auto"/>
              </w:rPr>
            </w:pP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210.1</w:t>
            </w:r>
          </w:p>
        </w:tc>
      </w:tr>
      <w:tr>
        <w:trPr>
          <w:trHeight w:val="447"/>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  Amounts Recognized in the Consolidated Statements of Profit or Loss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0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Depreciation Charge of Right-of-Use Assets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83"/>
        </w:trPr>
        <w:tc>
          <w:tcPr>
            <w:tcW w:w="6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20" w:type="dxa"/>
            <w:vAlign w:val="bottom"/>
          </w:tcPr>
          <w:p>
            <w:pPr>
              <w:spacing w:after="0"/>
              <w:rPr>
                <w:sz w:val="24"/>
                <w:szCs w:val="24"/>
                <w:color w:val="auto"/>
              </w:rPr>
            </w:pPr>
          </w:p>
        </w:tc>
      </w:tr>
      <w:tr>
        <w:trPr>
          <w:trHeight w:val="206"/>
        </w:trPr>
        <w:tc>
          <w:tcPr>
            <w:tcW w:w="6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20" w:type="dxa"/>
            <w:vAlign w:val="bottom"/>
          </w:tcPr>
          <w:p>
            <w:pPr>
              <w:spacing w:after="0"/>
              <w:rPr>
                <w:sz w:val="17"/>
                <w:szCs w:val="17"/>
                <w:color w:val="auto"/>
              </w:rPr>
            </w:pPr>
          </w:p>
        </w:tc>
      </w:tr>
      <w:tr>
        <w:trPr>
          <w:trHeight w:val="216"/>
        </w:trPr>
        <w:tc>
          <w:tcPr>
            <w:tcW w:w="6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080" w:type="dxa"/>
            <w:vAlign w:val="bottom"/>
            <w:tcBorders>
              <w:bottom w:val="single" w:sz="8" w:color="70AD47"/>
              <w:right w:val="single" w:sz="8" w:color="C5E0B4"/>
            </w:tcBorders>
            <w:shd w:val="clear" w:color="auto" w:fill="C5E0B4"/>
          </w:tcPr>
          <w:p>
            <w:pPr>
              <w:spacing w:after="0"/>
              <w:rPr>
                <w:sz w:val="18"/>
                <w:szCs w:val="18"/>
                <w:color w:val="auto"/>
              </w:rPr>
            </w:pPr>
          </w:p>
        </w:tc>
        <w:tc>
          <w:tcPr>
            <w:tcW w:w="44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tcBorders>
              <w:bottom w:val="single" w:sz="8" w:color="70AD47"/>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6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080" w:type="dxa"/>
            <w:vAlign w:val="bottom"/>
            <w:tcBorders>
              <w:right w:val="single" w:sz="8" w:color="C6E0B4"/>
            </w:tcBorders>
            <w:shd w:val="clear" w:color="auto" w:fill="C6E0B4"/>
          </w:tcPr>
          <w:p>
            <w:pPr>
              <w:spacing w:after="0"/>
              <w:rPr>
                <w:sz w:val="18"/>
                <w:szCs w:val="18"/>
                <w:color w:val="auto"/>
              </w:rPr>
            </w:pPr>
          </w:p>
        </w:tc>
        <w:tc>
          <w:tcPr>
            <w:tcW w:w="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540" w:type="dxa"/>
            <w:vAlign w:val="bottom"/>
            <w:tcBorders>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35.2</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6"/>
        </w:trPr>
        <w:tc>
          <w:tcPr>
            <w:tcW w:w="6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Production facilities</w:t>
            </w:r>
          </w:p>
        </w:tc>
        <w:tc>
          <w:tcPr>
            <w:tcW w:w="1080" w:type="dxa"/>
            <w:vAlign w:val="bottom"/>
            <w:tcBorders>
              <w:right w:val="single" w:sz="8" w:color="C6E0B4"/>
            </w:tcBorders>
            <w:shd w:val="clear" w:color="auto" w:fill="C6E0B4"/>
          </w:tcPr>
          <w:p>
            <w:pPr>
              <w:spacing w:after="0"/>
              <w:rPr>
                <w:sz w:val="18"/>
                <w:szCs w:val="18"/>
                <w:color w:val="auto"/>
              </w:rPr>
            </w:pPr>
          </w:p>
        </w:tc>
        <w:tc>
          <w:tcPr>
            <w:tcW w:w="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540" w:type="dxa"/>
            <w:vAlign w:val="bottom"/>
            <w:tcBorders>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7"/>
        </w:trPr>
        <w:tc>
          <w:tcPr>
            <w:tcW w:w="6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Other operating equipment</w:t>
            </w:r>
          </w:p>
        </w:tc>
        <w:tc>
          <w:tcPr>
            <w:tcW w:w="1080" w:type="dxa"/>
            <w:vAlign w:val="bottom"/>
            <w:tcBorders>
              <w:bottom w:val="single" w:sz="8" w:color="70AD47"/>
              <w:right w:val="single" w:sz="8" w:color="C6E0B4"/>
            </w:tcBorders>
            <w:shd w:val="clear" w:color="auto" w:fill="C6E0B4"/>
          </w:tcPr>
          <w:p>
            <w:pPr>
              <w:spacing w:after="0"/>
              <w:rPr>
                <w:sz w:val="18"/>
                <w:szCs w:val="18"/>
                <w:color w:val="auto"/>
              </w:rPr>
            </w:pPr>
          </w:p>
        </w:tc>
        <w:tc>
          <w:tcPr>
            <w:tcW w:w="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540" w:type="dxa"/>
            <w:vAlign w:val="bottom"/>
            <w:tcBorders>
              <w:bottom w:val="single" w:sz="8" w:color="70AD47"/>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8"/>
        </w:trPr>
        <w:tc>
          <w:tcPr>
            <w:tcW w:w="6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depreciation charge</w:t>
            </w:r>
          </w:p>
        </w:tc>
        <w:tc>
          <w:tcPr>
            <w:tcW w:w="1080" w:type="dxa"/>
            <w:vAlign w:val="bottom"/>
            <w:tcBorders>
              <w:bottom w:val="single" w:sz="8" w:color="70AD47"/>
              <w:right w:val="single" w:sz="8" w:color="C6E0B4"/>
            </w:tcBorders>
            <w:shd w:val="clear" w:color="auto" w:fill="C6E0B4"/>
          </w:tcPr>
          <w:p>
            <w:pPr>
              <w:spacing w:after="0"/>
              <w:rPr>
                <w:sz w:val="18"/>
                <w:szCs w:val="18"/>
                <w:color w:val="auto"/>
              </w:rPr>
            </w:pPr>
          </w:p>
        </w:tc>
        <w:tc>
          <w:tcPr>
            <w:tcW w:w="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45.2</w:t>
            </w:r>
          </w:p>
        </w:tc>
        <w:tc>
          <w:tcPr>
            <w:tcW w:w="1540" w:type="dxa"/>
            <w:vAlign w:val="bottom"/>
            <w:tcBorders>
              <w:bottom w:val="single" w:sz="8" w:color="70AD47"/>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58.8</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r>
      <w:tr>
        <w:trPr>
          <w:trHeight w:val="197"/>
        </w:trPr>
        <w:tc>
          <w:tcPr>
            <w:tcW w:w="6000" w:type="dxa"/>
            <w:vAlign w:val="bottom"/>
            <w:tcBorders>
              <w:bottom w:val="single" w:sz="8" w:color="70AD47"/>
              <w:right w:val="single" w:sz="8" w:color="70AD47"/>
            </w:tcBorders>
          </w:tcPr>
          <w:p>
            <w:pPr>
              <w:spacing w:after="0"/>
              <w:rPr>
                <w:sz w:val="17"/>
                <w:szCs w:val="17"/>
                <w:color w:val="auto"/>
              </w:rPr>
            </w:pPr>
          </w:p>
        </w:tc>
        <w:tc>
          <w:tcPr>
            <w:tcW w:w="1080" w:type="dxa"/>
            <w:vAlign w:val="bottom"/>
            <w:tcBorders>
              <w:bottom w:val="single" w:sz="8" w:color="70AD47"/>
            </w:tcBorders>
          </w:tcPr>
          <w:p>
            <w:pPr>
              <w:spacing w:after="0"/>
              <w:rPr>
                <w:sz w:val="17"/>
                <w:szCs w:val="17"/>
                <w:color w:val="auto"/>
              </w:rPr>
            </w:pPr>
          </w:p>
        </w:tc>
        <w:tc>
          <w:tcPr>
            <w:tcW w:w="440" w:type="dxa"/>
            <w:vAlign w:val="bottom"/>
            <w:tcBorders>
              <w:bottom w:val="single" w:sz="8" w:color="70AD47"/>
              <w:right w:val="single" w:sz="8" w:color="70AD47"/>
            </w:tcBorders>
          </w:tcPr>
          <w:p>
            <w:pPr>
              <w:spacing w:after="0"/>
              <w:rPr>
                <w:sz w:val="17"/>
                <w:szCs w:val="17"/>
                <w:color w:val="auto"/>
              </w:rPr>
            </w:pPr>
          </w:p>
        </w:tc>
        <w:tc>
          <w:tcPr>
            <w:tcW w:w="1300" w:type="dxa"/>
            <w:vAlign w:val="bottom"/>
            <w:tcBorders>
              <w:bottom w:val="single" w:sz="8" w:color="70AD47"/>
            </w:tcBorders>
          </w:tcPr>
          <w:p>
            <w:pPr>
              <w:spacing w:after="0"/>
              <w:rPr>
                <w:sz w:val="17"/>
                <w:szCs w:val="17"/>
                <w:color w:val="auto"/>
              </w:rPr>
            </w:pPr>
          </w:p>
        </w:tc>
        <w:tc>
          <w:tcPr>
            <w:tcW w:w="240" w:type="dxa"/>
            <w:vAlign w:val="bottom"/>
            <w:tcBorders>
              <w:bottom w:val="single" w:sz="8" w:color="70AD47"/>
              <w:right w:val="single" w:sz="8" w:color="70AD47"/>
            </w:tcBorders>
          </w:tcPr>
          <w:p>
            <w:pPr>
              <w:spacing w:after="0"/>
              <w:rPr>
                <w:sz w:val="17"/>
                <w:szCs w:val="17"/>
                <w:color w:val="auto"/>
              </w:rPr>
            </w:pPr>
          </w:p>
        </w:tc>
        <w:tc>
          <w:tcPr>
            <w:tcW w:w="1520" w:type="dxa"/>
            <w:vAlign w:val="bottom"/>
            <w:tcBorders>
              <w:bottom w:val="single" w:sz="8" w:color="70AD47"/>
              <w:right w:val="single" w:sz="8" w:color="70AD47"/>
            </w:tcBorders>
          </w:tcPr>
          <w:p>
            <w:pPr>
              <w:spacing w:after="0"/>
              <w:rPr>
                <w:sz w:val="17"/>
                <w:szCs w:val="17"/>
                <w:color w:val="auto"/>
              </w:rPr>
            </w:pPr>
          </w:p>
        </w:tc>
      </w:tr>
      <w:tr>
        <w:trPr>
          <w:trHeight w:val="206"/>
        </w:trPr>
        <w:tc>
          <w:tcPr>
            <w:tcW w:w="600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080" w:type="dxa"/>
            <w:vAlign w:val="bottom"/>
            <w:tcBorders>
              <w:right w:val="single" w:sz="8" w:color="C6E0B4"/>
            </w:tcBorders>
            <w:shd w:val="clear" w:color="auto" w:fill="C6E0B4"/>
          </w:tcPr>
          <w:p>
            <w:pPr>
              <w:spacing w:after="0"/>
              <w:rPr>
                <w:sz w:val="17"/>
                <w:szCs w:val="17"/>
                <w:color w:val="auto"/>
              </w:rPr>
            </w:pPr>
          </w:p>
        </w:tc>
        <w:tc>
          <w:tcPr>
            <w:tcW w:w="4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540" w:type="dxa"/>
            <w:vAlign w:val="bottom"/>
            <w:tcBorders>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5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6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Expense related to short-term leases and leases of low-value assets</w:t>
            </w:r>
          </w:p>
        </w:tc>
        <w:tc>
          <w:tcPr>
            <w:tcW w:w="1080" w:type="dxa"/>
            <w:vAlign w:val="bottom"/>
            <w:tcBorders>
              <w:bottom w:val="single" w:sz="8" w:color="70AD47"/>
              <w:right w:val="single" w:sz="8" w:color="C6E0B4"/>
            </w:tcBorders>
            <w:shd w:val="clear" w:color="auto" w:fill="C6E0B4"/>
          </w:tcPr>
          <w:p>
            <w:pPr>
              <w:spacing w:after="0"/>
              <w:rPr>
                <w:sz w:val="18"/>
                <w:szCs w:val="18"/>
                <w:color w:val="auto"/>
              </w:rPr>
            </w:pPr>
          </w:p>
        </w:tc>
        <w:tc>
          <w:tcPr>
            <w:tcW w:w="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540" w:type="dxa"/>
            <w:vAlign w:val="bottom"/>
            <w:tcBorders>
              <w:bottom w:val="single" w:sz="8" w:color="70AD47"/>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600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amounts recognized in profit or loss</w:t>
            </w:r>
          </w:p>
        </w:tc>
        <w:tc>
          <w:tcPr>
            <w:tcW w:w="1080" w:type="dxa"/>
            <w:vAlign w:val="bottom"/>
            <w:tcBorders>
              <w:bottom w:val="single" w:sz="8" w:color="70AD47"/>
              <w:right w:val="single" w:sz="8" w:color="C6E0B4"/>
            </w:tcBorders>
            <w:shd w:val="clear" w:color="auto" w:fill="C6E0B4"/>
          </w:tcPr>
          <w:p>
            <w:pPr>
              <w:spacing w:after="0"/>
              <w:rPr>
                <w:sz w:val="18"/>
                <w:szCs w:val="18"/>
                <w:color w:val="auto"/>
              </w:rPr>
            </w:pPr>
          </w:p>
        </w:tc>
        <w:tc>
          <w:tcPr>
            <w:tcW w:w="4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109.8</w:t>
            </w:r>
          </w:p>
        </w:tc>
        <w:tc>
          <w:tcPr>
            <w:tcW w:w="1540" w:type="dxa"/>
            <w:vAlign w:val="bottom"/>
            <w:tcBorders>
              <w:bottom w:val="single" w:sz="8" w:color="70AD47"/>
              <w:right w:val="single" w:sz="8" w:color="70AD47"/>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91.0</w:t>
            </w:r>
          </w:p>
        </w:tc>
        <w:tc>
          <w:tcPr>
            <w:tcW w:w="15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r>
    </w:tbl>
    <w:p>
      <w:pPr>
        <w:spacing w:after="0" w:line="24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20.3</w:t>
      </w:r>
      <w:r>
        <w:rPr>
          <w:sz w:val="20"/>
          <w:szCs w:val="20"/>
          <w:color w:val="auto"/>
        </w:rPr>
        <w:tab/>
      </w:r>
      <w:r>
        <w:rPr>
          <w:rFonts w:ascii="Times New Roman" w:cs="Times New Roman" w:eastAsia="Times New Roman" w:hAnsi="Times New Roman"/>
          <w:sz w:val="14"/>
          <w:szCs w:val="14"/>
          <w:b w:val="1"/>
          <w:bCs w:val="1"/>
          <w:color w:val="auto"/>
        </w:rPr>
        <w:t>Amounts Recognized in the Consolidated Statements of Cash Flows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During the year ended December 31, 2023, the total cash outflow for leases amounted to €46.0 million (during the year ended December 31, 2022: €46.2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2021: €17.0 million).</w:t>
      </w:r>
    </w:p>
    <w:p>
      <w:pPr>
        <w:spacing w:after="0" w:line="1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20.4</w:t>
      </w:r>
      <w:r>
        <w:rPr>
          <w:sz w:val="20"/>
          <w:szCs w:val="20"/>
          <w:color w:val="auto"/>
        </w:rPr>
        <w:tab/>
      </w:r>
      <w:r>
        <w:rPr>
          <w:rFonts w:ascii="Times New Roman" w:cs="Times New Roman" w:eastAsia="Times New Roman" w:hAnsi="Times New Roman"/>
          <w:sz w:val="14"/>
          <w:szCs w:val="14"/>
          <w:b w:val="1"/>
          <w:bCs w:val="1"/>
          <w:color w:val="auto"/>
        </w:rPr>
        <w:t>Extension Options</w:t>
      </w:r>
    </w:p>
    <w:p>
      <w:pPr>
        <w:spacing w:after="0" w:line="82"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The Group has several lease contracts that include extension options. These options are negotiated by management to provide flexibility in managing the leased asset portfolio and align with the Group’s business needs. Management exercises judgment in determining whether these extension options are reasonably certain to be exercised. The undiscounted potential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3" w:name="page314"/>
    <w:bookmarkEnd w:id="313"/>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future lease payments, which relate to periods after the exercise date of renewal options and are not included in lease liabilities, amount to up to €157.2 million as of December 31, 2023, considering terms up until 2049 (as of December 31, 2022: €163.1 million considering terms up until 2049).</w:t>
      </w:r>
    </w:p>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4"/>
          <w:szCs w:val="14"/>
          <w:b w:val="1"/>
          <w:bCs w:val="1"/>
          <w:color w:val="auto"/>
        </w:rPr>
        <w:t>Related Party Disclosures</w:t>
      </w:r>
    </w:p>
    <w:p>
      <w:pPr>
        <w:spacing w:after="0" w:line="8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21.1</w:t>
      </w:r>
      <w:r>
        <w:rPr>
          <w:sz w:val="20"/>
          <w:szCs w:val="20"/>
          <w:color w:val="auto"/>
        </w:rPr>
        <w:tab/>
      </w:r>
      <w:r>
        <w:rPr>
          <w:rFonts w:ascii="Times New Roman" w:cs="Times New Roman" w:eastAsia="Times New Roman" w:hAnsi="Times New Roman"/>
          <w:sz w:val="14"/>
          <w:szCs w:val="14"/>
          <w:b w:val="1"/>
          <w:bCs w:val="1"/>
          <w:color w:val="auto"/>
        </w:rPr>
        <w:t>Parent and Ultimate Controlling Party</w:t>
      </w:r>
    </w:p>
    <w:p>
      <w:pPr>
        <w:spacing w:after="0" w:line="82"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ATHOS KG, Holzkirchen, Germany is the sole shareholder of AT Impf GmbH, Munich, Germany and beneficial owner of our ordinary shares. ATHOS KG via AT Impf GmbH has de facto control over BioNTech based on its substantial shareholding, which practically enables it to exercise the majority of voting rights to pass resolutions at our Annual General Meeting, or AGM.</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21.2</w:t>
      </w:r>
      <w:r>
        <w:rPr>
          <w:sz w:val="20"/>
          <w:szCs w:val="20"/>
          <w:color w:val="auto"/>
        </w:rPr>
        <w:tab/>
      </w:r>
      <w:r>
        <w:rPr>
          <w:rFonts w:ascii="Times New Roman" w:cs="Times New Roman" w:eastAsia="Times New Roman" w:hAnsi="Times New Roman"/>
          <w:sz w:val="14"/>
          <w:szCs w:val="14"/>
          <w:b w:val="1"/>
          <w:bCs w:val="1"/>
          <w:color w:val="auto"/>
        </w:rPr>
        <w:t>Transactions with Key Management Personnel</w:t>
      </w:r>
    </w:p>
    <w:p>
      <w:pPr>
        <w:spacing w:after="0" w:line="82"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In May 2023, at the Annual General Meeting, our shareholders reappointed Ulrich Wandschneider and Michael Motschmann as members of the Supervisory Board. In addition, Nicola Blackwood was appointed to our Supervisory Board. She succeeded Christoph Huber, who left the Supervisory Board after reaching the applicable retirement age limit.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Key Management Personnel Compensation</w:t>
      </w:r>
    </w:p>
    <w:p>
      <w:pPr>
        <w:spacing w:after="0" w:line="9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6"/>
          <w:szCs w:val="16"/>
          <w:color w:val="auto"/>
        </w:rPr>
        <w:t>Our key management personnel has been defined as the members of the Management Board and the Supervisory Board. Key management personnel compensation is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500" w:type="dxa"/>
            <w:vAlign w:val="bottom"/>
          </w:tcPr>
          <w:p>
            <w:pPr>
              <w:spacing w:after="0"/>
              <w:rPr>
                <w:sz w:val="16"/>
                <w:szCs w:val="16"/>
                <w:color w:val="auto"/>
              </w:rPr>
            </w:pPr>
          </w:p>
        </w:tc>
      </w:tr>
      <w:tr>
        <w:trPr>
          <w:trHeight w:val="206"/>
        </w:trPr>
        <w:tc>
          <w:tcPr>
            <w:tcW w:w="6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Pr>
          <w:p>
            <w:pPr>
              <w:spacing w:after="0"/>
              <w:rPr>
                <w:sz w:val="17"/>
                <w:szCs w:val="17"/>
                <w:color w:val="auto"/>
              </w:rPr>
            </w:pPr>
          </w:p>
        </w:tc>
      </w:tr>
      <w:tr>
        <w:trPr>
          <w:trHeight w:val="216"/>
        </w:trPr>
        <w:tc>
          <w:tcPr>
            <w:tcW w:w="6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0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608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 Board</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r>
      <w:tr>
        <w:trPr>
          <w:trHeight w:val="216"/>
        </w:trPr>
        <w:tc>
          <w:tcPr>
            <w:tcW w:w="60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Fixed compensation</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6080" w:type="dxa"/>
            <w:vAlign w:val="bottom"/>
            <w:tcBorders>
              <w:right w:val="single" w:sz="8" w:color="70AD47"/>
            </w:tcBorders>
          </w:tcPr>
          <w:p>
            <w:pPr>
              <w:ind w:left="120"/>
              <w:spacing w:after="0"/>
              <w:rPr>
                <w:sz w:val="20"/>
                <w:szCs w:val="20"/>
                <w:color w:val="auto"/>
              </w:rPr>
            </w:pPr>
            <w:r>
              <w:rPr>
                <w:rFonts w:ascii="Times New Roman" w:cs="Times New Roman" w:eastAsia="Times New Roman" w:hAnsi="Times New Roman"/>
                <w:sz w:val="16"/>
                <w:szCs w:val="16"/>
                <w:color w:val="auto"/>
              </w:rPr>
              <w:t>Short-term incentive – first installment</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9"/>
        </w:trPr>
        <w:tc>
          <w:tcPr>
            <w:tcW w:w="6080" w:type="dxa"/>
            <w:vAlign w:val="bottom"/>
            <w:tcBorders>
              <w:right w:val="single" w:sz="8" w:color="70AD47"/>
            </w:tcBorders>
          </w:tcPr>
          <w:p>
            <w:pPr>
              <w:ind w:left="120"/>
              <w:spacing w:after="0" w:line="229" w:lineRule="exact"/>
              <w:rPr>
                <w:sz w:val="20"/>
                <w:szCs w:val="20"/>
                <w:color w:val="auto"/>
              </w:rPr>
            </w:pPr>
            <w:r>
              <w:rPr>
                <w:rFonts w:ascii="Times New Roman" w:cs="Times New Roman" w:eastAsia="Times New Roman" w:hAnsi="Times New Roman"/>
                <w:sz w:val="16"/>
                <w:szCs w:val="16"/>
                <w:color w:val="auto"/>
              </w:rPr>
              <w:t>Short-term incentive – second installment</w:t>
            </w:r>
            <w:r>
              <w:rPr>
                <w:rFonts w:ascii="Times New Roman" w:cs="Times New Roman" w:eastAsia="Times New Roman" w:hAnsi="Times New Roman"/>
                <w:sz w:val="21"/>
                <w:szCs w:val="21"/>
                <w:color w:val="auto"/>
                <w:vertAlign w:val="superscript"/>
              </w:rPr>
              <w:t>(1)</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6080" w:type="dxa"/>
            <w:vAlign w:val="bottom"/>
            <w:tcBorders>
              <w:right w:val="single" w:sz="8" w:color="70AD47"/>
            </w:tcBorders>
          </w:tcPr>
          <w:p>
            <w:pPr>
              <w:ind w:left="120"/>
              <w:spacing w:after="0" w:line="216" w:lineRule="exact"/>
              <w:rPr>
                <w:sz w:val="20"/>
                <w:szCs w:val="20"/>
                <w:color w:val="auto"/>
              </w:rPr>
            </w:pPr>
            <w:r>
              <w:rPr>
                <w:rFonts w:ascii="Times New Roman" w:cs="Times New Roman" w:eastAsia="Times New Roman" w:hAnsi="Times New Roman"/>
                <w:sz w:val="16"/>
                <w:szCs w:val="16"/>
                <w:color w:val="auto"/>
              </w:rPr>
              <w:t>Other variable compensation</w:t>
            </w:r>
            <w:r>
              <w:rPr>
                <w:rFonts w:ascii="Times New Roman" w:cs="Times New Roman" w:eastAsia="Times New Roman" w:hAnsi="Times New Roman"/>
                <w:sz w:val="21"/>
                <w:szCs w:val="21"/>
                <w:color w:val="auto"/>
                <w:vertAlign w:val="superscript"/>
              </w:rPr>
              <w:t>(2)</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080" w:type="dxa"/>
            <w:vAlign w:val="bottom"/>
            <w:tcBorders>
              <w:right w:val="single" w:sz="8" w:color="70AD47"/>
            </w:tcBorders>
          </w:tcPr>
          <w:p>
            <w:pPr>
              <w:ind w:left="120"/>
              <w:spacing w:after="0" w:line="214" w:lineRule="exact"/>
              <w:rPr>
                <w:sz w:val="20"/>
                <w:szCs w:val="20"/>
                <w:color w:val="auto"/>
              </w:rPr>
            </w:pPr>
            <w:r>
              <w:rPr>
                <w:rFonts w:ascii="Times New Roman" w:cs="Times New Roman" w:eastAsia="Times New Roman" w:hAnsi="Times New Roman"/>
                <w:sz w:val="16"/>
                <w:szCs w:val="16"/>
                <w:color w:val="auto"/>
              </w:rPr>
              <w:t>Share-based payments (incl. long-term incentive)</w:t>
            </w:r>
            <w:r>
              <w:rPr>
                <w:rFonts w:ascii="Times New Roman" w:cs="Times New Roman" w:eastAsia="Times New Roman" w:hAnsi="Times New Roman"/>
                <w:sz w:val="21"/>
                <w:szCs w:val="21"/>
                <w:color w:val="auto"/>
                <w:vertAlign w:val="superscript"/>
              </w:rPr>
              <w:t>(3)</w:t>
            </w:r>
          </w:p>
        </w:tc>
        <w:tc>
          <w:tcPr>
            <w:tcW w:w="150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50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6"/>
        </w:trPr>
        <w:tc>
          <w:tcPr>
            <w:tcW w:w="6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Supervisory Board</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r>
      <w:tr>
        <w:trPr>
          <w:trHeight w:val="208"/>
        </w:trPr>
        <w:tc>
          <w:tcPr>
            <w:tcW w:w="608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compensation paid to key management personnel</w:t>
            </w:r>
          </w:p>
        </w:tc>
        <w:tc>
          <w:tcPr>
            <w:tcW w:w="150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50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r>
    </w:tbl>
    <w:p>
      <w:pPr>
        <w:spacing w:after="0" w:line="108" w:lineRule="exact"/>
        <w:rPr>
          <w:sz w:val="20"/>
          <w:szCs w:val="20"/>
          <w:color w:val="auto"/>
        </w:rPr>
      </w:pPr>
    </w:p>
    <w:p>
      <w:pPr>
        <w:jc w:val="both"/>
        <w:ind w:left="240" w:right="20" w:hanging="234"/>
        <w:spacing w:after="0" w:line="236" w:lineRule="auto"/>
        <w:tabs>
          <w:tab w:leader="none" w:pos="282" w:val="left"/>
        </w:tabs>
        <w:numPr>
          <w:ilvl w:val="0"/>
          <w:numId w:val="20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fair value of the second installment of the short-term incentive compensation which has been classified as a cash-settled share-based payment arrangement was determined pursuant to the regulations of IFRS 2 “Share-based Payments.” This table shows the pro-rata share of personnel expenses for the respective financial year that are recognized over the award’s vesting period beginning as of the service commencement date (date when entering or renewing service agreements) until each separate determination date and are remeasured until settlement date.</w:t>
      </w:r>
    </w:p>
    <w:p>
      <w:pPr>
        <w:spacing w:after="0" w:line="2" w:lineRule="exact"/>
        <w:rPr>
          <w:rFonts w:ascii="Times New Roman" w:cs="Times New Roman" w:eastAsia="Times New Roman" w:hAnsi="Times New Roman"/>
          <w:sz w:val="19"/>
          <w:szCs w:val="19"/>
          <w:color w:val="auto"/>
          <w:vertAlign w:val="superscript"/>
        </w:rPr>
      </w:pPr>
    </w:p>
    <w:p>
      <w:pPr>
        <w:ind w:left="260" w:hanging="254"/>
        <w:spacing w:after="0" w:line="237" w:lineRule="auto"/>
        <w:tabs>
          <w:tab w:leader="none" w:pos="260" w:val="left"/>
        </w:tabs>
        <w:numPr>
          <w:ilvl w:val="0"/>
          <w:numId w:val="20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 one-time signing and retention cash payment agreed when renewing the service agreement agreed with Sean Marett.</w:t>
      </w:r>
    </w:p>
    <w:p>
      <w:pPr>
        <w:spacing w:after="0" w:line="44" w:lineRule="exact"/>
        <w:rPr>
          <w:rFonts w:ascii="Times New Roman" w:cs="Times New Roman" w:eastAsia="Times New Roman" w:hAnsi="Times New Roman"/>
          <w:sz w:val="19"/>
          <w:szCs w:val="19"/>
          <w:color w:val="auto"/>
          <w:vertAlign w:val="superscript"/>
        </w:rPr>
      </w:pPr>
    </w:p>
    <w:p>
      <w:pPr>
        <w:jc w:val="both"/>
        <w:ind w:left="240" w:hanging="234"/>
        <w:spacing w:after="0" w:line="225" w:lineRule="auto"/>
        <w:tabs>
          <w:tab w:leader="none" w:pos="311" w:val="left"/>
        </w:tabs>
        <w:numPr>
          <w:ilvl w:val="0"/>
          <w:numId w:val="20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fair value of the share-based payments was determined pursuant to the regulations of IFRS 2 “Stock-based Payments.” This table shows the pro-rata share of personnel expenses resulting from stock-based compensation for the respective financial year. During the years ended December 31, 2023, 2022, and 2021, the amounts included expenses derived from a one-time signing bonus granted to Jens Holstein as of his appointment to the Management Board in the form of 4,246 phantom shares.</w:t>
      </w:r>
    </w:p>
    <w:p>
      <w:pPr>
        <w:spacing w:after="0" w:line="173"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Management Board members participated in our ESOP program (see Note 16)</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Out of the 5,152,410 option rights granted to our Management Board under the ESOP 2018 program 4,921,630 options were exercised during the year ended December 31, 2022. The remaining 230,780 option rights were exercised by Sean Marett in May 2023. As of December 31, 2023, no further options issued to our Management Board members are outstanding.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4" w:name="page315"/>
    <w:bookmarkEnd w:id="314"/>
    <w:p>
      <w:pPr>
        <w:ind w:left="400"/>
        <w:spacing w:after="0"/>
        <w:rPr>
          <w:rFonts w:ascii="Times New Roman" w:cs="Times New Roman" w:eastAsia="Times New Roman" w:hAnsi="Times New Roman"/>
          <w:sz w:val="16"/>
          <w:szCs w:val="16"/>
          <w:u w:val="single" w:color="auto"/>
          <w:color w:val="0000FF"/>
        </w:rPr>
      </w:pPr>
      <w:hyperlink w:anchor="page2">
        <w:r>
          <w:rPr>
            <w:rFonts w:ascii="Times New Roman" w:cs="Times New Roman" w:eastAsia="Times New Roman" w:hAnsi="Times New Roman"/>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21.3</w:t>
      </w:r>
      <w:r>
        <w:rPr>
          <w:sz w:val="20"/>
          <w:szCs w:val="20"/>
          <w:color w:val="auto"/>
        </w:rPr>
        <w:tab/>
      </w:r>
      <w:r>
        <w:rPr>
          <w:rFonts w:ascii="Times New Roman" w:cs="Times New Roman" w:eastAsia="Times New Roman" w:hAnsi="Times New Roman"/>
          <w:sz w:val="14"/>
          <w:szCs w:val="14"/>
          <w:b w:val="1"/>
          <w:bCs w:val="1"/>
          <w:color w:val="auto"/>
        </w:rPr>
        <w:t>Related Party Transactions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97"/>
              </w:rPr>
              <w:t>The total amount of transactions with ATHOS KG or entities controlled by it was as follows for the periods indicated:</w:t>
            </w: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3"/>
        </w:trPr>
        <w:tc>
          <w:tcPr>
            <w:tcW w:w="5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8"/>
              </w:rPr>
              <w:t>Years ended</w:t>
            </w:r>
          </w:p>
        </w:tc>
        <w:tc>
          <w:tcPr>
            <w:tcW w:w="1560" w:type="dxa"/>
            <w:vAlign w:val="bottom"/>
          </w:tcPr>
          <w:p>
            <w:pPr>
              <w:spacing w:after="0"/>
              <w:rPr>
                <w:sz w:val="24"/>
                <w:szCs w:val="24"/>
                <w:color w:val="auto"/>
              </w:rPr>
            </w:pPr>
          </w:p>
        </w:tc>
      </w:tr>
      <w:tr>
        <w:trPr>
          <w:trHeight w:val="206"/>
        </w:trPr>
        <w:tc>
          <w:tcPr>
            <w:tcW w:w="5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560" w:type="dxa"/>
            <w:vAlign w:val="bottom"/>
          </w:tcPr>
          <w:p>
            <w:pPr>
              <w:spacing w:after="0"/>
              <w:rPr>
                <w:sz w:val="17"/>
                <w:szCs w:val="17"/>
                <w:color w:val="auto"/>
              </w:rPr>
            </w:pPr>
          </w:p>
        </w:tc>
      </w:tr>
      <w:tr>
        <w:trPr>
          <w:trHeight w:val="217"/>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56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70AD47"/>
            </w:tcBorders>
          </w:tcPr>
          <w:p>
            <w:pPr>
              <w:spacing w:after="0"/>
              <w:rPr>
                <w:sz w:val="18"/>
                <w:szCs w:val="18"/>
                <w:color w:val="auto"/>
              </w:rPr>
            </w:pP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5940" w:type="dxa"/>
            <w:vAlign w:val="bottom"/>
            <w:tcBorders>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Purchases of various goods and services from entities controlled by ATHOS KG</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Pr>
          <w:p>
            <w:pPr>
              <w:spacing w:after="0"/>
              <w:rPr>
                <w:sz w:val="17"/>
                <w:szCs w:val="17"/>
                <w:color w:val="auto"/>
              </w:rPr>
            </w:pPr>
          </w:p>
        </w:tc>
        <w:tc>
          <w:tcPr>
            <w:tcW w:w="1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other assets from entities controlled by ATHOS KG</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70AD47"/>
            </w:tcBorders>
          </w:tcPr>
          <w:p>
            <w:pPr>
              <w:spacing w:after="0"/>
              <w:rPr>
                <w:sz w:val="18"/>
                <w:szCs w:val="18"/>
                <w:color w:val="auto"/>
              </w:rPr>
            </w:pP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280" w:type="dxa"/>
            <w:vAlign w:val="bottom"/>
            <w:tcBorders>
              <w:bottom w:val="single" w:sz="8" w:color="70AD47"/>
            </w:tcBorders>
          </w:tcPr>
          <w:p>
            <w:pPr>
              <w:spacing w:after="0"/>
              <w:rPr>
                <w:sz w:val="18"/>
                <w:szCs w:val="18"/>
                <w:color w:val="auto"/>
              </w:rPr>
            </w:pPr>
          </w:p>
        </w:tc>
        <w:tc>
          <w:tcPr>
            <w:tcW w:w="1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62.8</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r>
    </w:tbl>
    <w:p>
      <w:pPr>
        <w:spacing w:after="0" w:line="251"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On December 22, 2022, we entered into a purchase agreement with Santo Service GmbH, pursuant to which we acquired the real estate property An der Goldgrube 12 and the existing laboratory and office building including any movable assets for a total consideration of €62.5 million. The purchase price was paid during the year ended December 31, 2022. Santo Service GmbH is wholly owned by AT Impf GmbH, that is controlled by ATHOS KG.</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outstanding balances of transactions with ATHOS KG or entities controlled by them were as follows as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w:t>
            </w:r>
          </w:p>
        </w:tc>
        <w:tc>
          <w:tcPr>
            <w:tcW w:w="1780" w:type="dxa"/>
            <w:vAlign w:val="bottom"/>
            <w:tcBorders>
              <w:bottom w:val="single" w:sz="8" w:color="70AD47"/>
              <w:right w:val="single" w:sz="8" w:color="70AD47"/>
            </w:tcBorders>
            <w:shd w:val="clear" w:color="auto" w:fill="C5E0B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60" w:type="dxa"/>
            <w:vAlign w:val="bottom"/>
            <w:tcBorders>
              <w:bottom w:val="single" w:sz="8" w:color="70AD47"/>
              <w:right w:val="single" w:sz="8" w:color="70AD47"/>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5"/>
              </w:rPr>
              <w:t>December 31, 2022</w:t>
            </w:r>
          </w:p>
        </w:tc>
      </w:tr>
      <w:tr>
        <w:trPr>
          <w:trHeight w:val="207"/>
        </w:trPr>
        <w:tc>
          <w:tcPr>
            <w:tcW w:w="7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color w:val="auto"/>
              </w:rPr>
              <w:t>ATHOS KG</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760" w:type="dxa"/>
            <w:vAlign w:val="bottom"/>
            <w:tcBorders>
              <w:bottom w:val="single" w:sz="8" w:color="70AD47"/>
              <w:right w:val="single" w:sz="8" w:color="70AD47"/>
            </w:tcBorders>
          </w:tcPr>
          <w:p>
            <w:pPr>
              <w:ind w:left="1560"/>
              <w:spacing w:after="0"/>
              <w:rPr>
                <w:sz w:val="20"/>
                <w:szCs w:val="20"/>
                <w:color w:val="auto"/>
              </w:rPr>
            </w:pPr>
            <w:r>
              <w:rPr>
                <w:rFonts w:ascii="Times New Roman" w:cs="Times New Roman" w:eastAsia="Times New Roman" w:hAnsi="Times New Roman"/>
                <w:sz w:val="16"/>
                <w:szCs w:val="16"/>
                <w:color w:val="auto"/>
                <w:w w:val="99"/>
              </w:rPr>
              <w:t>—</w:t>
            </w:r>
          </w:p>
        </w:tc>
      </w:tr>
      <w:tr>
        <w:trPr>
          <w:trHeight w:val="209"/>
        </w:trPr>
        <w:tc>
          <w:tcPr>
            <w:tcW w:w="7040" w:type="dxa"/>
            <w:vAlign w:val="bottom"/>
            <w:tcBorders>
              <w:bottom w:val="single" w:sz="8" w:color="70AD47"/>
              <w:right w:val="single" w:sz="8" w:color="70AD47"/>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760" w:type="dxa"/>
            <w:vAlign w:val="bottom"/>
            <w:tcBorders>
              <w:bottom w:val="single" w:sz="8" w:color="70AD47"/>
              <w:right w:val="single" w:sz="8" w:color="70AD47"/>
            </w:tcBorders>
          </w:tcPr>
          <w:p>
            <w:pPr>
              <w:ind w:left="1560"/>
              <w:spacing w:after="0"/>
              <w:rPr>
                <w:sz w:val="20"/>
                <w:szCs w:val="20"/>
                <w:color w:val="auto"/>
              </w:rPr>
            </w:pPr>
            <w:r>
              <w:rPr>
                <w:rFonts w:ascii="Times New Roman" w:cs="Times New Roman" w:eastAsia="Times New Roman" w:hAnsi="Times New Roman"/>
                <w:sz w:val="16"/>
                <w:szCs w:val="16"/>
                <w:b w:val="1"/>
                <w:bCs w:val="1"/>
                <w:color w:val="auto"/>
                <w:w w:val="99"/>
              </w:rPr>
              <w:t>—</w:t>
            </w: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 of the balances are secured and no bad debt expense has been recognized in respect of amounts owed by related parties.</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Events After the Reporting Period</w:t>
      </w:r>
    </w:p>
    <w:p>
      <w:pPr>
        <w:spacing w:after="0" w:line="82" w:lineRule="exact"/>
        <w:rPr>
          <w:sz w:val="20"/>
          <w:szCs w:val="20"/>
          <w:color w:val="auto"/>
        </w:rPr>
      </w:pPr>
    </w:p>
    <w:p>
      <w:pPr>
        <w:jc w:val="both"/>
        <w:ind w:right="20" w:firstLine="384"/>
        <w:spacing w:after="0" w:line="239" w:lineRule="auto"/>
        <w:rPr>
          <w:sz w:val="20"/>
          <w:szCs w:val="20"/>
          <w:color w:val="auto"/>
        </w:rPr>
      </w:pPr>
      <w:r>
        <w:rPr>
          <w:rFonts w:ascii="Times New Roman" w:cs="Times New Roman" w:eastAsia="Times New Roman" w:hAnsi="Times New Roman"/>
          <w:sz w:val="16"/>
          <w:szCs w:val="16"/>
          <w:color w:val="auto"/>
        </w:rPr>
        <w:t>On February 8, 2024, we and Autolus Therapeutics plc, or Autolus, a clinical -stage biopharmaceutical company developing next-generation programmed T cell therapies, announced a strategic collaboration aimed at advancing both companies' autologous CAR-T programs towards commercialization. We have entered into a license and option agreement and a securities purchase agreement under which we purchased $ 200.0 million of Autolus' American Deposit Shares in a private placement closed on February 13, 2024 resulting in a stake in Autolus ordinary shares of 12.5%. Under the terms of the license and option agreement, we made a $50.0 million upfront payment in exchange for the right to receive royalties on net sales of Autolus' lead asset obe-cel, co-commercialization options for Autolus' AUTO1/22 and AUTO6NG programs as well as an exclusive license and exclusive options to certain technologies owned by Autolus.</w:t>
      </w:r>
    </w:p>
    <w:p>
      <w:pPr>
        <w:spacing w:after="0" w:line="77" w:lineRule="exact"/>
        <w:rPr>
          <w:sz w:val="20"/>
          <w:szCs w:val="20"/>
          <w:color w:val="auto"/>
        </w:rPr>
      </w:pPr>
    </w:p>
    <w:p>
      <w:pPr>
        <w:jc w:val="both"/>
        <w:ind w:right="20" w:firstLine="384"/>
        <w:spacing w:after="0" w:line="259" w:lineRule="auto"/>
        <w:rPr>
          <w:sz w:val="20"/>
          <w:szCs w:val="20"/>
          <w:color w:val="auto"/>
        </w:rPr>
      </w:pPr>
      <w:r>
        <w:rPr>
          <w:rFonts w:ascii="Times New Roman" w:cs="Times New Roman" w:eastAsia="Times New Roman" w:hAnsi="Times New Roman"/>
          <w:sz w:val="16"/>
          <w:szCs w:val="16"/>
          <w:color w:val="auto"/>
        </w:rPr>
        <w:t>The Supervisory Board has appointed Annemarie Hanekamp to the Management Board as Chief Commercial Officer (CCO), effective as of July 1, 2024. She will take over the role from Sean Marett, who will retire as planned from the Management Board as of June 30,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F-74</w:t>
      </w:r>
    </w:p>
    <w:p>
      <w:pPr>
        <w:sectPr>
          <w:pgSz w:w="11900" w:h="16840" w:orient="portrait"/>
          <w:cols w:equalWidth="0" w:num="1">
            <w:col w:w="10580"/>
          </w:cols>
          <w:pgMar w:left="660" w:top="557" w:right="660" w:bottom="1440" w:gutter="0" w:footer="0" w:header="0"/>
        </w:sectPr>
      </w:pPr>
    </w:p>
    <w:bookmarkStart w:id="315" w:name="page316"/>
    <w:bookmarkEnd w:id="315"/>
    <w:p>
      <w:pPr>
        <w:ind w:left="9840"/>
        <w:spacing w:after="0"/>
        <w:rPr>
          <w:sz w:val="20"/>
          <w:szCs w:val="20"/>
          <w:color w:val="auto"/>
        </w:rPr>
      </w:pPr>
      <w:r>
        <w:rPr>
          <w:rFonts w:ascii="Times New Roman" w:cs="Times New Roman" w:eastAsia="Times New Roman" w:hAnsi="Times New Roman"/>
          <w:sz w:val="14"/>
          <w:szCs w:val="14"/>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64" w:lineRule="exact"/>
        <w:rPr>
          <w:sz w:val="20"/>
          <w:szCs w:val="20"/>
          <w:color w:val="auto"/>
        </w:rPr>
      </w:pPr>
    </w:p>
    <w:p>
      <w:pPr>
        <w:jc w:val="both"/>
        <w:ind w:firstLine="528"/>
        <w:spacing w:after="0" w:line="245" w:lineRule="auto"/>
        <w:rPr>
          <w:sz w:val="20"/>
          <w:szCs w:val="20"/>
          <w:color w:val="auto"/>
        </w:rPr>
      </w:pPr>
      <w:r>
        <w:rPr>
          <w:rFonts w:ascii="Times New Roman" w:cs="Times New Roman" w:eastAsia="Times New Roman" w:hAnsi="Times New Roman"/>
          <w:sz w:val="14"/>
          <w:szCs w:val="14"/>
          <w:i w:val="1"/>
          <w:iCs w:val="1"/>
          <w:color w:val="auto"/>
        </w:rPr>
        <w:t>The following description sets forth certain material terms and provisions of ordinary shares and American Depositary Shares representing ordinary shares of BioNTech SE (“BioNTech,” the “Company,” “we,” “us,” and “our”) that are registered under Section 12 of the U.S. Securities Exchange Act of 1934, as amended. This description also summarizes certain provisions of our articles of association and German law as of the date of the filing of the Annual Report on Form 20-F of which this exhibit forms a part. This summary does not purport to be complete and is qualified in its entirety by the provisions of our articles of association filed with the Securities and Exchange Commission as an exhibit to the Annual Report on Form 20-F of which this exhibit forms a part, as well as to the applicable provisions of German legislation on stock corporations. We encourage you to read our articles of association and the applicable provisions of German law for additional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164" w:lineRule="exact"/>
        <w:rPr>
          <w:sz w:val="20"/>
          <w:szCs w:val="20"/>
          <w:color w:val="auto"/>
        </w:rPr>
      </w:pPr>
    </w:p>
    <w:p>
      <w:pPr>
        <w:jc w:val="both"/>
        <w:ind w:right="20" w:firstLine="528"/>
        <w:spacing w:after="0" w:line="211" w:lineRule="auto"/>
        <w:rPr>
          <w:sz w:val="20"/>
          <w:szCs w:val="20"/>
          <w:color w:val="auto"/>
        </w:rPr>
      </w:pPr>
      <w:r>
        <w:rPr>
          <w:rFonts w:ascii="Times New Roman" w:cs="Times New Roman" w:eastAsia="Times New Roman" w:hAnsi="Times New Roman"/>
          <w:sz w:val="16"/>
          <w:szCs w:val="16"/>
          <w:color w:val="231F20"/>
        </w:rPr>
        <w:t xml:space="preserve">We were </w:t>
      </w:r>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color w:val="231F20"/>
        </w:rPr>
        <w:t xml:space="preserve"> as a German stock corporation (</w:t>
      </w:r>
      <w:r>
        <w:rPr>
          <w:rFonts w:ascii="Times New Roman" w:cs="Times New Roman" w:eastAsia="Times New Roman" w:hAnsi="Times New Roman"/>
          <w:sz w:val="16"/>
          <w:szCs w:val="16"/>
          <w:i w:val="1"/>
          <w:iCs w:val="1"/>
          <w:color w:val="231F20"/>
        </w:rPr>
        <w:t>Aktiengesellschaft</w:t>
      </w:r>
      <w:r>
        <w:rPr>
          <w:rFonts w:ascii="Times New Roman" w:cs="Times New Roman" w:eastAsia="Times New Roman" w:hAnsi="Times New Roman"/>
          <w:sz w:val="16"/>
          <w:szCs w:val="16"/>
          <w:color w:val="231F20"/>
        </w:rPr>
        <w:t xml:space="preserve">) with the legal name Petersberg 91. V AG under the </w:t>
      </w:r>
      <w:r>
        <w:rPr>
          <w:rFonts w:ascii="Times New Roman" w:cs="Times New Roman" w:eastAsia="Times New Roman" w:hAnsi="Times New Roman"/>
          <w:sz w:val="16"/>
          <w:szCs w:val="16"/>
          <w:color w:val="000000"/>
        </w:rPr>
        <w:t>laws</w:t>
      </w:r>
      <w:r>
        <w:rPr>
          <w:rFonts w:ascii="Times New Roman" w:cs="Times New Roman" w:eastAsia="Times New Roman" w:hAnsi="Times New Roman"/>
          <w:sz w:val="16"/>
          <w:szCs w:val="16"/>
          <w:color w:val="231F20"/>
        </w:rPr>
        <w:t xml:space="preserve"> of the Federal Republic of Germany on June 2, 2008. We changed our name to </w:t>
      </w:r>
      <w:r>
        <w:rPr>
          <w:rFonts w:ascii="Times New Roman" w:cs="Times New Roman" w:eastAsia="Times New Roman" w:hAnsi="Times New Roman"/>
          <w:sz w:val="16"/>
          <w:szCs w:val="16"/>
          <w:color w:val="000000"/>
        </w:rPr>
        <w:t>BioNTech</w:t>
      </w:r>
      <w:r>
        <w:rPr>
          <w:rFonts w:ascii="Times New Roman" w:cs="Times New Roman" w:eastAsia="Times New Roman" w:hAnsi="Times New Roman"/>
          <w:sz w:val="16"/>
          <w:szCs w:val="16"/>
          <w:color w:val="231F20"/>
        </w:rPr>
        <w:t xml:space="preserve"> AG on December 11, 2008. Effective as of March 8, </w:t>
      </w:r>
      <w:r>
        <w:rPr>
          <w:rFonts w:ascii="Times New Roman" w:cs="Times New Roman" w:eastAsia="Times New Roman" w:hAnsi="Times New Roman"/>
          <w:sz w:val="16"/>
          <w:szCs w:val="16"/>
          <w:color w:val="000000"/>
        </w:rPr>
        <w:t>2019</w:t>
      </w:r>
      <w:r>
        <w:rPr>
          <w:rFonts w:ascii="Times New Roman" w:cs="Times New Roman" w:eastAsia="Times New Roman" w:hAnsi="Times New Roman"/>
          <w:sz w:val="16"/>
          <w:szCs w:val="16"/>
          <w:color w:val="231F20"/>
        </w:rPr>
        <w:t>, the date on which the change of legal form and company was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 of the local court (</w:t>
      </w:r>
      <w:r>
        <w:rPr>
          <w:rFonts w:ascii="Times New Roman" w:cs="Times New Roman" w:eastAsia="Times New Roman" w:hAnsi="Times New Roman"/>
          <w:sz w:val="16"/>
          <w:szCs w:val="16"/>
          <w:i w:val="1"/>
          <w:iCs w:val="1"/>
          <w:color w:val="231F20"/>
        </w:rPr>
        <w:t>Amtsgericht</w:t>
      </w:r>
      <w:r>
        <w:rPr>
          <w:rFonts w:ascii="Times New Roman" w:cs="Times New Roman" w:eastAsia="Times New Roman" w:hAnsi="Times New Roman"/>
          <w:sz w:val="16"/>
          <w:szCs w:val="16"/>
          <w:color w:val="231F20"/>
        </w:rPr>
        <w:t xml:space="preserve"> ) of Mainz, Germany, we converted to a </w:t>
      </w:r>
      <w:r>
        <w:rPr>
          <w:rFonts w:ascii="Times New Roman" w:cs="Times New Roman" w:eastAsia="Times New Roman" w:hAnsi="Times New Roman"/>
          <w:sz w:val="16"/>
          <w:szCs w:val="16"/>
          <w:i w:val="1"/>
          <w:iCs w:val="1"/>
          <w:color w:val="231F20"/>
        </w:rPr>
        <w:t>Societas Europaea</w:t>
      </w:r>
      <w:r>
        <w:rPr>
          <w:rFonts w:ascii="Times New Roman" w:cs="Times New Roman" w:eastAsia="Times New Roman" w:hAnsi="Times New Roman"/>
          <w:sz w:val="16"/>
          <w:szCs w:val="16"/>
          <w:color w:val="231F20"/>
        </w:rPr>
        <w:t xml:space="preserve">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Times New Roman" w:cs="Times New Roman" w:eastAsia="Times New Roman" w:hAnsi="Times New Roman"/>
          <w:sz w:val="16"/>
          <w:szCs w:val="16"/>
          <w:i w:val="1"/>
          <w:iCs w:val="1"/>
          <w:color w:val="231F20"/>
        </w:rPr>
        <w:t>Gesetz zur Ausführung der Verordnung (EG) NR. 2157/2001 des Rates</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vom 8. Oktober 2001 über das Statut der Europäischen Gesellschaft (SE) (SE-Ausführungsgesetz—SEAG) </w:t>
      </w:r>
      <w:r>
        <w:rPr>
          <w:rFonts w:ascii="Times New Roman" w:cs="Times New Roman" w:eastAsia="Times New Roman" w:hAnsi="Times New Roman"/>
          <w:sz w:val="16"/>
          <w:szCs w:val="16"/>
          <w:color w:val="231F20"/>
        </w:rPr>
        <w:t>) and the German Stock Corporation Act (</w:t>
      </w:r>
      <w:r>
        <w:rPr>
          <w:rFonts w:ascii="Times New Roman" w:cs="Times New Roman" w:eastAsia="Times New Roman" w:hAnsi="Times New Roman"/>
          <w:sz w:val="16"/>
          <w:szCs w:val="16"/>
          <w:i w:val="1"/>
          <w:iCs w:val="1"/>
          <w:color w:val="231F20"/>
        </w:rPr>
        <w:t>Aktiengesetz</w:t>
      </w:r>
      <w:r>
        <w:rPr>
          <w:rFonts w:ascii="Times New Roman" w:cs="Times New Roman" w:eastAsia="Times New Roman" w:hAnsi="Times New Roman"/>
          <w:sz w:val="16"/>
          <w:szCs w:val="16"/>
          <w:color w:val="231F20"/>
        </w:rPr>
        <w:t>), in</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each case as amended.</w:t>
      </w:r>
    </w:p>
    <w:p>
      <w:pPr>
        <w:spacing w:after="0" w:line="146" w:lineRule="exact"/>
        <w:rPr>
          <w:sz w:val="20"/>
          <w:szCs w:val="20"/>
          <w:color w:val="auto"/>
        </w:rPr>
      </w:pPr>
    </w:p>
    <w:p>
      <w:pPr>
        <w:jc w:val="both"/>
        <w:ind w:firstLine="528"/>
        <w:spacing w:after="0" w:line="219" w:lineRule="auto"/>
        <w:rPr>
          <w:sz w:val="20"/>
          <w:szCs w:val="20"/>
          <w:color w:val="auto"/>
        </w:rPr>
      </w:pPr>
      <w:r>
        <w:rPr>
          <w:rFonts w:ascii="Times New Roman" w:cs="Times New Roman" w:eastAsia="Times New Roman" w:hAnsi="Times New Roman"/>
          <w:sz w:val="16"/>
          <w:szCs w:val="16"/>
          <w:color w:val="231F20"/>
        </w:rPr>
        <w:t xml:space="preserve">We </w:t>
      </w:r>
      <w:r>
        <w:rPr>
          <w:rFonts w:ascii="Times New Roman" w:cs="Times New Roman" w:eastAsia="Times New Roman" w:hAnsi="Times New Roman"/>
          <w:sz w:val="16"/>
          <w:szCs w:val="16"/>
          <w:color w:val="000000"/>
        </w:rPr>
        <w:t>are</w:t>
      </w:r>
      <w:r>
        <w:rPr>
          <w:rFonts w:ascii="Times New Roman" w:cs="Times New Roman" w:eastAsia="Times New Roman" w:hAnsi="Times New Roman"/>
          <w:sz w:val="16"/>
          <w:szCs w:val="16"/>
          <w:color w:val="231F20"/>
        </w:rPr>
        <w:t xml:space="preserve"> registered with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of the local court (</w:t>
      </w:r>
      <w:r>
        <w:rPr>
          <w:rFonts w:ascii="Times New Roman" w:cs="Times New Roman" w:eastAsia="Times New Roman" w:hAnsi="Times New Roman"/>
          <w:sz w:val="16"/>
          <w:szCs w:val="16"/>
          <w:i w:val="1"/>
          <w:iCs w:val="1"/>
          <w:color w:val="231F20"/>
        </w:rPr>
        <w:t>Amtsgericht</w:t>
      </w:r>
      <w:r>
        <w:rPr>
          <w:rFonts w:ascii="Times New Roman" w:cs="Times New Roman" w:eastAsia="Times New Roman" w:hAnsi="Times New Roman"/>
          <w:sz w:val="16"/>
          <w:szCs w:val="16"/>
          <w:color w:val="231F20"/>
        </w:rPr>
        <w:t xml:space="preserve">) in Mainz, Germany, under number HRB 48720. Our statutory seat is in Mainz, Germany, and our registered office is An der Goldgrube 12, 55131 Mainz, Germany. Copies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will be publicly available from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at the local court of Mainz, Germany, electronically </w:t>
      </w:r>
      <w:r>
        <w:rPr>
          <w:rFonts w:ascii="Times New Roman" w:cs="Times New Roman" w:eastAsia="Times New Roman" w:hAnsi="Times New Roman"/>
          <w:sz w:val="16"/>
          <w:szCs w:val="16"/>
          <w:color w:val="000000"/>
        </w:rPr>
        <w:t>at https://www.handelsregister.de/rp_web/welcome.xhtml</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and </w:t>
      </w:r>
      <w:r>
        <w:rPr>
          <w:rFonts w:ascii="Times New Roman" w:cs="Times New Roman" w:eastAsia="Times New Roman" w:hAnsi="Times New Roman"/>
          <w:sz w:val="16"/>
          <w:szCs w:val="16"/>
          <w:color w:val="231F20"/>
        </w:rPr>
        <w:t>as an exhibit to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Share Capital</w:t>
      </w:r>
    </w:p>
    <w:p>
      <w:pPr>
        <w:spacing w:after="0" w:line="164" w:lineRule="exact"/>
        <w:rPr>
          <w:sz w:val="20"/>
          <w:szCs w:val="20"/>
          <w:color w:val="auto"/>
        </w:rPr>
      </w:pPr>
    </w:p>
    <w:p>
      <w:pPr>
        <w:jc w:val="both"/>
        <w:ind w:firstLine="528"/>
        <w:spacing w:after="0" w:line="224" w:lineRule="auto"/>
        <w:rPr>
          <w:sz w:val="20"/>
          <w:szCs w:val="20"/>
          <w:color w:val="auto"/>
        </w:rPr>
      </w:pPr>
      <w:r>
        <w:rPr>
          <w:rFonts w:ascii="Times New Roman" w:cs="Times New Roman" w:eastAsia="Times New Roman" w:hAnsi="Times New Roman"/>
          <w:sz w:val="16"/>
          <w:szCs w:val="16"/>
          <w:color w:val="231F20"/>
        </w:rPr>
        <w:t>We have share capital registered in the commercial register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in the amount of €248,552,200, which is divided into 248,552,200 registered shares (</w:t>
      </w:r>
      <w:r>
        <w:rPr>
          <w:rFonts w:ascii="Times New Roman" w:cs="Times New Roman" w:eastAsia="Times New Roman" w:hAnsi="Times New Roman"/>
          <w:sz w:val="16"/>
          <w:szCs w:val="16"/>
          <w:i w:val="1"/>
          <w:iCs w:val="1"/>
          <w:color w:val="231F20"/>
        </w:rPr>
        <w:t>Namensaktien</w:t>
      </w:r>
      <w:r>
        <w:rPr>
          <w:rFonts w:ascii="Times New Roman" w:cs="Times New Roman" w:eastAsia="Times New Roman" w:hAnsi="Times New Roman"/>
          <w:sz w:val="16"/>
          <w:szCs w:val="16"/>
          <w:color w:val="231F20"/>
        </w:rPr>
        <w:t>). All shares are shares with no par value (</w:t>
      </w:r>
      <w:r>
        <w:rPr>
          <w:rFonts w:ascii="Times New Roman" w:cs="Times New Roman" w:eastAsia="Times New Roman" w:hAnsi="Times New Roman"/>
          <w:sz w:val="16"/>
          <w:szCs w:val="16"/>
          <w:i w:val="1"/>
          <w:iCs w:val="1"/>
          <w:color w:val="231F20"/>
        </w:rPr>
        <w:t>Stückaktien ohne Nennbetrag</w:t>
      </w:r>
      <w:r>
        <w:rPr>
          <w:rFonts w:ascii="Times New Roman" w:cs="Times New Roman" w:eastAsia="Times New Roman" w:hAnsi="Times New Roman"/>
          <w:sz w:val="16"/>
          <w:szCs w:val="16"/>
          <w:color w:val="231F20"/>
        </w:rPr>
        <w:t>) with a notional amount attributable to each ordinary share of €1. Each issued ordinary share is fully paid.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Form, Certification and Transferability of Shares</w:t>
      </w:r>
    </w:p>
    <w:p>
      <w:pPr>
        <w:spacing w:after="0" w:line="166" w:lineRule="exact"/>
        <w:rPr>
          <w:sz w:val="20"/>
          <w:szCs w:val="20"/>
          <w:color w:val="auto"/>
        </w:rPr>
      </w:pPr>
    </w:p>
    <w:p>
      <w:pPr>
        <w:jc w:val="both"/>
        <w:ind w:firstLine="528"/>
        <w:spacing w:after="0" w:line="218" w:lineRule="auto"/>
        <w:rPr>
          <w:sz w:val="20"/>
          <w:szCs w:val="20"/>
          <w:color w:val="auto"/>
        </w:rPr>
      </w:pPr>
      <w:r>
        <w:rPr>
          <w:rFonts w:ascii="Times New Roman" w:cs="Times New Roman" w:eastAsia="Times New Roman" w:hAnsi="Times New Roman"/>
          <w:sz w:val="16"/>
          <w:szCs w:val="16"/>
          <w:color w:val="231F20"/>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231F20"/>
        </w:rPr>
        <w:t>Our shares are freely transferable under German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Anti-takeover Provisions of Our Charter Documents</w:t>
      </w:r>
    </w:p>
    <w:p>
      <w:pPr>
        <w:spacing w:after="0" w:line="164" w:lineRule="exact"/>
        <w:rPr>
          <w:sz w:val="20"/>
          <w:szCs w:val="20"/>
          <w:color w:val="auto"/>
        </w:rPr>
      </w:pPr>
    </w:p>
    <w:p>
      <w:pPr>
        <w:jc w:val="both"/>
        <w:ind w:right="20" w:firstLine="528"/>
        <w:spacing w:after="0" w:line="249" w:lineRule="auto"/>
        <w:rPr>
          <w:sz w:val="20"/>
          <w:szCs w:val="20"/>
          <w:color w:val="auto"/>
        </w:rPr>
      </w:pPr>
      <w:r>
        <w:rPr>
          <w:rFonts w:ascii="Times New Roman" w:cs="Times New Roman" w:eastAsia="Times New Roman" w:hAnsi="Times New Roman"/>
          <w:sz w:val="14"/>
          <w:szCs w:val="14"/>
          <w:color w:val="231F20"/>
        </w:rPr>
        <w:t>Our Articles of Association (</w:t>
      </w:r>
      <w:r>
        <w:rPr>
          <w:rFonts w:ascii="Times New Roman" w:cs="Times New Roman" w:eastAsia="Times New Roman" w:hAnsi="Times New Roman"/>
          <w:sz w:val="14"/>
          <w:szCs w:val="14"/>
          <w:i w:val="1"/>
          <w:iCs w:val="1"/>
          <w:color w:val="231F20"/>
        </w:rPr>
        <w:t>Satzung</w:t>
      </w:r>
      <w:r>
        <w:rPr>
          <w:rFonts w:ascii="Times New Roman" w:cs="Times New Roman" w:eastAsia="Times New Roman" w:hAnsi="Times New Roman"/>
          <w:sz w:val="14"/>
          <w:szCs w:val="14"/>
          <w:color w:val="231F20"/>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ectPr>
          <w:pgSz w:w="11900" w:h="16840" w:orient="portrait"/>
          <w:cols w:equalWidth="0" w:num="1">
            <w:col w:w="10580"/>
          </w:cols>
          <w:pgMar w:left="660" w:top="555" w:right="660" w:bottom="1440" w:gutter="0" w:footer="0" w:header="0"/>
        </w:sectPr>
      </w:pPr>
    </w:p>
    <w:bookmarkStart w:id="316" w:name="page317"/>
    <w:bookmarkEnd w:id="316"/>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Future Changes to the Share Capital</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231F20"/>
        </w:rPr>
        <w:t>Authorized Capital</w:t>
      </w:r>
    </w:p>
    <w:p>
      <w:pPr>
        <w:spacing w:after="0" w:line="166" w:lineRule="exact"/>
        <w:rPr>
          <w:sz w:val="20"/>
          <w:szCs w:val="20"/>
          <w:color w:val="auto"/>
        </w:rPr>
      </w:pPr>
    </w:p>
    <w:p>
      <w:pPr>
        <w:jc w:val="both"/>
        <w:ind w:right="20" w:firstLine="528"/>
        <w:spacing w:after="0" w:line="214" w:lineRule="auto"/>
        <w:rPr>
          <w:sz w:val="20"/>
          <w:szCs w:val="20"/>
          <w:color w:val="auto"/>
        </w:rPr>
      </w:pPr>
      <w:r>
        <w:rPr>
          <w:rFonts w:ascii="Times New Roman" w:cs="Times New Roman" w:eastAsia="Times New Roman" w:hAnsi="Times New Roman"/>
          <w:sz w:val="16"/>
          <w:szCs w:val="16"/>
          <w:color w:val="231F20"/>
        </w:rPr>
        <w:t>Under the relevant law, the general meeting of a European stock corporation (</w:t>
      </w:r>
      <w:r>
        <w:rPr>
          <w:rFonts w:ascii="Times New Roman" w:cs="Times New Roman" w:eastAsia="Times New Roman" w:hAnsi="Times New Roman"/>
          <w:sz w:val="16"/>
          <w:szCs w:val="16"/>
          <w:i w:val="1"/>
          <w:iCs w:val="1"/>
          <w:color w:val="231F20"/>
        </w:rPr>
        <w:t>Societas Europaea</w:t>
      </w:r>
      <w:r>
        <w:rPr>
          <w:rFonts w:ascii="Times New Roman" w:cs="Times New Roman" w:eastAsia="Times New Roman" w:hAnsi="Times New Roman"/>
          <w:sz w:val="16"/>
          <w:szCs w:val="16"/>
          <w:color w:val="231F20"/>
        </w:rPr>
        <w:t xml:space="preserve">) governed by German law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 </w:t>
      </w:r>
      <w:r>
        <w:rPr>
          <w:rFonts w:ascii="Times New Roman" w:cs="Times New Roman" w:eastAsia="Times New Roman" w:hAnsi="Times New Roman"/>
          <w:sz w:val="16"/>
          <w:szCs w:val="16"/>
          <w:i w:val="1"/>
          <w:iCs w:val="1"/>
          <w:color w:val="231F20"/>
        </w:rPr>
        <w:t>Handelsregister</w:t>
      </w:r>
      <w:r>
        <w:rPr>
          <w:rFonts w:ascii="Times New Roman" w:cs="Times New Roman" w:eastAsia="Times New Roman" w:hAnsi="Times New Roman"/>
          <w:sz w:val="16"/>
          <w:szCs w:val="16"/>
          <w:color w:val="231F20"/>
        </w:rPr>
        <w:t xml:space="preserve">) and may extend for a period of no more than five years thereafter. Under § 4(5)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the Management Board is authorized to increase our share capital, on one or more occasions, by a total of up to € 122,657,313 by issuing, on one or more occasions, up to 122,657,313 new, registered shares with no par value (</w:t>
      </w:r>
      <w:r>
        <w:rPr>
          <w:rFonts w:ascii="Times New Roman" w:cs="Times New Roman" w:eastAsia="Times New Roman" w:hAnsi="Times New Roman"/>
          <w:sz w:val="16"/>
          <w:szCs w:val="16"/>
          <w:i w:val="1"/>
          <w:iCs w:val="1"/>
          <w:color w:val="231F20"/>
        </w:rPr>
        <w:t>Genehmigtes Kapital</w:t>
      </w:r>
      <w:r>
        <w:rPr>
          <w:rFonts w:ascii="Times New Roman" w:cs="Times New Roman" w:eastAsia="Times New Roman" w:hAnsi="Times New Roman"/>
          <w:sz w:val="16"/>
          <w:szCs w:val="16"/>
          <w:color w:val="231F20"/>
        </w:rPr>
        <w:t>), in each case with consent of the Supervisory Board. This authorization expires on June 21, 2026.</w:t>
      </w:r>
    </w:p>
    <w:p>
      <w:pPr>
        <w:spacing w:after="0" w:line="146" w:lineRule="exact"/>
        <w:rPr>
          <w:sz w:val="20"/>
          <w:szCs w:val="20"/>
          <w:color w:val="auto"/>
        </w:rPr>
      </w:pPr>
    </w:p>
    <w:p>
      <w:pPr>
        <w:jc w:val="both"/>
        <w:ind w:right="40" w:firstLine="528"/>
        <w:spacing w:after="0" w:line="223" w:lineRule="auto"/>
        <w:rPr>
          <w:sz w:val="20"/>
          <w:szCs w:val="20"/>
          <w:color w:val="auto"/>
        </w:rPr>
      </w:pPr>
      <w:r>
        <w:rPr>
          <w:rFonts w:ascii="Times New Roman" w:cs="Times New Roman" w:eastAsia="Times New Roman" w:hAnsi="Times New Roman"/>
          <w:sz w:val="16"/>
          <w:szCs w:val="16"/>
          <w:color w:val="231F20"/>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231F20"/>
        </w:rPr>
        <w:t>Conditional Capital</w:t>
      </w:r>
    </w:p>
    <w:p>
      <w:pPr>
        <w:spacing w:after="0" w:line="166" w:lineRule="exact"/>
        <w:rPr>
          <w:sz w:val="20"/>
          <w:szCs w:val="20"/>
          <w:color w:val="auto"/>
        </w:rPr>
      </w:pPr>
    </w:p>
    <w:p>
      <w:pPr>
        <w:jc w:val="both"/>
        <w:ind w:right="20" w:firstLine="528"/>
        <w:spacing w:after="0" w:line="224" w:lineRule="auto"/>
        <w:rPr>
          <w:sz w:val="20"/>
          <w:szCs w:val="20"/>
          <w:color w:val="auto"/>
        </w:rPr>
      </w:pPr>
      <w:r>
        <w:rPr>
          <w:rFonts w:ascii="Times New Roman" w:cs="Times New Roman" w:eastAsia="Times New Roman" w:hAnsi="Times New Roman"/>
          <w:sz w:val="16"/>
          <w:szCs w:val="16"/>
          <w:color w:val="231F20"/>
        </w:rPr>
        <w:t>Pursuant to § 4(6)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xml:space="preserve">), our share capital is conditionally increased by €16,212,917 through issuance of new, registered shares with no par value ( </w:t>
      </w:r>
      <w:r>
        <w:rPr>
          <w:rFonts w:ascii="Times New Roman" w:cs="Times New Roman" w:eastAsia="Times New Roman" w:hAnsi="Times New Roman"/>
          <w:sz w:val="16"/>
          <w:szCs w:val="16"/>
          <w:i w:val="1"/>
          <w:iCs w:val="1"/>
          <w:color w:val="231F20"/>
        </w:rPr>
        <w:t>Bedingtes Kapital ESOP 2017/2019</w:t>
      </w:r>
      <w:r>
        <w:rPr>
          <w:rFonts w:ascii="Times New Roman" w:cs="Times New Roman" w:eastAsia="Times New Roman" w:hAnsi="Times New Roman"/>
          <w:sz w:val="16"/>
          <w:szCs w:val="16"/>
          <w:color w:val="231F20"/>
        </w:rPr>
        <w:t>) . The conditional capital may only be used to issue shares to the holders of option rights granted under our ESOP to members of our Management Board and to certain of our employees.</w:t>
      </w:r>
    </w:p>
    <w:p>
      <w:pPr>
        <w:spacing w:after="0" w:line="147" w:lineRule="exact"/>
        <w:rPr>
          <w:sz w:val="20"/>
          <w:szCs w:val="20"/>
          <w:color w:val="auto"/>
        </w:rPr>
      </w:pPr>
    </w:p>
    <w:p>
      <w:pPr>
        <w:jc w:val="both"/>
        <w:ind w:right="40" w:firstLine="528"/>
        <w:spacing w:after="0" w:line="215" w:lineRule="auto"/>
        <w:rPr>
          <w:sz w:val="20"/>
          <w:szCs w:val="20"/>
          <w:color w:val="auto"/>
        </w:rPr>
      </w:pPr>
      <w:r>
        <w:rPr>
          <w:rFonts w:ascii="Times New Roman" w:cs="Times New Roman" w:eastAsia="Times New Roman" w:hAnsi="Times New Roman"/>
          <w:sz w:val="16"/>
          <w:szCs w:val="16"/>
          <w:color w:val="231F20"/>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46" w:lineRule="exact"/>
        <w:rPr>
          <w:sz w:val="20"/>
          <w:szCs w:val="20"/>
          <w:color w:val="auto"/>
        </w:rPr>
      </w:pPr>
    </w:p>
    <w:p>
      <w:pPr>
        <w:jc w:val="both"/>
        <w:ind w:firstLine="528"/>
        <w:spacing w:after="0" w:line="214" w:lineRule="auto"/>
        <w:rPr>
          <w:sz w:val="20"/>
          <w:szCs w:val="20"/>
          <w:color w:val="auto"/>
        </w:rPr>
      </w:pPr>
      <w:r>
        <w:rPr>
          <w:rFonts w:ascii="Times New Roman" w:cs="Times New Roman" w:eastAsia="Times New Roman" w:hAnsi="Times New Roman"/>
          <w:sz w:val="16"/>
          <w:szCs w:val="16"/>
          <w:color w:val="231F20"/>
        </w:rPr>
        <w:t>Pursuant to § 4(7)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xml:space="preserve">), our share capital is conditionally increased by € 85,754,868 through issuance of new, registered shares with no par value ( </w:t>
      </w:r>
      <w:r>
        <w:rPr>
          <w:rFonts w:ascii="Times New Roman" w:cs="Times New Roman" w:eastAsia="Times New Roman" w:hAnsi="Times New Roman"/>
          <w:sz w:val="16"/>
          <w:szCs w:val="16"/>
          <w:i w:val="1"/>
          <w:iCs w:val="1"/>
          <w:color w:val="231F20"/>
        </w:rPr>
        <w:t>Bedingtes Kapital WSV 2019</w:t>
      </w:r>
      <w:r>
        <w:rPr>
          <w:rFonts w:ascii="Times New Roman" w:cs="Times New Roman" w:eastAsia="Times New Roman" w:hAnsi="Times New Roman"/>
          <w:sz w:val="16"/>
          <w:szCs w:val="16"/>
          <w:color w:val="231F20"/>
        </w:rPr>
        <w:t>) . The conditional capital may only be used to issue shares to the holders or creditors of option rights or conversion rights or those under an obligation to convert under warrant -linked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 listed company are not utilized for servicing.</w:t>
      </w:r>
    </w:p>
    <w:p>
      <w:pPr>
        <w:spacing w:after="0" w:line="146" w:lineRule="exact"/>
        <w:rPr>
          <w:sz w:val="20"/>
          <w:szCs w:val="20"/>
          <w:color w:val="auto"/>
        </w:rPr>
      </w:pPr>
    </w:p>
    <w:p>
      <w:pPr>
        <w:jc w:val="both"/>
        <w:ind w:right="40" w:firstLine="528"/>
        <w:spacing w:after="0" w:line="223" w:lineRule="auto"/>
        <w:rPr>
          <w:sz w:val="20"/>
          <w:szCs w:val="20"/>
          <w:color w:val="auto"/>
        </w:rPr>
      </w:pPr>
      <w:r>
        <w:rPr>
          <w:rFonts w:ascii="Times New Roman" w:cs="Times New Roman" w:eastAsia="Times New Roman" w:hAnsi="Times New Roman"/>
          <w:sz w:val="16"/>
          <w:szCs w:val="16"/>
          <w:color w:val="231F20"/>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145" w:lineRule="exact"/>
        <w:rPr>
          <w:sz w:val="20"/>
          <w:szCs w:val="20"/>
          <w:color w:val="auto"/>
        </w:rPr>
      </w:pPr>
    </w:p>
    <w:p>
      <w:pPr>
        <w:jc w:val="both"/>
        <w:ind w:right="20" w:firstLine="528"/>
        <w:spacing w:after="0" w:line="224" w:lineRule="auto"/>
        <w:rPr>
          <w:sz w:val="20"/>
          <w:szCs w:val="20"/>
          <w:color w:val="auto"/>
        </w:rPr>
      </w:pPr>
      <w:r>
        <w:rPr>
          <w:rFonts w:ascii="Times New Roman" w:cs="Times New Roman" w:eastAsia="Times New Roman" w:hAnsi="Times New Roman"/>
          <w:sz w:val="16"/>
          <w:szCs w:val="16"/>
          <w:color w:val="231F20"/>
        </w:rPr>
        <w:t>Pursuant to § 4(8) of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our share capital is conditionally increased by €8,418,091 through issuance of new, registered shares with no par value (</w:t>
      </w:r>
      <w:r>
        <w:rPr>
          <w:rFonts w:ascii="Times New Roman" w:cs="Times New Roman" w:eastAsia="Times New Roman" w:hAnsi="Times New Roman"/>
          <w:sz w:val="16"/>
          <w:szCs w:val="16"/>
          <w:i w:val="1"/>
          <w:iCs w:val="1"/>
          <w:color w:val="231F20"/>
        </w:rPr>
        <w:t>Bedingtes Kapital ESOP 2021</w:t>
      </w:r>
      <w:r>
        <w:rPr>
          <w:rFonts w:ascii="Times New Roman" w:cs="Times New Roman" w:eastAsia="Times New Roman" w:hAnsi="Times New Roman"/>
          <w:sz w:val="16"/>
          <w:szCs w:val="16"/>
          <w:color w:val="231F20"/>
        </w:rPr>
        <w:t>). The conditional capital serves exclusively to grant rights to the holders of stock options issued by the Company in accordance with the authorization granted by the Annual General Meeting on June 22, 2021 under agenda item 6 letter d) (the “Authorization 2021”) .</w:t>
      </w:r>
    </w:p>
    <w:p>
      <w:pPr>
        <w:spacing w:after="0" w:line="147" w:lineRule="exact"/>
        <w:rPr>
          <w:sz w:val="20"/>
          <w:szCs w:val="20"/>
          <w:color w:val="auto"/>
        </w:rPr>
      </w:pPr>
    </w:p>
    <w:p>
      <w:pPr>
        <w:jc w:val="both"/>
        <w:ind w:right="20" w:firstLine="528"/>
        <w:spacing w:after="0" w:line="215" w:lineRule="auto"/>
        <w:rPr>
          <w:sz w:val="20"/>
          <w:szCs w:val="20"/>
          <w:color w:val="auto"/>
        </w:rPr>
      </w:pPr>
      <w:r>
        <w:rPr>
          <w:rFonts w:ascii="Times New Roman" w:cs="Times New Roman" w:eastAsia="Times New Roman" w:hAnsi="Times New Roman"/>
          <w:sz w:val="16"/>
          <w:szCs w:val="16"/>
          <w:color w:val="231F20"/>
        </w:rPr>
        <w:t xml:space="preserve">The conditional capital increase will only be implemented to the extent that stock options under our ESOP are exercised by the holders of the stock options issued by the Company on the basis of Authorization 2021 and such stock options are not settled by the Company with treasury shares or through cash payments. Any new shares issued under the conditional capital pursuant to § 4(8) of our Articles of Association (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shall participate in profits from the beginning of the preceding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ectPr>
          <w:pgSz w:w="11900" w:h="16840" w:orient="portrait"/>
          <w:cols w:equalWidth="0" w:num="1">
            <w:col w:w="10600"/>
          </w:cols>
          <w:pgMar w:left="660" w:top="1440" w:right="640" w:bottom="1440" w:gutter="0" w:footer="0" w:header="0"/>
        </w:sectPr>
      </w:pPr>
    </w:p>
    <w:bookmarkStart w:id="317" w:name="page318"/>
    <w:bookmarkEnd w:id="317"/>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Preemptive Rights</w:t>
      </w:r>
    </w:p>
    <w:p>
      <w:pPr>
        <w:spacing w:after="0" w:line="168" w:lineRule="exact"/>
        <w:rPr>
          <w:sz w:val="20"/>
          <w:szCs w:val="20"/>
          <w:color w:val="auto"/>
        </w:rPr>
      </w:pPr>
    </w:p>
    <w:p>
      <w:pPr>
        <w:jc w:val="both"/>
        <w:ind w:firstLine="528"/>
        <w:spacing w:after="0" w:line="223" w:lineRule="auto"/>
        <w:rPr>
          <w:sz w:val="20"/>
          <w:szCs w:val="20"/>
          <w:color w:val="auto"/>
        </w:rPr>
      </w:pPr>
      <w:r>
        <w:rPr>
          <w:rFonts w:ascii="Times New Roman" w:cs="Times New Roman" w:eastAsia="Times New Roman" w:hAnsi="Times New Roman"/>
          <w:sz w:val="16"/>
          <w:szCs w:val="16"/>
          <w:color w:val="231F20"/>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6"/>
          <w:szCs w:val="16"/>
          <w:i w:val="1"/>
          <w:iCs w:val="1"/>
          <w:color w:val="231F20"/>
        </w:rPr>
        <w:t>mittelbares Bezugsrecht</w:t>
      </w:r>
      <w:r>
        <w:rPr>
          <w:rFonts w:ascii="Times New Roman" w:cs="Times New Roman" w:eastAsia="Times New Roman" w:hAnsi="Times New Roman"/>
          <w:sz w:val="16"/>
          <w:szCs w:val="16"/>
          <w:color w:val="231F20"/>
        </w:rPr>
        <w:t>).</w:t>
      </w:r>
    </w:p>
    <w:p>
      <w:pPr>
        <w:spacing w:after="0" w:line="147" w:lineRule="exact"/>
        <w:rPr>
          <w:sz w:val="20"/>
          <w:szCs w:val="20"/>
          <w:color w:val="auto"/>
        </w:rPr>
      </w:pPr>
    </w:p>
    <w:p>
      <w:pPr>
        <w:jc w:val="both"/>
        <w:ind w:firstLine="528"/>
        <w:spacing w:after="0" w:line="212" w:lineRule="auto"/>
        <w:rPr>
          <w:sz w:val="20"/>
          <w:szCs w:val="20"/>
          <w:color w:val="auto"/>
        </w:rPr>
      </w:pPr>
      <w:r>
        <w:rPr>
          <w:rFonts w:ascii="Times New Roman" w:cs="Times New Roman" w:eastAsia="Times New Roman" w:hAnsi="Times New Roman"/>
          <w:sz w:val="16"/>
          <w:szCs w:val="16"/>
          <w:color w:val="231F20"/>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Times New Roman" w:cs="Times New Roman" w:eastAsia="Times New Roman" w:hAnsi="Times New Roman"/>
          <w:sz w:val="16"/>
          <w:szCs w:val="16"/>
          <w:i w:val="1"/>
          <w:iCs w:val="1"/>
          <w:color w:val="231F20"/>
        </w:rPr>
        <w:t>i.e.,</w:t>
      </w:r>
      <w:r>
        <w:rPr>
          <w:rFonts w:ascii="Times New Roman" w:cs="Times New Roman" w:eastAsia="Times New Roman" w:hAnsi="Times New Roman"/>
          <w:sz w:val="16"/>
          <w:szCs w:val="16"/>
          <w:color w:val="231F20"/>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Times New Roman" w:cs="Times New Roman" w:eastAsia="Times New Roman" w:hAnsi="Times New Roman"/>
          <w:sz w:val="16"/>
          <w:szCs w:val="16"/>
          <w:i w:val="1"/>
          <w:iCs w:val="1"/>
          <w:color w:val="231F20"/>
        </w:rPr>
        <w:t>BGH</w:t>
      </w:r>
      <w:r>
        <w:rPr>
          <w:rFonts w:ascii="Times New Roman" w:cs="Times New Roman" w:eastAsia="Times New Roman" w:hAnsi="Times New Roman"/>
          <w:sz w:val="16"/>
          <w:szCs w:val="16"/>
          <w:color w:val="231F20"/>
        </w:rPr>
        <w:t xml:space="preserve"> ). The German Federal Court of Justice (</w:t>
      </w:r>
      <w:r>
        <w:rPr>
          <w:rFonts w:ascii="Times New Roman" w:cs="Times New Roman" w:eastAsia="Times New Roman" w:hAnsi="Times New Roman"/>
          <w:sz w:val="16"/>
          <w:szCs w:val="16"/>
          <w:i w:val="1"/>
          <w:iCs w:val="1"/>
          <w:color w:val="231F20"/>
        </w:rPr>
        <w:t>BGH</w:t>
      </w:r>
      <w:r>
        <w:rPr>
          <w:rFonts w:ascii="Times New Roman" w:cs="Times New Roman" w:eastAsia="Times New Roman" w:hAnsi="Times New Roman"/>
          <w:sz w:val="16"/>
          <w:szCs w:val="16"/>
          <w:color w:val="231F20"/>
        </w:rPr>
        <w:t xml:space="preserve"> )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45" w:lineRule="exact"/>
        <w:rPr>
          <w:sz w:val="20"/>
          <w:szCs w:val="20"/>
          <w:color w:val="auto"/>
        </w:rPr>
      </w:pPr>
    </w:p>
    <w:p>
      <w:pPr>
        <w:jc w:val="both"/>
        <w:ind w:right="20" w:firstLine="528"/>
        <w:spacing w:after="0" w:line="235" w:lineRule="auto"/>
        <w:rPr>
          <w:sz w:val="20"/>
          <w:szCs w:val="20"/>
          <w:color w:val="auto"/>
        </w:rPr>
      </w:pPr>
      <w:r>
        <w:rPr>
          <w:rFonts w:ascii="Times New Roman" w:cs="Times New Roman" w:eastAsia="Times New Roman" w:hAnsi="Times New Roman"/>
          <w:sz w:val="16"/>
          <w:szCs w:val="16"/>
          <w:color w:val="231F20"/>
        </w:rPr>
        <w:t>Accordingly, under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the Management Board may, with the consent of the Supervisory Board, exclude such preemptive rights in a capital increase from the authorized capital in the following circumstances:</w:t>
      </w:r>
    </w:p>
    <w:p>
      <w:pPr>
        <w:spacing w:after="0" w:line="50" w:lineRule="exact"/>
        <w:rPr>
          <w:sz w:val="20"/>
          <w:szCs w:val="20"/>
          <w:color w:val="auto"/>
        </w:rPr>
      </w:pPr>
    </w:p>
    <w:p>
      <w:pPr>
        <w:ind w:left="580" w:hanging="286"/>
        <w:spacing w:after="0"/>
        <w:tabs>
          <w:tab w:leader="none" w:pos="5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exclude fractional amounts from the subscription right;</w:t>
      </w:r>
    </w:p>
    <w:p>
      <w:pPr>
        <w:spacing w:after="0" w:line="68" w:lineRule="exact"/>
        <w:rPr>
          <w:rFonts w:ascii="Times New Roman" w:cs="Times New Roman" w:eastAsia="Times New Roman" w:hAnsi="Times New Roman"/>
          <w:sz w:val="16"/>
          <w:szCs w:val="16"/>
          <w:color w:val="auto"/>
        </w:rPr>
      </w:pPr>
    </w:p>
    <w:p>
      <w:pPr>
        <w:jc w:val="both"/>
        <w:ind w:left="580" w:hanging="286"/>
        <w:spacing w:after="0" w:line="210" w:lineRule="auto"/>
        <w:tabs>
          <w:tab w:leader="none" w:pos="5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51" w:lineRule="exact"/>
        <w:rPr>
          <w:rFonts w:ascii="Times New Roman" w:cs="Times New Roman" w:eastAsia="Times New Roman" w:hAnsi="Times New Roman"/>
          <w:sz w:val="16"/>
          <w:szCs w:val="16"/>
          <w:color w:val="auto"/>
        </w:rPr>
      </w:pPr>
    </w:p>
    <w:p>
      <w:pPr>
        <w:ind w:left="580" w:right="20" w:hanging="286"/>
        <w:spacing w:after="0" w:line="234" w:lineRule="auto"/>
        <w:tabs>
          <w:tab w:leader="none" w:pos="5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 the case of capital increases in exchange for contributions in kind, in particular in order to be able to offer the shares to third parties when purchasing companies, parts of companies or interests in companies as well as licenses or intellectual property rights;</w:t>
      </w:r>
    </w:p>
    <w:p>
      <w:pPr>
        <w:spacing w:after="0" w:line="49" w:lineRule="exact"/>
        <w:rPr>
          <w:rFonts w:ascii="Times New Roman" w:cs="Times New Roman" w:eastAsia="Times New Roman" w:hAnsi="Times New Roman"/>
          <w:sz w:val="16"/>
          <w:szCs w:val="16"/>
          <w:color w:val="auto"/>
        </w:rPr>
      </w:pPr>
    </w:p>
    <w:p>
      <w:pPr>
        <w:jc w:val="both"/>
        <w:ind w:left="580" w:right="20" w:hanging="286"/>
        <w:spacing w:after="0" w:line="223" w:lineRule="auto"/>
        <w:tabs>
          <w:tab w:leader="none" w:pos="5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51" w:lineRule="exact"/>
        <w:rPr>
          <w:rFonts w:ascii="Times New Roman" w:cs="Times New Roman" w:eastAsia="Times New Roman" w:hAnsi="Times New Roman"/>
          <w:sz w:val="16"/>
          <w:szCs w:val="16"/>
          <w:color w:val="auto"/>
        </w:rPr>
      </w:pPr>
    </w:p>
    <w:p>
      <w:pPr>
        <w:ind w:left="580" w:right="20" w:hanging="286"/>
        <w:spacing w:after="0" w:line="234" w:lineRule="auto"/>
        <w:tabs>
          <w:tab w:leader="none" w:pos="580" w:val="left"/>
        </w:tabs>
        <w:numPr>
          <w:ilvl w:val="0"/>
          <w:numId w:val="2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implement an election dividend by which shareholders are given the option to contribute their dividend entitlements (either in whole or part) as a contribution in kind against issuance of our new shares;</w:t>
      </w:r>
    </w:p>
    <w:p>
      <w:pPr>
        <w:spacing w:after="0" w:line="49" w:lineRule="exact"/>
        <w:rPr>
          <w:rFonts w:ascii="Times New Roman" w:cs="Times New Roman" w:eastAsia="Times New Roman" w:hAnsi="Times New Roman"/>
          <w:sz w:val="16"/>
          <w:szCs w:val="16"/>
          <w:color w:val="231F20"/>
        </w:rPr>
      </w:pPr>
    </w:p>
    <w:p>
      <w:pPr>
        <w:ind w:left="580" w:right="20" w:hanging="286"/>
        <w:spacing w:after="0" w:line="234" w:lineRule="auto"/>
        <w:tabs>
          <w:tab w:leader="none" w:pos="5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 case shares are to be issued to a member of our Management Board or to another person who is employed by us or one of our affiliates, additional restrictions with regard to the shares issued may be agreed upon; and</w:t>
      </w:r>
    </w:p>
    <w:p>
      <w:pPr>
        <w:spacing w:after="0" w:line="49" w:lineRule="exact"/>
        <w:rPr>
          <w:rFonts w:ascii="Times New Roman" w:cs="Times New Roman" w:eastAsia="Times New Roman" w:hAnsi="Times New Roman"/>
          <w:sz w:val="16"/>
          <w:szCs w:val="16"/>
          <w:color w:val="auto"/>
        </w:rPr>
      </w:pPr>
    </w:p>
    <w:p>
      <w:pPr>
        <w:ind w:left="580" w:right="20" w:hanging="286"/>
        <w:spacing w:after="0" w:line="234" w:lineRule="auto"/>
        <w:tabs>
          <w:tab w:leader="none" w:pos="580" w:val="left"/>
        </w:tabs>
        <w:numPr>
          <w:ilvl w:val="0"/>
          <w:numId w:val="2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45" w:lineRule="exact"/>
        <w:rPr>
          <w:sz w:val="20"/>
          <w:szCs w:val="20"/>
          <w:color w:val="auto"/>
        </w:rPr>
      </w:pPr>
    </w:p>
    <w:p>
      <w:pPr>
        <w:jc w:val="both"/>
        <w:ind w:firstLine="528"/>
        <w:spacing w:after="0" w:line="213" w:lineRule="auto"/>
        <w:rPr>
          <w:sz w:val="20"/>
          <w:szCs w:val="20"/>
          <w:color w:val="auto"/>
        </w:rPr>
      </w:pPr>
      <w:r>
        <w:rPr>
          <w:rFonts w:ascii="Times New Roman" w:cs="Times New Roman" w:eastAsia="Times New Roman" w:hAnsi="Times New Roman"/>
          <w:sz w:val="16"/>
          <w:szCs w:val="16"/>
          <w:color w:val="231F20"/>
        </w:rPr>
        <w:t>The total number of new shares issued from the authorized capital and under exclusion of subscription rights pursuant to bullets one through three and six above may not exceed 20% of the share capital, either at the time that the amendment to the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resolved upon by the general meeting of June 26, 2020, has come into effect or, if lower, at the time of utilization of the authorization.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w:t>
      </w:r>
    </w:p>
    <w:p>
      <w:pPr>
        <w:sectPr>
          <w:pgSz w:w="11900" w:h="16840" w:orient="portrait"/>
          <w:cols w:equalWidth="0" w:num="1">
            <w:col w:w="10580"/>
          </w:cols>
          <w:pgMar w:left="660" w:top="1440" w:right="660" w:bottom="1440" w:gutter="0" w:footer="0" w:header="0"/>
        </w:sectPr>
      </w:pPr>
    </w:p>
    <w:bookmarkStart w:id="318" w:name="page319"/>
    <w:bookmarkEnd w:id="318"/>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authorization (except in the case of certain exceptions of the resolution to item no. 8 of the general meeting of August 19,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Shareholders’ Meetings and Voting Rights</w:t>
      </w:r>
    </w:p>
    <w:p>
      <w:pPr>
        <w:spacing w:after="0" w:line="164" w:lineRule="exact"/>
        <w:rPr>
          <w:sz w:val="20"/>
          <w:szCs w:val="20"/>
          <w:color w:val="auto"/>
        </w:rPr>
      </w:pPr>
    </w:p>
    <w:p>
      <w:pPr>
        <w:jc w:val="both"/>
        <w:ind w:firstLine="528"/>
        <w:spacing w:after="0" w:line="214" w:lineRule="auto"/>
        <w:rPr>
          <w:sz w:val="20"/>
          <w:szCs w:val="20"/>
          <w:color w:val="auto"/>
        </w:rPr>
      </w:pPr>
      <w:r>
        <w:rPr>
          <w:rFonts w:ascii="Times New Roman" w:cs="Times New Roman" w:eastAsia="Times New Roman" w:hAnsi="Times New Roman"/>
          <w:sz w:val="16"/>
          <w:szCs w:val="16"/>
          <w:color w:val="231F20"/>
        </w:rPr>
        <w:t>Pursuant to our Articles of Association (</w:t>
      </w:r>
      <w:r>
        <w:rPr>
          <w:rFonts w:ascii="Times New Roman" w:cs="Times New Roman" w:eastAsia="Times New Roman" w:hAnsi="Times New Roman"/>
          <w:sz w:val="16"/>
          <w:szCs w:val="16"/>
          <w:i w:val="1"/>
          <w:iCs w:val="1"/>
          <w:color w:val="231F20"/>
        </w:rPr>
        <w:t>Satzung</w:t>
      </w:r>
      <w:r>
        <w:rPr>
          <w:rFonts w:ascii="Times New Roman" w:cs="Times New Roman" w:eastAsia="Times New Roman" w:hAnsi="Times New Roman"/>
          <w:sz w:val="16"/>
          <w:szCs w:val="16"/>
          <w:color w:val="231F20"/>
        </w:rPr>
        <w:t xml:space="preserve">),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 </w:t>
      </w:r>
      <w:r>
        <w:rPr>
          <w:rFonts w:ascii="Times New Roman" w:cs="Times New Roman" w:eastAsia="Times New Roman" w:hAnsi="Times New Roman"/>
          <w:sz w:val="16"/>
          <w:szCs w:val="16"/>
          <w:i w:val="1"/>
          <w:iCs w:val="1"/>
          <w:color w:val="231F20"/>
        </w:rPr>
        <w:t>Bundesanzeiger</w:t>
      </w:r>
      <w:r>
        <w:rPr>
          <w:rFonts w:ascii="Times New Roman" w:cs="Times New Roman" w:eastAsia="Times New Roman" w:hAnsi="Times New Roman"/>
          <w:sz w:val="16"/>
          <w:szCs w:val="16"/>
          <w:color w:val="231F20"/>
        </w:rPr>
        <w:t>) or via mail or via email, in each case generally at least 30 days before the meeting.</w:t>
      </w:r>
    </w:p>
    <w:p>
      <w:pPr>
        <w:spacing w:after="0" w:line="146" w:lineRule="exact"/>
        <w:rPr>
          <w:sz w:val="20"/>
          <w:szCs w:val="20"/>
          <w:color w:val="auto"/>
        </w:rPr>
      </w:pPr>
    </w:p>
    <w:p>
      <w:pPr>
        <w:jc w:val="both"/>
        <w:ind w:firstLine="528"/>
        <w:spacing w:after="0" w:line="223" w:lineRule="auto"/>
        <w:rPr>
          <w:sz w:val="20"/>
          <w:szCs w:val="20"/>
          <w:color w:val="auto"/>
        </w:rPr>
      </w:pPr>
      <w:r>
        <w:rPr>
          <w:rFonts w:ascii="Times New Roman" w:cs="Times New Roman" w:eastAsia="Times New Roman" w:hAnsi="Times New Roman"/>
          <w:sz w:val="16"/>
          <w:szCs w:val="16"/>
          <w:color w:val="231F20"/>
        </w:rPr>
        <w:t xml:space="preserve">Shareholders may participate in and vote in the shareholders’ meeting if they are registered as a shareholder with the Company’s share register. A shareholder who wishes to attend the shareholders’ meeting—either in person or by proxy, which may also be appointed by us ( </w:t>
      </w:r>
      <w:r>
        <w:rPr>
          <w:rFonts w:ascii="Times New Roman" w:cs="Times New Roman" w:eastAsia="Times New Roman" w:hAnsi="Times New Roman"/>
          <w:sz w:val="16"/>
          <w:szCs w:val="16"/>
          <w:i w:val="1"/>
          <w:iCs w:val="1"/>
          <w:color w:val="231F20"/>
        </w:rPr>
        <w:t>Stimmrechtsvertreter</w:t>
      </w:r>
      <w:r>
        <w:rPr>
          <w:rFonts w:ascii="Times New Roman" w:cs="Times New Roman" w:eastAsia="Times New Roman" w:hAnsi="Times New Roman"/>
          <w:sz w:val="16"/>
          <w:szCs w:val="16"/>
          <w:color w:val="231F20"/>
        </w:rPr>
        <w:t>) —must register for the meeting, which registration must occur no later than six days before the meeting (or at a later date, if so determined by our Management Board).</w:t>
      </w:r>
    </w:p>
    <w:p>
      <w:pPr>
        <w:spacing w:after="0" w:line="145" w:lineRule="exact"/>
        <w:rPr>
          <w:sz w:val="20"/>
          <w:szCs w:val="20"/>
          <w:color w:val="auto"/>
        </w:rPr>
      </w:pPr>
    </w:p>
    <w:p>
      <w:pPr>
        <w:jc w:val="both"/>
        <w:ind w:right="20" w:firstLine="528"/>
        <w:spacing w:after="0" w:line="254" w:lineRule="auto"/>
        <w:rPr>
          <w:sz w:val="20"/>
          <w:szCs w:val="20"/>
          <w:color w:val="auto"/>
        </w:rPr>
      </w:pPr>
      <w:r>
        <w:rPr>
          <w:rFonts w:ascii="Times New Roman" w:cs="Times New Roman" w:eastAsia="Times New Roman" w:hAnsi="Times New Roman"/>
          <w:sz w:val="14"/>
          <w:szCs w:val="14"/>
          <w:color w:val="231F20"/>
        </w:rPr>
        <w:t>Each share carries one vote at a shareholders’ meeting. Resolutions are, in accordance with our Articles of Association (</w:t>
      </w:r>
      <w:r>
        <w:rPr>
          <w:rFonts w:ascii="Times New Roman" w:cs="Times New Roman" w:eastAsia="Times New Roman" w:hAnsi="Times New Roman"/>
          <w:sz w:val="14"/>
          <w:szCs w:val="14"/>
          <w:i w:val="1"/>
          <w:iCs w:val="1"/>
          <w:color w:val="231F20"/>
        </w:rPr>
        <w:t>Satzung</w:t>
      </w:r>
      <w:r>
        <w:rPr>
          <w:rFonts w:ascii="Times New Roman" w:cs="Times New Roman" w:eastAsia="Times New Roman" w:hAnsi="Times New Roman"/>
          <w:sz w:val="14"/>
          <w:szCs w:val="14"/>
          <w:color w:val="231F20"/>
        </w:rPr>
        <w:t>), generally taken by simple majority of the votes cast. However, under applicable German and European law, a number of resolutions must be passed by either a three-quarter majority of the votes cast or a three - 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Claims against Directors and Shareholders’ Derivative Actions</w:t>
      </w:r>
    </w:p>
    <w:p>
      <w:pPr>
        <w:spacing w:after="0" w:line="166" w:lineRule="exact"/>
        <w:rPr>
          <w:sz w:val="20"/>
          <w:szCs w:val="20"/>
          <w:color w:val="auto"/>
        </w:rPr>
      </w:pPr>
    </w:p>
    <w:p>
      <w:pPr>
        <w:jc w:val="both"/>
        <w:ind w:right="20" w:firstLine="528"/>
        <w:spacing w:after="0" w:line="218" w:lineRule="auto"/>
        <w:rPr>
          <w:sz w:val="20"/>
          <w:szCs w:val="20"/>
          <w:color w:val="auto"/>
        </w:rPr>
      </w:pPr>
      <w:r>
        <w:rPr>
          <w:rFonts w:ascii="Times New Roman" w:cs="Times New Roman" w:eastAsia="Times New Roman" w:hAnsi="Times New Roman"/>
          <w:sz w:val="16"/>
          <w:szCs w:val="16"/>
          <w:color w:val="231F20"/>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48" w:lineRule="exact"/>
        <w:rPr>
          <w:sz w:val="20"/>
          <w:szCs w:val="20"/>
          <w:color w:val="auto"/>
        </w:rPr>
      </w:pPr>
    </w:p>
    <w:p>
      <w:pPr>
        <w:jc w:val="both"/>
        <w:ind w:right="20" w:firstLine="528"/>
        <w:spacing w:after="0" w:line="215" w:lineRule="auto"/>
        <w:rPr>
          <w:sz w:val="20"/>
          <w:szCs w:val="20"/>
          <w:color w:val="auto"/>
        </w:rPr>
      </w:pPr>
      <w:r>
        <w:rPr>
          <w:rFonts w:ascii="Times New Roman" w:cs="Times New Roman" w:eastAsia="Times New Roman" w:hAnsi="Times New Roman"/>
          <w:sz w:val="16"/>
          <w:szCs w:val="16"/>
          <w:color w:val="231F20"/>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48" w:lineRule="exact"/>
        <w:rPr>
          <w:sz w:val="20"/>
          <w:szCs w:val="20"/>
          <w:color w:val="auto"/>
        </w:rPr>
      </w:pPr>
    </w:p>
    <w:p>
      <w:pPr>
        <w:jc w:val="both"/>
        <w:ind w:right="40" w:firstLine="528"/>
        <w:spacing w:after="0" w:line="234" w:lineRule="auto"/>
        <w:rPr>
          <w:sz w:val="20"/>
          <w:szCs w:val="20"/>
          <w:color w:val="auto"/>
        </w:rPr>
      </w:pPr>
      <w:r>
        <w:rPr>
          <w:rFonts w:ascii="Times New Roman" w:cs="Times New Roman" w:eastAsia="Times New Roman" w:hAnsi="Times New Roman"/>
          <w:sz w:val="16"/>
          <w:szCs w:val="16"/>
          <w:color w:val="231F20"/>
        </w:rPr>
        <w:t>If the company is unable to fulfill its third-party obligations, the company’s creditors may pursue the company’s damage claims against members of the Management Board for certain wrongdoings.</w:t>
      </w:r>
    </w:p>
    <w:p>
      <w:pPr>
        <w:spacing w:after="0" w:line="145" w:lineRule="exact"/>
        <w:rPr>
          <w:sz w:val="20"/>
          <w:szCs w:val="20"/>
          <w:color w:val="auto"/>
        </w:rPr>
      </w:pPr>
    </w:p>
    <w:p>
      <w:pPr>
        <w:jc w:val="both"/>
        <w:ind w:firstLine="528"/>
        <w:spacing w:after="0" w:line="215" w:lineRule="auto"/>
        <w:rPr>
          <w:sz w:val="20"/>
          <w:szCs w:val="20"/>
          <w:color w:val="auto"/>
        </w:rPr>
      </w:pPr>
      <w:r>
        <w:rPr>
          <w:rFonts w:ascii="Times New Roman" w:cs="Times New Roman" w:eastAsia="Times New Roman" w:hAnsi="Times New Roman"/>
          <w:sz w:val="16"/>
          <w:szCs w:val="16"/>
          <w:color w:val="231F20"/>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Dividend Rights</w:t>
      </w:r>
    </w:p>
    <w:p>
      <w:pPr>
        <w:spacing w:after="0" w:line="166" w:lineRule="exact"/>
        <w:rPr>
          <w:sz w:val="20"/>
          <w:szCs w:val="20"/>
          <w:color w:val="auto"/>
        </w:rPr>
      </w:pPr>
    </w:p>
    <w:p>
      <w:pPr>
        <w:jc w:val="both"/>
        <w:ind w:right="20" w:firstLine="528"/>
        <w:spacing w:after="0" w:line="234" w:lineRule="auto"/>
        <w:rPr>
          <w:sz w:val="20"/>
          <w:szCs w:val="20"/>
          <w:color w:val="auto"/>
        </w:rPr>
      </w:pPr>
      <w:r>
        <w:rPr>
          <w:rFonts w:ascii="Times New Roman" w:cs="Times New Roman" w:eastAsia="Times New Roman" w:hAnsi="Times New Roman"/>
          <w:sz w:val="16"/>
          <w:szCs w:val="16"/>
          <w:color w:val="231F20"/>
        </w:rPr>
        <w:t>Under German law, distributions of dividends on shares for a given fiscal year are generally determined by a process in which the Management Board and Supervisory Board submit a proposal to the company’s annual general</w:t>
      </w:r>
    </w:p>
    <w:p>
      <w:pPr>
        <w:sectPr>
          <w:pgSz w:w="11900" w:h="16840" w:orient="portrait"/>
          <w:cols w:equalWidth="0" w:num="1">
            <w:col w:w="10580"/>
          </w:cols>
          <w:pgMar w:left="660" w:top="1440" w:right="660" w:bottom="1440" w:gutter="0" w:footer="0" w:header="0"/>
        </w:sectPr>
      </w:pPr>
    </w:p>
    <w:bookmarkStart w:id="319" w:name="page320"/>
    <w:bookmarkEnd w:id="319"/>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shareholders’ meeting held in the subsequent fiscal year and such annual general shareholders’ meeting adopts a resolution.</w:t>
      </w:r>
    </w:p>
    <w:p>
      <w:pPr>
        <w:spacing w:after="0" w:line="164" w:lineRule="exact"/>
        <w:rPr>
          <w:sz w:val="20"/>
          <w:szCs w:val="20"/>
          <w:color w:val="auto"/>
        </w:rPr>
      </w:pPr>
    </w:p>
    <w:p>
      <w:pPr>
        <w:jc w:val="both"/>
        <w:ind w:right="20" w:firstLine="528"/>
        <w:spacing w:after="0" w:line="218" w:lineRule="auto"/>
        <w:rPr>
          <w:sz w:val="20"/>
          <w:szCs w:val="20"/>
          <w:color w:val="auto"/>
        </w:rPr>
      </w:pPr>
      <w:r>
        <w:rPr>
          <w:rFonts w:ascii="Times New Roman" w:cs="Times New Roman" w:eastAsia="Times New Roman" w:hAnsi="Times New Roman"/>
          <w:sz w:val="16"/>
          <w:szCs w:val="16"/>
          <w:color w:val="231F20"/>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48" w:lineRule="exact"/>
        <w:rPr>
          <w:sz w:val="20"/>
          <w:szCs w:val="20"/>
          <w:color w:val="auto"/>
        </w:rPr>
      </w:pPr>
    </w:p>
    <w:p>
      <w:pPr>
        <w:jc w:val="both"/>
        <w:ind w:right="40" w:firstLine="528"/>
        <w:spacing w:after="0" w:line="223" w:lineRule="auto"/>
        <w:rPr>
          <w:sz w:val="20"/>
          <w:szCs w:val="20"/>
          <w:color w:val="auto"/>
        </w:rPr>
      </w:pPr>
      <w:r>
        <w:rPr>
          <w:rFonts w:ascii="Times New Roman" w:cs="Times New Roman" w:eastAsia="Times New Roman" w:hAnsi="Times New Roman"/>
          <w:sz w:val="16"/>
          <w:szCs w:val="16"/>
          <w:color w:val="231F20"/>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Authorization to Purchase and Sell Our Own Shares</w:t>
      </w:r>
    </w:p>
    <w:p>
      <w:pPr>
        <w:spacing w:after="0" w:line="166" w:lineRule="exact"/>
        <w:rPr>
          <w:sz w:val="20"/>
          <w:szCs w:val="20"/>
          <w:color w:val="auto"/>
        </w:rPr>
      </w:pPr>
    </w:p>
    <w:p>
      <w:pPr>
        <w:ind w:firstLine="528"/>
        <w:spacing w:after="0" w:line="212" w:lineRule="auto"/>
        <w:rPr>
          <w:sz w:val="20"/>
          <w:szCs w:val="20"/>
          <w:color w:val="auto"/>
        </w:rPr>
      </w:pPr>
      <w:r>
        <w:rPr>
          <w:rFonts w:ascii="Times New Roman" w:cs="Times New Roman" w:eastAsia="Times New Roman" w:hAnsi="Times New Roman"/>
          <w:sz w:val="16"/>
          <w:szCs w:val="16"/>
          <w:color w:val="231F20"/>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Squeeze-Out of Minority Shareholders</w:t>
      </w:r>
    </w:p>
    <w:p>
      <w:pPr>
        <w:spacing w:after="0" w:line="166" w:lineRule="exact"/>
        <w:rPr>
          <w:sz w:val="20"/>
          <w:szCs w:val="20"/>
          <w:color w:val="auto"/>
        </w:rPr>
      </w:pPr>
    </w:p>
    <w:p>
      <w:pPr>
        <w:jc w:val="both"/>
        <w:ind w:right="20" w:firstLine="528"/>
        <w:spacing w:after="0" w:line="218" w:lineRule="auto"/>
        <w:rPr>
          <w:sz w:val="20"/>
          <w:szCs w:val="20"/>
          <w:color w:val="auto"/>
        </w:rPr>
      </w:pPr>
      <w:r>
        <w:rPr>
          <w:rFonts w:ascii="Times New Roman" w:cs="Times New Roman" w:eastAsia="Times New Roman" w:hAnsi="Times New Roman"/>
          <w:sz w:val="16"/>
          <w:szCs w:val="16"/>
          <w:color w:val="231F20"/>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6"/>
          <w:szCs w:val="16"/>
          <w:i w:val="1"/>
          <w:iCs w:val="1"/>
          <w:color w:val="231F20"/>
        </w:rPr>
        <w:t>Ausschluss von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Minderheitsaktionären</w:t>
      </w:r>
      <w:r>
        <w:rPr>
          <w:rFonts w:ascii="Times New Roman" w:cs="Times New Roman" w:eastAsia="Times New Roman" w:hAnsi="Times New Roman"/>
          <w:sz w:val="16"/>
          <w:szCs w:val="16"/>
          <w:color w:val="231F20"/>
        </w:rPr>
        <w:t>). This amount must take into account the full value of the company at the time of the resolution, which is generally determined using the future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earnings value method (</w:t>
      </w:r>
      <w:r>
        <w:rPr>
          <w:rFonts w:ascii="Times New Roman" w:cs="Times New Roman" w:eastAsia="Times New Roman" w:hAnsi="Times New Roman"/>
          <w:sz w:val="16"/>
          <w:szCs w:val="16"/>
          <w:i w:val="1"/>
          <w:iCs w:val="1"/>
          <w:color w:val="231F20"/>
        </w:rPr>
        <w:t>Ertragswertmethode</w:t>
      </w:r>
      <w:r>
        <w:rPr>
          <w:rFonts w:ascii="Times New Roman" w:cs="Times New Roman" w:eastAsia="Times New Roman" w:hAnsi="Times New Roman"/>
          <w:sz w:val="16"/>
          <w:szCs w:val="16"/>
          <w:color w:val="231F20"/>
        </w:rPr>
        <w:t>).</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231F20"/>
        </w:rPr>
        <w:t>A squeeze-out in the context of a merger (</w:t>
      </w:r>
      <w:r>
        <w:rPr>
          <w:rFonts w:ascii="Times New Roman" w:cs="Times New Roman" w:eastAsia="Times New Roman" w:hAnsi="Times New Roman"/>
          <w:sz w:val="14"/>
          <w:szCs w:val="14"/>
          <w:i w:val="1"/>
          <w:iCs w:val="1"/>
          <w:color w:val="231F20"/>
        </w:rPr>
        <w:t>umwandlungsrechtlicher Squeeze-Out</w:t>
      </w:r>
      <w:r>
        <w:rPr>
          <w:rFonts w:ascii="Times New Roman" w:cs="Times New Roman" w:eastAsia="Times New Roman" w:hAnsi="Times New Roman"/>
          <w:sz w:val="14"/>
          <w:szCs w:val="14"/>
          <w:color w:val="231F20"/>
        </w:rPr>
        <w:t>) only requires a majority shareholder to hold at least 90% of the share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Liquidation Rights</w:t>
      </w:r>
    </w:p>
    <w:p>
      <w:pPr>
        <w:spacing w:after="0" w:line="166" w:lineRule="exact"/>
        <w:rPr>
          <w:sz w:val="20"/>
          <w:szCs w:val="20"/>
          <w:color w:val="auto"/>
        </w:rPr>
      </w:pPr>
    </w:p>
    <w:p>
      <w:pPr>
        <w:jc w:val="both"/>
        <w:ind w:right="40" w:firstLine="528"/>
        <w:spacing w:after="0" w:line="218" w:lineRule="auto"/>
        <w:rPr>
          <w:sz w:val="20"/>
          <w:szCs w:val="20"/>
          <w:color w:val="auto"/>
        </w:rPr>
      </w:pPr>
      <w:r>
        <w:rPr>
          <w:rFonts w:ascii="Times New Roman" w:cs="Times New Roman" w:eastAsia="Times New Roman" w:hAnsi="Times New Roman"/>
          <w:sz w:val="16"/>
          <w:szCs w:val="16"/>
          <w:color w:val="231F20"/>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166" w:lineRule="exact"/>
        <w:rPr>
          <w:sz w:val="20"/>
          <w:szCs w:val="20"/>
          <w:color w:val="auto"/>
        </w:rPr>
      </w:pPr>
    </w:p>
    <w:p>
      <w:pPr>
        <w:jc w:val="both"/>
        <w:ind w:right="40" w:firstLine="528"/>
        <w:spacing w:after="0" w:line="215" w:lineRule="auto"/>
        <w:rPr>
          <w:sz w:val="20"/>
          <w:szCs w:val="20"/>
          <w:color w:val="auto"/>
        </w:rPr>
      </w:pPr>
      <w:r>
        <w:rPr>
          <w:rFonts w:ascii="Times New Roman" w:cs="Times New Roman" w:eastAsia="Times New Roman" w:hAnsi="Times New Roman"/>
          <w:sz w:val="16"/>
          <w:szCs w:val="16"/>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40" w:orient="portrait"/>
          <w:cols w:equalWidth="0" w:num="1">
            <w:col w:w="10600"/>
          </w:cols>
          <w:pgMar w:left="660" w:top="1440" w:right="640" w:bottom="1440" w:gutter="0" w:footer="0" w:header="0"/>
        </w:sectPr>
      </w:pPr>
    </w:p>
    <w:bookmarkStart w:id="320" w:name="page321"/>
    <w:bookmarkEnd w:id="3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Board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4"/>
          <w:szCs w:val="14"/>
          <w:color w:val="231F20"/>
        </w:rPr>
        <w:t>Appointment and Number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309"/>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04" w:lineRule="exact"/>
        <w:rPr>
          <w:sz w:val="20"/>
          <w:szCs w:val="20"/>
          <w:color w:val="auto"/>
        </w:rPr>
      </w:pPr>
    </w:p>
    <w:p>
      <w:pPr>
        <w:ind w:left="9" w:hanging="9"/>
        <w:spacing w:after="0" w:line="218" w:lineRule="auto"/>
        <w:tabs>
          <w:tab w:leader="none" w:pos="161" w:val="left"/>
        </w:tabs>
        <w:numPr>
          <w:ilvl w:val="0"/>
          <w:numId w:val="2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European stock corporation may choose to have a two-tier board structure composed of the Management Board (</w:t>
      </w:r>
      <w:r>
        <w:rPr>
          <w:rFonts w:ascii="Times New Roman" w:cs="Times New Roman" w:eastAsia="Times New Roman" w:hAnsi="Times New Roman"/>
          <w:sz w:val="16"/>
          <w:szCs w:val="16"/>
          <w:i w:val="1"/>
          <w:iCs w:val="1"/>
          <w:color w:val="231F20"/>
        </w:rPr>
        <w:t>Vorstand</w:t>
      </w:r>
      <w:r>
        <w:rPr>
          <w:rFonts w:ascii="Times New Roman" w:cs="Times New Roman" w:eastAsia="Times New Roman" w:hAnsi="Times New Roman"/>
          <w:sz w:val="16"/>
          <w:szCs w:val="16"/>
          <w:color w:val="231F20"/>
        </w:rPr>
        <w:t>) and the Supervisory Board (</w:t>
      </w:r>
      <w:r>
        <w:rPr>
          <w:rFonts w:ascii="Times New Roman" w:cs="Times New Roman" w:eastAsia="Times New Roman" w:hAnsi="Times New Roman"/>
          <w:sz w:val="16"/>
          <w:szCs w:val="16"/>
          <w:i w:val="1"/>
          <w:iCs w:val="1"/>
          <w:color w:val="231F20"/>
        </w:rPr>
        <w:t>Aufsichtsrat</w:t>
      </w:r>
      <w:r>
        <w:rPr>
          <w:rFonts w:ascii="Times New Roman" w:cs="Times New Roman" w:eastAsia="Times New Roman" w:hAnsi="Times New Roman"/>
          <w:sz w:val="16"/>
          <w:szCs w:val="16"/>
          <w:color w:val="231F20"/>
        </w:rPr>
        <w:t>). We have chosen this structure.</w:t>
      </w:r>
    </w:p>
    <w:p>
      <w:pPr>
        <w:spacing w:after="0" w:line="148" w:lineRule="exact"/>
        <w:rPr>
          <w:sz w:val="20"/>
          <w:szCs w:val="20"/>
          <w:color w:val="auto"/>
        </w:rPr>
      </w:pPr>
    </w:p>
    <w:p>
      <w:pPr>
        <w:ind w:left="9" w:right="260"/>
        <w:spacing w:after="0" w:line="223" w:lineRule="auto"/>
        <w:rPr>
          <w:sz w:val="20"/>
          <w:szCs w:val="20"/>
          <w:color w:val="auto"/>
        </w:rPr>
      </w:pPr>
      <w:r>
        <w:rPr>
          <w:rFonts w:ascii="Times New Roman" w:cs="Times New Roman" w:eastAsia="Times New Roman" w:hAnsi="Times New Roman"/>
          <w:sz w:val="16"/>
          <w:szCs w:val="16"/>
          <w:color w:val="231F20"/>
        </w:rPr>
        <w:t>The Management Board is responsible for running the company’s affairs and representing the company in dealings with third parties.</w:t>
      </w:r>
    </w:p>
    <w:p>
      <w:pPr>
        <w:spacing w:after="0" w:line="147" w:lineRule="exact"/>
        <w:rPr>
          <w:sz w:val="20"/>
          <w:szCs w:val="20"/>
          <w:color w:val="auto"/>
        </w:rPr>
      </w:pPr>
    </w:p>
    <w:p>
      <w:pPr>
        <w:ind w:left="9" w:right="120"/>
        <w:spacing w:after="0" w:line="215" w:lineRule="auto"/>
        <w:rPr>
          <w:sz w:val="20"/>
          <w:szCs w:val="20"/>
          <w:color w:val="auto"/>
        </w:rPr>
      </w:pPr>
      <w:r>
        <w:rPr>
          <w:rFonts w:ascii="Times New Roman" w:cs="Times New Roman" w:eastAsia="Times New Roman" w:hAnsi="Times New Roman"/>
          <w:sz w:val="16"/>
          <w:szCs w:val="16"/>
          <w:color w:val="231F20"/>
        </w:rPr>
        <w:t>The Supervisory Board of a European stock corporation under German law has a control and supervisory function. The Supervisory Board does not actively manage the company but certain Management Board actions require the approval of the Supervisory Board.</w:t>
      </w:r>
    </w:p>
    <w:p>
      <w:pPr>
        <w:spacing w:after="0" w:line="196" w:lineRule="exact"/>
        <w:rPr>
          <w:sz w:val="20"/>
          <w:szCs w:val="20"/>
          <w:color w:val="auto"/>
        </w:rPr>
      </w:pPr>
    </w:p>
    <w:p>
      <w:pPr>
        <w:ind w:left="9" w:right="80"/>
        <w:spacing w:after="0" w:line="213" w:lineRule="auto"/>
        <w:rPr>
          <w:sz w:val="20"/>
          <w:szCs w:val="20"/>
          <w:color w:val="auto"/>
        </w:rPr>
      </w:pPr>
      <w:r>
        <w:rPr>
          <w:rFonts w:ascii="Times New Roman" w:cs="Times New Roman" w:eastAsia="Times New Roman" w:hAnsi="Times New Roman"/>
          <w:sz w:val="16"/>
          <w:szCs w:val="16"/>
          <w:color w:val="231F20"/>
        </w:rPr>
        <w:t>Under applicable European and German law, a European stock corporation governed by German law with a share capital of at least €3 million generally must have at least two members on its Management Board and the number of members shall be determined by or in the manner provided in the company’s articles of association.</w:t>
      </w:r>
    </w:p>
    <w:p>
      <w:pPr>
        <w:spacing w:after="0" w:line="149" w:lineRule="exact"/>
        <w:rPr>
          <w:sz w:val="20"/>
          <w:szCs w:val="20"/>
          <w:color w:val="auto"/>
        </w:rPr>
      </w:pPr>
    </w:p>
    <w:p>
      <w:pPr>
        <w:ind w:left="9" w:right="140"/>
        <w:spacing w:after="0" w:line="243" w:lineRule="auto"/>
        <w:rPr>
          <w:sz w:val="20"/>
          <w:szCs w:val="20"/>
          <w:color w:val="auto"/>
        </w:rPr>
      </w:pPr>
      <w:r>
        <w:rPr>
          <w:rFonts w:ascii="Times New Roman" w:cs="Times New Roman" w:eastAsia="Times New Roman" w:hAnsi="Times New Roman"/>
          <w:sz w:val="14"/>
          <w:szCs w:val="14"/>
          <w:color w:val="231F20"/>
        </w:rPr>
        <w:t>The Supervisory Board must consist of at least three but— 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0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6"/>
          <w:szCs w:val="16"/>
          <w:color w:val="231F20"/>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14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6"/>
          <w:szCs w:val="16"/>
          <w:color w:val="231F20"/>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6"/>
          <w:szCs w:val="16"/>
          <w:color w:val="231F20"/>
        </w:rPr>
        <w:t>Under Delaware law, a corporation must have at least one director and the number of directors shall be fixed by or in the manner provided in the bylaws.</w:t>
      </w:r>
    </w:p>
    <w:p>
      <w:pPr>
        <w:sectPr>
          <w:pgSz w:w="11900" w:h="16840" w:orient="portrait"/>
          <w:cols w:equalWidth="0" w:num="3">
            <w:col w:w="1300" w:space="631"/>
            <w:col w:w="4009" w:space="420"/>
            <w:col w:w="3780"/>
          </w:cols>
          <w:pgMar w:left="680" w:top="1440" w:right="1080" w:bottom="1440" w:gutter="0" w:footer="0" w:header="0"/>
        </w:sectPr>
      </w:pPr>
    </w:p>
    <w:bookmarkStart w:id="321" w:name="page322"/>
    <w:bookmarkEnd w:id="3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Removal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231F20"/>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 competent court may appoint additional members as needed to meet the quorum. The provisions of German law in relation to employees’ co-determination do not apply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Members of the Management Board of a European stock</w:t>
      </w:r>
    </w:p>
    <w:p>
      <w:pPr>
        <w:spacing w:after="0" w:line="232" w:lineRule="auto"/>
        <w:rPr>
          <w:sz w:val="20"/>
          <w:szCs w:val="20"/>
          <w:color w:val="auto"/>
        </w:rPr>
      </w:pPr>
      <w:r>
        <w:rPr>
          <w:rFonts w:ascii="Times New Roman" w:cs="Times New Roman" w:eastAsia="Times New Roman" w:hAnsi="Times New Roman"/>
          <w:sz w:val="14"/>
          <w:szCs w:val="14"/>
          <w:color w:val="231F20"/>
        </w:rPr>
        <w:t>corporation are appointed by the Supervisory Board for a maximum</w:t>
      </w:r>
    </w:p>
    <w:p>
      <w:pPr>
        <w:spacing w:after="0" w:line="233" w:lineRule="auto"/>
        <w:rPr>
          <w:sz w:val="20"/>
          <w:szCs w:val="20"/>
          <w:color w:val="auto"/>
        </w:rPr>
      </w:pPr>
      <w:r>
        <w:rPr>
          <w:rFonts w:ascii="Times New Roman" w:cs="Times New Roman" w:eastAsia="Times New Roman" w:hAnsi="Times New Roman"/>
          <w:sz w:val="14"/>
          <w:szCs w:val="14"/>
          <w:color w:val="231F20"/>
        </w:rPr>
        <w:t>period of six years with an opportunity to be reelected. The articles</w:t>
      </w:r>
    </w:p>
    <w:p>
      <w:pPr>
        <w:spacing w:after="0" w:line="203" w:lineRule="auto"/>
        <w:rPr>
          <w:sz w:val="20"/>
          <w:szCs w:val="20"/>
          <w:color w:val="auto"/>
        </w:rPr>
      </w:pPr>
      <w:r>
        <w:rPr>
          <w:rFonts w:ascii="Times New Roman" w:cs="Times New Roman" w:eastAsia="Times New Roman" w:hAnsi="Times New Roman"/>
          <w:sz w:val="16"/>
          <w:szCs w:val="16"/>
          <w:color w:val="231F20"/>
        </w:rPr>
        <w:t>of association may provide for a shorter term, which in our case is</w:t>
      </w:r>
    </w:p>
    <w:p>
      <w:pPr>
        <w:spacing w:after="0" w:line="204" w:lineRule="auto"/>
        <w:rPr>
          <w:sz w:val="20"/>
          <w:szCs w:val="20"/>
          <w:color w:val="auto"/>
        </w:rPr>
      </w:pPr>
      <w:r>
        <w:rPr>
          <w:rFonts w:ascii="Times New Roman" w:cs="Times New Roman" w:eastAsia="Times New Roman" w:hAnsi="Times New Roman"/>
          <w:sz w:val="16"/>
          <w:szCs w:val="16"/>
          <w:color w:val="231F20"/>
        </w:rPr>
        <w:t>up to five years. The members of the Management Board may be</w:t>
      </w:r>
    </w:p>
    <w:p>
      <w:pPr>
        <w:spacing w:after="0" w:line="203" w:lineRule="auto"/>
        <w:rPr>
          <w:sz w:val="20"/>
          <w:szCs w:val="20"/>
          <w:color w:val="auto"/>
        </w:rPr>
      </w:pPr>
      <w:r>
        <w:rPr>
          <w:rFonts w:ascii="Times New Roman" w:cs="Times New Roman" w:eastAsia="Times New Roman" w:hAnsi="Times New Roman"/>
          <w:sz w:val="16"/>
          <w:szCs w:val="16"/>
          <w:color w:val="231F20"/>
        </w:rPr>
        <w:t>reelected, even repeatedly. The Supervisory Board may remove a</w:t>
      </w:r>
    </w:p>
    <w:p>
      <w:pPr>
        <w:spacing w:after="0" w:line="233" w:lineRule="auto"/>
        <w:rPr>
          <w:sz w:val="20"/>
          <w:szCs w:val="20"/>
          <w:color w:val="auto"/>
        </w:rPr>
      </w:pPr>
      <w:r>
        <w:rPr>
          <w:rFonts w:ascii="Times New Roman" w:cs="Times New Roman" w:eastAsia="Times New Roman" w:hAnsi="Times New Roman"/>
          <w:sz w:val="14"/>
          <w:szCs w:val="14"/>
          <w:color w:val="231F20"/>
        </w:rPr>
        <w:t>member of the Management Board prior to the expiration of his or</w:t>
      </w:r>
    </w:p>
    <w:p>
      <w:pPr>
        <w:spacing w:after="0" w:line="204" w:lineRule="auto"/>
        <w:rPr>
          <w:sz w:val="20"/>
          <w:szCs w:val="20"/>
          <w:color w:val="auto"/>
        </w:rPr>
      </w:pPr>
      <w:r>
        <w:rPr>
          <w:rFonts w:ascii="Times New Roman" w:cs="Times New Roman" w:eastAsia="Times New Roman" w:hAnsi="Times New Roman"/>
          <w:sz w:val="16"/>
          <w:szCs w:val="16"/>
          <w:color w:val="231F20"/>
        </w:rPr>
        <w:t>her term only for cause, such as gross breach of duties (</w:t>
      </w:r>
      <w:r>
        <w:rPr>
          <w:rFonts w:ascii="Times New Roman" w:cs="Times New Roman" w:eastAsia="Times New Roman" w:hAnsi="Times New Roman"/>
          <w:sz w:val="16"/>
          <w:szCs w:val="16"/>
          <w:i w:val="1"/>
          <w:iCs w:val="1"/>
          <w:color w:val="231F20"/>
        </w:rPr>
        <w:t>grobe</w:t>
      </w:r>
    </w:p>
    <w:p>
      <w:pPr>
        <w:spacing w:after="0" w:line="203" w:lineRule="auto"/>
        <w:rPr>
          <w:sz w:val="20"/>
          <w:szCs w:val="20"/>
          <w:color w:val="auto"/>
        </w:rPr>
      </w:pPr>
      <w:r>
        <w:rPr>
          <w:rFonts w:ascii="Times New Roman" w:cs="Times New Roman" w:eastAsia="Times New Roman" w:hAnsi="Times New Roman"/>
          <w:sz w:val="16"/>
          <w:szCs w:val="16"/>
          <w:i w:val="1"/>
          <w:iCs w:val="1"/>
          <w:color w:val="231F20"/>
        </w:rPr>
        <w:t>Pflichtverletzung</w:t>
      </w:r>
      <w:r>
        <w:rPr>
          <w:rFonts w:ascii="Times New Roman" w:cs="Times New Roman" w:eastAsia="Times New Roman" w:hAnsi="Times New Roman"/>
          <w:sz w:val="16"/>
          <w:szCs w:val="16"/>
          <w:color w:val="231F20"/>
        </w:rPr>
        <w:t>), the inability to manage the business properly</w:t>
      </w:r>
    </w:p>
    <w:p>
      <w:pPr>
        <w:spacing w:after="0" w:line="204"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i w:val="1"/>
          <w:iCs w:val="1"/>
          <w:color w:val="231F20"/>
        </w:rPr>
        <w:t>Unfähigkeit zur ordnungsgemäßen Pflichtausübung</w:t>
      </w:r>
      <w:r>
        <w:rPr>
          <w:rFonts w:ascii="Times New Roman" w:cs="Times New Roman" w:eastAsia="Times New Roman" w:hAnsi="Times New Roman"/>
          <w:sz w:val="16"/>
          <w:szCs w:val="16"/>
          <w:color w:val="231F20"/>
        </w:rPr>
        <w:t>) or a vote of</w:t>
      </w:r>
    </w:p>
    <w:p>
      <w:pPr>
        <w:spacing w:after="0" w:line="203" w:lineRule="auto"/>
        <w:rPr>
          <w:sz w:val="20"/>
          <w:szCs w:val="20"/>
          <w:color w:val="auto"/>
        </w:rPr>
      </w:pPr>
      <w:r>
        <w:rPr>
          <w:rFonts w:ascii="Times New Roman" w:cs="Times New Roman" w:eastAsia="Times New Roman" w:hAnsi="Times New Roman"/>
          <w:sz w:val="16"/>
          <w:szCs w:val="16"/>
          <w:color w:val="231F20"/>
        </w:rPr>
        <w:t>no-confidence during the shareholders’ meeting</w:t>
      </w:r>
    </w:p>
    <w:p>
      <w:pPr>
        <w:spacing w:after="0" w:line="233" w:lineRule="auto"/>
        <w:rPr>
          <w:sz w:val="20"/>
          <w:szCs w:val="20"/>
          <w:color w:val="auto"/>
        </w:rPr>
      </w:pP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Vertrauensentzug</w:t>
      </w:r>
      <w:r>
        <w:rPr>
          <w:rFonts w:ascii="Times New Roman" w:cs="Times New Roman" w:eastAsia="Times New Roman" w:hAnsi="Times New Roman"/>
          <w:sz w:val="14"/>
          <w:szCs w:val="14"/>
          <w:color w:val="231F20"/>
        </w:rPr>
        <w:t>). The shareholders themselves are not entitled to</w:t>
      </w:r>
    </w:p>
    <w:p>
      <w:pPr>
        <w:spacing w:after="0"/>
        <w:rPr>
          <w:sz w:val="20"/>
          <w:szCs w:val="20"/>
          <w:color w:val="auto"/>
        </w:rPr>
      </w:pPr>
      <w:r>
        <w:rPr>
          <w:rFonts w:ascii="Times New Roman" w:cs="Times New Roman" w:eastAsia="Times New Roman" w:hAnsi="Times New Roman"/>
          <w:sz w:val="16"/>
          <w:szCs w:val="16"/>
          <w:color w:val="231F20"/>
        </w:rPr>
        <w:t>appoint or dismiss the members of the Management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231F20"/>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40" w:orient="portrait"/>
          <w:cols w:equalWidth="0" w:num="3">
            <w:col w:w="1020" w:space="720"/>
            <w:col w:w="4240" w:space="420"/>
            <w:col w:w="3740"/>
          </w:cols>
          <w:pgMar w:left="680" w:top="1440" w:right="1080" w:bottom="1440" w:gutter="0" w:footer="0" w:header="0"/>
        </w:sectPr>
      </w:pPr>
    </w:p>
    <w:bookmarkStart w:id="322" w:name="page323"/>
    <w:bookmarkEnd w:id="322"/>
    <w:p>
      <w:pPr>
        <w:spacing w:after="0" w:line="200" w:lineRule="exact"/>
        <w:rPr>
          <w:sz w:val="20"/>
          <w:szCs w:val="20"/>
          <w:color w:val="auto"/>
        </w:rPr>
      </w:pP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16" w:lineRule="exact"/>
        <w:rPr>
          <w:sz w:val="20"/>
          <w:szCs w:val="20"/>
          <w:color w:val="auto"/>
        </w:rPr>
      </w:pPr>
    </w:p>
    <w:p>
      <w:pPr>
        <w:ind w:left="1820"/>
        <w:spacing w:after="0" w:line="253" w:lineRule="auto"/>
        <w:rPr>
          <w:sz w:val="20"/>
          <w:szCs w:val="20"/>
          <w:color w:val="auto"/>
        </w:rPr>
      </w:pPr>
      <w:r>
        <w:rPr>
          <w:rFonts w:ascii="Times New Roman" w:cs="Times New Roman" w:eastAsia="Times New Roman" w:hAnsi="Times New Roman"/>
          <w:sz w:val="16"/>
          <w:szCs w:val="16"/>
          <w:color w:val="231F20"/>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2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color w:val="231F20"/>
        </w:rPr>
        <w:t>Vacancies on the</w:t>
      </w:r>
      <w:r>
        <w:rPr>
          <w:sz w:val="20"/>
          <w:szCs w:val="20"/>
          <w:color w:val="auto"/>
        </w:rPr>
        <w:tab/>
      </w:r>
      <w:r>
        <w:rPr>
          <w:rFonts w:ascii="Times New Roman" w:cs="Times New Roman" w:eastAsia="Times New Roman" w:hAnsi="Times New Roman"/>
          <w:sz w:val="14"/>
          <w:szCs w:val="14"/>
          <w:color w:val="231F20"/>
        </w:rPr>
        <w:t>Under the law, vacant positions on the Management Board are</w:t>
      </w:r>
    </w:p>
    <w:p>
      <w:pPr>
        <w:spacing w:after="0" w:line="1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color w:val="231F20"/>
        </w:rPr>
        <w:t>Board of Directors</w:t>
      </w:r>
      <w:r>
        <w:rPr>
          <w:sz w:val="20"/>
          <w:szCs w:val="20"/>
          <w:color w:val="auto"/>
        </w:rPr>
        <w:tab/>
      </w:r>
      <w:r>
        <w:rPr>
          <w:rFonts w:ascii="Times New Roman" w:cs="Times New Roman" w:eastAsia="Times New Roman" w:hAnsi="Times New Roman"/>
          <w:sz w:val="14"/>
          <w:szCs w:val="14"/>
          <w:color w:val="231F20"/>
        </w:rPr>
        <w:t>filled by the Supervisory Board in accordance with the general</w:t>
      </w:r>
    </w:p>
    <w:p>
      <w:pPr>
        <w:spacing w:after="0" w:line="8" w:lineRule="exact"/>
        <w:rPr>
          <w:sz w:val="20"/>
          <w:szCs w:val="20"/>
          <w:color w:val="auto"/>
        </w:rPr>
      </w:pPr>
    </w:p>
    <w:p>
      <w:pPr>
        <w:ind w:left="1820"/>
        <w:spacing w:after="0" w:line="251" w:lineRule="auto"/>
        <w:rPr>
          <w:sz w:val="20"/>
          <w:szCs w:val="20"/>
          <w:color w:val="auto"/>
        </w:rPr>
      </w:pPr>
      <w:r>
        <w:rPr>
          <w:rFonts w:ascii="Times New Roman" w:cs="Times New Roman" w:eastAsia="Times New Roman" w:hAnsi="Times New Roman"/>
          <w:sz w:val="16"/>
          <w:szCs w:val="16"/>
          <w:color w:val="231F20"/>
        </w:rPr>
        <w:t>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34"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color w:val="231F20"/>
        </w:rPr>
        <w:t>Annual General</w:t>
      </w:r>
      <w:r>
        <w:rPr>
          <w:sz w:val="20"/>
          <w:szCs w:val="20"/>
          <w:color w:val="auto"/>
        </w:rPr>
        <w:tab/>
      </w:r>
      <w:r>
        <w:rPr>
          <w:rFonts w:ascii="Times New Roman" w:cs="Times New Roman" w:eastAsia="Times New Roman" w:hAnsi="Times New Roman"/>
          <w:sz w:val="14"/>
          <w:szCs w:val="14"/>
          <w:color w:val="231F20"/>
        </w:rPr>
        <w:t>A European stock corporation which is governed by German law</w:t>
      </w:r>
    </w:p>
    <w:p>
      <w:pPr>
        <w:spacing w:after="0" w:line="1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color w:val="231F20"/>
        </w:rPr>
        <w:t>Meeting</w:t>
      </w:r>
      <w:r>
        <w:rPr>
          <w:sz w:val="20"/>
          <w:szCs w:val="20"/>
          <w:color w:val="auto"/>
        </w:rPr>
        <w:tab/>
      </w:r>
      <w:r>
        <w:rPr>
          <w:rFonts w:ascii="Times New Roman" w:cs="Times New Roman" w:eastAsia="Times New Roman" w:hAnsi="Times New Roman"/>
          <w:sz w:val="14"/>
          <w:szCs w:val="14"/>
          <w:color w:val="231F20"/>
        </w:rPr>
        <w:t>must hold an annual shareholders’ meeting within six months of</w:t>
      </w:r>
    </w:p>
    <w:p>
      <w:pPr>
        <w:spacing w:after="0" w:line="31" w:lineRule="exact"/>
        <w:rPr>
          <w:sz w:val="20"/>
          <w:szCs w:val="20"/>
          <w:color w:val="auto"/>
        </w:rPr>
      </w:pPr>
    </w:p>
    <w:p>
      <w:pPr>
        <w:ind w:left="1820" w:right="60"/>
        <w:spacing w:after="0" w:line="252" w:lineRule="auto"/>
        <w:rPr>
          <w:sz w:val="20"/>
          <w:szCs w:val="20"/>
          <w:color w:val="auto"/>
        </w:rPr>
      </w:pPr>
      <w:r>
        <w:rPr>
          <w:rFonts w:ascii="Times New Roman" w:cs="Times New Roman" w:eastAsia="Times New Roman" w:hAnsi="Times New Roman"/>
          <w:sz w:val="16"/>
          <w:szCs w:val="16"/>
          <w:color w:val="231F20"/>
        </w:rPr>
        <w:t>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231F20"/>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2" w:lineRule="exact"/>
        <w:rPr>
          <w:sz w:val="20"/>
          <w:szCs w:val="20"/>
          <w:color w:val="auto"/>
        </w:rPr>
      </w:pPr>
    </w:p>
    <w:p>
      <w:pPr>
        <w:ind w:firstLine="4"/>
        <w:spacing w:after="0" w:line="253" w:lineRule="auto"/>
        <w:tabs>
          <w:tab w:leader="none" w:pos="230" w:val="left"/>
        </w:tabs>
        <w:numPr>
          <w:ilvl w:val="0"/>
          <w:numId w:val="2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231F20"/>
        </w:rPr>
        <w:t>Under Delaware law, the annual meeting of stockholders shall be held at such place, on such date and at such time as may be designated from time to time by the board of directors or as provided in the certificate of incorporation or by the bylaws.</w:t>
      </w:r>
    </w:p>
    <w:p>
      <w:pPr>
        <w:sectPr>
          <w:pgSz w:w="11900" w:h="16840" w:orient="portrait"/>
          <w:cols w:equalWidth="0" w:num="2">
            <w:col w:w="5900" w:space="420"/>
            <w:col w:w="3820"/>
          </w:cols>
          <w:pgMar w:left="680" w:top="1440" w:right="1080" w:bottom="1440" w:gutter="0" w:footer="0" w:header="0"/>
        </w:sectPr>
      </w:pPr>
    </w:p>
    <w:bookmarkStart w:id="323" w:name="page324"/>
    <w:bookmarkEnd w:id="3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4"/>
          <w:szCs w:val="14"/>
          <w:color w:val="231F20"/>
        </w:rPr>
        <w:t>Notice of General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231F20"/>
        </w:rPr>
        <w:t>Under the law, extraordinary shareholders’ meetings, in 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Under applicable European and German law, unless a 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299"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6"/>
          <w:szCs w:val="16"/>
          <w:color w:val="231F20"/>
        </w:rPr>
        <w:t>If all shareholders entitled to attend the shareholders’ meeting are present or represented and do not object to the meeting being held, the formalities of calling and holding of a shareholders’ meeting do not apply.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231F20"/>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231F20"/>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40" w:orient="portrait"/>
          <w:cols w:equalWidth="0" w:num="3">
            <w:col w:w="1120" w:space="640"/>
            <w:col w:w="4120" w:space="420"/>
            <w:col w:w="3860"/>
          </w:cols>
          <w:pgMar w:left="680" w:top="1440" w:right="1060" w:bottom="1440" w:gutter="0" w:footer="0" w:header="0"/>
        </w:sectPr>
      </w:pPr>
    </w:p>
    <w:bookmarkStart w:id="324" w:name="page325"/>
    <w:bookmarkEnd w:id="324"/>
    <w:p>
      <w:pPr>
        <w:spacing w:after="0" w:line="200" w:lineRule="exact"/>
        <w:rPr>
          <w:sz w:val="20"/>
          <w:szCs w:val="20"/>
          <w:color w:val="auto"/>
        </w:rPr>
      </w:pP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19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6"/>
          <w:szCs w:val="16"/>
          <w:color w:val="231F20"/>
        </w:rPr>
        <w:t>Proxy</w:t>
      </w:r>
      <w:r>
        <w:rPr>
          <w:sz w:val="20"/>
          <w:szCs w:val="20"/>
          <w:color w:val="auto"/>
        </w:rPr>
        <w:tab/>
      </w:r>
      <w:r>
        <w:rPr>
          <w:rFonts w:ascii="Times New Roman" w:cs="Times New Roman" w:eastAsia="Times New Roman" w:hAnsi="Times New Roman"/>
          <w:sz w:val="16"/>
          <w:szCs w:val="16"/>
          <w:color w:val="231F20"/>
        </w:rPr>
        <w:t>A shareholder may designate another person to attend, speak</w:t>
      </w:r>
    </w:p>
    <w:p>
      <w:pPr>
        <w:ind w:left="1860" w:right="280"/>
        <w:spacing w:after="0" w:line="222" w:lineRule="auto"/>
        <w:rPr>
          <w:sz w:val="20"/>
          <w:szCs w:val="20"/>
          <w:color w:val="auto"/>
        </w:rPr>
      </w:pPr>
      <w:r>
        <w:rPr>
          <w:rFonts w:ascii="Times New Roman" w:cs="Times New Roman" w:eastAsia="Times New Roman" w:hAnsi="Times New Roman"/>
          <w:sz w:val="16"/>
          <w:szCs w:val="16"/>
          <w:color w:val="231F20"/>
        </w:rPr>
        <w:t>and vote at a shareholders’ meeting of the company on such shareholder’s behalf by proxy.</w:t>
      </w:r>
    </w:p>
    <w:p>
      <w:pPr>
        <w:spacing w:after="0" w:line="146" w:lineRule="exact"/>
        <w:rPr>
          <w:sz w:val="20"/>
          <w:szCs w:val="20"/>
          <w:color w:val="auto"/>
        </w:rPr>
      </w:pPr>
    </w:p>
    <w:p>
      <w:pPr>
        <w:ind w:left="1860" w:right="200"/>
        <w:spacing w:after="0" w:line="223" w:lineRule="auto"/>
        <w:rPr>
          <w:sz w:val="20"/>
          <w:szCs w:val="20"/>
          <w:color w:val="auto"/>
        </w:rPr>
      </w:pPr>
      <w:r>
        <w:rPr>
          <w:rFonts w:ascii="Times New Roman" w:cs="Times New Roman" w:eastAsia="Times New Roman" w:hAnsi="Times New Roman"/>
          <w:sz w:val="16"/>
          <w:szCs w:val="16"/>
          <w:color w:val="231F20"/>
        </w:rPr>
        <w:t>With respect to Management Board meetings, a Management Board member may transmit its (written or verbal) vote via another Management Board member.</w:t>
      </w:r>
    </w:p>
    <w:p>
      <w:pPr>
        <w:spacing w:after="0" w:line="147" w:lineRule="exact"/>
        <w:rPr>
          <w:sz w:val="20"/>
          <w:szCs w:val="20"/>
          <w:color w:val="auto"/>
        </w:rPr>
      </w:pPr>
    </w:p>
    <w:p>
      <w:pPr>
        <w:ind w:left="1860" w:right="200"/>
        <w:spacing w:after="0" w:line="253" w:lineRule="auto"/>
        <w:rPr>
          <w:sz w:val="20"/>
          <w:szCs w:val="20"/>
          <w:color w:val="auto"/>
        </w:rPr>
      </w:pPr>
      <w:r>
        <w:rPr>
          <w:rFonts w:ascii="Times New Roman" w:cs="Times New Roman" w:eastAsia="Times New Roman" w:hAnsi="Times New Roman"/>
          <w:sz w:val="14"/>
          <w:szCs w:val="14"/>
          <w:color w:val="231F20"/>
        </w:rPr>
        <w:t>With respect to Supervisory Board meetings, a Supervisory Board member may participate in voting by issuing a written vote to another Supervisory Board member or any third party entitled to attend the Supervisory Board meeting.</w:t>
      </w:r>
    </w:p>
    <w:p>
      <w:pPr>
        <w:spacing w:after="0" w:line="197"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6"/>
          <w:szCs w:val="16"/>
          <w:color w:val="231F20"/>
        </w:rPr>
        <w:t>Preemptive Rights</w:t>
      </w:r>
      <w:r>
        <w:rPr>
          <w:sz w:val="20"/>
          <w:szCs w:val="20"/>
          <w:color w:val="auto"/>
        </w:rPr>
        <w:tab/>
      </w:r>
      <w:r>
        <w:rPr>
          <w:rFonts w:ascii="Times New Roman" w:cs="Times New Roman" w:eastAsia="Times New Roman" w:hAnsi="Times New Roman"/>
          <w:sz w:val="14"/>
          <w:szCs w:val="14"/>
          <w:color w:val="231F20"/>
        </w:rPr>
        <w:t>Under the law applicable to European stock corporations</w:t>
      </w:r>
    </w:p>
    <w:p>
      <w:pPr>
        <w:spacing w:after="0" w:line="19" w:lineRule="exact"/>
        <w:rPr>
          <w:sz w:val="20"/>
          <w:szCs w:val="20"/>
          <w:color w:val="auto"/>
        </w:rPr>
      </w:pPr>
    </w:p>
    <w:p>
      <w:pPr>
        <w:ind w:left="1860"/>
        <w:spacing w:after="0" w:line="291" w:lineRule="auto"/>
        <w:rPr>
          <w:sz w:val="20"/>
          <w:szCs w:val="20"/>
          <w:color w:val="auto"/>
        </w:rPr>
      </w:pPr>
      <w:r>
        <w:rPr>
          <w:rFonts w:ascii="Times New Roman" w:cs="Times New Roman" w:eastAsia="Times New Roman" w:hAnsi="Times New Roman"/>
          <w:sz w:val="14"/>
          <w:szCs w:val="14"/>
          <w:color w:val="231F20"/>
        </w:rPr>
        <w:t>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231F20"/>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231F20"/>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40" w:orient="portrait"/>
          <w:cols w:equalWidth="0" w:num="2">
            <w:col w:w="5880" w:space="420"/>
            <w:col w:w="3820"/>
          </w:cols>
          <w:pgMar w:left="680" w:top="1440" w:right="1100" w:bottom="1440" w:gutter="0" w:footer="0" w:header="0"/>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Authority to Allot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4"/>
          <w:szCs w:val="14"/>
          <w:color w:val="231F20"/>
        </w:rPr>
        <w:t>Liability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231F20"/>
        </w:rPr>
        <w:t>Under applicable European and German law, the Management Board may not allot shares, grant rights to subscribe for or to convert any security into shares unless a shareholder resolution to that effect has been passed at the company’s shareholders’ meeting granting the Management Board with such authority— subject to the approval of the Supervisory Board—in each case in accordance with the provisions of the German Stock Corporation Act.</w:t>
      </w:r>
    </w:p>
    <w:p>
      <w:pPr>
        <w:spacing w:after="0" w:line="207"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6"/>
          <w:szCs w:val="16"/>
          <w:color w:val="231F20"/>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1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6"/>
          <w:szCs w:val="16"/>
          <w:color w:val="231F20"/>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9" w:lineRule="exact"/>
        <w:rPr>
          <w:sz w:val="20"/>
          <w:szCs w:val="20"/>
          <w:color w:val="auto"/>
        </w:rPr>
      </w:pPr>
    </w:p>
    <w:p>
      <w:pPr>
        <w:ind w:left="4" w:right="40"/>
        <w:spacing w:after="0" w:line="213" w:lineRule="auto"/>
        <w:rPr>
          <w:sz w:val="20"/>
          <w:szCs w:val="20"/>
          <w:color w:val="auto"/>
        </w:rPr>
      </w:pPr>
      <w:r>
        <w:rPr>
          <w:rFonts w:ascii="Times New Roman" w:cs="Times New Roman" w:eastAsia="Times New Roman" w:hAnsi="Times New Roman"/>
          <w:sz w:val="16"/>
          <w:szCs w:val="16"/>
          <w:color w:val="231F20"/>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49" w:lineRule="exact"/>
        <w:rPr>
          <w:sz w:val="20"/>
          <w:szCs w:val="20"/>
          <w:color w:val="auto"/>
        </w:rPr>
      </w:pPr>
    </w:p>
    <w:p>
      <w:pPr>
        <w:ind w:left="244" w:right="40" w:hanging="244"/>
        <w:spacing w:after="0" w:line="234" w:lineRule="auto"/>
        <w:tabs>
          <w:tab w:leader="none" w:pos="10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any breach of the director’s duty of loyalty to the corporation or its stockholders;</w:t>
      </w:r>
    </w:p>
    <w:p>
      <w:pPr>
        <w:spacing w:after="0" w:line="145" w:lineRule="exact"/>
        <w:rPr>
          <w:rFonts w:ascii="Times New Roman" w:cs="Times New Roman" w:eastAsia="Times New Roman" w:hAnsi="Times New Roman"/>
          <w:sz w:val="16"/>
          <w:szCs w:val="16"/>
          <w:color w:val="auto"/>
        </w:rPr>
      </w:pPr>
    </w:p>
    <w:p>
      <w:pPr>
        <w:ind w:left="244" w:right="60" w:hanging="244"/>
        <w:spacing w:after="0" w:line="234" w:lineRule="auto"/>
        <w:tabs>
          <w:tab w:leader="none" w:pos="10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acts or omissions not in good faith or that involve intentional misconduct or a knowing violation of law;</w:t>
      </w:r>
    </w:p>
    <w:p>
      <w:pPr>
        <w:spacing w:after="0" w:line="145" w:lineRule="exact"/>
        <w:rPr>
          <w:rFonts w:ascii="Times New Roman" w:cs="Times New Roman" w:eastAsia="Times New Roman" w:hAnsi="Times New Roman"/>
          <w:sz w:val="16"/>
          <w:szCs w:val="16"/>
          <w:color w:val="auto"/>
        </w:rPr>
      </w:pPr>
    </w:p>
    <w:p>
      <w:pPr>
        <w:ind w:left="244" w:right="260" w:hanging="244"/>
        <w:spacing w:after="0" w:line="234" w:lineRule="auto"/>
        <w:tabs>
          <w:tab w:leader="none" w:pos="10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intentional or negligent payment of unlawful dividends or stock purchases or redemptions; or</w:t>
      </w:r>
    </w:p>
    <w:p>
      <w:pPr>
        <w:spacing w:after="0" w:line="145" w:lineRule="exact"/>
        <w:rPr>
          <w:rFonts w:ascii="Times New Roman" w:cs="Times New Roman" w:eastAsia="Times New Roman" w:hAnsi="Times New Roman"/>
          <w:sz w:val="16"/>
          <w:szCs w:val="16"/>
          <w:color w:val="auto"/>
        </w:rPr>
      </w:pPr>
    </w:p>
    <w:p>
      <w:pPr>
        <w:ind w:left="244" w:right="120" w:hanging="244"/>
        <w:spacing w:after="0" w:line="234" w:lineRule="auto"/>
        <w:tabs>
          <w:tab w:leader="none" w:pos="10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any transaction from which the director derives an improper personal benefit.</w:t>
      </w:r>
    </w:p>
    <w:p>
      <w:pPr>
        <w:sectPr>
          <w:pgSz w:w="11900" w:h="16840" w:orient="portrait"/>
          <w:cols w:equalWidth="0" w:num="3">
            <w:col w:w="1320" w:space="440"/>
            <w:col w:w="4020" w:space="436"/>
            <w:col w:w="3964"/>
          </w:cols>
          <w:pgMar w:left="680" w:top="1440" w:right="1040" w:bottom="1440" w:gutter="0" w:footer="0" w:header="0"/>
        </w:sectPr>
      </w:pPr>
    </w:p>
    <w:bookmarkStart w:id="326" w:name="page327"/>
    <w:bookmarkEnd w:id="3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4"/>
          <w:szCs w:val="14"/>
          <w:color w:val="231F20"/>
        </w:rPr>
        <w:t>Shareholder Vote on Certain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0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6"/>
          <w:szCs w:val="16"/>
          <w:color w:val="231F20"/>
        </w:rPr>
        <w:t>Under the relevant European and German law, each share, except for statutory non-voting preferred shares (</w:t>
      </w:r>
      <w:r>
        <w:rPr>
          <w:rFonts w:ascii="Times New Roman" w:cs="Times New Roman" w:eastAsia="Times New Roman" w:hAnsi="Times New Roman"/>
          <w:sz w:val="16"/>
          <w:szCs w:val="16"/>
          <w:i w:val="1"/>
          <w:iCs w:val="1"/>
          <w:color w:val="231F20"/>
        </w:rPr>
        <w:t>nicht stimmberechtigte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Vorzugsaktien</w:t>
      </w:r>
      <w:r>
        <w:rPr>
          <w:rFonts w:ascii="Times New Roman" w:cs="Times New Roman" w:eastAsia="Times New Roman" w:hAnsi="Times New Roman"/>
          <w:sz w:val="16"/>
          <w:szCs w:val="16"/>
          <w:color w:val="231F20"/>
        </w:rPr>
        <w:t>), entitles its holder to vote at the shareholders’ meeting</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19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231F20"/>
        </w:rPr>
        <w:t>Under applicable European and German law, certain shareholders’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 ups, the conclusion of inter-company agreements (</w:t>
      </w:r>
      <w:r>
        <w:rPr>
          <w:rFonts w:ascii="Times New Roman" w:cs="Times New Roman" w:eastAsia="Times New Roman" w:hAnsi="Times New Roman"/>
          <w:sz w:val="14"/>
          <w:szCs w:val="14"/>
          <w:i w:val="1"/>
          <w:iCs w:val="1"/>
          <w:color w:val="231F20"/>
        </w:rPr>
        <w:t>Unternehmensverträge</w:t>
      </w:r>
      <w:r>
        <w:rPr>
          <w:rFonts w:ascii="Times New Roman" w:cs="Times New Roman" w:eastAsia="Times New Roman" w:hAnsi="Times New Roman"/>
          <w:sz w:val="14"/>
          <w:szCs w:val="14"/>
          <w:color w:val="231F20"/>
        </w:rPr>
        <w:t>), in particular domination agreements (</w:t>
      </w:r>
      <w:r>
        <w:rPr>
          <w:rFonts w:ascii="Times New Roman" w:cs="Times New Roman" w:eastAsia="Times New Roman" w:hAnsi="Times New Roman"/>
          <w:sz w:val="14"/>
          <w:szCs w:val="14"/>
          <w:i w:val="1"/>
          <w:iCs w:val="1"/>
          <w:color w:val="231F20"/>
        </w:rPr>
        <w:t>Beherrschungsverträge</w:t>
      </w:r>
      <w:r>
        <w:rPr>
          <w:rFonts w:ascii="Times New Roman" w:cs="Times New Roman" w:eastAsia="Times New Roman" w:hAnsi="Times New Roman"/>
          <w:sz w:val="14"/>
          <w:szCs w:val="14"/>
          <w:color w:val="231F20"/>
        </w:rPr>
        <w:t>) and profit and loss transfer agreements (</w:t>
      </w:r>
      <w:r>
        <w:rPr>
          <w:rFonts w:ascii="Times New Roman" w:cs="Times New Roman" w:eastAsia="Times New Roman" w:hAnsi="Times New Roman"/>
          <w:sz w:val="14"/>
          <w:szCs w:val="14"/>
          <w:i w:val="1"/>
          <w:iCs w:val="1"/>
          <w:color w:val="231F20"/>
        </w:rPr>
        <w:t>Ergebnisabführungsverträge</w:t>
      </w:r>
      <w:r>
        <w:rPr>
          <w:rFonts w:ascii="Times New Roman" w:cs="Times New Roman" w:eastAsia="Times New Roman" w:hAnsi="Times New Roman"/>
          <w:sz w:val="14"/>
          <w:szCs w:val="14"/>
          <w:color w:val="231F2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231F20"/>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231F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41" w:lineRule="exact"/>
        <w:rPr>
          <w:sz w:val="20"/>
          <w:szCs w:val="20"/>
          <w:color w:val="auto"/>
        </w:rPr>
      </w:pPr>
    </w:p>
    <w:p>
      <w:pPr>
        <w:ind w:left="100" w:hanging="100"/>
        <w:spacing w:after="0"/>
        <w:tabs>
          <w:tab w:leader="none" w:pos="10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the approval of the board of directors; and</w:t>
      </w:r>
    </w:p>
    <w:p>
      <w:pPr>
        <w:spacing w:after="0" w:line="164" w:lineRule="exact"/>
        <w:rPr>
          <w:rFonts w:ascii="Times New Roman" w:cs="Times New Roman" w:eastAsia="Times New Roman" w:hAnsi="Times New Roman"/>
          <w:sz w:val="16"/>
          <w:szCs w:val="16"/>
          <w:color w:val="auto"/>
        </w:rPr>
      </w:pPr>
    </w:p>
    <w:p>
      <w:pPr>
        <w:ind w:left="240" w:hanging="240"/>
        <w:spacing w:after="0" w:line="213" w:lineRule="auto"/>
        <w:tabs>
          <w:tab w:leader="none" w:pos="96"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40" w:orient="portrait"/>
          <w:cols w:equalWidth="0" w:num="3">
            <w:col w:w="1300" w:space="500"/>
            <w:col w:w="4360" w:space="440"/>
            <w:col w:w="3540"/>
          </w:cols>
          <w:pgMar w:left="680" w:top="1440" w:right="1080" w:bottom="1440" w:gutter="0" w:footer="0" w:header="0"/>
        </w:sectPr>
      </w:pPr>
    </w:p>
    <w:bookmarkStart w:id="327" w:name="page328"/>
    <w:bookmarkEnd w:id="3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49" w:lineRule="auto"/>
        <w:rPr>
          <w:sz w:val="20"/>
          <w:szCs w:val="20"/>
          <w:color w:val="auto"/>
        </w:rPr>
      </w:pPr>
      <w:r>
        <w:rPr>
          <w:rFonts w:ascii="Times New Roman" w:cs="Times New Roman" w:eastAsia="Times New Roman" w:hAnsi="Times New Roman"/>
          <w:sz w:val="14"/>
          <w:szCs w:val="14"/>
          <w:color w:val="231F20"/>
        </w:rPr>
        <w:t>Standard of Conduct 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204" w:lineRule="exact"/>
        <w:rPr>
          <w:sz w:val="20"/>
          <w:szCs w:val="20"/>
          <w:color w:val="auto"/>
        </w:rPr>
      </w:pPr>
    </w:p>
    <w:p>
      <w:pPr>
        <w:ind w:left="1"/>
        <w:spacing w:after="0" w:line="245" w:lineRule="auto"/>
        <w:rPr>
          <w:sz w:val="20"/>
          <w:szCs w:val="20"/>
          <w:color w:val="auto"/>
        </w:rPr>
      </w:pPr>
      <w:r>
        <w:rPr>
          <w:rFonts w:ascii="Times New Roman" w:cs="Times New Roman" w:eastAsia="Times New Roman" w:hAnsi="Times New Roman"/>
          <w:sz w:val="14"/>
          <w:szCs w:val="14"/>
          <w:color w:val="231F20"/>
        </w:rPr>
        <w:t>Under applicable European and German law, both Management and Supervisory Board members must conduct their affairs with “the care and diligence of a prudent business man” and act in the best interest of the company. The scope of the fiduciary duties of Management and Supervisory Board members is generally determined by European and German legislation and by the courts.</w:t>
      </w:r>
    </w:p>
    <w:p>
      <w:pPr>
        <w:spacing w:after="0" w:line="142" w:lineRule="exact"/>
        <w:rPr>
          <w:sz w:val="20"/>
          <w:szCs w:val="20"/>
          <w:color w:val="auto"/>
        </w:rPr>
      </w:pPr>
    </w:p>
    <w:p>
      <w:pPr>
        <w:ind w:left="1" w:right="300"/>
        <w:spacing w:after="0" w:line="234" w:lineRule="auto"/>
        <w:rPr>
          <w:sz w:val="20"/>
          <w:szCs w:val="20"/>
          <w:color w:val="auto"/>
        </w:rPr>
      </w:pPr>
      <w:r>
        <w:rPr>
          <w:rFonts w:ascii="Times New Roman" w:cs="Times New Roman" w:eastAsia="Times New Roman" w:hAnsi="Times New Roman"/>
          <w:sz w:val="16"/>
          <w:szCs w:val="16"/>
          <w:color w:val="231F20"/>
        </w:rPr>
        <w:t>Statutory and fiduciary duties of members of the Management Board to the company include, among others:</w:t>
      </w:r>
    </w:p>
    <w:p>
      <w:pPr>
        <w:spacing w:after="0" w:line="145" w:lineRule="exact"/>
        <w:rPr>
          <w:sz w:val="20"/>
          <w:szCs w:val="20"/>
          <w:color w:val="auto"/>
        </w:rPr>
      </w:pPr>
    </w:p>
    <w:p>
      <w:pPr>
        <w:ind w:left="241" w:right="280" w:hanging="241"/>
        <w:spacing w:after="0" w:line="223" w:lineRule="auto"/>
        <w:tabs>
          <w:tab w:leader="none" w:pos="9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act in accordance with the law, the company’s articles of association and the rules of procedure for the Management Board, if any;</w:t>
      </w:r>
    </w:p>
    <w:p>
      <w:pPr>
        <w:spacing w:after="0" w:line="147" w:lineRule="exact"/>
        <w:rPr>
          <w:rFonts w:ascii="Times New Roman" w:cs="Times New Roman" w:eastAsia="Times New Roman" w:hAnsi="Times New Roman"/>
          <w:sz w:val="16"/>
          <w:szCs w:val="16"/>
          <w:color w:val="auto"/>
        </w:rPr>
      </w:pPr>
    </w:p>
    <w:p>
      <w:pPr>
        <w:ind w:left="241" w:right="180" w:hanging="241"/>
        <w:spacing w:after="0" w:line="234" w:lineRule="auto"/>
        <w:tabs>
          <w:tab w:leader="none" w:pos="9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report to the Supervisory Board on a regular basis as well as on certain important occasions;</w:t>
      </w:r>
    </w:p>
    <w:p>
      <w:pPr>
        <w:spacing w:after="0" w:line="145" w:lineRule="exact"/>
        <w:rPr>
          <w:rFonts w:ascii="Times New Roman" w:cs="Times New Roman" w:eastAsia="Times New Roman" w:hAnsi="Times New Roman"/>
          <w:sz w:val="16"/>
          <w:szCs w:val="16"/>
          <w:color w:val="auto"/>
        </w:rPr>
      </w:pPr>
    </w:p>
    <w:p>
      <w:pPr>
        <w:ind w:left="101" w:hanging="101"/>
        <w:spacing w:after="0"/>
        <w:tabs>
          <w:tab w:leader="none" w:pos="10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exercise reasonable care, skill and diligence;</w:t>
      </w:r>
    </w:p>
    <w:p>
      <w:pPr>
        <w:spacing w:after="0" w:line="164" w:lineRule="exact"/>
        <w:rPr>
          <w:rFonts w:ascii="Times New Roman" w:cs="Times New Roman" w:eastAsia="Times New Roman" w:hAnsi="Times New Roman"/>
          <w:sz w:val="16"/>
          <w:szCs w:val="16"/>
          <w:color w:val="auto"/>
        </w:rPr>
      </w:pPr>
    </w:p>
    <w:p>
      <w:pPr>
        <w:ind w:left="101" w:hanging="101"/>
        <w:spacing w:after="0"/>
        <w:tabs>
          <w:tab w:leader="none" w:pos="10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maintain a proper accounting system;</w:t>
      </w:r>
    </w:p>
    <w:p>
      <w:pPr>
        <w:spacing w:after="0" w:line="164" w:lineRule="exact"/>
        <w:rPr>
          <w:rFonts w:ascii="Times New Roman" w:cs="Times New Roman" w:eastAsia="Times New Roman" w:hAnsi="Times New Roman"/>
          <w:sz w:val="16"/>
          <w:szCs w:val="16"/>
          <w:color w:val="auto"/>
        </w:rPr>
      </w:pPr>
    </w:p>
    <w:p>
      <w:pPr>
        <w:ind w:left="241" w:right="80" w:hanging="241"/>
        <w:spacing w:after="0" w:line="234" w:lineRule="auto"/>
        <w:tabs>
          <w:tab w:leader="none" w:pos="9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not compete, directly or indirectly, with the company without permission by the supervisory board; and</w:t>
      </w:r>
    </w:p>
    <w:p>
      <w:pPr>
        <w:spacing w:after="0" w:line="145" w:lineRule="exact"/>
        <w:rPr>
          <w:rFonts w:ascii="Times New Roman" w:cs="Times New Roman" w:eastAsia="Times New Roman" w:hAnsi="Times New Roman"/>
          <w:sz w:val="16"/>
          <w:szCs w:val="16"/>
          <w:color w:val="auto"/>
        </w:rPr>
      </w:pPr>
    </w:p>
    <w:p>
      <w:pPr>
        <w:ind w:left="241" w:right="560" w:hanging="241"/>
        <w:spacing w:after="0" w:line="234" w:lineRule="auto"/>
        <w:tabs>
          <w:tab w:leader="none" w:pos="9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secure that no further transactions are made in case of insolvency.</w:t>
      </w:r>
    </w:p>
    <w:p>
      <w:pPr>
        <w:spacing w:after="0" w:line="145" w:lineRule="exact"/>
        <w:rPr>
          <w:sz w:val="20"/>
          <w:szCs w:val="20"/>
          <w:color w:val="auto"/>
        </w:rPr>
      </w:pPr>
    </w:p>
    <w:p>
      <w:pPr>
        <w:ind w:left="1" w:right="360"/>
        <w:spacing w:after="0" w:line="234" w:lineRule="auto"/>
        <w:rPr>
          <w:sz w:val="20"/>
          <w:szCs w:val="20"/>
          <w:color w:val="auto"/>
        </w:rPr>
      </w:pPr>
      <w:r>
        <w:rPr>
          <w:rFonts w:ascii="Times New Roman" w:cs="Times New Roman" w:eastAsia="Times New Roman" w:hAnsi="Times New Roman"/>
          <w:sz w:val="16"/>
          <w:szCs w:val="16"/>
          <w:color w:val="231F20"/>
        </w:rPr>
        <w:t>Statutory and fiduciary duties of members of the Supervisory Board to the company include, among others:</w:t>
      </w:r>
    </w:p>
    <w:p>
      <w:pPr>
        <w:spacing w:after="0" w:line="145" w:lineRule="exact"/>
        <w:rPr>
          <w:sz w:val="20"/>
          <w:szCs w:val="20"/>
          <w:color w:val="auto"/>
        </w:rPr>
      </w:pPr>
    </w:p>
    <w:p>
      <w:pPr>
        <w:ind w:left="241" w:right="40" w:hanging="241"/>
        <w:spacing w:after="0" w:line="234" w:lineRule="auto"/>
        <w:tabs>
          <w:tab w:leader="none" w:pos="97"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effectively supervise the Management Board’s handling of the company’s affairs;</w:t>
      </w:r>
    </w:p>
    <w:p>
      <w:pPr>
        <w:spacing w:after="0" w:line="145" w:lineRule="exact"/>
        <w:rPr>
          <w:rFonts w:ascii="Times New Roman" w:cs="Times New Roman" w:eastAsia="Times New Roman" w:hAnsi="Times New Roman"/>
          <w:sz w:val="16"/>
          <w:szCs w:val="16"/>
          <w:color w:val="auto"/>
        </w:rPr>
      </w:pPr>
    </w:p>
    <w:p>
      <w:pPr>
        <w:ind w:left="241" w:right="160" w:hanging="241"/>
        <w:spacing w:after="0" w:line="223" w:lineRule="auto"/>
        <w:tabs>
          <w:tab w:leader="none" w:pos="97"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evaluate and issue a resolution on certain transactions which can only be conducted by the Management Board after approval of the Supervisory Board;</w:t>
      </w:r>
    </w:p>
    <w:p>
      <w:pPr>
        <w:spacing w:after="0" w:line="147" w:lineRule="exact"/>
        <w:rPr>
          <w:rFonts w:ascii="Times New Roman" w:cs="Times New Roman" w:eastAsia="Times New Roman" w:hAnsi="Times New Roman"/>
          <w:sz w:val="16"/>
          <w:szCs w:val="16"/>
          <w:color w:val="auto"/>
        </w:rPr>
      </w:pPr>
    </w:p>
    <w:p>
      <w:pPr>
        <w:ind w:left="101" w:hanging="101"/>
        <w:spacing w:after="0"/>
        <w:tabs>
          <w:tab w:leader="none" w:pos="101"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approve the company’s financial statements;</w:t>
      </w:r>
    </w:p>
    <w:p>
      <w:pPr>
        <w:spacing w:after="0" w:line="164" w:lineRule="exact"/>
        <w:rPr>
          <w:rFonts w:ascii="Times New Roman" w:cs="Times New Roman" w:eastAsia="Times New Roman" w:hAnsi="Times New Roman"/>
          <w:sz w:val="16"/>
          <w:szCs w:val="16"/>
          <w:color w:val="auto"/>
        </w:rPr>
      </w:pPr>
    </w:p>
    <w:p>
      <w:pPr>
        <w:ind w:left="241" w:right="80" w:hanging="241"/>
        <w:spacing w:after="0" w:line="223" w:lineRule="auto"/>
        <w:tabs>
          <w:tab w:leader="none" w:pos="97"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appoint the Management Board members and to represent the company in transactions between the company and members of the Management Board; and</w:t>
      </w:r>
    </w:p>
    <w:p>
      <w:pPr>
        <w:spacing w:after="0" w:line="147" w:lineRule="exact"/>
        <w:rPr>
          <w:rFonts w:ascii="Times New Roman" w:cs="Times New Roman" w:eastAsia="Times New Roman" w:hAnsi="Times New Roman"/>
          <w:sz w:val="16"/>
          <w:szCs w:val="16"/>
          <w:color w:val="auto"/>
        </w:rPr>
      </w:pPr>
    </w:p>
    <w:p>
      <w:pPr>
        <w:ind w:left="241" w:right="100" w:hanging="241"/>
        <w:spacing w:after="0" w:line="234" w:lineRule="auto"/>
        <w:tabs>
          <w:tab w:leader="none" w:pos="97"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to approve service contracts between individual members of the Supervisory Board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04"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6"/>
          <w:szCs w:val="16"/>
          <w:color w:val="231F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 informed basis and in a manner they reasonably believe to be in the best interest of the stockholders.</w:t>
      </w:r>
    </w:p>
    <w:p>
      <w:pPr>
        <w:spacing w:after="0" w:line="147"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6"/>
          <w:szCs w:val="16"/>
          <w:color w:val="231F20"/>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55"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6"/>
          <w:szCs w:val="16"/>
          <w:color w:val="231F20"/>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40" w:orient="portrait"/>
          <w:cols w:equalWidth="0" w:num="3">
            <w:col w:w="1280" w:space="459"/>
            <w:col w:w="4181" w:space="380"/>
            <w:col w:w="3880"/>
          </w:cols>
          <w:pgMar w:left="680" w:top="1440" w:right="1040" w:bottom="1440" w:gutter="0" w:footer="0" w:header="0"/>
        </w:sectPr>
      </w:pPr>
    </w:p>
    <w:bookmarkStart w:id="328" w:name="page329"/>
    <w:bookmarkEnd w:id="328"/>
    <w:p>
      <w:pPr>
        <w:spacing w:after="0" w:line="200" w:lineRule="exact"/>
        <w:rPr>
          <w:sz w:val="20"/>
          <w:szCs w:val="20"/>
          <w:color w:val="auto"/>
        </w:rPr>
      </w:pP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b w:val="1"/>
          <w:bCs w:val="1"/>
          <w:i w:val="1"/>
          <w:iCs w:val="1"/>
          <w:color w:val="231F20"/>
        </w:rPr>
        <w:t>European Union/Federal Republic of Germany</w:t>
      </w:r>
    </w:p>
    <w:p>
      <w:pPr>
        <w:spacing w:after="0" w:line="182"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6"/>
          <w:szCs w:val="16"/>
          <w:color w:val="231F20"/>
        </w:rPr>
        <w:t>Stockholder Actions</w:t>
      </w:r>
      <w:r>
        <w:rPr>
          <w:sz w:val="20"/>
          <w:szCs w:val="20"/>
          <w:color w:val="auto"/>
        </w:rPr>
        <w:tab/>
      </w:r>
      <w:r>
        <w:rPr>
          <w:rFonts w:ascii="Times New Roman" w:cs="Times New Roman" w:eastAsia="Times New Roman" w:hAnsi="Times New Roman"/>
          <w:sz w:val="14"/>
          <w:szCs w:val="14"/>
          <w:color w:val="231F20"/>
        </w:rPr>
        <w:t>Under German law, generally, the company, rather than its</w:t>
      </w:r>
    </w:p>
    <w:p>
      <w:pPr>
        <w:spacing w:after="0" w:line="12" w:lineRule="exact"/>
        <w:rPr>
          <w:sz w:val="20"/>
          <w:szCs w:val="20"/>
          <w:color w:val="auto"/>
        </w:rPr>
      </w:pPr>
    </w:p>
    <w:p>
      <w:pPr>
        <w:ind w:left="1880" w:right="20"/>
        <w:spacing w:after="0" w:line="238" w:lineRule="auto"/>
        <w:rPr>
          <w:sz w:val="20"/>
          <w:szCs w:val="20"/>
          <w:color w:val="auto"/>
        </w:rPr>
      </w:pPr>
      <w:r>
        <w:rPr>
          <w:rFonts w:ascii="Times New Roman" w:cs="Times New Roman" w:eastAsia="Times New Roman" w:hAnsi="Times New Roman"/>
          <w:sz w:val="14"/>
          <w:szCs w:val="14"/>
          <w:color w:val="231F20"/>
        </w:rPr>
        <w:t>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49" w:lineRule="exact"/>
        <w:rPr>
          <w:sz w:val="20"/>
          <w:szCs w:val="20"/>
          <w:color w:val="auto"/>
        </w:rPr>
      </w:pPr>
    </w:p>
    <w:p>
      <w:pPr>
        <w:ind w:left="1880" w:right="140"/>
        <w:spacing w:after="0" w:line="218" w:lineRule="auto"/>
        <w:rPr>
          <w:sz w:val="20"/>
          <w:szCs w:val="20"/>
          <w:color w:val="auto"/>
        </w:rPr>
      </w:pPr>
      <w:r>
        <w:rPr>
          <w:rFonts w:ascii="Times New Roman" w:cs="Times New Roman" w:eastAsia="Times New Roman" w:hAnsi="Times New Roman"/>
          <w:sz w:val="16"/>
          <w:szCs w:val="16"/>
          <w:color w:val="231F20"/>
        </w:rPr>
        <w:t>Additionally, pursuant to German case law, the Supervisory Board is obliged to pursue the company’s claims against the Management Board, unless the interest of the company keeps them from doing so.</w:t>
      </w:r>
    </w:p>
    <w:p>
      <w:pPr>
        <w:spacing w:after="0" w:line="148" w:lineRule="exact"/>
        <w:rPr>
          <w:sz w:val="20"/>
          <w:szCs w:val="20"/>
          <w:color w:val="auto"/>
        </w:rPr>
      </w:pPr>
    </w:p>
    <w:p>
      <w:pPr>
        <w:ind w:left="1880"/>
        <w:spacing w:after="0" w:line="212" w:lineRule="auto"/>
        <w:rPr>
          <w:sz w:val="20"/>
          <w:szCs w:val="20"/>
          <w:color w:val="auto"/>
        </w:rPr>
      </w:pPr>
      <w:r>
        <w:rPr>
          <w:rFonts w:ascii="Times New Roman" w:cs="Times New Roman" w:eastAsia="Times New Roman" w:hAnsi="Times New Roman"/>
          <w:sz w:val="16"/>
          <w:szCs w:val="16"/>
          <w:color w:val="231F20"/>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147" w:lineRule="exact"/>
        <w:rPr>
          <w:sz w:val="20"/>
          <w:szCs w:val="20"/>
          <w:color w:val="auto"/>
        </w:rPr>
      </w:pPr>
    </w:p>
    <w:p>
      <w:pPr>
        <w:ind w:left="1880" w:right="120"/>
        <w:spacing w:after="0" w:line="218" w:lineRule="auto"/>
        <w:rPr>
          <w:sz w:val="20"/>
          <w:szCs w:val="20"/>
          <w:color w:val="auto"/>
        </w:rPr>
      </w:pPr>
      <w:r>
        <w:rPr>
          <w:rFonts w:ascii="Times New Roman" w:cs="Times New Roman" w:eastAsia="Times New Roman" w:hAnsi="Times New Roman"/>
          <w:sz w:val="16"/>
          <w:szCs w:val="16"/>
          <w:color w:val="231F20"/>
        </w:rPr>
        <w:t>If the company is unable to fulfill its third- party obligations, the company’s creditors may pursue the company’s damage claims against members of the Management Board for certain wrongdoings.</w:t>
      </w:r>
    </w:p>
    <w:p>
      <w:pPr>
        <w:spacing w:after="0" w:line="148" w:lineRule="exact"/>
        <w:rPr>
          <w:sz w:val="20"/>
          <w:szCs w:val="20"/>
          <w:color w:val="auto"/>
        </w:rPr>
      </w:pPr>
    </w:p>
    <w:p>
      <w:pPr>
        <w:ind w:left="1880"/>
        <w:spacing w:after="0" w:line="211" w:lineRule="auto"/>
        <w:rPr>
          <w:sz w:val="20"/>
          <w:szCs w:val="20"/>
          <w:color w:val="auto"/>
        </w:rPr>
      </w:pPr>
      <w:r>
        <w:rPr>
          <w:rFonts w:ascii="Times New Roman" w:cs="Times New Roman" w:eastAsia="Times New Roman" w:hAnsi="Times New Roman"/>
          <w:sz w:val="16"/>
          <w:szCs w:val="16"/>
          <w:color w:val="231F20"/>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6"/>
          <w:szCs w:val="16"/>
          <w:b w:val="1"/>
          <w:bCs w:val="1"/>
          <w:i w:val="1"/>
          <w:iCs w:val="1"/>
          <w:color w:val="231F20"/>
        </w:rPr>
        <w:t>Delaware</w:t>
      </w:r>
    </w:p>
    <w:p>
      <w:pPr>
        <w:spacing w:after="0" w:line="204" w:lineRule="exact"/>
        <w:rPr>
          <w:sz w:val="20"/>
          <w:szCs w:val="20"/>
          <w:color w:val="auto"/>
        </w:rPr>
      </w:pPr>
    </w:p>
    <w:p>
      <w:pPr>
        <w:ind w:left="4" w:right="60"/>
        <w:spacing w:after="0" w:line="263" w:lineRule="auto"/>
        <w:rPr>
          <w:sz w:val="20"/>
          <w:szCs w:val="20"/>
          <w:color w:val="auto"/>
        </w:rPr>
      </w:pPr>
      <w:r>
        <w:rPr>
          <w:rFonts w:ascii="Times New Roman" w:cs="Times New Roman" w:eastAsia="Times New Roman" w:hAnsi="Times New Roman"/>
          <w:sz w:val="14"/>
          <w:szCs w:val="14"/>
          <w:color w:val="231F20"/>
        </w:rPr>
        <w:t>Under Delaware law, a stockholder may initiate a derivative action to enforce a right of a corporation if the corporation fails to enforce the right itself. The complaint must:</w:t>
      </w:r>
    </w:p>
    <w:p>
      <w:pPr>
        <w:spacing w:after="0" w:line="200" w:lineRule="exact"/>
        <w:rPr>
          <w:sz w:val="20"/>
          <w:szCs w:val="20"/>
          <w:color w:val="auto"/>
        </w:rPr>
      </w:pPr>
    </w:p>
    <w:p>
      <w:pPr>
        <w:spacing w:after="0" w:line="279" w:lineRule="exact"/>
        <w:rPr>
          <w:sz w:val="20"/>
          <w:szCs w:val="20"/>
          <w:color w:val="auto"/>
        </w:rPr>
      </w:pPr>
    </w:p>
    <w:p>
      <w:pPr>
        <w:ind w:left="244" w:right="120" w:hanging="244"/>
        <w:spacing w:after="0" w:line="218" w:lineRule="auto"/>
        <w:tabs>
          <w:tab w:leader="none" w:pos="10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state that the plaintiff was a stockholder at the time of the transaction of which the plaintiff complains or that the plaintiffs shares thereafter devolved on the plaintiff by operation of law; and</w:t>
      </w:r>
    </w:p>
    <w:p>
      <w:pPr>
        <w:spacing w:after="0" w:line="200" w:lineRule="exact"/>
        <w:rPr>
          <w:rFonts w:ascii="Times New Roman" w:cs="Times New Roman" w:eastAsia="Times New Roman" w:hAnsi="Times New Roman"/>
          <w:sz w:val="16"/>
          <w:szCs w:val="16"/>
          <w:color w:val="auto"/>
        </w:rPr>
      </w:pPr>
    </w:p>
    <w:p>
      <w:pPr>
        <w:spacing w:after="0" w:line="295" w:lineRule="exact"/>
        <w:rPr>
          <w:rFonts w:ascii="Times New Roman" w:cs="Times New Roman" w:eastAsia="Times New Roman" w:hAnsi="Times New Roman"/>
          <w:sz w:val="16"/>
          <w:szCs w:val="16"/>
          <w:color w:val="auto"/>
        </w:rPr>
      </w:pPr>
    </w:p>
    <w:p>
      <w:pPr>
        <w:ind w:left="244" w:hanging="244"/>
        <w:spacing w:after="0" w:line="215" w:lineRule="auto"/>
        <w:tabs>
          <w:tab w:leader="none" w:pos="10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200" w:lineRule="exact"/>
        <w:rPr>
          <w:sz w:val="20"/>
          <w:szCs w:val="20"/>
          <w:color w:val="auto"/>
        </w:rPr>
      </w:pPr>
    </w:p>
    <w:p>
      <w:pPr>
        <w:spacing w:after="0" w:line="296" w:lineRule="exact"/>
        <w:rPr>
          <w:sz w:val="20"/>
          <w:szCs w:val="20"/>
          <w:color w:val="auto"/>
        </w:rPr>
      </w:pPr>
    </w:p>
    <w:p>
      <w:pPr>
        <w:ind w:left="4"/>
        <w:spacing w:after="0" w:line="218" w:lineRule="auto"/>
        <w:rPr>
          <w:sz w:val="20"/>
          <w:szCs w:val="20"/>
          <w:color w:val="auto"/>
        </w:rPr>
      </w:pPr>
      <w:r>
        <w:rPr>
          <w:rFonts w:ascii="Times New Roman" w:cs="Times New Roman" w:eastAsia="Times New Roman" w:hAnsi="Times New Roman"/>
          <w:sz w:val="16"/>
          <w:szCs w:val="16"/>
          <w:color w:val="231F20"/>
        </w:rPr>
        <w:t>Additionally, the plaintiff must remain a stockholder through the duration of the derivative suit. The action will not be dismissed or compromised without the approval of the Delaware Court of Chancery.</w:t>
      </w:r>
    </w:p>
    <w:p>
      <w:pPr>
        <w:sectPr>
          <w:pgSz w:w="11900" w:h="16840" w:orient="portrait"/>
          <w:cols w:equalWidth="0" w:num="2">
            <w:col w:w="5840" w:space="436"/>
            <w:col w:w="3804"/>
          </w:cols>
          <w:pgMar w:left="680" w:top="1440" w:right="1140" w:bottom="1440" w:gutter="0" w:footer="0" w:header="0"/>
        </w:sectPr>
      </w:pPr>
    </w:p>
    <w:bookmarkStart w:id="329" w:name="page330"/>
    <w:bookmarkEnd w:id="329"/>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American Depositary Shares</w:t>
      </w:r>
    </w:p>
    <w:p>
      <w:pPr>
        <w:spacing w:after="0" w:line="166" w:lineRule="exact"/>
        <w:rPr>
          <w:sz w:val="20"/>
          <w:szCs w:val="20"/>
          <w:color w:val="auto"/>
        </w:rPr>
      </w:pPr>
    </w:p>
    <w:p>
      <w:pPr>
        <w:jc w:val="both"/>
        <w:ind w:right="60" w:firstLine="528"/>
        <w:spacing w:after="0" w:line="215" w:lineRule="auto"/>
        <w:rPr>
          <w:sz w:val="20"/>
          <w:szCs w:val="20"/>
          <w:color w:val="auto"/>
        </w:rPr>
      </w:pPr>
      <w:r>
        <w:rPr>
          <w:rFonts w:ascii="Times New Roman" w:cs="Times New Roman" w:eastAsia="Times New Roman" w:hAnsi="Times New Roman"/>
          <w:sz w:val="16"/>
          <w:szCs w:val="16"/>
          <w:color w:val="auto"/>
        </w:rPr>
        <w:t>The Bank of New York Mellon, as depositary, will register and deliver the American Depositary Shares, or the ADSs. Each ADS will represent one share (or a right to receive one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48" w:lineRule="exact"/>
        <w:rPr>
          <w:sz w:val="20"/>
          <w:szCs w:val="20"/>
          <w:color w:val="auto"/>
        </w:rPr>
      </w:pPr>
    </w:p>
    <w:p>
      <w:pPr>
        <w:ind w:right="20" w:firstLine="528"/>
        <w:spacing w:after="0" w:line="248" w:lineRule="auto"/>
        <w:rPr>
          <w:sz w:val="20"/>
          <w:szCs w:val="20"/>
          <w:color w:val="auto"/>
        </w:rPr>
      </w:pPr>
      <w:r>
        <w:rPr>
          <w:rFonts w:ascii="Times New Roman" w:cs="Times New Roman" w:eastAsia="Times New Roman" w:hAnsi="Times New Roman"/>
          <w:sz w:val="14"/>
          <w:szCs w:val="14"/>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Registered holders of uncertificated ADSs will receive statements from the depositary confirming their holdings.</w:t>
      </w:r>
    </w:p>
    <w:p>
      <w:pPr>
        <w:spacing w:after="0" w:line="164" w:lineRule="exact"/>
        <w:rPr>
          <w:sz w:val="20"/>
          <w:szCs w:val="20"/>
          <w:color w:val="auto"/>
        </w:rPr>
      </w:pPr>
    </w:p>
    <w:p>
      <w:pPr>
        <w:jc w:val="both"/>
        <w:ind w:right="80" w:firstLine="528"/>
        <w:spacing w:after="0" w:line="218" w:lineRule="auto"/>
        <w:rPr>
          <w:sz w:val="20"/>
          <w:szCs w:val="20"/>
          <w:color w:val="auto"/>
        </w:rPr>
      </w:pPr>
      <w:r>
        <w:rPr>
          <w:rFonts w:ascii="Times New Roman" w:cs="Times New Roman" w:eastAsia="Times New Roman" w:hAnsi="Times New Roman"/>
          <w:sz w:val="16"/>
          <w:szCs w:val="16"/>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48" w:lineRule="exact"/>
        <w:rPr>
          <w:sz w:val="20"/>
          <w:szCs w:val="20"/>
          <w:color w:val="auto"/>
        </w:rPr>
      </w:pPr>
    </w:p>
    <w:p>
      <w:pPr>
        <w:ind w:right="60" w:firstLine="528"/>
        <w:spacing w:after="0" w:line="234" w:lineRule="auto"/>
        <w:rPr>
          <w:sz w:val="20"/>
          <w:szCs w:val="20"/>
          <w:color w:val="auto"/>
        </w:rPr>
      </w:pPr>
      <w:r>
        <w:rPr>
          <w:rFonts w:ascii="Times New Roman" w:cs="Times New Roman" w:eastAsia="Times New Roman" w:hAnsi="Times New Roman"/>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Other Distributions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will ADS holders receive dividends and other distributions on the shares?</w:t>
      </w:r>
    </w:p>
    <w:p>
      <w:pPr>
        <w:spacing w:after="0" w:line="168" w:lineRule="exact"/>
        <w:rPr>
          <w:sz w:val="20"/>
          <w:szCs w:val="20"/>
          <w:color w:val="auto"/>
        </w:rPr>
      </w:pPr>
    </w:p>
    <w:p>
      <w:pPr>
        <w:ind w:right="60" w:firstLine="528"/>
        <w:spacing w:after="0" w:line="295" w:lineRule="auto"/>
        <w:rPr>
          <w:sz w:val="20"/>
          <w:szCs w:val="20"/>
          <w:color w:val="auto"/>
        </w:rPr>
      </w:pPr>
      <w:r>
        <w:rPr>
          <w:rFonts w:ascii="Times New Roman" w:cs="Times New Roman" w:eastAsia="Times New Roman" w:hAnsi="Times New Roman"/>
          <w:sz w:val="14"/>
          <w:szCs w:val="14"/>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06" w:lineRule="exact"/>
        <w:rPr>
          <w:sz w:val="20"/>
          <w:szCs w:val="20"/>
          <w:color w:val="auto"/>
        </w:rPr>
      </w:pPr>
    </w:p>
    <w:p>
      <w:pPr>
        <w:jc w:val="both"/>
        <w:ind w:firstLine="528"/>
        <w:spacing w:after="0" w:line="219" w:lineRule="auto"/>
        <w:rPr>
          <w:sz w:val="20"/>
          <w:szCs w:val="20"/>
          <w:color w:val="auto"/>
        </w:rPr>
      </w:pPr>
      <w:r>
        <w:rPr>
          <w:rFonts w:ascii="Times New Roman" w:cs="Times New Roman" w:eastAsia="Times New Roman" w:hAnsi="Times New Roman"/>
          <w:sz w:val="16"/>
          <w:szCs w:val="16"/>
          <w:i w:val="1"/>
          <w:iCs w:val="1"/>
          <w:color w:val="auto"/>
        </w:rPr>
        <w:t>Cash</w:t>
      </w:r>
      <w:r>
        <w:rPr>
          <w:rFonts w:ascii="Times New Roman" w:cs="Times New Roman" w:eastAsia="Times New Roman" w:hAnsi="Times New Roman"/>
          <w:sz w:val="16"/>
          <w:szCs w:val="16"/>
          <w:color w:val="auto"/>
        </w:rPr>
        <w:t>. The depositary will convert any cash dividend or other cash distribution we pay on the shares into U.S. dollars, if it can do so on a reasonable basis and can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47" w:lineRule="exact"/>
        <w:rPr>
          <w:sz w:val="20"/>
          <w:szCs w:val="20"/>
          <w:color w:val="auto"/>
        </w:rPr>
      </w:pPr>
    </w:p>
    <w:p>
      <w:pPr>
        <w:jc w:val="both"/>
        <w:ind w:right="40" w:firstLine="528"/>
        <w:spacing w:after="0" w:line="223" w:lineRule="auto"/>
        <w:rPr>
          <w:sz w:val="20"/>
          <w:szCs w:val="20"/>
          <w:color w:val="auto"/>
        </w:rPr>
      </w:pPr>
      <w:r>
        <w:rPr>
          <w:rFonts w:ascii="Times New Roman" w:cs="Times New Roman" w:eastAsia="Times New Roman" w:hAnsi="Times New Roman"/>
          <w:sz w:val="16"/>
          <w:szCs w:val="16"/>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cs="Times New Roman" w:eastAsia="Times New Roman" w:hAnsi="Times New Roman"/>
          <w:sz w:val="16"/>
          <w:szCs w:val="16"/>
          <w:i w:val="1"/>
          <w:iCs w:val="1"/>
          <w:color w:val="auto"/>
        </w:rPr>
        <w:t>If the exchange rates fluctuate during a time when the depositary cannot convert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foreign currency, you may lose some of the value of the distribution.</w:t>
      </w:r>
    </w:p>
    <w:p>
      <w:pPr>
        <w:spacing w:after="0" w:line="145" w:lineRule="exact"/>
        <w:rPr>
          <w:sz w:val="20"/>
          <w:szCs w:val="20"/>
          <w:color w:val="auto"/>
        </w:rPr>
      </w:pPr>
    </w:p>
    <w:p>
      <w:pPr>
        <w:jc w:val="both"/>
        <w:ind w:right="60" w:firstLine="528"/>
        <w:spacing w:after="0" w:line="219" w:lineRule="auto"/>
        <w:rPr>
          <w:sz w:val="20"/>
          <w:szCs w:val="20"/>
          <w:color w:val="auto"/>
        </w:rPr>
      </w:pPr>
      <w:r>
        <w:rPr>
          <w:rFonts w:ascii="Times New Roman" w:cs="Times New Roman" w:eastAsia="Times New Roman" w:hAnsi="Times New Roman"/>
          <w:sz w:val="16"/>
          <w:szCs w:val="16"/>
          <w:i w:val="1"/>
          <w:iCs w:val="1"/>
          <w:color w:val="auto"/>
        </w:rPr>
        <w:t xml:space="preserve">Shares. </w:t>
      </w:r>
      <w:r>
        <w:rPr>
          <w:rFonts w:ascii="Times New Roman" w:cs="Times New Roman" w:eastAsia="Times New Roman" w:hAnsi="Times New Roman"/>
          <w:sz w:val="16"/>
          <w:szCs w:val="16"/>
          <w:color w:val="auto"/>
        </w:rPr>
        <w:t>The depositary may distribute additional ADSs representing any shares we distribute as a dividend or free distribution. The depositary will only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45" w:lineRule="exact"/>
        <w:rPr>
          <w:sz w:val="20"/>
          <w:szCs w:val="20"/>
          <w:color w:val="auto"/>
        </w:rPr>
      </w:pPr>
    </w:p>
    <w:p>
      <w:pPr>
        <w:jc w:val="both"/>
        <w:ind w:right="60" w:firstLine="528"/>
        <w:spacing w:after="0" w:line="298" w:lineRule="auto"/>
        <w:rPr>
          <w:sz w:val="20"/>
          <w:szCs w:val="20"/>
          <w:color w:val="auto"/>
        </w:rPr>
      </w:pPr>
      <w:r>
        <w:rPr>
          <w:rFonts w:ascii="Times New Roman" w:cs="Times New Roman" w:eastAsia="Times New Roman" w:hAnsi="Times New Roman"/>
          <w:sz w:val="14"/>
          <w:szCs w:val="14"/>
          <w:i w:val="1"/>
          <w:iCs w:val="1"/>
          <w:color w:val="auto"/>
        </w:rPr>
        <w:t xml:space="preserve">Rights to purchase additional shares. </w:t>
      </w:r>
      <w:r>
        <w:rPr>
          <w:rFonts w:ascii="Times New Roman" w:cs="Times New Roman" w:eastAsia="Times New Roman" w:hAnsi="Times New Roman"/>
          <w:sz w:val="14"/>
          <w:szCs w:val="14"/>
          <w:color w:val="auto"/>
        </w:rPr>
        <w:t>If we offer holders of our securities any rights to subscribe for additional shares or any other rights, the depositary may (i)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 those rights on behalf of ADS holders, (ii) distribute those rights to ADS holders or (iii) sell those rights and distribute the net proceeds to ADS holders, in each</w:t>
      </w:r>
    </w:p>
    <w:p>
      <w:pPr>
        <w:sectPr>
          <w:pgSz w:w="11900" w:h="16840" w:orient="portrait"/>
          <w:cols w:equalWidth="0" w:num="1">
            <w:col w:w="10620"/>
          </w:cols>
          <w:pgMar w:left="660" w:top="1440" w:right="620" w:bottom="1440" w:gutter="0" w:footer="0" w:header="0"/>
        </w:sectPr>
      </w:pPr>
    </w:p>
    <w:bookmarkStart w:id="330" w:name="page331"/>
    <w:bookmarkEnd w:id="330"/>
    <w:p>
      <w:pPr>
        <w:spacing w:after="0" w:line="200" w:lineRule="exact"/>
        <w:rPr>
          <w:sz w:val="20"/>
          <w:szCs w:val="20"/>
          <w:color w:val="auto"/>
        </w:rPr>
      </w:pPr>
    </w:p>
    <w:p>
      <w:pPr>
        <w:spacing w:after="0" w:line="24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6"/>
          <w:szCs w:val="16"/>
          <w:color w:val="auto"/>
        </w:rPr>
        <w:t>case after deduction or upon payment of its fees and expenses. To the extent the depositary does not do any of those things, it will allow the rights to lapse.</w:t>
      </w:r>
      <w:r>
        <w:rPr>
          <w:rFonts w:ascii="Times New Roman" w:cs="Times New Roman" w:eastAsia="Times New Roman" w:hAnsi="Times New Roman"/>
          <w:sz w:val="16"/>
          <w:szCs w:val="16"/>
          <w:b w:val="1"/>
          <w:bCs w:val="1"/>
          <w:color w:val="auto"/>
        </w:rPr>
        <w:t>In that case,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you will receive no value for them. </w:t>
      </w:r>
      <w:r>
        <w:rPr>
          <w:rFonts w:ascii="Times New Roman" w:cs="Times New Roman" w:eastAsia="Times New Roman" w:hAnsi="Times New Roman"/>
          <w:sz w:val="16"/>
          <w:szCs w:val="16"/>
          <w:color w:val="auto"/>
        </w:rPr>
        <w:t>The depositary will exercise or distribute rights only if we ask it to and provide satisfactory assurances to the depositary that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44" w:lineRule="exact"/>
        <w:rPr>
          <w:sz w:val="20"/>
          <w:szCs w:val="20"/>
          <w:color w:val="auto"/>
        </w:rPr>
      </w:pPr>
    </w:p>
    <w:p>
      <w:pPr>
        <w:jc w:val="both"/>
        <w:ind w:firstLine="528"/>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Other Distributions. </w:t>
      </w:r>
      <w:r>
        <w:rPr>
          <w:rFonts w:ascii="Times New Roman" w:cs="Times New Roman" w:eastAsia="Times New Roman" w:hAnsi="Times New Roman"/>
          <w:sz w:val="14"/>
          <w:szCs w:val="14"/>
          <w:color w:val="auto"/>
        </w:rPr>
        <w:t>The depositary will send to ADS holders anything else we distribute on deposited securities by any means it thinks is legal, fair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4" w:lineRule="exact"/>
        <w:rPr>
          <w:sz w:val="20"/>
          <w:szCs w:val="20"/>
          <w:color w:val="auto"/>
        </w:rPr>
      </w:pPr>
    </w:p>
    <w:p>
      <w:pPr>
        <w:jc w:val="both"/>
        <w:ind w:right="20" w:firstLine="528"/>
        <w:spacing w:after="0" w:line="218" w:lineRule="auto"/>
        <w:rPr>
          <w:sz w:val="20"/>
          <w:szCs w:val="20"/>
          <w:color w:val="auto"/>
        </w:rPr>
      </w:pPr>
      <w:r>
        <w:rPr>
          <w:rFonts w:ascii="Times New Roman" w:cs="Times New Roman" w:eastAsia="Times New Roman" w:hAnsi="Times New Roman"/>
          <w:sz w:val="16"/>
          <w:szCs w:val="16"/>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cs="Times New Roman" w:eastAsia="Times New Roman" w:hAnsi="Times New Roman"/>
          <w:sz w:val="16"/>
          <w:szCs w:val="16"/>
          <w:b w:val="1"/>
          <w:bCs w:val="1"/>
          <w:color w:val="auto"/>
        </w:rPr>
        <w:t>This means that you may not receive the distributions we make on our shares or any value for them if it is illegal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impractical for us to make them available to you.</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 Withdrawal and Cancellation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are ADSs issued?</w:t>
      </w:r>
    </w:p>
    <w:p>
      <w:pPr>
        <w:spacing w:after="0" w:line="168" w:lineRule="exact"/>
        <w:rPr>
          <w:sz w:val="20"/>
          <w:szCs w:val="20"/>
          <w:color w:val="auto"/>
        </w:rPr>
      </w:pPr>
    </w:p>
    <w:p>
      <w:pPr>
        <w:jc w:val="both"/>
        <w:ind w:right="20" w:firstLine="528"/>
        <w:spacing w:after="0" w:line="223" w:lineRule="auto"/>
        <w:rPr>
          <w:sz w:val="20"/>
          <w:szCs w:val="20"/>
          <w:color w:val="auto"/>
        </w:rPr>
      </w:pPr>
      <w:r>
        <w:rPr>
          <w:rFonts w:ascii="Times New Roman" w:cs="Times New Roman" w:eastAsia="Times New Roman" w:hAnsi="Times New Roman"/>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can ADS holders withdraw the deposited securities?</w:t>
      </w:r>
    </w:p>
    <w:p>
      <w:pPr>
        <w:spacing w:after="0" w:line="168" w:lineRule="exact"/>
        <w:rPr>
          <w:sz w:val="20"/>
          <w:szCs w:val="20"/>
          <w:color w:val="auto"/>
        </w:rPr>
      </w:pPr>
    </w:p>
    <w:p>
      <w:pPr>
        <w:jc w:val="both"/>
        <w:ind w:right="20" w:firstLine="528"/>
        <w:spacing w:after="0" w:line="215" w:lineRule="auto"/>
        <w:rPr>
          <w:sz w:val="20"/>
          <w:szCs w:val="20"/>
          <w:color w:val="auto"/>
        </w:rPr>
      </w:pPr>
      <w:r>
        <w:rPr>
          <w:rFonts w:ascii="Times New Roman" w:cs="Times New Roman" w:eastAsia="Times New Roman" w:hAnsi="Times New Roman"/>
          <w:sz w:val="16"/>
          <w:szCs w:val="16"/>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 ADS holders interchange between certificated ADSs and uncertificated ADSs?</w:t>
      </w:r>
    </w:p>
    <w:p>
      <w:pPr>
        <w:spacing w:after="0" w:line="168" w:lineRule="exact"/>
        <w:rPr>
          <w:sz w:val="20"/>
          <w:szCs w:val="20"/>
          <w:color w:val="auto"/>
        </w:rPr>
      </w:pPr>
    </w:p>
    <w:p>
      <w:pPr>
        <w:jc w:val="both"/>
        <w:ind w:firstLine="528"/>
        <w:spacing w:after="0" w:line="218" w:lineRule="auto"/>
        <w:rPr>
          <w:sz w:val="20"/>
          <w:szCs w:val="20"/>
          <w:color w:val="auto"/>
        </w:rPr>
      </w:pPr>
      <w:r>
        <w:rPr>
          <w:rFonts w:ascii="Times New Roman" w:cs="Times New Roman" w:eastAsia="Times New Roman" w:hAnsi="Times New Roman"/>
          <w:sz w:val="16"/>
          <w:szCs w:val="16"/>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ectPr>
          <w:pgSz w:w="11900" w:h="16840" w:orient="portrait"/>
          <w:cols w:equalWidth="0" w:num="1">
            <w:col w:w="10580"/>
          </w:cols>
          <w:pgMar w:left="660" w:top="1440" w:right="660" w:bottom="1440" w:gutter="0" w:footer="0" w:header="0"/>
        </w:sectPr>
      </w:pPr>
    </w:p>
    <w:bookmarkStart w:id="331" w:name="page332"/>
    <w:bookmarkEnd w:id="331"/>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do ADS holders vote?</w:t>
      </w:r>
    </w:p>
    <w:p>
      <w:pPr>
        <w:spacing w:after="0" w:line="168" w:lineRule="exact"/>
        <w:rPr>
          <w:sz w:val="20"/>
          <w:szCs w:val="20"/>
          <w:color w:val="auto"/>
        </w:rPr>
      </w:pPr>
    </w:p>
    <w:p>
      <w:pPr>
        <w:jc w:val="both"/>
        <w:ind w:right="20" w:firstLine="528"/>
        <w:spacing w:after="0" w:line="212" w:lineRule="auto"/>
        <w:rPr>
          <w:sz w:val="20"/>
          <w:szCs w:val="20"/>
          <w:color w:val="auto"/>
        </w:rPr>
      </w:pPr>
      <w:r>
        <w:rPr>
          <w:rFonts w:ascii="Times New Roman" w:cs="Times New Roman" w:eastAsia="Times New Roman" w:hAnsi="Times New Roman"/>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45" w:lineRule="exact"/>
        <w:rPr>
          <w:sz w:val="20"/>
          <w:szCs w:val="20"/>
          <w:color w:val="auto"/>
        </w:rPr>
      </w:pPr>
    </w:p>
    <w:p>
      <w:pPr>
        <w:jc w:val="both"/>
        <w:ind w:firstLine="528"/>
        <w:spacing w:after="0" w:line="216" w:lineRule="auto"/>
        <w:rPr>
          <w:sz w:val="20"/>
          <w:szCs w:val="20"/>
          <w:color w:val="auto"/>
        </w:rPr>
      </w:pPr>
      <w:r>
        <w:rPr>
          <w:rFonts w:ascii="Times New Roman" w:cs="Times New Roman" w:eastAsia="Times New Roman" w:hAnsi="Times New Roman"/>
          <w:sz w:val="16"/>
          <w:szCs w:val="16"/>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Times New Roman" w:cs="Times New Roman" w:eastAsia="Times New Roman" w:hAnsi="Times New Roman"/>
          <w:sz w:val="16"/>
          <w:szCs w:val="16"/>
          <w:color w:val="auto"/>
        </w:rPr>
        <w:t>In any event, the depositary will not exercise any discretion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146" w:lineRule="exact"/>
        <w:rPr>
          <w:sz w:val="20"/>
          <w:szCs w:val="20"/>
          <w:color w:val="auto"/>
        </w:rPr>
      </w:pPr>
    </w:p>
    <w:p>
      <w:pPr>
        <w:ind w:left="580" w:hanging="286"/>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wish the depositary to vote uninstructed shares;</w:t>
      </w:r>
    </w:p>
    <w:p>
      <w:pPr>
        <w:spacing w:after="0" w:line="16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reasonably do not know of any substantial shareholder opposition to a particular question; and</w:t>
      </w:r>
    </w:p>
    <w:p>
      <w:pPr>
        <w:spacing w:after="0" w:line="164"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particular question is not materially adverse to the interests of shareholders,</w:t>
      </w:r>
    </w:p>
    <w:p>
      <w:pPr>
        <w:spacing w:after="0" w:line="164" w:lineRule="exact"/>
        <w:rPr>
          <w:sz w:val="20"/>
          <w:szCs w:val="20"/>
          <w:color w:val="auto"/>
        </w:rPr>
      </w:pPr>
    </w:p>
    <w:p>
      <w:pPr>
        <w:jc w:val="both"/>
        <w:ind w:right="20" w:firstLine="528"/>
        <w:spacing w:after="0" w:line="234" w:lineRule="auto"/>
        <w:rPr>
          <w:sz w:val="20"/>
          <w:szCs w:val="20"/>
          <w:color w:val="auto"/>
        </w:rPr>
      </w:pPr>
      <w:r>
        <w:rPr>
          <w:rFonts w:ascii="Times New Roman" w:cs="Times New Roman" w:eastAsia="Times New Roman" w:hAnsi="Times New Roman"/>
          <w:sz w:val="16"/>
          <w:szCs w:val="16"/>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45" w:lineRule="exact"/>
        <w:rPr>
          <w:sz w:val="20"/>
          <w:szCs w:val="20"/>
          <w:color w:val="auto"/>
        </w:rPr>
      </w:pPr>
    </w:p>
    <w:p>
      <w:pPr>
        <w:jc w:val="both"/>
        <w:ind w:firstLine="528"/>
        <w:spacing w:after="0" w:line="223" w:lineRule="auto"/>
        <w:rPr>
          <w:sz w:val="20"/>
          <w:szCs w:val="20"/>
          <w:color w:val="auto"/>
        </w:rPr>
      </w:pPr>
      <w:r>
        <w:rPr>
          <w:rFonts w:ascii="Times New Roman" w:cs="Times New Roman" w:eastAsia="Times New Roman" w:hAnsi="Times New Roman"/>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6"/>
          <w:szCs w:val="16"/>
          <w:b w:val="1"/>
          <w:bCs w:val="1"/>
          <w:color w:val="auto"/>
        </w:rPr>
        <w:t>This means that you may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not be able to exercise voting rights and there may be nothing you can do if your shares are not voted as you requested.</w:t>
      </w:r>
    </w:p>
    <w:p>
      <w:pPr>
        <w:spacing w:after="0" w:line="147" w:lineRule="exact"/>
        <w:rPr>
          <w:sz w:val="20"/>
          <w:szCs w:val="20"/>
          <w:color w:val="auto"/>
        </w:rPr>
      </w:pPr>
    </w:p>
    <w:p>
      <w:pPr>
        <w:jc w:val="both"/>
        <w:ind w:firstLine="528"/>
        <w:spacing w:after="0" w:line="223" w:lineRule="auto"/>
        <w:rPr>
          <w:sz w:val="20"/>
          <w:szCs w:val="20"/>
          <w:color w:val="auto"/>
        </w:rPr>
      </w:pPr>
      <w:r>
        <w:rPr>
          <w:rFonts w:ascii="Times New Roman" w:cs="Times New Roman" w:eastAsia="Times New Roman" w:hAnsi="Times New Roman"/>
          <w:sz w:val="16"/>
          <w:szCs w:val="16"/>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40" w:orient="portrait"/>
          <w:cols w:equalWidth="0" w:num="1">
            <w:col w:w="10580"/>
          </w:cols>
          <w:pgMar w:left="660" w:top="1440" w:right="660" w:bottom="1440" w:gutter="0" w:footer="0" w:header="0"/>
        </w:sectPr>
      </w:pPr>
    </w:p>
    <w:bookmarkStart w:id="332" w:name="page333"/>
    <w:bookmarkEnd w:id="332"/>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Fees and Expenses</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700" w:type="dxa"/>
            <w:vAlign w:val="bottom"/>
          </w:tcPr>
          <w:p>
            <w:pPr>
              <w:jc w:val="center"/>
              <w:ind w:right="1042"/>
              <w:spacing w:after="0"/>
              <w:rPr>
                <w:sz w:val="20"/>
                <w:szCs w:val="20"/>
                <w:color w:val="auto"/>
              </w:rPr>
            </w:pPr>
            <w:r>
              <w:rPr>
                <w:rFonts w:ascii="Times New Roman" w:cs="Times New Roman" w:eastAsia="Times New Roman" w:hAnsi="Times New Roman"/>
                <w:sz w:val="16"/>
                <w:szCs w:val="16"/>
                <w:b w:val="1"/>
                <w:bCs w:val="1"/>
                <w:i w:val="1"/>
                <w:iCs w:val="1"/>
                <w:color w:val="auto"/>
                <w:w w:val="96"/>
              </w:rPr>
              <w:t>Persons depositing or withdrawing</w:t>
            </w:r>
          </w:p>
        </w:tc>
        <w:tc>
          <w:tcPr>
            <w:tcW w:w="2580" w:type="dxa"/>
            <w:vAlign w:val="bottom"/>
            <w:vMerge w:val="restart"/>
          </w:tcPr>
          <w:p>
            <w:pPr>
              <w:ind w:left="2300"/>
              <w:spacing w:after="0"/>
              <w:rPr>
                <w:sz w:val="20"/>
                <w:szCs w:val="20"/>
                <w:color w:val="auto"/>
              </w:rPr>
            </w:pPr>
            <w:r>
              <w:rPr>
                <w:rFonts w:ascii="Times New Roman" w:cs="Times New Roman" w:eastAsia="Times New Roman" w:hAnsi="Times New Roman"/>
                <w:sz w:val="16"/>
                <w:szCs w:val="16"/>
                <w:b w:val="1"/>
                <w:bCs w:val="1"/>
                <w:i w:val="1"/>
                <w:iCs w:val="1"/>
                <w:color w:val="auto"/>
                <w:w w:val="85"/>
              </w:rPr>
              <w:t>For</w:t>
            </w:r>
            <w:r>
              <w:rPr>
                <w:rFonts w:ascii="Times New Roman" w:cs="Times New Roman" w:eastAsia="Times New Roman" w:hAnsi="Times New Roman"/>
                <w:sz w:val="16"/>
                <w:szCs w:val="16"/>
                <w:b w:val="1"/>
                <w:bCs w:val="1"/>
                <w:color w:val="auto"/>
                <w:w w:val="85"/>
              </w:rPr>
              <w:t>:</w:t>
            </w:r>
          </w:p>
        </w:tc>
        <w:tc>
          <w:tcPr>
            <w:tcW w:w="0" w:type="dxa"/>
            <w:vAlign w:val="bottom"/>
          </w:tcPr>
          <w:p>
            <w:pPr>
              <w:spacing w:after="0"/>
              <w:rPr>
                <w:sz w:val="1"/>
                <w:szCs w:val="1"/>
                <w:color w:val="auto"/>
              </w:rPr>
            </w:pPr>
          </w:p>
        </w:tc>
      </w:tr>
      <w:tr>
        <w:trPr>
          <w:trHeight w:val="207"/>
        </w:trPr>
        <w:tc>
          <w:tcPr>
            <w:tcW w:w="5700" w:type="dxa"/>
            <w:vAlign w:val="bottom"/>
          </w:tcPr>
          <w:p>
            <w:pPr>
              <w:jc w:val="center"/>
              <w:ind w:right="1042"/>
              <w:spacing w:after="0"/>
              <w:rPr>
                <w:sz w:val="20"/>
                <w:szCs w:val="20"/>
                <w:color w:val="auto"/>
              </w:rPr>
            </w:pPr>
            <w:r>
              <w:rPr>
                <w:rFonts w:ascii="Times New Roman" w:cs="Times New Roman" w:eastAsia="Times New Roman" w:hAnsi="Times New Roman"/>
                <w:sz w:val="16"/>
                <w:szCs w:val="16"/>
                <w:b w:val="1"/>
                <w:bCs w:val="1"/>
                <w:i w:val="1"/>
                <w:iCs w:val="1"/>
                <w:color w:val="auto"/>
                <w:w w:val="96"/>
              </w:rPr>
              <w:t>shares or ADS holders must pay</w:t>
            </w:r>
            <w:r>
              <w:rPr>
                <w:rFonts w:ascii="Times New Roman" w:cs="Times New Roman" w:eastAsia="Times New Roman" w:hAnsi="Times New Roman"/>
                <w:sz w:val="16"/>
                <w:szCs w:val="16"/>
                <w:b w:val="1"/>
                <w:bCs w:val="1"/>
                <w:color w:val="auto"/>
                <w:w w:val="96"/>
              </w:rPr>
              <w:t>:</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60" w:top="1440" w:right="660"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$5.00 (or less) per 100 ADSs (or portion of 100 ADSs)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6"/>
          <w:szCs w:val="16"/>
          <w:color w:val="auto"/>
        </w:rPr>
        <w:t>Issuance of ADSs, including issuances resulting from a distribution of shares or rights or other property</w:t>
      </w:r>
    </w:p>
    <w:p>
      <w:pPr>
        <w:spacing w:after="0" w:line="49"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6"/>
          <w:szCs w:val="16"/>
          <w:color w:val="auto"/>
        </w:rPr>
        <w:t>Cancellation of ADSs for the purpose of withdrawal, including if the deposit agreement terminates</w:t>
      </w:r>
    </w:p>
    <w:p>
      <w:pPr>
        <w:spacing w:after="0" w:line="200" w:lineRule="exact"/>
        <w:rPr>
          <w:sz w:val="20"/>
          <w:szCs w:val="20"/>
          <w:color w:val="auto"/>
        </w:rPr>
      </w:pPr>
    </w:p>
    <w:p>
      <w:pPr>
        <w:sectPr>
          <w:pgSz w:w="11900" w:h="16840" w:orient="portrait"/>
          <w:cols w:equalWidth="0" w:num="2">
            <w:col w:w="5380" w:space="720"/>
            <w:col w:w="4480"/>
          </w:cols>
          <w:pgMar w:left="660" w:top="1440" w:right="660" w:bottom="1440" w:gutter="0" w:footer="0" w:header="0"/>
          <w:type w:val="continuous"/>
        </w:sectPr>
      </w:pPr>
    </w:p>
    <w:p>
      <w:pPr>
        <w:spacing w:after="0" w:line="197"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$.05 (or less) per ADS</w:t>
      </w:r>
      <w:r>
        <w:rPr>
          <w:sz w:val="20"/>
          <w:szCs w:val="20"/>
          <w:color w:val="auto"/>
        </w:rPr>
        <w:tab/>
      </w:r>
      <w:r>
        <w:rPr>
          <w:rFonts w:ascii="Times New Roman" w:cs="Times New Roman" w:eastAsia="Times New Roman" w:hAnsi="Times New Roman"/>
          <w:sz w:val="14"/>
          <w:szCs w:val="14"/>
          <w:color w:val="auto"/>
        </w:rPr>
        <w:t>Any cash distribution to ADS holders</w:t>
      </w:r>
    </w:p>
    <w:p>
      <w:pPr>
        <w:spacing w:after="0" w:line="344"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A fee equivalent to the fee that would be payable if securities distributed</w:t>
      </w:r>
      <w:r>
        <w:rPr>
          <w:sz w:val="20"/>
          <w:szCs w:val="20"/>
          <w:color w:val="auto"/>
        </w:rPr>
        <w:tab/>
      </w:r>
      <w:r>
        <w:rPr>
          <w:rFonts w:ascii="Times New Roman" w:cs="Times New Roman" w:eastAsia="Times New Roman" w:hAnsi="Times New Roman"/>
          <w:sz w:val="14"/>
          <w:szCs w:val="14"/>
          <w:color w:val="auto"/>
        </w:rPr>
        <w:t>Distribution of securities distributed to holders of deposited securities</w:t>
      </w:r>
    </w:p>
    <w:p>
      <w:pPr>
        <w:spacing w:after="0" w:line="19"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to you had been shares and the shares had been deposited for issuance of</w:t>
      </w:r>
      <w:r>
        <w:rPr>
          <w:sz w:val="20"/>
          <w:szCs w:val="20"/>
          <w:color w:val="auto"/>
        </w:rPr>
        <w:tab/>
      </w:r>
      <w:r>
        <w:rPr>
          <w:rFonts w:ascii="Times New Roman" w:cs="Times New Roman" w:eastAsia="Times New Roman" w:hAnsi="Times New Roman"/>
          <w:sz w:val="14"/>
          <w:szCs w:val="14"/>
          <w:color w:val="auto"/>
        </w:rPr>
        <w:t>(including rights) that are distributed by the depositary to ADS holders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ADSs</w:t>
      </w:r>
    </w:p>
    <w:p>
      <w:pPr>
        <w:spacing w:after="0" w:line="333"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$.05 (or less) per ADS per calendar year</w:t>
      </w:r>
      <w:r>
        <w:rPr>
          <w:sz w:val="20"/>
          <w:szCs w:val="20"/>
          <w:color w:val="auto"/>
        </w:rPr>
        <w:tab/>
      </w:r>
      <w:r>
        <w:rPr>
          <w:rFonts w:ascii="Times New Roman" w:cs="Times New Roman" w:eastAsia="Times New Roman" w:hAnsi="Times New Roman"/>
          <w:sz w:val="14"/>
          <w:szCs w:val="14"/>
          <w:color w:val="auto"/>
        </w:rPr>
        <w:t>Depositary services</w:t>
      </w:r>
    </w:p>
    <w:p>
      <w:pPr>
        <w:spacing w:after="0" w:line="344"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Registration or transfer fees</w:t>
      </w:r>
      <w:r>
        <w:rPr>
          <w:sz w:val="20"/>
          <w:szCs w:val="20"/>
          <w:color w:val="auto"/>
        </w:rPr>
        <w:tab/>
      </w:r>
      <w:r>
        <w:rPr>
          <w:rFonts w:ascii="Times New Roman" w:cs="Times New Roman" w:eastAsia="Times New Roman" w:hAnsi="Times New Roman"/>
          <w:sz w:val="14"/>
          <w:szCs w:val="14"/>
          <w:color w:val="auto"/>
        </w:rPr>
        <w:t>Transfer and registration of shares on our share register to or from the</w:t>
      </w:r>
    </w:p>
    <w:p>
      <w:pPr>
        <w:spacing w:after="0" w:line="1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name of the depositary or its agent when you deposit or withdraw</w:t>
      </w:r>
    </w:p>
    <w:p>
      <w:pPr>
        <w:spacing w:after="0" w:line="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shares</w:t>
      </w:r>
    </w:p>
    <w:p>
      <w:pPr>
        <w:spacing w:after="0" w:line="299" w:lineRule="exact"/>
        <w:rPr>
          <w:sz w:val="20"/>
          <w:szCs w:val="20"/>
          <w:color w:val="auto"/>
        </w:rPr>
      </w:pPr>
    </w:p>
    <w:p>
      <w:pPr>
        <w:ind w:left="20"/>
        <w:spacing w:after="0"/>
        <w:tabs>
          <w:tab w:leader="none" w:pos="6080" w:val="left"/>
        </w:tabs>
        <w:rPr>
          <w:sz w:val="20"/>
          <w:szCs w:val="20"/>
          <w:color w:val="auto"/>
        </w:rPr>
      </w:pPr>
      <w:r>
        <w:rPr>
          <w:rFonts w:ascii="Times New Roman" w:cs="Times New Roman" w:eastAsia="Times New Roman" w:hAnsi="Times New Roman"/>
          <w:sz w:val="16"/>
          <w:szCs w:val="16"/>
          <w:color w:val="auto"/>
        </w:rPr>
        <w:t>Expenses of the depositary</w:t>
      </w:r>
      <w:r>
        <w:rPr>
          <w:sz w:val="20"/>
          <w:szCs w:val="20"/>
          <w:color w:val="auto"/>
        </w:rPr>
        <w:tab/>
      </w:r>
      <w:r>
        <w:rPr>
          <w:rFonts w:ascii="Times New Roman" w:cs="Times New Roman" w:eastAsia="Times New Roman" w:hAnsi="Times New Roman"/>
          <w:sz w:val="14"/>
          <w:szCs w:val="14"/>
          <w:color w:val="auto"/>
        </w:rPr>
        <w:t>Cable and facsimile transmissions (when expressly provided in the</w:t>
      </w:r>
    </w:p>
    <w:p>
      <w:pPr>
        <w:spacing w:after="0" w:line="1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deposit agreement)</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Converting foreign currency to U.S. dollars</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Taxes and other governmental charges the depositary or the custodian</w:t>
      </w:r>
      <w:r>
        <w:rPr>
          <w:sz w:val="20"/>
          <w:szCs w:val="20"/>
          <w:color w:val="auto"/>
        </w:rPr>
        <w:tab/>
      </w:r>
      <w:r>
        <w:rPr>
          <w:rFonts w:ascii="Times New Roman" w:cs="Times New Roman" w:eastAsia="Times New Roman" w:hAnsi="Times New Roman"/>
          <w:sz w:val="14"/>
          <w:szCs w:val="14"/>
          <w:color w:val="auto"/>
        </w:rPr>
        <w:t>As necessary</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has to pay on any ADSs or shares underlying ADSs, such as stock</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transfer taxes, stamp duty or withholding taxes</w:t>
      </w:r>
    </w:p>
    <w:p>
      <w:pPr>
        <w:spacing w:after="0" w:line="333" w:lineRule="exact"/>
        <w:rPr>
          <w:sz w:val="20"/>
          <w:szCs w:val="20"/>
          <w:color w:val="auto"/>
        </w:rPr>
      </w:pPr>
    </w:p>
    <w:p>
      <w:pPr>
        <w:ind w:left="20"/>
        <w:spacing w:after="0"/>
        <w:tabs>
          <w:tab w:leader="none" w:pos="6100" w:val="left"/>
        </w:tabs>
        <w:rPr>
          <w:sz w:val="20"/>
          <w:szCs w:val="20"/>
          <w:color w:val="auto"/>
        </w:rPr>
      </w:pPr>
      <w:r>
        <w:rPr>
          <w:rFonts w:ascii="Times New Roman" w:cs="Times New Roman" w:eastAsia="Times New Roman" w:hAnsi="Times New Roman"/>
          <w:sz w:val="16"/>
          <w:szCs w:val="16"/>
          <w:color w:val="auto"/>
        </w:rPr>
        <w:t>Any charges incurred by the depositary or its agents for servicing the</w:t>
      </w:r>
      <w:r>
        <w:rPr>
          <w:sz w:val="20"/>
          <w:szCs w:val="20"/>
          <w:color w:val="auto"/>
        </w:rPr>
        <w:tab/>
      </w:r>
      <w:r>
        <w:rPr>
          <w:rFonts w:ascii="Times New Roman" w:cs="Times New Roman" w:eastAsia="Times New Roman" w:hAnsi="Times New Roman"/>
          <w:sz w:val="14"/>
          <w:szCs w:val="14"/>
          <w:color w:val="auto"/>
        </w:rPr>
        <w:t>As necessary</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deposited securities</w:t>
      </w:r>
    </w:p>
    <w:p>
      <w:pPr>
        <w:spacing w:after="0" w:line="201" w:lineRule="exact"/>
        <w:rPr>
          <w:sz w:val="20"/>
          <w:szCs w:val="20"/>
          <w:color w:val="auto"/>
        </w:rPr>
      </w:pPr>
    </w:p>
    <w:p>
      <w:pPr>
        <w:jc w:val="both"/>
        <w:ind w:firstLine="528"/>
        <w:spacing w:after="0" w:line="213" w:lineRule="auto"/>
        <w:rPr>
          <w:sz w:val="20"/>
          <w:szCs w:val="20"/>
          <w:color w:val="auto"/>
        </w:rPr>
      </w:pPr>
      <w:r>
        <w:rPr>
          <w:rFonts w:ascii="Times New Roman" w:cs="Times New Roman" w:eastAsia="Times New Roman" w:hAnsi="Times New Roman"/>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 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ectPr>
          <w:pgSz w:w="11900" w:h="16840" w:orient="portrait"/>
          <w:cols w:equalWidth="0" w:num="1">
            <w:col w:w="10580"/>
          </w:cols>
          <w:pgMar w:left="660" w:top="1440" w:right="660" w:bottom="1440" w:gutter="0" w:footer="0" w:header="0"/>
          <w:type w:val="continuous"/>
        </w:sectPr>
      </w:pPr>
    </w:p>
    <w:bookmarkStart w:id="333" w:name="page334"/>
    <w:bookmarkEnd w:id="333"/>
    <w:p>
      <w:pPr>
        <w:spacing w:after="0" w:line="200" w:lineRule="exact"/>
        <w:rPr>
          <w:sz w:val="20"/>
          <w:szCs w:val="20"/>
          <w:color w:val="auto"/>
        </w:rPr>
      </w:pPr>
    </w:p>
    <w:p>
      <w:pPr>
        <w:spacing w:after="0" w:line="249" w:lineRule="exact"/>
        <w:rPr>
          <w:sz w:val="20"/>
          <w:szCs w:val="20"/>
          <w:color w:val="auto"/>
        </w:rPr>
      </w:pPr>
    </w:p>
    <w:p>
      <w:pPr>
        <w:jc w:val="both"/>
        <w:ind w:firstLine="528"/>
        <w:spacing w:after="0" w:line="218" w:lineRule="auto"/>
        <w:rPr>
          <w:sz w:val="20"/>
          <w:szCs w:val="20"/>
          <w:color w:val="auto"/>
        </w:rPr>
      </w:pPr>
      <w:r>
        <w:rPr>
          <w:rFonts w:ascii="Times New Roman" w:cs="Times New Roman" w:eastAsia="Times New Roman" w:hAnsi="Times New Roman"/>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48" w:lineRule="exact"/>
        <w:rPr>
          <w:sz w:val="20"/>
          <w:szCs w:val="20"/>
          <w:color w:val="auto"/>
        </w:rPr>
      </w:pPr>
    </w:p>
    <w:p>
      <w:pPr>
        <w:jc w:val="both"/>
        <w:ind w:firstLine="528"/>
        <w:spacing w:after="0" w:line="212" w:lineRule="auto"/>
        <w:rPr>
          <w:sz w:val="20"/>
          <w:szCs w:val="20"/>
          <w:color w:val="auto"/>
        </w:rPr>
      </w:pPr>
      <w:r>
        <w:rPr>
          <w:rFonts w:ascii="Times New Roman" w:cs="Times New Roman" w:eastAsia="Times New Roman" w:hAnsi="Times New Roman"/>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 of Taxes</w:t>
      </w:r>
    </w:p>
    <w:p>
      <w:pPr>
        <w:spacing w:after="0" w:line="166" w:lineRule="exact"/>
        <w:rPr>
          <w:sz w:val="20"/>
          <w:szCs w:val="20"/>
          <w:color w:val="auto"/>
        </w:rPr>
      </w:pPr>
    </w:p>
    <w:p>
      <w:pPr>
        <w:jc w:val="both"/>
        <w:ind w:right="20" w:firstLine="528"/>
        <w:spacing w:after="0" w:line="215" w:lineRule="auto"/>
        <w:rPr>
          <w:sz w:val="20"/>
          <w:szCs w:val="20"/>
          <w:color w:val="auto"/>
        </w:rPr>
      </w:pPr>
      <w:r>
        <w:rPr>
          <w:rFonts w:ascii="Times New Roman" w:cs="Times New Roman" w:eastAsia="Times New Roman" w:hAnsi="Times New Roman"/>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Tender and Exchange Offers; Redemption, Replacement or Cancellation of Deposited Securities</w:t>
      </w:r>
    </w:p>
    <w:p>
      <w:pPr>
        <w:spacing w:after="0" w:line="166" w:lineRule="exact"/>
        <w:rPr>
          <w:sz w:val="20"/>
          <w:szCs w:val="20"/>
          <w:color w:val="auto"/>
        </w:rPr>
      </w:pPr>
    </w:p>
    <w:p>
      <w:pPr>
        <w:jc w:val="both"/>
        <w:ind w:right="40" w:firstLine="528"/>
        <w:spacing w:after="0" w:line="234" w:lineRule="auto"/>
        <w:rPr>
          <w:sz w:val="20"/>
          <w:szCs w:val="20"/>
          <w:color w:val="auto"/>
        </w:rPr>
      </w:pPr>
      <w:r>
        <w:rPr>
          <w:rFonts w:ascii="Times New Roman" w:cs="Times New Roman" w:eastAsia="Times New Roman" w:hAnsi="Times New Roman"/>
          <w:sz w:val="16"/>
          <w:szCs w:val="16"/>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45" w:lineRule="exact"/>
        <w:rPr>
          <w:sz w:val="20"/>
          <w:szCs w:val="20"/>
          <w:color w:val="auto"/>
        </w:rPr>
      </w:pPr>
    </w:p>
    <w:p>
      <w:pPr>
        <w:jc w:val="both"/>
        <w:ind w:firstLine="528"/>
        <w:spacing w:after="0" w:line="234" w:lineRule="auto"/>
        <w:rPr>
          <w:sz w:val="20"/>
          <w:szCs w:val="20"/>
          <w:color w:val="auto"/>
        </w:rPr>
      </w:pPr>
      <w:r>
        <w:rPr>
          <w:rFonts w:ascii="Times New Roman" w:cs="Times New Roman" w:eastAsia="Times New Roman" w:hAnsi="Times New Roman"/>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45" w:lineRule="exact"/>
        <w:rPr>
          <w:sz w:val="20"/>
          <w:szCs w:val="20"/>
          <w:color w:val="auto"/>
        </w:rPr>
      </w:pPr>
    </w:p>
    <w:p>
      <w:pPr>
        <w:jc w:val="both"/>
        <w:ind w:firstLine="528"/>
        <w:spacing w:after="0" w:line="215" w:lineRule="auto"/>
        <w:rPr>
          <w:sz w:val="20"/>
          <w:szCs w:val="20"/>
          <w:color w:val="auto"/>
        </w:rPr>
      </w:pPr>
      <w:r>
        <w:rPr>
          <w:rFonts w:ascii="Times New Roman" w:cs="Times New Roman" w:eastAsia="Times New Roman" w:hAnsi="Times New Roman"/>
          <w:sz w:val="16"/>
          <w:szCs w:val="16"/>
          <w:color w:val="auto"/>
        </w:rPr>
        <w:t>If there is any change in the deposited securities such as a sub -division,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48" w:lineRule="exact"/>
        <w:rPr>
          <w:sz w:val="20"/>
          <w:szCs w:val="20"/>
          <w:color w:val="auto"/>
        </w:rPr>
      </w:pPr>
    </w:p>
    <w:p>
      <w:pPr>
        <w:jc w:val="both"/>
        <w:ind w:right="20" w:firstLine="528"/>
        <w:spacing w:after="0" w:line="234" w:lineRule="auto"/>
        <w:rPr>
          <w:sz w:val="20"/>
          <w:szCs w:val="20"/>
          <w:color w:val="auto"/>
        </w:rPr>
      </w:pPr>
      <w:r>
        <w:rPr>
          <w:rFonts w:ascii="Times New Roman" w:cs="Times New Roman" w:eastAsia="Times New Roman" w:hAnsi="Times New Roman"/>
          <w:sz w:val="16"/>
          <w:szCs w:val="16"/>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45" w:lineRule="exact"/>
        <w:rPr>
          <w:sz w:val="20"/>
          <w:szCs w:val="20"/>
          <w:color w:val="auto"/>
        </w:rPr>
      </w:pPr>
    </w:p>
    <w:p>
      <w:pPr>
        <w:jc w:val="both"/>
        <w:ind w:right="40" w:firstLine="528"/>
        <w:spacing w:after="0" w:line="234" w:lineRule="auto"/>
        <w:rPr>
          <w:sz w:val="20"/>
          <w:szCs w:val="20"/>
          <w:color w:val="auto"/>
        </w:rPr>
      </w:pPr>
      <w:r>
        <w:rPr>
          <w:rFonts w:ascii="Times New Roman" w:cs="Times New Roman" w:eastAsia="Times New Roman" w:hAnsi="Times New Roman"/>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and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may the deposit agreement be amended?</w:t>
      </w:r>
    </w:p>
    <w:p>
      <w:pPr>
        <w:spacing w:after="0" w:line="168" w:lineRule="exact"/>
        <w:rPr>
          <w:sz w:val="20"/>
          <w:szCs w:val="20"/>
          <w:color w:val="auto"/>
        </w:rPr>
      </w:pPr>
    </w:p>
    <w:p>
      <w:pPr>
        <w:jc w:val="both"/>
        <w:ind w:firstLine="528"/>
        <w:spacing w:after="0" w:line="223" w:lineRule="auto"/>
        <w:rPr>
          <w:sz w:val="20"/>
          <w:szCs w:val="20"/>
          <w:color w:val="auto"/>
        </w:rPr>
      </w:pPr>
      <w:r>
        <w:rPr>
          <w:rFonts w:ascii="Times New Roman" w:cs="Times New Roman" w:eastAsia="Times New Roman" w:hAnsi="Times New Roman"/>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w:t>
      </w:r>
    </w:p>
    <w:p>
      <w:pPr>
        <w:sectPr>
          <w:pgSz w:w="11900" w:h="16840" w:orient="portrait"/>
          <w:cols w:equalWidth="0" w:num="1">
            <w:col w:w="10580"/>
          </w:cols>
          <w:pgMar w:left="660" w:top="1440" w:right="660" w:bottom="1440" w:gutter="0" w:footer="0" w:header="0"/>
        </w:sectPr>
      </w:pPr>
    </w:p>
    <w:bookmarkStart w:id="334" w:name="page335"/>
    <w:bookmarkEnd w:id="334"/>
    <w:p>
      <w:pPr>
        <w:spacing w:after="0" w:line="200" w:lineRule="exact"/>
        <w:rPr>
          <w:sz w:val="20"/>
          <w:szCs w:val="20"/>
          <w:color w:val="auto"/>
        </w:rPr>
      </w:pPr>
    </w:p>
    <w:p>
      <w:pPr>
        <w:spacing w:after="0" w:line="24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 xml:space="preserve">notifies ADS holders of the amendment. </w:t>
      </w:r>
      <w:r>
        <w:rPr>
          <w:rFonts w:ascii="Times New Roman" w:cs="Times New Roman" w:eastAsia="Times New Roman" w:hAnsi="Times New Roman"/>
          <w:sz w:val="16"/>
          <w:szCs w:val="16"/>
          <w:b w:val="1"/>
          <w:bCs w:val="1"/>
          <w:color w:val="auto"/>
        </w:rPr>
        <w:t>At the time an amendment becomes effective, you are considered, by continuing to hold your ADSs, to agree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amendment and to be bound by the ADRs and the deposit agreement as amended.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may the deposit agreement be terminated?</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199" w:lineRule="exact"/>
        <w:rPr>
          <w:sz w:val="20"/>
          <w:szCs w:val="20"/>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60 days have passed since the depositary told us it wants to resign but a successor depositary has not been appointed and accepted its appointment;</w:t>
      </w:r>
    </w:p>
    <w:p>
      <w:pPr>
        <w:spacing w:after="0" w:line="200" w:lineRule="exact"/>
        <w:rPr>
          <w:rFonts w:ascii="Calibri" w:cs="Calibri" w:eastAsia="Calibri" w:hAnsi="Calibri"/>
          <w:sz w:val="16"/>
          <w:szCs w:val="16"/>
          <w:color w:val="auto"/>
        </w:rPr>
      </w:pPr>
    </w:p>
    <w:p>
      <w:pPr>
        <w:ind w:left="1160" w:hanging="578"/>
        <w:spacing w:after="0" w:line="276" w:lineRule="auto"/>
        <w:tabs>
          <w:tab w:leader="none" w:pos="1148"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51" w:lineRule="exact"/>
        <w:rPr>
          <w:rFonts w:ascii="Calibri" w:cs="Calibri" w:eastAsia="Calibri" w:hAnsi="Calibri"/>
          <w:sz w:val="16"/>
          <w:szCs w:val="16"/>
          <w:color w:val="auto"/>
        </w:rPr>
      </w:pPr>
    </w:p>
    <w:p>
      <w:pPr>
        <w:ind w:left="1160" w:right="20" w:hanging="578"/>
        <w:spacing w:after="0" w:line="276" w:lineRule="auto"/>
        <w:tabs>
          <w:tab w:leader="none" w:pos="1148"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we delist our ordinary shares from an exchange outside the United States on which they were listed and do not list the shares on another exchange outside the United States;</w:t>
      </w:r>
    </w:p>
    <w:p>
      <w:pPr>
        <w:spacing w:after="0" w:line="151" w:lineRule="exact"/>
        <w:rPr>
          <w:rFonts w:ascii="Calibri" w:cs="Calibri" w:eastAsia="Calibri" w:hAnsi="Calibri"/>
          <w:sz w:val="16"/>
          <w:szCs w:val="16"/>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the depositary has reason to believe the ADSs have become, or will become, ineligible for registration on Form F-6 under the Securities Act;</w:t>
      </w:r>
    </w:p>
    <w:p>
      <w:pPr>
        <w:spacing w:after="0" w:line="200" w:lineRule="exact"/>
        <w:rPr>
          <w:rFonts w:ascii="Calibri" w:cs="Calibri" w:eastAsia="Calibri" w:hAnsi="Calibri"/>
          <w:sz w:val="16"/>
          <w:szCs w:val="16"/>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we appear to be insolvent or enter insolvency proceedings</w:t>
      </w:r>
    </w:p>
    <w:p>
      <w:pPr>
        <w:spacing w:after="0" w:line="200" w:lineRule="exact"/>
        <w:rPr>
          <w:rFonts w:ascii="Calibri" w:cs="Calibri" w:eastAsia="Calibri" w:hAnsi="Calibri"/>
          <w:sz w:val="16"/>
          <w:szCs w:val="16"/>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all or substantially all the value of the deposited securities has been distributed either in cash or in the form of securities;</w:t>
      </w:r>
    </w:p>
    <w:p>
      <w:pPr>
        <w:spacing w:after="0" w:line="200" w:lineRule="exact"/>
        <w:rPr>
          <w:rFonts w:ascii="Calibri" w:cs="Calibri" w:eastAsia="Calibri" w:hAnsi="Calibri"/>
          <w:sz w:val="16"/>
          <w:szCs w:val="16"/>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there are no deposited securities underlying the ADSs or the underlying deposited securities have become apparently worthless; or</w:t>
      </w:r>
    </w:p>
    <w:p>
      <w:pPr>
        <w:spacing w:after="0" w:line="200" w:lineRule="exact"/>
        <w:rPr>
          <w:rFonts w:ascii="Calibri" w:cs="Calibri" w:eastAsia="Calibri" w:hAnsi="Calibri"/>
          <w:sz w:val="16"/>
          <w:szCs w:val="16"/>
          <w:color w:val="auto"/>
        </w:rPr>
      </w:pPr>
    </w:p>
    <w:p>
      <w:pPr>
        <w:ind w:left="1140" w:hanging="558"/>
        <w:spacing w:after="0"/>
        <w:tabs>
          <w:tab w:leader="none" w:pos="1140" w:val="left"/>
        </w:tabs>
        <w:numPr>
          <w:ilvl w:val="0"/>
          <w:numId w:val="218"/>
        </w:numPr>
        <w:rPr>
          <w:rFonts w:ascii="Calibri" w:cs="Calibri" w:eastAsia="Calibri" w:hAnsi="Calibri"/>
          <w:sz w:val="16"/>
          <w:szCs w:val="16"/>
          <w:color w:val="auto"/>
        </w:rPr>
      </w:pPr>
      <w:r>
        <w:rPr>
          <w:rFonts w:ascii="Times New Roman" w:cs="Times New Roman" w:eastAsia="Times New Roman" w:hAnsi="Times New Roman"/>
          <w:sz w:val="16"/>
          <w:szCs w:val="16"/>
          <w:color w:val="auto"/>
        </w:rPr>
        <w:t>there has been a replacement of deposited securities.</w:t>
      </w:r>
    </w:p>
    <w:p>
      <w:pPr>
        <w:spacing w:after="0" w:line="189" w:lineRule="exact"/>
        <w:rPr>
          <w:sz w:val="20"/>
          <w:szCs w:val="20"/>
          <w:color w:val="auto"/>
        </w:rPr>
      </w:pPr>
    </w:p>
    <w:p>
      <w:pPr>
        <w:jc w:val="both"/>
        <w:ind w:right="20" w:firstLine="528"/>
        <w:spacing w:after="0" w:line="218" w:lineRule="auto"/>
        <w:rPr>
          <w:sz w:val="20"/>
          <w:szCs w:val="20"/>
          <w:color w:val="auto"/>
        </w:rPr>
      </w:pPr>
      <w:r>
        <w:rPr>
          <w:rFonts w:ascii="Times New Roman" w:cs="Times New Roman" w:eastAsia="Times New Roman" w:hAnsi="Times New Roman"/>
          <w:sz w:val="16"/>
          <w:szCs w:val="16"/>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48" w:lineRule="exact"/>
        <w:rPr>
          <w:sz w:val="20"/>
          <w:szCs w:val="20"/>
          <w:color w:val="auto"/>
        </w:rPr>
      </w:pPr>
    </w:p>
    <w:p>
      <w:pPr>
        <w:jc w:val="both"/>
        <w:ind w:firstLine="528"/>
        <w:spacing w:after="0" w:line="213" w:lineRule="auto"/>
        <w:rPr>
          <w:sz w:val="20"/>
          <w:szCs w:val="20"/>
          <w:color w:val="auto"/>
        </w:rPr>
      </w:pPr>
      <w:r>
        <w:rPr>
          <w:rFonts w:ascii="Times New Roman" w:cs="Times New Roman" w:eastAsia="Times New Roman" w:hAnsi="Times New Roman"/>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Obligations and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Limits on our Obligations and the Obligations of the Depositary; Limits on Liability to Holders of ADSs</w:t>
      </w:r>
    </w:p>
    <w:p>
      <w:pPr>
        <w:spacing w:after="0" w:line="168" w:lineRule="exact"/>
        <w:rPr>
          <w:sz w:val="20"/>
          <w:szCs w:val="20"/>
          <w:color w:val="auto"/>
        </w:rPr>
      </w:pPr>
    </w:p>
    <w:p>
      <w:pPr>
        <w:ind w:right="40" w:firstLine="528"/>
        <w:spacing w:after="0" w:line="234" w:lineRule="auto"/>
        <w:rPr>
          <w:sz w:val="20"/>
          <w:szCs w:val="20"/>
          <w:color w:val="auto"/>
        </w:rPr>
      </w:pPr>
      <w:r>
        <w:rPr>
          <w:rFonts w:ascii="Times New Roman" w:cs="Times New Roman" w:eastAsia="Times New Roman" w:hAnsi="Times New Roman"/>
          <w:sz w:val="16"/>
          <w:szCs w:val="16"/>
          <w:color w:val="auto"/>
        </w:rPr>
        <w:t>The deposit agreement expressly limits our obligations and the obligations of the depositary. It also limits our liability and the liability of the depositary. We and the depositary:</w:t>
      </w:r>
    </w:p>
    <w:p>
      <w:pPr>
        <w:sectPr>
          <w:pgSz w:w="11900" w:h="16840" w:orient="portrait"/>
          <w:cols w:equalWidth="0" w:num="1">
            <w:col w:w="10580"/>
          </w:cols>
          <w:pgMar w:left="660" w:top="1440" w:right="660" w:bottom="1440" w:gutter="0" w:footer="0" w:header="0"/>
        </w:sectPr>
      </w:pPr>
    </w:p>
    <w:bookmarkStart w:id="335" w:name="page336"/>
    <w:bookmarkEnd w:id="335"/>
    <w:p>
      <w:pPr>
        <w:spacing w:after="0" w:line="389" w:lineRule="exact"/>
        <w:rPr>
          <w:sz w:val="20"/>
          <w:szCs w:val="20"/>
          <w:color w:val="auto"/>
        </w:rPr>
      </w:pPr>
    </w:p>
    <w:p>
      <w:pPr>
        <w:ind w:left="1160" w:right="20" w:hanging="290"/>
        <w:spacing w:after="0" w:line="276" w:lineRule="auto"/>
        <w:tabs>
          <w:tab w:leader="none" w:pos="1148"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are only obligated to take the actions specifically set forth in the deposit agreement without negligence or bad faith, and the depositary will not be a fiduciary or have any fiduciary duty to holders of ADSs;</w:t>
      </w:r>
    </w:p>
    <w:p>
      <w:pPr>
        <w:spacing w:after="0" w:line="151" w:lineRule="exact"/>
        <w:rPr>
          <w:rFonts w:ascii="Calibri" w:cs="Calibri" w:eastAsia="Calibri" w:hAnsi="Calibri"/>
          <w:sz w:val="16"/>
          <w:szCs w:val="16"/>
          <w:color w:val="auto"/>
        </w:rPr>
      </w:pPr>
    </w:p>
    <w:p>
      <w:pPr>
        <w:ind w:left="1160" w:right="40" w:hanging="290"/>
        <w:spacing w:after="0" w:line="276" w:lineRule="auto"/>
        <w:tabs>
          <w:tab w:leader="none" w:pos="1148"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51" w:lineRule="exact"/>
        <w:rPr>
          <w:rFonts w:ascii="Calibri" w:cs="Calibri" w:eastAsia="Calibri" w:hAnsi="Calibri"/>
          <w:sz w:val="16"/>
          <w:szCs w:val="16"/>
          <w:color w:val="auto"/>
        </w:rPr>
      </w:pPr>
    </w:p>
    <w:p>
      <w:pPr>
        <w:ind w:left="1140" w:hanging="270"/>
        <w:spacing w:after="0"/>
        <w:tabs>
          <w:tab w:leader="none" w:pos="1140"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are not liable if we or it exercises discretion permitted under the deposit agreement;</w:t>
      </w:r>
    </w:p>
    <w:p>
      <w:pPr>
        <w:spacing w:after="0" w:line="200" w:lineRule="exact"/>
        <w:rPr>
          <w:rFonts w:ascii="Calibri" w:cs="Calibri" w:eastAsia="Calibri" w:hAnsi="Calibri"/>
          <w:sz w:val="16"/>
          <w:szCs w:val="16"/>
          <w:color w:val="auto"/>
        </w:rPr>
      </w:pPr>
    </w:p>
    <w:p>
      <w:pPr>
        <w:jc w:val="both"/>
        <w:ind w:left="1160" w:right="40" w:hanging="290"/>
        <w:spacing w:after="0" w:line="262" w:lineRule="auto"/>
        <w:tabs>
          <w:tab w:leader="none" w:pos="1148"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65" w:lineRule="exact"/>
        <w:rPr>
          <w:rFonts w:ascii="Calibri" w:cs="Calibri" w:eastAsia="Calibri" w:hAnsi="Calibri"/>
          <w:sz w:val="16"/>
          <w:szCs w:val="16"/>
          <w:color w:val="auto"/>
        </w:rPr>
      </w:pPr>
    </w:p>
    <w:p>
      <w:pPr>
        <w:ind w:left="1160" w:right="40" w:hanging="290"/>
        <w:spacing w:after="0" w:line="276" w:lineRule="auto"/>
        <w:tabs>
          <w:tab w:leader="none" w:pos="1148"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have no obligation to become involved in a lawsuit or other proceeding related to the ADSs or the deposit agreement on your behalf or on behalf of any other person;</w:t>
      </w:r>
    </w:p>
    <w:p>
      <w:pPr>
        <w:spacing w:after="0" w:line="151" w:lineRule="exact"/>
        <w:rPr>
          <w:rFonts w:ascii="Calibri" w:cs="Calibri" w:eastAsia="Calibri" w:hAnsi="Calibri"/>
          <w:sz w:val="16"/>
          <w:szCs w:val="16"/>
          <w:color w:val="auto"/>
        </w:rPr>
      </w:pPr>
    </w:p>
    <w:p>
      <w:pPr>
        <w:ind w:left="1140" w:hanging="270"/>
        <w:spacing w:after="0"/>
        <w:tabs>
          <w:tab w:leader="none" w:pos="1140"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may rely upon any documents we believe or it believes in good faith to be genuine and to have been signed or presented by the proper person;</w:t>
      </w:r>
    </w:p>
    <w:p>
      <w:pPr>
        <w:spacing w:after="0" w:line="200" w:lineRule="exact"/>
        <w:rPr>
          <w:rFonts w:ascii="Calibri" w:cs="Calibri" w:eastAsia="Calibri" w:hAnsi="Calibri"/>
          <w:sz w:val="16"/>
          <w:szCs w:val="16"/>
          <w:color w:val="auto"/>
        </w:rPr>
      </w:pPr>
    </w:p>
    <w:p>
      <w:pPr>
        <w:ind w:left="1140" w:hanging="270"/>
        <w:spacing w:after="0"/>
        <w:tabs>
          <w:tab w:leader="none" w:pos="1140"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are not liable for the acts or omissions of any securities depository, clearing agency or settlement system; and</w:t>
      </w:r>
    </w:p>
    <w:p>
      <w:pPr>
        <w:spacing w:after="0" w:line="200" w:lineRule="exact"/>
        <w:rPr>
          <w:rFonts w:ascii="Calibri" w:cs="Calibri" w:eastAsia="Calibri" w:hAnsi="Calibri"/>
          <w:sz w:val="16"/>
          <w:szCs w:val="16"/>
          <w:color w:val="auto"/>
        </w:rPr>
      </w:pPr>
    </w:p>
    <w:p>
      <w:pPr>
        <w:jc w:val="both"/>
        <w:ind w:left="1160" w:right="20" w:hanging="290"/>
        <w:spacing w:after="0" w:line="262" w:lineRule="auto"/>
        <w:tabs>
          <w:tab w:leader="none" w:pos="1148" w:val="left"/>
        </w:tabs>
        <w:numPr>
          <w:ilvl w:val="0"/>
          <w:numId w:val="219"/>
        </w:numPr>
        <w:rPr>
          <w:rFonts w:ascii="Calibri" w:cs="Calibri" w:eastAsia="Calibri" w:hAnsi="Calibri"/>
          <w:sz w:val="16"/>
          <w:szCs w:val="16"/>
          <w:color w:val="auto"/>
        </w:rPr>
      </w:pPr>
      <w:r>
        <w:rPr>
          <w:rFonts w:ascii="Times New Roman" w:cs="Times New Roman" w:eastAsia="Times New Roman" w:hAnsi="Times New Roman"/>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the deposit agreement, we and the depositary agree to indemnify each other under certain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Requirements for Depositary Actions</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Before the depositary will deliver or register a transfer of ADSs, make a distribution on ADSs, or permit withdrawal of shares, the depositary may require:</w:t>
      </w:r>
    </w:p>
    <w:p>
      <w:pPr>
        <w:spacing w:after="0" w:line="164" w:lineRule="exact"/>
        <w:rPr>
          <w:sz w:val="20"/>
          <w:szCs w:val="20"/>
          <w:color w:val="auto"/>
        </w:rPr>
      </w:pPr>
    </w:p>
    <w:p>
      <w:pPr>
        <w:ind w:left="1160" w:right="20" w:hanging="290"/>
        <w:spacing w:after="0" w:line="234" w:lineRule="auto"/>
        <w:tabs>
          <w:tab w:leader="none" w:pos="11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stock transfer or other taxes or other governmental charges and transfer or registration fees charged by third parties for the transfer of any shares or other deposited securities;</w:t>
      </w:r>
    </w:p>
    <w:p>
      <w:pPr>
        <w:spacing w:after="0" w:line="145"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proof of the identity and genuineness of any signature or other information it deems necessary; and</w:t>
      </w:r>
    </w:p>
    <w:p>
      <w:pPr>
        <w:spacing w:after="0" w:line="164"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187" w:lineRule="exact"/>
        <w:rPr>
          <w:sz w:val="20"/>
          <w:szCs w:val="20"/>
          <w:color w:val="auto"/>
        </w:rPr>
      </w:pPr>
    </w:p>
    <w:p>
      <w:pPr>
        <w:ind w:firstLine="528"/>
        <w:spacing w:after="0" w:line="234" w:lineRule="auto"/>
        <w:rPr>
          <w:sz w:val="20"/>
          <w:szCs w:val="20"/>
          <w:color w:val="auto"/>
        </w:rPr>
      </w:pPr>
      <w:r>
        <w:rPr>
          <w:rFonts w:ascii="Times New Roman" w:cs="Times New Roman" w:eastAsia="Times New Roman" w:hAnsi="Times New Roman"/>
          <w:sz w:val="16"/>
          <w:szCs w:val="16"/>
          <w:color w:val="auto"/>
        </w:rPr>
        <w:t>The depositary may refuse to deliver ADSs or register transfers of ADSs when the transfer books of the depositary or our transfer books are closed or at any time if the depositary or we think it advisable to do so.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Your Right to Receive the Shares Underlying your ADSs</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ADS holders have the right to cancel their ADSs and withdraw the underlying shares at any time except:</w:t>
      </w:r>
    </w:p>
    <w:p>
      <w:pPr>
        <w:sectPr>
          <w:pgSz w:w="11900" w:h="16840" w:orient="portrait"/>
          <w:cols w:equalWidth="0" w:num="1">
            <w:col w:w="10600"/>
          </w:cols>
          <w:pgMar w:left="660" w:top="1440" w:right="640" w:bottom="1440" w:gutter="0" w:footer="0" w:header="0"/>
        </w:sectPr>
      </w:pPr>
    </w:p>
    <w:bookmarkStart w:id="336" w:name="page337"/>
    <w:bookmarkEnd w:id="336"/>
    <w:p>
      <w:pPr>
        <w:spacing w:after="0" w:line="200" w:lineRule="exact"/>
        <w:rPr>
          <w:sz w:val="20"/>
          <w:szCs w:val="20"/>
          <w:color w:val="auto"/>
        </w:rPr>
      </w:pPr>
    </w:p>
    <w:p>
      <w:pPr>
        <w:spacing w:after="0" w:line="249" w:lineRule="exact"/>
        <w:rPr>
          <w:sz w:val="20"/>
          <w:szCs w:val="20"/>
          <w:color w:val="auto"/>
        </w:rPr>
      </w:pPr>
    </w:p>
    <w:p>
      <w:pPr>
        <w:ind w:left="1120" w:right="180" w:hanging="298"/>
        <w:spacing w:after="0" w:line="234" w:lineRule="auto"/>
        <w:tabs>
          <w:tab w:leader="none" w:pos="11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45" w:lineRule="exact"/>
        <w:rPr>
          <w:rFonts w:ascii="Times New Roman" w:cs="Times New Roman" w:eastAsia="Times New Roman" w:hAnsi="Times New Roman"/>
          <w:sz w:val="16"/>
          <w:szCs w:val="16"/>
          <w:color w:val="auto"/>
        </w:rPr>
      </w:pPr>
    </w:p>
    <w:p>
      <w:pPr>
        <w:ind w:left="1120" w:hanging="298"/>
        <w:spacing w:after="0"/>
        <w:tabs>
          <w:tab w:leader="none" w:pos="11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you owe money to pay fees, taxes and similar charges; or</w:t>
      </w:r>
    </w:p>
    <w:p>
      <w:pPr>
        <w:spacing w:after="0" w:line="164" w:lineRule="exact"/>
        <w:rPr>
          <w:rFonts w:ascii="Times New Roman" w:cs="Times New Roman" w:eastAsia="Times New Roman" w:hAnsi="Times New Roman"/>
          <w:sz w:val="16"/>
          <w:szCs w:val="16"/>
          <w:color w:val="auto"/>
        </w:rPr>
      </w:pPr>
    </w:p>
    <w:p>
      <w:pPr>
        <w:ind w:left="1120" w:right="140" w:hanging="298"/>
        <w:spacing w:after="0" w:line="234" w:lineRule="auto"/>
        <w:tabs>
          <w:tab w:leader="none" w:pos="11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it is necessary to prohibit withdrawals in order to comply with any laws or governmental regulations that apply to ADSs or to the withdrawal of shares or other deposited securities.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This right of withdrawal may not be limited by any other provision of the deposit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 Registration System</w:t>
      </w:r>
    </w:p>
    <w:p>
      <w:pPr>
        <w:spacing w:after="0" w:line="166" w:lineRule="exact"/>
        <w:rPr>
          <w:sz w:val="20"/>
          <w:szCs w:val="20"/>
          <w:color w:val="auto"/>
        </w:rPr>
      </w:pPr>
    </w:p>
    <w:p>
      <w:pPr>
        <w:jc w:val="both"/>
        <w:ind w:right="20" w:firstLine="528"/>
        <w:spacing w:after="0" w:line="215" w:lineRule="auto"/>
        <w:rPr>
          <w:sz w:val="20"/>
          <w:szCs w:val="20"/>
          <w:color w:val="auto"/>
        </w:rPr>
      </w:pPr>
      <w:r>
        <w:rPr>
          <w:rFonts w:ascii="Times New Roman" w:cs="Times New Roman" w:eastAsia="Times New Roman" w:hAnsi="Times New Roman"/>
          <w:sz w:val="16"/>
          <w:szCs w:val="16"/>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48" w:lineRule="exact"/>
        <w:rPr>
          <w:sz w:val="20"/>
          <w:szCs w:val="20"/>
          <w:color w:val="auto"/>
        </w:rPr>
      </w:pPr>
    </w:p>
    <w:p>
      <w:pPr>
        <w:jc w:val="both"/>
        <w:ind w:firstLine="528"/>
        <w:spacing w:after="0" w:line="215" w:lineRule="auto"/>
        <w:rPr>
          <w:sz w:val="20"/>
          <w:szCs w:val="20"/>
          <w:color w:val="auto"/>
        </w:rPr>
      </w:pPr>
      <w:r>
        <w:rPr>
          <w:rFonts w:ascii="Times New Roman" w:cs="Times New Roman" w:eastAsia="Times New Roman" w:hAnsi="Times New Roman"/>
          <w:sz w:val="16"/>
          <w:szCs w:val="16"/>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 Communications; Inspection of Register of Holders of ADSs</w:t>
      </w:r>
    </w:p>
    <w:p>
      <w:pPr>
        <w:spacing w:after="0" w:line="166" w:lineRule="exact"/>
        <w:rPr>
          <w:sz w:val="20"/>
          <w:szCs w:val="20"/>
          <w:color w:val="auto"/>
        </w:rPr>
      </w:pPr>
    </w:p>
    <w:p>
      <w:pPr>
        <w:jc w:val="both"/>
        <w:ind w:right="40" w:firstLine="528"/>
        <w:spacing w:after="0" w:line="218" w:lineRule="auto"/>
        <w:rPr>
          <w:sz w:val="20"/>
          <w:szCs w:val="20"/>
          <w:color w:val="auto"/>
        </w:rPr>
      </w:pPr>
      <w:r>
        <w:rPr>
          <w:rFonts w:ascii="Times New Roman" w:cs="Times New Roman" w:eastAsia="Times New Roman" w:hAnsi="Times New Roman"/>
          <w:sz w:val="16"/>
          <w:szCs w:val="16"/>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Jury Trial Waiver</w:t>
      </w:r>
    </w:p>
    <w:p>
      <w:pPr>
        <w:spacing w:after="0" w:line="166" w:lineRule="exact"/>
        <w:rPr>
          <w:sz w:val="20"/>
          <w:szCs w:val="20"/>
          <w:color w:val="auto"/>
        </w:rPr>
      </w:pPr>
    </w:p>
    <w:p>
      <w:pPr>
        <w:jc w:val="both"/>
        <w:ind w:right="40" w:firstLine="528"/>
        <w:spacing w:after="0" w:line="218" w:lineRule="auto"/>
        <w:rPr>
          <w:sz w:val="20"/>
          <w:szCs w:val="20"/>
          <w:color w:val="auto"/>
        </w:rPr>
      </w:pPr>
      <w:r>
        <w:rPr>
          <w:rFonts w:ascii="Times New Roman" w:cs="Times New Roman" w:eastAsia="Times New Roman" w:hAnsi="Times New Roman"/>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48" w:lineRule="exact"/>
        <w:rPr>
          <w:sz w:val="20"/>
          <w:szCs w:val="20"/>
          <w:color w:val="auto"/>
        </w:rPr>
      </w:pPr>
    </w:p>
    <w:p>
      <w:pPr>
        <w:jc w:val="both"/>
        <w:ind w:right="40" w:firstLine="528"/>
        <w:spacing w:after="0" w:line="234" w:lineRule="auto"/>
        <w:rPr>
          <w:sz w:val="20"/>
          <w:szCs w:val="20"/>
          <w:color w:val="auto"/>
        </w:rPr>
      </w:pPr>
      <w:r>
        <w:rPr>
          <w:rFonts w:ascii="Times New Roman" w:cs="Times New Roman" w:eastAsia="Times New Roman" w:hAnsi="Times New Roman"/>
          <w:sz w:val="16"/>
          <w:szCs w:val="16"/>
          <w:color w:val="auto"/>
        </w:rPr>
        <w:t>You will not, by agreeing to the terms of the deposit agreement, be deemed to have waived our or the depositary’s compliance with U.S. federal securities laws and the rules and regulations promulgated thereunder.</w:t>
      </w:r>
    </w:p>
    <w:p>
      <w:pPr>
        <w:sectPr>
          <w:pgSz w:w="11900" w:h="16840" w:orient="portrait"/>
          <w:cols w:equalWidth="0" w:num="1">
            <w:col w:w="10600"/>
          </w:cols>
          <w:pgMar w:left="660" w:top="1440" w:right="640"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6"/>
          <w:szCs w:val="16"/>
          <w:b w:val="1"/>
          <w:bCs w:val="1"/>
          <w:color w:val="auto"/>
        </w:rPr>
        <w:t>Exhibit 4.47</w:t>
      </w:r>
    </w:p>
    <w:p>
      <w:pPr>
        <w:spacing w:after="0" w:line="116" w:lineRule="exact"/>
        <w:rPr>
          <w:sz w:val="20"/>
          <w:szCs w:val="20"/>
          <w:color w:val="auto"/>
        </w:rPr>
      </w:pPr>
    </w:p>
    <w:p>
      <w:pPr>
        <w:ind w:right="180" w:firstLine="2"/>
        <w:spacing w:after="0" w:line="235" w:lineRule="auto"/>
        <w:tabs>
          <w:tab w:leader="none" w:pos="372"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146685</wp:posOffset>
            </wp:positionV>
            <wp:extent cx="861060" cy="434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86106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31 July</w:t>
      </w:r>
      <w:r>
        <w:rPr>
          <w:rFonts w:ascii="Times New Roman" w:cs="Times New Roman" w:eastAsia="Times New Roman" w:hAnsi="Times New Roman"/>
          <w:sz w:val="18"/>
          <w:szCs w:val="18"/>
          <w:b w:val="1"/>
          <w:bCs w:val="1"/>
          <w:color w:val="auto"/>
        </w:rPr>
        <w:t xml:space="preserv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DEED OF AMENDMENT OF A SHARE PURCHASE AGREEMENT DATED 10 JANUARY 2023</w:t>
      </w: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Between</w:t>
      </w:r>
    </w:p>
    <w:p>
      <w:pPr>
        <w:spacing w:after="0" w:line="25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THE FME SHAREHOLDERS' REPRESENTATIVE</w:t>
      </w:r>
    </w:p>
    <w:p>
      <w:pPr>
        <w:spacing w:after="0" w:line="200" w:lineRule="exact"/>
        <w:rPr>
          <w:sz w:val="20"/>
          <w:szCs w:val="20"/>
          <w:color w:val="auto"/>
        </w:rPr>
      </w:pPr>
    </w:p>
    <w:p>
      <w:pPr>
        <w:spacing w:after="0" w:line="28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THE INVESTOR SELLERS' REPRESENTATIVE</w:t>
      </w:r>
    </w:p>
    <w:p>
      <w:pPr>
        <w:spacing w:after="0" w:line="2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INSTITUTIONAL SELLERS</w:t>
      </w:r>
    </w:p>
    <w:p>
      <w:pPr>
        <w:spacing w:after="0" w:line="200" w:lineRule="exact"/>
        <w:rPr>
          <w:sz w:val="20"/>
          <w:szCs w:val="20"/>
          <w:color w:val="auto"/>
        </w:rPr>
      </w:pPr>
    </w:p>
    <w:p>
      <w:pPr>
        <w:spacing w:after="0" w:line="2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and</w:t>
      </w:r>
    </w:p>
    <w:p>
      <w:pPr>
        <w:spacing w:after="0" w:line="2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CMS Cameron McKenna Nabarro Olswang LLP</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Cannon Place</w:t>
      </w:r>
    </w:p>
    <w:p>
      <w:pPr>
        <w:spacing w:after="0" w:line="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78 Cannon Street</w:t>
      </w:r>
    </w:p>
    <w:p>
      <w:pPr>
        <w:spacing w:after="0" w:line="1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London EC4N 6AF</w:t>
      </w:r>
    </w:p>
    <w:p>
      <w:pPr>
        <w:spacing w:after="0" w:line="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T +44 20 7367 3000</w:t>
      </w:r>
    </w:p>
    <w:p>
      <w:pPr>
        <w:spacing w:after="0" w:line="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F +44 20 7367 2000</w:t>
      </w:r>
    </w:p>
    <w:p>
      <w:pPr>
        <w:spacing w:after="0" w:line="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cms.law</w:t>
      </w:r>
    </w:p>
    <w:p>
      <w:pPr>
        <w:sectPr>
          <w:pgSz w:w="11900" w:h="16840" w:orient="portrait"/>
          <w:cols w:equalWidth="0" w:num="1">
            <w:col w:w="10240"/>
          </w:cols>
          <w:pgMar w:left="1000" w:top="555" w:right="660" w:bottom="1440" w:gutter="0" w:footer="0" w:header="0"/>
        </w:sectPr>
      </w:pPr>
    </w:p>
    <w:bookmarkStart w:id="338" w:name="page339"/>
    <w:bookmarkEnd w:id="338"/>
    <w:p>
      <w:pPr>
        <w:spacing w:after="0" w:line="134" w:lineRule="exact"/>
        <w:rPr>
          <w:sz w:val="20"/>
          <w:szCs w:val="20"/>
          <w:color w:val="auto"/>
        </w:rPr>
      </w:pPr>
    </w:p>
    <w:p>
      <w:pPr>
        <w:jc w:val="right"/>
        <w:ind w:righ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340" w:hanging="334"/>
        <w:spacing w:after="0"/>
        <w:tabs>
          <w:tab w:leader="none" w:pos="3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Interpretation  1</w:t>
      </w:r>
    </w:p>
    <w:p>
      <w:pPr>
        <w:spacing w:after="0" w:line="382" w:lineRule="exact"/>
        <w:rPr>
          <w:sz w:val="20"/>
          <w:szCs w:val="20"/>
          <w:color w:val="auto"/>
        </w:rPr>
      </w:pPr>
    </w:p>
    <w:p>
      <w:pPr>
        <w:ind w:left="340" w:hanging="334"/>
        <w:spacing w:after="0"/>
        <w:tabs>
          <w:tab w:leader="none" w:pos="3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Supplement  1</w:t>
      </w:r>
    </w:p>
    <w:p>
      <w:pPr>
        <w:spacing w:after="0" w:line="81" w:lineRule="exact"/>
        <w:rPr>
          <w:rFonts w:ascii="Times New Roman" w:cs="Times New Roman" w:eastAsia="Times New Roman" w:hAnsi="Times New Roman"/>
          <w:sz w:val="19"/>
          <w:szCs w:val="19"/>
          <w:color w:val="auto"/>
        </w:rPr>
      </w:pPr>
    </w:p>
    <w:p>
      <w:pPr>
        <w:ind w:right="8560" w:firstLine="6"/>
        <w:spacing w:after="0" w:line="329" w:lineRule="auto"/>
        <w:tabs>
          <w:tab w:leader="none" w:pos="336"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2 Schedule 1 5</w:t>
      </w:r>
    </w:p>
    <w:p>
      <w:pPr>
        <w:spacing w:after="0" w:line="1" w:lineRule="exact"/>
        <w:rPr>
          <w:rFonts w:ascii="Times New Roman" w:cs="Times New Roman" w:eastAsia="Times New Roman" w:hAnsi="Times New Roman"/>
          <w:sz w:val="19"/>
          <w:szCs w:val="19"/>
          <w:color w:val="auto"/>
        </w:rPr>
      </w:pPr>
    </w:p>
    <w:p>
      <w:pPr>
        <w:ind w:right="7180" w:firstLine="672"/>
        <w:spacing w:after="0" w:line="32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Amended Agreement 5 Schedule 2 6</w:t>
      </w:r>
    </w:p>
    <w:p>
      <w:pPr>
        <w:spacing w:after="0" w:line="1" w:lineRule="exact"/>
        <w:rPr>
          <w:sz w:val="20"/>
          <w:szCs w:val="20"/>
          <w:color w:val="auto"/>
        </w:rPr>
      </w:pPr>
    </w:p>
    <w:p>
      <w:pPr>
        <w:ind w:left="680"/>
        <w:spacing w:after="0"/>
        <w:tabs>
          <w:tab w:leader="none" w:pos="3360" w:val="left"/>
        </w:tabs>
        <w:rPr>
          <w:sz w:val="20"/>
          <w:szCs w:val="20"/>
          <w:color w:val="auto"/>
        </w:rPr>
      </w:pPr>
      <w:r>
        <w:rPr>
          <w:rFonts w:ascii="Times New Roman" w:cs="Times New Roman" w:eastAsia="Times New Roman" w:hAnsi="Times New Roman"/>
          <w:sz w:val="19"/>
          <w:szCs w:val="19"/>
          <w:color w:val="auto"/>
        </w:rPr>
        <w:t>Redline of Amended Agreement</w:t>
      </w:r>
      <w:r>
        <w:rPr>
          <w:sz w:val="20"/>
          <w:szCs w:val="20"/>
          <w:color w:val="auto"/>
        </w:rPr>
        <w:tab/>
      </w:r>
      <w:r>
        <w:rPr>
          <w:rFonts w:ascii="Times New Roman" w:cs="Times New Roman" w:eastAsia="Times New Roman" w:hAnsi="Times New Roman"/>
          <w:sz w:val="16"/>
          <w:szCs w:val="16"/>
          <w:color w:val="auto"/>
        </w:rPr>
        <w:t>6</w:t>
      </w:r>
    </w:p>
    <w:p>
      <w:pPr>
        <w:sectPr>
          <w:pgSz w:w="11900" w:h="16840" w:orient="portrait"/>
          <w:cols w:equalWidth="0" w:num="1">
            <w:col w:w="9800"/>
          </w:cols>
          <w:pgMar w:left="660" w:top="1440" w:right="1440" w:bottom="1440" w:gutter="0" w:footer="0" w:header="0"/>
        </w:sectPr>
      </w:pPr>
    </w:p>
    <w:bookmarkStart w:id="339" w:name="page340"/>
    <w:bookmarkEnd w:id="339"/>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made the 31st day of July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65" w:lineRule="exact"/>
        <w:rPr>
          <w:sz w:val="20"/>
          <w:szCs w:val="20"/>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 (the “</w:t>
      </w:r>
      <w:r>
        <w:rPr>
          <w:rFonts w:ascii="Times New Roman" w:cs="Times New Roman" w:eastAsia="Times New Roman" w:hAnsi="Times New Roman"/>
          <w:sz w:val="18"/>
          <w:szCs w:val="18"/>
          <w:b w:val="1"/>
          <w:bCs w:val="1"/>
          <w:color w:val="auto"/>
        </w:rPr>
        <w:t>FME Shareholders’ Representative</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 (the “</w:t>
      </w:r>
      <w:r>
        <w:rPr>
          <w:rFonts w:ascii="Times New Roman" w:cs="Times New Roman" w:eastAsia="Times New Roman" w:hAnsi="Times New Roman"/>
          <w:sz w:val="18"/>
          <w:szCs w:val="18"/>
          <w:b w:val="1"/>
          <w:bCs w:val="1"/>
          <w:color w:val="auto"/>
        </w:rPr>
        <w:t>Investor Sellers’ Representative</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(parties (3) – (9) together, the “</w:t>
      </w:r>
      <w:r>
        <w:rPr>
          <w:rFonts w:ascii="Times New Roman" w:cs="Times New Roman" w:eastAsia="Times New Roman" w:hAnsi="Times New Roman"/>
          <w:sz w:val="18"/>
          <w:szCs w:val="18"/>
          <w:b w:val="1"/>
          <w:bCs w:val="1"/>
          <w:color w:val="auto"/>
        </w:rPr>
        <w:t>Institutional Sellers</w:t>
      </w:r>
      <w:r>
        <w:rPr>
          <w:rFonts w:ascii="Times New Roman" w:cs="Times New Roman" w:eastAsia="Times New Roman" w:hAnsi="Times New Roman"/>
          <w:sz w:val="18"/>
          <w:szCs w:val="18"/>
          <w:color w:val="auto"/>
        </w:rPr>
        <w:t>”); and</w:t>
      </w:r>
    </w:p>
    <w:p>
      <w:pPr>
        <w:spacing w:after="0" w:line="165" w:lineRule="exact"/>
        <w:rPr>
          <w:sz w:val="20"/>
          <w:szCs w:val="20"/>
          <w:color w:val="auto"/>
        </w:rPr>
      </w:pPr>
    </w:p>
    <w:p>
      <w:pPr>
        <w:ind w:left="580" w:right="60" w:hanging="574"/>
        <w:spacing w:after="0" w:line="356" w:lineRule="auto"/>
        <w:tabs>
          <w:tab w:leader="none" w:pos="5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BIONTECH SE </w:t>
      </w:r>
      <w:r>
        <w:rPr>
          <w:rFonts w:ascii="Times New Roman" w:cs="Times New Roman" w:eastAsia="Times New Roman" w:hAnsi="Times New Roman"/>
          <w:sz w:val="18"/>
          <w:szCs w:val="18"/>
          <w:color w:val="auto"/>
        </w:rPr>
        <w:t>(with its statutory seat in Mainz, registered in the commercial register of the local court of Mainz, Germany, under HBR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48720) whose registered office is at An der Goldgrube 12, 55131 Mainz, Germany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5" w:lineRule="exact"/>
        <w:rPr>
          <w:sz w:val="20"/>
          <w:szCs w:val="20"/>
          <w:color w:val="auto"/>
        </w:rPr>
      </w:pPr>
    </w:p>
    <w:p>
      <w:pPr>
        <w:ind w:left="580" w:hanging="574"/>
        <w:spacing w:after="0" w:line="356" w:lineRule="auto"/>
        <w:tabs>
          <w:tab w:leader="none" w:pos="43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10 January 2023, the Buyer, the Sellers (as defined in the Agreement) and InstaDeep Ltd (the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share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relating to the sale and purchase of certain of the shares in the issued share capital of the Company.</w:t>
      </w:r>
    </w:p>
    <w:p>
      <w:pPr>
        <w:spacing w:after="0" w:line="38" w:lineRule="exact"/>
        <w:rPr>
          <w:rFonts w:ascii="Times New Roman" w:cs="Times New Roman" w:eastAsia="Times New Roman" w:hAnsi="Times New Roman"/>
          <w:sz w:val="18"/>
          <w:szCs w:val="18"/>
          <w:color w:val="auto"/>
        </w:rPr>
      </w:pPr>
    </w:p>
    <w:p>
      <w:pPr>
        <w:ind w:left="420" w:hanging="414"/>
        <w:spacing w:after="0"/>
        <w:tabs>
          <w:tab w:leader="none" w:pos="4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to amend the terms of the Agreement as provided in this deed.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61" w:lineRule="exact"/>
        <w:rPr>
          <w:sz w:val="20"/>
          <w:szCs w:val="20"/>
          <w:color w:val="auto"/>
        </w:rPr>
      </w:pPr>
    </w:p>
    <w:p>
      <w:pPr>
        <w:ind w:left="580" w:hanging="574"/>
        <w:spacing w:after="0"/>
        <w:tabs>
          <w:tab w:leader="none" w:pos="58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Expressions defined in the Agreement shall (unless the context otherwise requires) have those meanings when used in this deed.</w:t>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Headings are used in this deed for convenience only and shall not affect its interpretation.</w:t>
      </w:r>
    </w:p>
    <w:p>
      <w:pPr>
        <w:spacing w:after="0" w:line="163" w:lineRule="exact"/>
        <w:rPr>
          <w:sz w:val="20"/>
          <w:szCs w:val="20"/>
          <w:color w:val="auto"/>
        </w:rPr>
      </w:pPr>
    </w:p>
    <w:p>
      <w:pPr>
        <w:ind w:left="420" w:right="60" w:hanging="575"/>
        <w:spacing w:after="0" w:line="354" w:lineRule="auto"/>
        <w:tabs>
          <w:tab w:leader="none" w:pos="400" w:val="left"/>
        </w:tabs>
        <w:rPr>
          <w:sz w:val="20"/>
          <w:szCs w:val="20"/>
          <w:color w:val="auto"/>
        </w:rPr>
      </w:pPr>
      <w:r>
        <w:rPr>
          <w:rFonts w:ascii="Times New Roman" w:cs="Times New Roman" w:eastAsia="Times New Roman" w:hAnsi="Times New Roman"/>
          <w:sz w:val="18"/>
          <w:szCs w:val="18"/>
          <w:color w:val="auto"/>
        </w:rPr>
        <w:t>1.3</w:t>
        <w:tab/>
        <w:t>The provisions of clause 1.2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of the Agreement shall (unless the context otherwise requires) apply to this deed as if set out in full and as if all references to the Agreement were references to this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620"/>
          </w:cols>
          <w:pgMar w:left="660" w:top="1440" w:right="620" w:bottom="1440" w:gutter="0" w:footer="0" w:header="0"/>
        </w:sectPr>
      </w:pPr>
    </w:p>
    <w:bookmarkStart w:id="340" w:name="page341"/>
    <w:bookmarkEnd w:id="340"/>
    <w:p>
      <w:pPr>
        <w:spacing w:after="0" w:line="230" w:lineRule="exact"/>
        <w:rPr>
          <w:sz w:val="20"/>
          <w:szCs w:val="20"/>
          <w:color w:val="auto"/>
        </w:rPr>
      </w:pPr>
    </w:p>
    <w:p>
      <w:pPr>
        <w:ind w:left="580" w:hanging="574"/>
        <w:spacing w:after="0"/>
        <w:tabs>
          <w:tab w:leader="none" w:pos="58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AGREEMENT</w:t>
      </w:r>
    </w:p>
    <w:p>
      <w:pPr>
        <w:spacing w:after="0" w:line="169" w:lineRule="exact"/>
        <w:rPr>
          <w:rFonts w:ascii="Times New Roman" w:cs="Times New Roman" w:eastAsia="Times New Roman" w:hAnsi="Times New Roman"/>
          <w:sz w:val="18"/>
          <w:szCs w:val="18"/>
          <w:b w:val="1"/>
          <w:bCs w:val="1"/>
          <w:color w:val="auto"/>
        </w:rPr>
      </w:pPr>
    </w:p>
    <w:p>
      <w:pPr>
        <w:jc w:val="both"/>
        <w:ind w:left="580"/>
        <w:spacing w:after="0" w:line="3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and with effect from the date of this deed, the Agreement shall be amended so as to take the form set out in Schedule 1 to this deed (the “</w:t>
      </w:r>
      <w:r>
        <w:rPr>
          <w:rFonts w:ascii="Times New Roman" w:cs="Times New Roman" w:eastAsia="Times New Roman" w:hAnsi="Times New Roman"/>
          <w:sz w:val="18"/>
          <w:szCs w:val="18"/>
          <w:b w:val="1"/>
          <w:bCs w:val="1"/>
          <w:color w:val="auto"/>
        </w:rPr>
        <w:t>Amended Agreement</w:t>
      </w:r>
      <w:r>
        <w:rPr>
          <w:rFonts w:ascii="Times New Roman" w:cs="Times New Roman" w:eastAsia="Times New Roman" w:hAnsi="Times New Roman"/>
          <w:sz w:val="18"/>
          <w:szCs w:val="18"/>
          <w:color w:val="auto"/>
        </w:rPr>
        <w:t xml:space="preserve"> ”) and shall for all purposes be deemed as between the Parties to have been in such amended form when the Agreement was first constituted. For convenience only, Schedule 2 of this deed shows the changes (additions and deletions) implemented by virtue of this deed, in redline against the original form of the Agreement as signed on 10 January 2023.</w:t>
      </w:r>
    </w:p>
    <w:p>
      <w:pPr>
        <w:spacing w:after="0" w:line="153" w:lineRule="exact"/>
        <w:rPr>
          <w:rFonts w:ascii="Times New Roman" w:cs="Times New Roman" w:eastAsia="Times New Roman" w:hAnsi="Times New Roman"/>
          <w:sz w:val="18"/>
          <w:szCs w:val="18"/>
          <w:b w:val="1"/>
          <w:bCs w:val="1"/>
          <w:color w:val="auto"/>
        </w:rPr>
      </w:pPr>
    </w:p>
    <w:p>
      <w:pPr>
        <w:ind w:left="580" w:hanging="574"/>
        <w:spacing w:after="0"/>
        <w:tabs>
          <w:tab w:leader="none" w:pos="58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w:t>
      </w:r>
    </w:p>
    <w:p>
      <w:pPr>
        <w:spacing w:after="0" w:line="1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Except as amended by this deed, the Agreement shall continue in full force and effect.</w:t>
      </w:r>
    </w:p>
    <w:p>
      <w:pPr>
        <w:spacing w:after="0" w:line="165" w:lineRule="exact"/>
        <w:rPr>
          <w:sz w:val="20"/>
          <w:szCs w:val="20"/>
          <w:color w:val="auto"/>
        </w:rPr>
      </w:pPr>
    </w:p>
    <w:p>
      <w:pPr>
        <w:ind w:left="440" w:right="20" w:hanging="575"/>
        <w:spacing w:after="0" w:line="351" w:lineRule="auto"/>
        <w:tabs>
          <w:tab w:leader="none" w:pos="420" w:val="left"/>
        </w:tabs>
        <w:rPr>
          <w:sz w:val="20"/>
          <w:szCs w:val="20"/>
          <w:color w:val="auto"/>
        </w:rPr>
      </w:pPr>
      <w:r>
        <w:rPr>
          <w:rFonts w:ascii="Times New Roman" w:cs="Times New Roman" w:eastAsia="Times New Roman" w:hAnsi="Times New Roman"/>
          <w:sz w:val="18"/>
          <w:szCs w:val="18"/>
          <w:color w:val="auto"/>
        </w:rPr>
        <w:t>3.2</w:t>
        <w:tab/>
        <w:t>Notwithstanding any other provision of this deed, the provisions of this deed shall be without prejudice to any rights or claims of any Party arising under the terms of the Agreement prior to the date of this deed.</w:t>
      </w:r>
    </w:p>
    <w:p>
      <w:pPr>
        <w:spacing w:after="0" w:line="135" w:lineRule="exact"/>
        <w:rPr>
          <w:sz w:val="20"/>
          <w:szCs w:val="20"/>
          <w:color w:val="auto"/>
        </w:rPr>
      </w:pPr>
    </w:p>
    <w:p>
      <w:pPr>
        <w:ind w:left="580" w:hanging="574"/>
        <w:spacing w:after="0"/>
        <w:tabs>
          <w:tab w:leader="none" w:pos="58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69" w:lineRule="exact"/>
        <w:rPr>
          <w:sz w:val="20"/>
          <w:szCs w:val="20"/>
          <w:color w:val="auto"/>
        </w:rPr>
      </w:pPr>
    </w:p>
    <w:p>
      <w:pPr>
        <w:jc w:val="both"/>
        <w:ind w:left="500" w:right="40" w:hanging="575"/>
        <w:spacing w:after="0" w:line="351" w:lineRule="auto"/>
        <w:tabs>
          <w:tab w:leader="none" w:pos="480" w:val="left"/>
        </w:tabs>
        <w:rPr>
          <w:sz w:val="20"/>
          <w:szCs w:val="20"/>
          <w:color w:val="auto"/>
        </w:rPr>
      </w:pPr>
      <w:r>
        <w:rPr>
          <w:rFonts w:ascii="Times New Roman" w:cs="Times New Roman" w:eastAsia="Times New Roman" w:hAnsi="Times New Roman"/>
          <w:sz w:val="18"/>
          <w:szCs w:val="18"/>
          <w:color w:val="auto"/>
        </w:rPr>
        <w:t>4.1</w:t>
        <w:tab/>
        <w:t>This deed, and any agreements and arrangements between the parties as set out in the Agreement which this deed expressly preserves, constitutes the whole and only agreement and understanding between the Parties in relation to the subject matter of the Agreement.</w:t>
      </w:r>
    </w:p>
    <w:p>
      <w:pPr>
        <w:spacing w:after="0" w:line="43" w:lineRule="exact"/>
        <w:rPr>
          <w:sz w:val="20"/>
          <w:szCs w:val="20"/>
          <w:color w:val="auto"/>
        </w:rPr>
      </w:pPr>
    </w:p>
    <w:p>
      <w:pPr>
        <w:jc w:val="both"/>
        <w:ind w:left="440" w:right="20" w:hanging="575"/>
        <w:spacing w:after="0" w:line="351" w:lineRule="auto"/>
        <w:tabs>
          <w:tab w:leader="none" w:pos="420" w:val="left"/>
        </w:tabs>
        <w:rPr>
          <w:sz w:val="20"/>
          <w:szCs w:val="20"/>
          <w:color w:val="auto"/>
        </w:rPr>
      </w:pPr>
      <w:r>
        <w:rPr>
          <w:rFonts w:ascii="Times New Roman" w:cs="Times New Roman" w:eastAsia="Times New Roman" w:hAnsi="Times New Roman"/>
          <w:sz w:val="18"/>
          <w:szCs w:val="18"/>
          <w:color w:val="auto"/>
        </w:rPr>
        <w:t>4.2</w:t>
        <w:tab/>
        <w:t>This deed may be executed in any number of counterparts and by the Parties on different counterparts. Each counterpart shall constitute an original of this deed but all the counterparts shall together constitute one and the same deed.</w:t>
      </w:r>
    </w:p>
    <w:p>
      <w:pPr>
        <w:spacing w:after="0" w:line="43" w:lineRule="exact"/>
        <w:rPr>
          <w:sz w:val="20"/>
          <w:szCs w:val="20"/>
          <w:color w:val="auto"/>
        </w:rPr>
      </w:pPr>
    </w:p>
    <w:p>
      <w:pPr>
        <w:jc w:val="both"/>
        <w:ind w:left="440" w:right="40" w:hanging="575"/>
        <w:spacing w:after="0" w:line="336" w:lineRule="auto"/>
        <w:tabs>
          <w:tab w:leader="none" w:pos="420" w:val="left"/>
        </w:tabs>
        <w:rPr>
          <w:sz w:val="20"/>
          <w:szCs w:val="20"/>
          <w:color w:val="auto"/>
        </w:rPr>
      </w:pPr>
      <w:r>
        <w:rPr>
          <w:rFonts w:ascii="Times New Roman" w:cs="Times New Roman" w:eastAsia="Times New Roman" w:hAnsi="Times New Roman"/>
          <w:sz w:val="18"/>
          <w:szCs w:val="18"/>
          <w:color w:val="auto"/>
        </w:rPr>
        <w:t>4.3</w:t>
        <w:tab/>
        <w:t>No term of this deed (whether express or implied) is enforceable pursuant to the Contracts (Rights of Third Parties) Act 1999 or otherwise by any person who is not a party to it (and, for avoidance of doubt, the terms of this deed may be enforced by each New FME Shareholder on becoming the registered holder of Ordinary Shares and/or Employee Shares and duly executing and delivering a Deed of Adherence).</w:t>
      </w:r>
    </w:p>
    <w:p>
      <w:pPr>
        <w:spacing w:after="0" w:line="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4.4</w:t>
        <w:tab/>
        <w:t>The following terms of the Agreement shall apply to this deed as if those terms referred instead to this deed and were set out in full herein:</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clause 19.4 (</w:t>
      </w:r>
      <w:r>
        <w:rPr>
          <w:rFonts w:ascii="Times New Roman" w:cs="Times New Roman" w:eastAsia="Times New Roman" w:hAnsi="Times New Roman"/>
          <w:sz w:val="18"/>
          <w:szCs w:val="18"/>
          <w:i w:val="1"/>
          <w:iCs w:val="1"/>
          <w:color w:val="auto"/>
        </w:rPr>
        <w:t>Variation</w:t>
      </w:r>
      <w:r>
        <w:rPr>
          <w:rFonts w:ascii="Times New Roman" w:cs="Times New Roman" w:eastAsia="Times New Roman" w:hAnsi="Times New Roman"/>
          <w:sz w:val="18"/>
          <w:szCs w:val="18"/>
          <w:color w:val="auto"/>
        </w:rPr>
        <w:t>) and clause 27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of which the Parties have executed this instrument as a deed and delivered it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600"/>
          </w:cols>
          <w:pgMar w:left="660" w:top="1440" w:right="640" w:bottom="1440" w:gutter="0" w:footer="0" w:header="0"/>
        </w:sectPr>
      </w:pPr>
    </w:p>
    <w:bookmarkStart w:id="341" w:name="page342"/>
    <w:bookmarkEnd w:id="341"/>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FME Shareholders’ Representative</w:t>
            </w:r>
          </w:p>
        </w:tc>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Executed as a deed by</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r>
      <w:tr>
        <w:trPr>
          <w:trHeight w:val="23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 [***]</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the FME Shareholders’ Representative for</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on behalf of the FME Shareholders</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presence of:</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r>
      <w:tr>
        <w:trPr>
          <w:trHeight w:val="65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witness:</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t>
            </w:r>
          </w:p>
        </w:tc>
        <w:tc>
          <w:tcPr>
            <w:tcW w:w="1000" w:type="dxa"/>
            <w:vAlign w:val="bottom"/>
          </w:tcPr>
          <w:p>
            <w:pPr>
              <w:spacing w:after="0"/>
              <w:rPr>
                <w:sz w:val="19"/>
                <w:szCs w:val="19"/>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28"/>
        </w:trPr>
        <w:tc>
          <w:tcPr>
            <w:tcW w:w="3400" w:type="dxa"/>
            <w:vAlign w:val="bottom"/>
          </w:tcPr>
          <w:p>
            <w:pPr>
              <w:spacing w:after="0"/>
              <w:rPr>
                <w:sz w:val="19"/>
                <w:szCs w:val="19"/>
                <w:color w:val="auto"/>
              </w:rPr>
            </w:pP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Occupation:</w:t>
            </w: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Sellers’ Representative</w:t>
            </w: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0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Executed as a deed by</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r>
      <w:tr>
        <w:trPr>
          <w:trHeight w:val="23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 [***]</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the Investor Sellers’ Representative for</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on behalf of the Investor Sellers</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presence of:</w:t>
            </w:r>
          </w:p>
        </w:tc>
        <w:tc>
          <w:tcPr>
            <w:tcW w:w="2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r>
      <w:tr>
        <w:trPr>
          <w:trHeight w:val="65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witness:</w:t>
            </w:r>
          </w:p>
        </w:tc>
        <w:tc>
          <w:tcPr>
            <w:tcW w:w="20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0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0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28"/>
        </w:trPr>
        <w:tc>
          <w:tcPr>
            <w:tcW w:w="3400" w:type="dxa"/>
            <w:vAlign w:val="bottom"/>
          </w:tcPr>
          <w:p>
            <w:pPr>
              <w:spacing w:after="0"/>
              <w:rPr>
                <w:sz w:val="19"/>
                <w:szCs w:val="19"/>
                <w:color w:val="auto"/>
              </w:rPr>
            </w:pPr>
          </w:p>
        </w:tc>
        <w:tc>
          <w:tcPr>
            <w:tcW w:w="20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Occupation:</w:t>
            </w:r>
          </w:p>
        </w:tc>
        <w:tc>
          <w:tcPr>
            <w:tcW w:w="20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00"/>
          </w:cols>
          <w:pgMar w:left="660" w:top="1440" w:right="1440" w:bottom="1440" w:gutter="0" w:footer="0" w:header="0"/>
        </w:sectPr>
      </w:pPr>
    </w:p>
    <w:bookmarkStart w:id="342" w:name="page343"/>
    <w:bookmarkEnd w:id="342"/>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Sellers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00"/>
          </w:cols>
          <w:pgMar w:left="660" w:top="1440" w:right="1440" w:bottom="1440" w:gutter="0" w:footer="0" w:header="0"/>
        </w:sectPr>
      </w:pPr>
    </w:p>
    <w:bookmarkStart w:id="343" w:name="page344"/>
    <w:bookmarkEnd w:id="34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00"/>
          </w:cols>
          <w:pgMar w:left="660" w:top="1440" w:right="1440" w:bottom="1440" w:gutter="0" w:footer="0" w:header="0"/>
        </w:sectPr>
      </w:pPr>
    </w:p>
    <w:bookmarkStart w:id="344" w:name="page345"/>
    <w:bookmarkEnd w:id="34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00"/>
          </w:cols>
          <w:pgMar w:left="660" w:top="1440" w:right="1440" w:bottom="1440" w:gutter="0" w:footer="0" w:header="0"/>
        </w:sectPr>
      </w:pPr>
    </w:p>
    <w:bookmarkStart w:id="345" w:name="page346"/>
    <w:bookmarkEnd w:id="34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Buyer</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Signed as a deed by</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BIONTECH SE</w:t>
            </w: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 company incorporated in Germany, acting by</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 Sierk Poetting</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 Sierk Poetting</w:t>
            </w:r>
          </w:p>
        </w:tc>
        <w:tc>
          <w:tcPr>
            <w:tcW w:w="0" w:type="dxa"/>
            <w:vAlign w:val="bottom"/>
          </w:tcPr>
          <w:p>
            <w:pPr>
              <w:spacing w:after="0"/>
              <w:rPr>
                <w:sz w:val="1"/>
                <w:szCs w:val="1"/>
                <w:color w:val="auto"/>
              </w:rPr>
            </w:pPr>
          </w:p>
        </w:tc>
      </w:tr>
      <w:tr>
        <w:trPr>
          <w:trHeight w:val="228"/>
        </w:trPr>
        <w:tc>
          <w:tcPr>
            <w:tcW w:w="4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Authorised signatory</w:t>
            </w:r>
          </w:p>
        </w:tc>
        <w:tc>
          <w:tcPr>
            <w:tcW w:w="0" w:type="dxa"/>
            <w:vAlign w:val="bottom"/>
          </w:tcPr>
          <w:p>
            <w:pPr>
              <w:spacing w:after="0"/>
              <w:rPr>
                <w:sz w:val="1"/>
                <w:szCs w:val="1"/>
                <w:color w:val="auto"/>
              </w:rPr>
            </w:pPr>
          </w:p>
        </w:tc>
      </w:tr>
      <w:tr>
        <w:trPr>
          <w:trHeight w:val="228"/>
        </w:trPr>
        <w:tc>
          <w:tcPr>
            <w:tcW w:w="4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Jens Holstein</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vMerge w:val="continue"/>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 Jens Holstein</w:t>
            </w:r>
          </w:p>
        </w:tc>
        <w:tc>
          <w:tcPr>
            <w:tcW w:w="0" w:type="dxa"/>
            <w:vAlign w:val="bottom"/>
          </w:tcPr>
          <w:p>
            <w:pPr>
              <w:spacing w:after="0"/>
              <w:rPr>
                <w:sz w:val="1"/>
                <w:szCs w:val="1"/>
                <w:color w:val="auto"/>
              </w:rPr>
            </w:pPr>
          </w:p>
        </w:tc>
      </w:tr>
      <w:tr>
        <w:trPr>
          <w:trHeight w:val="228"/>
        </w:trPr>
        <w:tc>
          <w:tcPr>
            <w:tcW w:w="4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Authorised signatory</w:t>
            </w: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who, in accordance with the laws of that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territory, is acting under the authority of the</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00"/>
          </w:cols>
          <w:pgMar w:left="660" w:top="1440" w:right="1440" w:bottom="1440" w:gutter="0" w:footer="0" w:header="0"/>
        </w:sectPr>
      </w:pPr>
    </w:p>
    <w:bookmarkStart w:id="346" w:name="page347"/>
    <w:bookmarkEnd w:id="346"/>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020"/>
          </w:cols>
          <w:pgMar w:left="1440" w:top="1440" w:right="1440" w:bottom="1440" w:gutter="0" w:footer="0" w:header="0"/>
        </w:sectPr>
      </w:pPr>
    </w:p>
    <w:bookmarkStart w:id="347" w:name="page348"/>
    <w:bookmarkEnd w:id="3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5262880</wp:posOffset>
            </wp:positionH>
            <wp:positionV relativeFrom="page">
              <wp:posOffset>361950</wp:posOffset>
            </wp:positionV>
            <wp:extent cx="1867535" cy="548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8675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40"/>
        <w:spacing w:after="0"/>
        <w:rPr>
          <w:sz w:val="20"/>
          <w:szCs w:val="20"/>
          <w:color w:val="auto"/>
        </w:rPr>
      </w:pPr>
      <w:r>
        <w:rPr>
          <w:rFonts w:ascii="Arial" w:cs="Arial" w:eastAsia="Arial" w:hAnsi="Arial"/>
          <w:sz w:val="23"/>
          <w:szCs w:val="23"/>
          <w:b w:val="1"/>
          <w:bCs w:val="1"/>
          <w:color w:val="auto"/>
        </w:rPr>
        <w:t>Agreement</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relating to the sale and purchase of certain shares of the issued share capital of InstaDeep Ltd</w:t>
      </w:r>
    </w:p>
    <w:p>
      <w:pPr>
        <w:spacing w:after="0" w:line="235" w:lineRule="exact"/>
        <w:rPr>
          <w:sz w:val="20"/>
          <w:szCs w:val="20"/>
          <w:color w:val="auto"/>
        </w:rPr>
      </w:pPr>
    </w:p>
    <w:p>
      <w:pPr>
        <w:ind w:left="2000"/>
        <w:spacing w:after="0"/>
        <w:tabs>
          <w:tab w:leader="none" w:pos="2560" w:val="left"/>
        </w:tabs>
        <w:rPr>
          <w:sz w:val="20"/>
          <w:szCs w:val="20"/>
          <w:color w:val="auto"/>
        </w:rPr>
      </w:pPr>
      <w:r>
        <w:rPr>
          <w:rFonts w:ascii="Arial" w:cs="Arial" w:eastAsia="Arial" w:hAnsi="Arial"/>
          <w:sz w:val="16"/>
          <w:szCs w:val="16"/>
          <w:color w:val="auto"/>
        </w:rPr>
        <w:t>Dated</w:t>
        <w:tab/>
        <w:t>10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020"/>
          </w:cols>
          <w:pgMar w:left="1440" w:top="1440" w:right="1440" w:bottom="1440" w:gutter="0" w:footer="0" w:header="0"/>
        </w:sectPr>
      </w:pPr>
    </w:p>
    <w:bookmarkStart w:id="348" w:name="page349"/>
    <w:bookmarkEnd w:id="348"/>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Documents in agreed form:</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Signing Allocation Schedule</w:t>
      </w:r>
    </w:p>
    <w:p>
      <w:pPr>
        <w:sectPr>
          <w:pgSz w:w="11900" w:h="16840" w:orient="portrait"/>
          <w:cols w:equalWidth="0" w:num="1">
            <w:col w:w="9800"/>
          </w:cols>
          <w:pgMar w:left="660" w:top="1440" w:right="1440" w:bottom="1440" w:gutter="0" w:footer="0" w:header="0"/>
        </w:sectPr>
      </w:pPr>
    </w:p>
    <w:bookmarkStart w:id="349" w:name="page350"/>
    <w:bookmarkEnd w:id="349"/>
    <w:p>
      <w:pPr>
        <w:spacing w:after="0" w:line="329" w:lineRule="exact"/>
        <w:rPr>
          <w:sz w:val="20"/>
          <w:szCs w:val="20"/>
          <w:color w:val="auto"/>
        </w:rPr>
      </w:pPr>
    </w:p>
    <w:p>
      <w:pPr>
        <w:jc w:val="right"/>
        <w:ind w:right="4180"/>
        <w:spacing w:after="0"/>
        <w:rPr>
          <w:sz w:val="20"/>
          <w:szCs w:val="20"/>
          <w:color w:val="auto"/>
        </w:rPr>
      </w:pPr>
      <w:r>
        <w:rPr>
          <w:rFonts w:ascii="Arial" w:cs="Arial" w:eastAsia="Arial" w:hAnsi="Arial"/>
          <w:sz w:val="16"/>
          <w:szCs w:val="16"/>
          <w:b w:val="1"/>
          <w:bCs w:val="1"/>
          <w:color w:val="auto"/>
        </w:rPr>
        <w:t>Contents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20"/>
                <w:szCs w:val="20"/>
                <w:color w:val="auto"/>
              </w:rPr>
            </w:pPr>
            <w:r>
              <w:rPr>
                <w:rFonts w:ascii="Arial" w:cs="Arial" w:eastAsia="Arial" w:hAnsi="Arial"/>
                <w:sz w:val="16"/>
                <w:szCs w:val="16"/>
                <w:color w:val="auto"/>
              </w:rPr>
              <w:t>1.</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Definitions and interpretation  1</w:t>
            </w:r>
          </w:p>
        </w:tc>
      </w:tr>
      <w:tr>
        <w:trPr>
          <w:trHeight w:val="168"/>
        </w:trPr>
        <w:tc>
          <w:tcPr>
            <w:tcW w:w="160" w:type="dxa"/>
            <w:vAlign w:val="bottom"/>
          </w:tcPr>
          <w:p>
            <w:pPr>
              <w:spacing w:after="0" w:line="168" w:lineRule="exact"/>
              <w:rPr>
                <w:sz w:val="20"/>
                <w:szCs w:val="20"/>
                <w:color w:val="auto"/>
              </w:rPr>
            </w:pPr>
            <w:r>
              <w:rPr>
                <w:rFonts w:ascii="Arial" w:cs="Arial" w:eastAsia="Arial" w:hAnsi="Arial"/>
                <w:sz w:val="16"/>
                <w:szCs w:val="16"/>
                <w:color w:val="auto"/>
              </w:rPr>
              <w:t>2.</w:t>
            </w:r>
          </w:p>
        </w:tc>
        <w:tc>
          <w:tcPr>
            <w:tcW w:w="1480" w:type="dxa"/>
            <w:vAlign w:val="bottom"/>
          </w:tcPr>
          <w:p>
            <w:pPr>
              <w:ind w:left="20"/>
              <w:spacing w:after="0" w:line="168" w:lineRule="exact"/>
              <w:rPr>
                <w:sz w:val="20"/>
                <w:szCs w:val="20"/>
                <w:color w:val="auto"/>
              </w:rPr>
            </w:pPr>
            <w:r>
              <w:rPr>
                <w:rFonts w:ascii="Arial" w:cs="Arial" w:eastAsia="Arial" w:hAnsi="Arial"/>
                <w:sz w:val="16"/>
                <w:szCs w:val="16"/>
                <w:color w:val="auto"/>
                <w:w w:val="95"/>
              </w:rPr>
              <w:t>Conditions precedent</w:t>
            </w:r>
          </w:p>
        </w:tc>
        <w:tc>
          <w:tcPr>
            <w:tcW w:w="780" w:type="dxa"/>
            <w:vAlign w:val="bottom"/>
          </w:tcPr>
          <w:p>
            <w:pPr>
              <w:jc w:val="right"/>
              <w:ind w:right="342"/>
              <w:spacing w:after="0" w:line="168" w:lineRule="exact"/>
              <w:rPr>
                <w:sz w:val="20"/>
                <w:szCs w:val="20"/>
                <w:color w:val="auto"/>
              </w:rPr>
            </w:pPr>
            <w:r>
              <w:rPr>
                <w:rFonts w:ascii="Arial" w:cs="Arial" w:eastAsia="Arial" w:hAnsi="Arial"/>
                <w:sz w:val="16"/>
                <w:szCs w:val="16"/>
                <w:color w:val="auto"/>
              </w:rPr>
              <w:t>25</w:t>
            </w:r>
          </w:p>
        </w:tc>
      </w:tr>
      <w:tr>
        <w:trPr>
          <w:trHeight w:val="182"/>
        </w:trPr>
        <w:tc>
          <w:tcPr>
            <w:tcW w:w="1640" w:type="dxa"/>
            <w:vAlign w:val="bottom"/>
            <w:gridSpan w:val="2"/>
          </w:tcPr>
          <w:p>
            <w:pPr>
              <w:spacing w:after="0" w:line="182" w:lineRule="exact"/>
              <w:rPr>
                <w:sz w:val="20"/>
                <w:szCs w:val="20"/>
                <w:color w:val="auto"/>
              </w:rPr>
            </w:pPr>
            <w:r>
              <w:rPr>
                <w:rFonts w:ascii="Arial" w:cs="Arial" w:eastAsia="Arial" w:hAnsi="Arial"/>
                <w:sz w:val="16"/>
                <w:szCs w:val="16"/>
                <w:color w:val="auto"/>
              </w:rPr>
              <w:t>3. Sale and purchase</w:t>
            </w:r>
          </w:p>
        </w:tc>
        <w:tc>
          <w:tcPr>
            <w:tcW w:w="780" w:type="dxa"/>
            <w:vAlign w:val="bottom"/>
          </w:tcPr>
          <w:p>
            <w:pPr>
              <w:jc w:val="right"/>
              <w:ind w:right="522"/>
              <w:spacing w:after="0" w:line="182" w:lineRule="exact"/>
              <w:rPr>
                <w:sz w:val="20"/>
                <w:szCs w:val="20"/>
                <w:color w:val="auto"/>
              </w:rPr>
            </w:pPr>
            <w:r>
              <w:rPr>
                <w:rFonts w:ascii="Arial" w:cs="Arial" w:eastAsia="Arial" w:hAnsi="Arial"/>
                <w:sz w:val="16"/>
                <w:szCs w:val="16"/>
                <w:color w:val="auto"/>
                <w:w w:val="89"/>
              </w:rPr>
              <w:t>30</w:t>
            </w:r>
          </w:p>
        </w:tc>
      </w:tr>
    </w:tbl>
    <w:p>
      <w:pPr>
        <w:ind w:left="180" w:hanging="174"/>
        <w:spacing w:after="0" w:line="219" w:lineRule="auto"/>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Consideration  33</w:t>
      </w:r>
    </w:p>
    <w:p>
      <w:pPr>
        <w:ind w:left="180" w:hanging="174"/>
        <w:spacing w:after="0" w:line="219" w:lineRule="auto"/>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Consideration adjustment  37</w:t>
      </w:r>
    </w:p>
    <w:p>
      <w:pPr>
        <w:ind w:left="180" w:hanging="174"/>
        <w:spacing w:after="0" w:line="219" w:lineRule="auto"/>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Pre-Completion obligations  39</w:t>
      </w:r>
    </w:p>
    <w:p>
      <w:pPr>
        <w:ind w:left="180" w:hanging="174"/>
        <w:spacing w:after="0" w:line="219" w:lineRule="auto"/>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Completion  40</w:t>
      </w:r>
    </w:p>
    <w:p>
      <w:pPr>
        <w:spacing w:after="0"/>
        <w:tabs>
          <w:tab w:leader="none" w:pos="2040" w:val="left"/>
        </w:tabs>
        <w:rPr>
          <w:sz w:val="20"/>
          <w:szCs w:val="20"/>
          <w:color w:val="auto"/>
        </w:rPr>
      </w:pPr>
      <w:r>
        <w:rPr>
          <w:rFonts w:ascii="Arial" w:cs="Arial" w:eastAsia="Arial" w:hAnsi="Arial"/>
          <w:sz w:val="16"/>
          <w:szCs w:val="16"/>
          <w:color w:val="auto"/>
        </w:rPr>
        <w:t>8. Post Completion matters</w:t>
      </w:r>
      <w:r>
        <w:rPr>
          <w:sz w:val="20"/>
          <w:szCs w:val="20"/>
          <w:color w:val="auto"/>
        </w:rPr>
        <w:tab/>
      </w:r>
      <w:r>
        <w:rPr>
          <w:rFonts w:ascii="Arial" w:cs="Arial" w:eastAsia="Arial" w:hAnsi="Arial"/>
          <w:sz w:val="14"/>
          <w:szCs w:val="14"/>
          <w:color w:val="auto"/>
        </w:rPr>
        <w:t>43</w:t>
      </w:r>
    </w:p>
    <w:p>
      <w:pPr>
        <w:spacing w:after="0" w:line="219" w:lineRule="auto"/>
        <w:tabs>
          <w:tab w:leader="none" w:pos="2900" w:val="left"/>
        </w:tabs>
        <w:rPr>
          <w:sz w:val="20"/>
          <w:szCs w:val="20"/>
          <w:color w:val="auto"/>
        </w:rPr>
      </w:pPr>
      <w:r>
        <w:rPr>
          <w:rFonts w:ascii="Arial" w:cs="Arial" w:eastAsia="Arial" w:hAnsi="Arial"/>
          <w:sz w:val="16"/>
          <w:szCs w:val="16"/>
          <w:color w:val="auto"/>
        </w:rPr>
        <w:t>9. Purchaser's Employee Incentive Plan</w:t>
        <w:tab/>
        <w:t>43</w:t>
      </w:r>
    </w:p>
    <w:p>
      <w:pPr>
        <w:ind w:left="280" w:hanging="274"/>
        <w:spacing w:after="0" w:line="219" w:lineRule="auto"/>
        <w:tabs>
          <w:tab w:leader="none" w:pos="2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Warranties  44</w:t>
      </w:r>
    </w:p>
    <w:p>
      <w:pPr>
        <w:ind w:left="280" w:hanging="274"/>
        <w:spacing w:after="0" w:line="219" w:lineRule="auto"/>
        <w:tabs>
          <w:tab w:leader="none" w:pos="2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Tax Covenant  44</w:t>
      </w:r>
    </w:p>
    <w:p>
      <w:pPr>
        <w:ind w:left="280" w:hanging="274"/>
        <w:spacing w:after="0" w:line="219" w:lineRule="auto"/>
        <w:tabs>
          <w:tab w:leader="none" w:pos="2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44</w:t>
      </w:r>
    </w:p>
    <w:p>
      <w:pPr>
        <w:ind w:left="280" w:hanging="274"/>
        <w:spacing w:after="0" w:line="219" w:lineRule="auto"/>
        <w:tabs>
          <w:tab w:leader="none" w:pos="2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Purchaser's remedies  45</w:t>
      </w:r>
    </w:p>
    <w:tbl>
      <w:tblPr>
        <w:tblLayout w:type="fixed"/>
        <w:tblInd w:w="0" w:type="dxa"/>
        <w:tblCellMar>
          <w:top w:w="0" w:type="dxa"/>
          <w:left w:w="0" w:type="dxa"/>
          <w:bottom w:w="0" w:type="dxa"/>
          <w:right w:w="0" w:type="dxa"/>
        </w:tblCellMar>
      </w:tblPr>
      <w:tr>
        <w:trPr>
          <w:trHeight w:val="154"/>
        </w:trPr>
        <w:tc>
          <w:tcPr>
            <w:tcW w:w="240" w:type="dxa"/>
            <w:vAlign w:val="bottom"/>
          </w:tcPr>
          <w:p>
            <w:pPr>
              <w:jc w:val="right"/>
              <w:spacing w:after="0" w:line="155" w:lineRule="exact"/>
              <w:rPr>
                <w:sz w:val="20"/>
                <w:szCs w:val="20"/>
                <w:color w:val="auto"/>
              </w:rPr>
            </w:pPr>
            <w:r>
              <w:rPr>
                <w:rFonts w:ascii="Arial" w:cs="Arial" w:eastAsia="Arial" w:hAnsi="Arial"/>
                <w:sz w:val="16"/>
                <w:szCs w:val="16"/>
                <w:color w:val="auto"/>
                <w:w w:val="89"/>
              </w:rPr>
              <w:t>14.</w:t>
            </w:r>
          </w:p>
        </w:tc>
        <w:tc>
          <w:tcPr>
            <w:tcW w:w="1600" w:type="dxa"/>
            <w:vAlign w:val="bottom"/>
          </w:tcPr>
          <w:p>
            <w:pPr>
              <w:ind w:left="40"/>
              <w:spacing w:after="0" w:line="155" w:lineRule="exact"/>
              <w:rPr>
                <w:sz w:val="20"/>
                <w:szCs w:val="20"/>
                <w:color w:val="auto"/>
              </w:rPr>
            </w:pPr>
            <w:r>
              <w:rPr>
                <w:rFonts w:ascii="Arial" w:cs="Arial" w:eastAsia="Arial" w:hAnsi="Arial"/>
                <w:sz w:val="16"/>
                <w:szCs w:val="16"/>
                <w:color w:val="auto"/>
              </w:rPr>
              <w:t>Limitations on liability</w:t>
            </w:r>
          </w:p>
        </w:tc>
        <w:tc>
          <w:tcPr>
            <w:tcW w:w="1680" w:type="dxa"/>
            <w:vAlign w:val="bottom"/>
          </w:tcPr>
          <w:p>
            <w:pPr>
              <w:jc w:val="right"/>
              <w:ind w:right="1362"/>
              <w:spacing w:after="0" w:line="155" w:lineRule="exact"/>
              <w:rPr>
                <w:sz w:val="20"/>
                <w:szCs w:val="20"/>
                <w:color w:val="auto"/>
              </w:rPr>
            </w:pPr>
            <w:r>
              <w:rPr>
                <w:rFonts w:ascii="Arial" w:cs="Arial" w:eastAsia="Arial" w:hAnsi="Arial"/>
                <w:sz w:val="16"/>
                <w:szCs w:val="16"/>
                <w:color w:val="auto"/>
              </w:rPr>
              <w:t>45</w:t>
            </w:r>
          </w:p>
        </w:tc>
      </w:tr>
      <w:tr>
        <w:trPr>
          <w:trHeight w:val="168"/>
        </w:trPr>
        <w:tc>
          <w:tcPr>
            <w:tcW w:w="240" w:type="dxa"/>
            <w:vAlign w:val="bottom"/>
          </w:tcPr>
          <w:p>
            <w:pPr>
              <w:jc w:val="right"/>
              <w:spacing w:after="0" w:line="168" w:lineRule="exact"/>
              <w:rPr>
                <w:sz w:val="20"/>
                <w:szCs w:val="20"/>
                <w:color w:val="auto"/>
              </w:rPr>
            </w:pPr>
            <w:r>
              <w:rPr>
                <w:rFonts w:ascii="Arial" w:cs="Arial" w:eastAsia="Arial" w:hAnsi="Arial"/>
                <w:sz w:val="16"/>
                <w:szCs w:val="16"/>
                <w:color w:val="auto"/>
                <w:w w:val="89"/>
              </w:rPr>
              <w:t>15.</w:t>
            </w:r>
          </w:p>
        </w:tc>
        <w:tc>
          <w:tcPr>
            <w:tcW w:w="3280" w:type="dxa"/>
            <w:vAlign w:val="bottom"/>
            <w:gridSpan w:val="2"/>
          </w:tcPr>
          <w:p>
            <w:pPr>
              <w:ind w:left="40"/>
              <w:spacing w:after="0" w:line="168" w:lineRule="exact"/>
              <w:rPr>
                <w:sz w:val="20"/>
                <w:szCs w:val="20"/>
                <w:color w:val="auto"/>
              </w:rPr>
            </w:pPr>
            <w:r>
              <w:rPr>
                <w:rFonts w:ascii="Arial" w:cs="Arial" w:eastAsia="Arial" w:hAnsi="Arial"/>
                <w:sz w:val="16"/>
                <w:szCs w:val="16"/>
                <w:color w:val="auto"/>
                <w:w w:val="99"/>
              </w:rPr>
              <w:t>Purchaser's conduct of Third Party Claims  46</w:t>
            </w:r>
          </w:p>
        </w:tc>
      </w:tr>
      <w:tr>
        <w:trPr>
          <w:trHeight w:val="168"/>
        </w:trPr>
        <w:tc>
          <w:tcPr>
            <w:tcW w:w="240" w:type="dxa"/>
            <w:vAlign w:val="bottom"/>
          </w:tcPr>
          <w:p>
            <w:pPr>
              <w:jc w:val="right"/>
              <w:spacing w:after="0" w:line="168" w:lineRule="exact"/>
              <w:rPr>
                <w:sz w:val="20"/>
                <w:szCs w:val="20"/>
                <w:color w:val="auto"/>
              </w:rPr>
            </w:pPr>
            <w:r>
              <w:rPr>
                <w:rFonts w:ascii="Arial" w:cs="Arial" w:eastAsia="Arial" w:hAnsi="Arial"/>
                <w:sz w:val="16"/>
                <w:szCs w:val="16"/>
                <w:color w:val="auto"/>
                <w:w w:val="89"/>
              </w:rPr>
              <w:t>16.</w:t>
            </w:r>
          </w:p>
        </w:tc>
        <w:tc>
          <w:tcPr>
            <w:tcW w:w="1600" w:type="dxa"/>
            <w:vAlign w:val="bottom"/>
          </w:tcPr>
          <w:p>
            <w:pPr>
              <w:ind w:left="40"/>
              <w:spacing w:after="0" w:line="168" w:lineRule="exact"/>
              <w:rPr>
                <w:sz w:val="20"/>
                <w:szCs w:val="20"/>
                <w:color w:val="auto"/>
              </w:rPr>
            </w:pPr>
            <w:r>
              <w:rPr>
                <w:rFonts w:ascii="Arial" w:cs="Arial" w:eastAsia="Arial" w:hAnsi="Arial"/>
                <w:sz w:val="16"/>
                <w:szCs w:val="16"/>
                <w:color w:val="auto"/>
              </w:rPr>
              <w:t>The W&amp;I Policy  47</w:t>
            </w:r>
          </w:p>
        </w:tc>
        <w:tc>
          <w:tcPr>
            <w:tcW w:w="1680" w:type="dxa"/>
            <w:vAlign w:val="bottom"/>
          </w:tcPr>
          <w:p>
            <w:pPr>
              <w:spacing w:after="0"/>
              <w:rPr>
                <w:sz w:val="14"/>
                <w:szCs w:val="14"/>
                <w:color w:val="auto"/>
              </w:rPr>
            </w:pPr>
          </w:p>
        </w:tc>
      </w:tr>
      <w:tr>
        <w:trPr>
          <w:trHeight w:val="182"/>
        </w:trPr>
        <w:tc>
          <w:tcPr>
            <w:tcW w:w="240" w:type="dxa"/>
            <w:vAlign w:val="bottom"/>
          </w:tcPr>
          <w:p>
            <w:pPr>
              <w:jc w:val="right"/>
              <w:spacing w:after="0" w:line="182" w:lineRule="exact"/>
              <w:rPr>
                <w:sz w:val="20"/>
                <w:szCs w:val="20"/>
                <w:color w:val="auto"/>
              </w:rPr>
            </w:pPr>
            <w:r>
              <w:rPr>
                <w:rFonts w:ascii="Arial" w:cs="Arial" w:eastAsia="Arial" w:hAnsi="Arial"/>
                <w:sz w:val="16"/>
                <w:szCs w:val="16"/>
                <w:color w:val="auto"/>
                <w:w w:val="89"/>
              </w:rPr>
              <w:t>17.</w:t>
            </w:r>
          </w:p>
        </w:tc>
        <w:tc>
          <w:tcPr>
            <w:tcW w:w="1600" w:type="dxa"/>
            <w:vAlign w:val="bottom"/>
          </w:tcPr>
          <w:p>
            <w:pPr>
              <w:ind w:left="40"/>
              <w:spacing w:after="0" w:line="182" w:lineRule="exact"/>
              <w:rPr>
                <w:sz w:val="20"/>
                <w:szCs w:val="20"/>
                <w:color w:val="auto"/>
              </w:rPr>
            </w:pPr>
            <w:r>
              <w:rPr>
                <w:rFonts w:ascii="Arial" w:cs="Arial" w:eastAsia="Arial" w:hAnsi="Arial"/>
                <w:sz w:val="16"/>
                <w:szCs w:val="16"/>
                <w:color w:val="auto"/>
              </w:rPr>
              <w:t>Protection of goodwill</w:t>
            </w:r>
          </w:p>
        </w:tc>
        <w:tc>
          <w:tcPr>
            <w:tcW w:w="1680" w:type="dxa"/>
            <w:vAlign w:val="bottom"/>
          </w:tcPr>
          <w:p>
            <w:pPr>
              <w:jc w:val="right"/>
              <w:ind w:right="1342"/>
              <w:spacing w:after="0" w:line="182" w:lineRule="exact"/>
              <w:rPr>
                <w:sz w:val="20"/>
                <w:szCs w:val="20"/>
                <w:color w:val="auto"/>
              </w:rPr>
            </w:pPr>
            <w:r>
              <w:rPr>
                <w:rFonts w:ascii="Arial" w:cs="Arial" w:eastAsia="Arial" w:hAnsi="Arial"/>
                <w:sz w:val="16"/>
                <w:szCs w:val="16"/>
                <w:color w:val="auto"/>
              </w:rPr>
              <w:t>47</w:t>
            </w:r>
          </w:p>
        </w:tc>
      </w:tr>
    </w:tbl>
    <w:p>
      <w:pPr>
        <w:ind w:left="280" w:hanging="274"/>
        <w:spacing w:after="0" w:line="219" w:lineRule="auto"/>
        <w:tabs>
          <w:tab w:leader="none" w:pos="2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Consideration Shares  48</w:t>
      </w:r>
    </w:p>
    <w:p>
      <w:pPr>
        <w:ind w:left="280" w:hanging="274"/>
        <w:spacing w:after="0" w:line="219" w:lineRule="auto"/>
        <w:tabs>
          <w:tab w:leader="none" w:pos="2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General  50</w:t>
      </w:r>
    </w:p>
    <w:p>
      <w:pPr>
        <w:ind w:left="280" w:hanging="274"/>
        <w:spacing w:after="0" w:line="219" w:lineRule="auto"/>
        <w:tabs>
          <w:tab w:leader="none" w:pos="2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Announcements  56</w:t>
      </w:r>
    </w:p>
    <w:tbl>
      <w:tblPr>
        <w:tblLayout w:type="fixed"/>
        <w:tblInd w:w="0" w:type="dxa"/>
        <w:tblCellMar>
          <w:top w:w="0" w:type="dxa"/>
          <w:left w:w="0" w:type="dxa"/>
          <w:bottom w:w="0" w:type="dxa"/>
          <w:right w:w="0" w:type="dxa"/>
        </w:tblCellMar>
      </w:tblPr>
      <w:tr>
        <w:trPr>
          <w:trHeight w:val="154"/>
        </w:trPr>
        <w:tc>
          <w:tcPr>
            <w:tcW w:w="240" w:type="dxa"/>
            <w:vAlign w:val="bottom"/>
          </w:tcPr>
          <w:p>
            <w:pPr>
              <w:jc w:val="right"/>
              <w:spacing w:after="0" w:line="155" w:lineRule="exact"/>
              <w:rPr>
                <w:sz w:val="20"/>
                <w:szCs w:val="20"/>
                <w:color w:val="auto"/>
              </w:rPr>
            </w:pPr>
            <w:r>
              <w:rPr>
                <w:rFonts w:ascii="Arial" w:cs="Arial" w:eastAsia="Arial" w:hAnsi="Arial"/>
                <w:sz w:val="16"/>
                <w:szCs w:val="16"/>
                <w:color w:val="auto"/>
                <w:w w:val="89"/>
              </w:rPr>
              <w:t>21.</w:t>
            </w:r>
          </w:p>
        </w:tc>
        <w:tc>
          <w:tcPr>
            <w:tcW w:w="3500" w:type="dxa"/>
            <w:vAlign w:val="bottom"/>
          </w:tcPr>
          <w:p>
            <w:pPr>
              <w:ind w:left="40"/>
              <w:spacing w:after="0" w:line="155" w:lineRule="exact"/>
              <w:rPr>
                <w:sz w:val="20"/>
                <w:szCs w:val="20"/>
                <w:color w:val="auto"/>
              </w:rPr>
            </w:pPr>
            <w:r>
              <w:rPr>
                <w:rFonts w:ascii="Arial" w:cs="Arial" w:eastAsia="Arial" w:hAnsi="Arial"/>
                <w:sz w:val="16"/>
                <w:szCs w:val="16"/>
                <w:color w:val="auto"/>
              </w:rPr>
              <w:t>Costs and expenses  56</w:t>
            </w:r>
          </w:p>
        </w:tc>
      </w:tr>
      <w:tr>
        <w:trPr>
          <w:trHeight w:val="182"/>
        </w:trPr>
        <w:tc>
          <w:tcPr>
            <w:tcW w:w="240" w:type="dxa"/>
            <w:vAlign w:val="bottom"/>
          </w:tcPr>
          <w:p>
            <w:pPr>
              <w:jc w:val="right"/>
              <w:spacing w:after="0" w:line="182" w:lineRule="exact"/>
              <w:rPr>
                <w:sz w:val="20"/>
                <w:szCs w:val="20"/>
                <w:color w:val="auto"/>
              </w:rPr>
            </w:pPr>
            <w:r>
              <w:rPr>
                <w:rFonts w:ascii="Arial" w:cs="Arial" w:eastAsia="Arial" w:hAnsi="Arial"/>
                <w:sz w:val="16"/>
                <w:szCs w:val="16"/>
                <w:color w:val="auto"/>
                <w:w w:val="89"/>
              </w:rPr>
              <w:t>22.</w:t>
            </w:r>
          </w:p>
        </w:tc>
        <w:tc>
          <w:tcPr>
            <w:tcW w:w="3500" w:type="dxa"/>
            <w:vAlign w:val="bottom"/>
          </w:tcPr>
          <w:p>
            <w:pPr>
              <w:ind w:left="40"/>
              <w:spacing w:after="0" w:line="182" w:lineRule="exact"/>
              <w:rPr>
                <w:sz w:val="20"/>
                <w:szCs w:val="20"/>
                <w:color w:val="auto"/>
              </w:rPr>
            </w:pPr>
            <w:r>
              <w:rPr>
                <w:rFonts w:ascii="Arial" w:cs="Arial" w:eastAsia="Arial" w:hAnsi="Arial"/>
                <w:sz w:val="16"/>
                <w:szCs w:val="16"/>
                <w:color w:val="auto"/>
                <w:w w:val="99"/>
              </w:rPr>
              <w:t>Paying Agent Agreement Indemnified Losses  56</w:t>
            </w:r>
          </w:p>
        </w:tc>
      </w:tr>
    </w:tbl>
    <w:p>
      <w:pPr>
        <w:ind w:left="280" w:hanging="274"/>
        <w:spacing w:after="0" w:line="219" w:lineRule="auto"/>
        <w:tabs>
          <w:tab w:leader="none" w:pos="2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Payments  57</w:t>
      </w:r>
    </w:p>
    <w:p>
      <w:pPr>
        <w:ind w:left="280" w:hanging="274"/>
        <w:spacing w:after="0" w:line="219" w:lineRule="auto"/>
        <w:tabs>
          <w:tab w:leader="none" w:pos="2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Notices  57</w:t>
      </w:r>
    </w:p>
    <w:tbl>
      <w:tblPr>
        <w:tblLayout w:type="fixed"/>
        <w:tblInd w:w="0" w:type="dxa"/>
        <w:tblCellMar>
          <w:top w:w="0" w:type="dxa"/>
          <w:left w:w="0" w:type="dxa"/>
          <w:bottom w:w="0" w:type="dxa"/>
          <w:right w:w="0" w:type="dxa"/>
        </w:tblCellMar>
      </w:tblPr>
      <w:tr>
        <w:trPr>
          <w:trHeight w:val="154"/>
        </w:trPr>
        <w:tc>
          <w:tcPr>
            <w:tcW w:w="2820" w:type="dxa"/>
            <w:vAlign w:val="bottom"/>
            <w:gridSpan w:val="7"/>
          </w:tcPr>
          <w:p>
            <w:pPr>
              <w:spacing w:after="0" w:line="155" w:lineRule="exact"/>
              <w:rPr>
                <w:sz w:val="20"/>
                <w:szCs w:val="20"/>
                <w:color w:val="auto"/>
              </w:rPr>
            </w:pPr>
            <w:r>
              <w:rPr>
                <w:rFonts w:ascii="Arial" w:cs="Arial" w:eastAsia="Arial" w:hAnsi="Arial"/>
                <w:sz w:val="16"/>
                <w:szCs w:val="16"/>
                <w:color w:val="auto"/>
              </w:rPr>
              <w:t>25. Service of Proceedings  58</w:t>
            </w:r>
          </w:p>
        </w:tc>
        <w:tc>
          <w:tcPr>
            <w:tcW w:w="400" w:type="dxa"/>
            <w:vAlign w:val="bottom"/>
          </w:tcPr>
          <w:p>
            <w:pPr>
              <w:spacing w:after="0"/>
              <w:rPr>
                <w:sz w:val="13"/>
                <w:szCs w:val="13"/>
                <w:color w:val="auto"/>
              </w:rPr>
            </w:pPr>
          </w:p>
        </w:tc>
      </w:tr>
      <w:tr>
        <w:trPr>
          <w:trHeight w:val="168"/>
        </w:trPr>
        <w:tc>
          <w:tcPr>
            <w:tcW w:w="2120" w:type="dxa"/>
            <w:vAlign w:val="bottom"/>
            <w:gridSpan w:val="6"/>
          </w:tcPr>
          <w:p>
            <w:pPr>
              <w:spacing w:after="0" w:line="168" w:lineRule="exact"/>
              <w:rPr>
                <w:sz w:val="20"/>
                <w:szCs w:val="20"/>
                <w:color w:val="auto"/>
              </w:rPr>
            </w:pPr>
            <w:r>
              <w:rPr>
                <w:rFonts w:ascii="Arial" w:cs="Arial" w:eastAsia="Arial" w:hAnsi="Arial"/>
                <w:sz w:val="16"/>
                <w:szCs w:val="16"/>
                <w:color w:val="auto"/>
              </w:rPr>
              <w:t>26. Sellers' Representatives</w:t>
            </w:r>
          </w:p>
        </w:tc>
        <w:tc>
          <w:tcPr>
            <w:tcW w:w="700" w:type="dxa"/>
            <w:vAlign w:val="bottom"/>
          </w:tcPr>
          <w:p>
            <w:pPr>
              <w:jc w:val="right"/>
              <w:ind w:right="442"/>
              <w:spacing w:after="0" w:line="168" w:lineRule="exact"/>
              <w:rPr>
                <w:sz w:val="20"/>
                <w:szCs w:val="20"/>
                <w:color w:val="auto"/>
              </w:rPr>
            </w:pPr>
            <w:r>
              <w:rPr>
                <w:rFonts w:ascii="Arial" w:cs="Arial" w:eastAsia="Arial" w:hAnsi="Arial"/>
                <w:sz w:val="16"/>
                <w:szCs w:val="16"/>
                <w:color w:val="auto"/>
                <w:w w:val="89"/>
              </w:rPr>
              <w:t>58</w:t>
            </w:r>
          </w:p>
        </w:tc>
        <w:tc>
          <w:tcPr>
            <w:tcW w:w="400" w:type="dxa"/>
            <w:vAlign w:val="bottom"/>
          </w:tcPr>
          <w:p>
            <w:pPr>
              <w:spacing w:after="0"/>
              <w:rPr>
                <w:sz w:val="14"/>
                <w:szCs w:val="14"/>
                <w:color w:val="auto"/>
              </w:rPr>
            </w:pPr>
          </w:p>
        </w:tc>
      </w:tr>
      <w:tr>
        <w:trPr>
          <w:trHeight w:val="168"/>
        </w:trPr>
        <w:tc>
          <w:tcPr>
            <w:tcW w:w="2820" w:type="dxa"/>
            <w:vAlign w:val="bottom"/>
            <w:gridSpan w:val="7"/>
          </w:tcPr>
          <w:p>
            <w:pPr>
              <w:spacing w:after="0" w:line="168" w:lineRule="exact"/>
              <w:rPr>
                <w:sz w:val="20"/>
                <w:szCs w:val="20"/>
                <w:color w:val="auto"/>
              </w:rPr>
            </w:pPr>
            <w:r>
              <w:rPr>
                <w:rFonts w:ascii="Arial" w:cs="Arial" w:eastAsia="Arial" w:hAnsi="Arial"/>
                <w:sz w:val="16"/>
                <w:szCs w:val="16"/>
                <w:color w:val="auto"/>
              </w:rPr>
              <w:t>27. Institutional Sellers' Representative</w:t>
            </w:r>
          </w:p>
        </w:tc>
        <w:tc>
          <w:tcPr>
            <w:tcW w:w="400" w:type="dxa"/>
            <w:vAlign w:val="bottom"/>
          </w:tcPr>
          <w:p>
            <w:pPr>
              <w:ind w:left="60"/>
              <w:spacing w:after="0" w:line="168" w:lineRule="exact"/>
              <w:rPr>
                <w:sz w:val="20"/>
                <w:szCs w:val="20"/>
                <w:color w:val="auto"/>
              </w:rPr>
            </w:pPr>
            <w:r>
              <w:rPr>
                <w:rFonts w:ascii="Arial" w:cs="Arial" w:eastAsia="Arial" w:hAnsi="Arial"/>
                <w:sz w:val="16"/>
                <w:szCs w:val="16"/>
                <w:color w:val="auto"/>
              </w:rPr>
              <w:t>60</w:t>
            </w:r>
          </w:p>
        </w:tc>
      </w:tr>
      <w:tr>
        <w:trPr>
          <w:trHeight w:val="168"/>
        </w:trPr>
        <w:tc>
          <w:tcPr>
            <w:tcW w:w="2820" w:type="dxa"/>
            <w:vAlign w:val="bottom"/>
            <w:gridSpan w:val="7"/>
          </w:tcPr>
          <w:p>
            <w:pPr>
              <w:spacing w:after="0" w:line="168" w:lineRule="exact"/>
              <w:rPr>
                <w:sz w:val="20"/>
                <w:szCs w:val="20"/>
                <w:color w:val="auto"/>
              </w:rPr>
            </w:pPr>
            <w:r>
              <w:rPr>
                <w:rFonts w:ascii="Arial" w:cs="Arial" w:eastAsia="Arial" w:hAnsi="Arial"/>
                <w:sz w:val="16"/>
                <w:szCs w:val="16"/>
                <w:color w:val="auto"/>
              </w:rPr>
              <w:t>28. Governing law and jurisdiction  61</w:t>
            </w: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1</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rPr>
              <w:t>63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w w:val="98"/>
              </w:rPr>
              <w:t>(The Sellers)</w:t>
            </w:r>
          </w:p>
        </w:tc>
        <w:tc>
          <w:tcPr>
            <w:tcW w:w="700" w:type="dxa"/>
            <w:vAlign w:val="bottom"/>
            <w:gridSpan w:val="2"/>
          </w:tcPr>
          <w:p>
            <w:pPr>
              <w:ind w:left="160"/>
              <w:spacing w:after="0" w:line="168" w:lineRule="exact"/>
              <w:rPr>
                <w:sz w:val="20"/>
                <w:szCs w:val="20"/>
                <w:color w:val="auto"/>
              </w:rPr>
            </w:pPr>
            <w:r>
              <w:rPr>
                <w:rFonts w:ascii="Arial" w:cs="Arial" w:eastAsia="Arial" w:hAnsi="Arial"/>
                <w:sz w:val="16"/>
                <w:szCs w:val="16"/>
                <w:color w:val="auto"/>
              </w:rPr>
              <w:t>63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63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860" w:type="dxa"/>
            <w:vAlign w:val="bottom"/>
            <w:gridSpan w:val="5"/>
          </w:tcPr>
          <w:p>
            <w:pPr>
              <w:spacing w:after="0" w:line="168" w:lineRule="exact"/>
              <w:rPr>
                <w:sz w:val="20"/>
                <w:szCs w:val="20"/>
                <w:color w:val="auto"/>
              </w:rPr>
            </w:pPr>
            <w:r>
              <w:rPr>
                <w:rFonts w:ascii="Arial" w:cs="Arial" w:eastAsia="Arial" w:hAnsi="Arial"/>
                <w:sz w:val="16"/>
                <w:szCs w:val="16"/>
                <w:color w:val="auto"/>
              </w:rPr>
              <w:t>(The FME Shareholders)</w:t>
            </w:r>
          </w:p>
        </w:tc>
        <w:tc>
          <w:tcPr>
            <w:tcW w:w="260" w:type="dxa"/>
            <w:vAlign w:val="bottom"/>
          </w:tcPr>
          <w:p>
            <w:pPr>
              <w:ind w:left="40"/>
              <w:spacing w:after="0" w:line="168" w:lineRule="exact"/>
              <w:rPr>
                <w:sz w:val="20"/>
                <w:szCs w:val="20"/>
                <w:color w:val="auto"/>
              </w:rPr>
            </w:pPr>
            <w:r>
              <w:rPr>
                <w:rFonts w:ascii="Arial" w:cs="Arial" w:eastAsia="Arial" w:hAnsi="Arial"/>
                <w:sz w:val="16"/>
                <w:szCs w:val="16"/>
                <w:color w:val="auto"/>
              </w:rPr>
              <w:t>63</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94</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620" w:type="dxa"/>
            <w:vAlign w:val="bottom"/>
            <w:gridSpan w:val="4"/>
          </w:tcPr>
          <w:p>
            <w:pPr>
              <w:spacing w:after="0" w:line="168" w:lineRule="exact"/>
              <w:rPr>
                <w:sz w:val="20"/>
                <w:szCs w:val="20"/>
                <w:color w:val="auto"/>
              </w:rPr>
            </w:pPr>
            <w:r>
              <w:rPr>
                <w:rFonts w:ascii="Arial" w:cs="Arial" w:eastAsia="Arial" w:hAnsi="Arial"/>
                <w:sz w:val="16"/>
                <w:szCs w:val="16"/>
                <w:color w:val="auto"/>
              </w:rPr>
              <w:t>(The Investor Sellers)</w:t>
            </w:r>
          </w:p>
        </w:tc>
        <w:tc>
          <w:tcPr>
            <w:tcW w:w="240" w:type="dxa"/>
            <w:vAlign w:val="bottom"/>
          </w:tcPr>
          <w:p>
            <w:pPr>
              <w:ind w:left="40"/>
              <w:spacing w:after="0" w:line="168" w:lineRule="exact"/>
              <w:rPr>
                <w:sz w:val="20"/>
                <w:szCs w:val="20"/>
                <w:color w:val="auto"/>
              </w:rPr>
            </w:pPr>
            <w:r>
              <w:rPr>
                <w:rFonts w:ascii="Arial" w:cs="Arial" w:eastAsia="Arial" w:hAnsi="Arial"/>
                <w:sz w:val="16"/>
                <w:szCs w:val="16"/>
                <w:color w:val="auto"/>
              </w:rPr>
              <w:t>94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2</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103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103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220" w:type="dxa"/>
            <w:vAlign w:val="bottom"/>
            <w:gridSpan w:val="3"/>
          </w:tcPr>
          <w:p>
            <w:pPr>
              <w:spacing w:after="0" w:line="168" w:lineRule="exact"/>
              <w:rPr>
                <w:sz w:val="20"/>
                <w:szCs w:val="20"/>
                <w:color w:val="auto"/>
              </w:rPr>
            </w:pPr>
            <w:r>
              <w:rPr>
                <w:rFonts w:ascii="Arial" w:cs="Arial" w:eastAsia="Arial" w:hAnsi="Arial"/>
                <w:sz w:val="16"/>
                <w:szCs w:val="16"/>
                <w:color w:val="auto"/>
              </w:rPr>
              <w:t>(The Company)</w:t>
            </w:r>
          </w:p>
        </w:tc>
        <w:tc>
          <w:tcPr>
            <w:tcW w:w="400" w:type="dxa"/>
            <w:vAlign w:val="bottom"/>
          </w:tcPr>
          <w:p>
            <w:pPr>
              <w:jc w:val="right"/>
              <w:ind w:right="22"/>
              <w:spacing w:after="0" w:line="168" w:lineRule="exact"/>
              <w:rPr>
                <w:sz w:val="20"/>
                <w:szCs w:val="20"/>
                <w:color w:val="auto"/>
              </w:rPr>
            </w:pPr>
            <w:r>
              <w:rPr>
                <w:rFonts w:ascii="Arial" w:cs="Arial" w:eastAsia="Arial" w:hAnsi="Arial"/>
                <w:sz w:val="16"/>
                <w:szCs w:val="16"/>
                <w:color w:val="auto"/>
              </w:rPr>
              <w:t>103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104</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820" w:type="dxa"/>
            <w:vAlign w:val="bottom"/>
            <w:gridSpan w:val="7"/>
          </w:tcPr>
          <w:p>
            <w:pPr>
              <w:spacing w:after="0" w:line="168" w:lineRule="exact"/>
              <w:rPr>
                <w:sz w:val="20"/>
                <w:szCs w:val="20"/>
                <w:color w:val="auto"/>
              </w:rPr>
            </w:pPr>
            <w:r>
              <w:rPr>
                <w:rFonts w:ascii="Arial" w:cs="Arial" w:eastAsia="Arial" w:hAnsi="Arial"/>
                <w:sz w:val="16"/>
                <w:szCs w:val="16"/>
                <w:color w:val="auto"/>
                <w:w w:val="98"/>
              </w:rPr>
              <w:t>(The Group Companies (and branches))</w:t>
            </w:r>
          </w:p>
        </w:tc>
        <w:tc>
          <w:tcPr>
            <w:tcW w:w="400" w:type="dxa"/>
            <w:vAlign w:val="bottom"/>
          </w:tcPr>
          <w:p>
            <w:pPr>
              <w:jc w:val="right"/>
              <w:spacing w:after="0" w:line="168" w:lineRule="exact"/>
              <w:rPr>
                <w:sz w:val="20"/>
                <w:szCs w:val="20"/>
                <w:color w:val="auto"/>
              </w:rPr>
            </w:pPr>
            <w:r>
              <w:rPr>
                <w:rFonts w:ascii="Arial" w:cs="Arial" w:eastAsia="Arial" w:hAnsi="Arial"/>
                <w:sz w:val="16"/>
                <w:szCs w:val="16"/>
                <w:color w:val="auto"/>
              </w:rPr>
              <w:t>104</w:t>
            </w: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3</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112</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220" w:type="dxa"/>
            <w:vAlign w:val="bottom"/>
            <w:gridSpan w:val="3"/>
          </w:tcPr>
          <w:p>
            <w:pPr>
              <w:spacing w:after="0" w:line="168" w:lineRule="exact"/>
              <w:rPr>
                <w:sz w:val="20"/>
                <w:szCs w:val="20"/>
                <w:color w:val="auto"/>
              </w:rPr>
            </w:pPr>
            <w:r>
              <w:rPr>
                <w:rFonts w:ascii="Arial" w:cs="Arial" w:eastAsia="Arial" w:hAnsi="Arial"/>
                <w:sz w:val="16"/>
                <w:szCs w:val="16"/>
                <w:color w:val="auto"/>
              </w:rPr>
              <w:t>(The Properties)</w:t>
            </w:r>
          </w:p>
        </w:tc>
        <w:tc>
          <w:tcPr>
            <w:tcW w:w="400" w:type="dxa"/>
            <w:vAlign w:val="bottom"/>
          </w:tcPr>
          <w:p>
            <w:pPr>
              <w:jc w:val="right"/>
              <w:spacing w:after="0" w:line="168" w:lineRule="exact"/>
              <w:rPr>
                <w:sz w:val="20"/>
                <w:szCs w:val="20"/>
                <w:color w:val="auto"/>
              </w:rPr>
            </w:pPr>
            <w:r>
              <w:rPr>
                <w:rFonts w:ascii="Arial" w:cs="Arial" w:eastAsia="Arial" w:hAnsi="Arial"/>
                <w:sz w:val="16"/>
                <w:szCs w:val="16"/>
                <w:color w:val="auto"/>
              </w:rPr>
              <w:t>112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110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620" w:type="dxa"/>
            <w:vAlign w:val="bottom"/>
            <w:gridSpan w:val="4"/>
          </w:tcPr>
          <w:p>
            <w:pPr>
              <w:spacing w:after="0" w:line="168" w:lineRule="exact"/>
              <w:rPr>
                <w:sz w:val="20"/>
                <w:szCs w:val="20"/>
                <w:color w:val="auto"/>
              </w:rPr>
            </w:pPr>
            <w:r>
              <w:rPr>
                <w:rFonts w:ascii="Arial" w:cs="Arial" w:eastAsia="Arial" w:hAnsi="Arial"/>
                <w:sz w:val="16"/>
                <w:szCs w:val="16"/>
                <w:color w:val="auto"/>
              </w:rPr>
              <w:t>(Freehold Properties)</w:t>
            </w:r>
          </w:p>
        </w:tc>
        <w:tc>
          <w:tcPr>
            <w:tcW w:w="500" w:type="dxa"/>
            <w:vAlign w:val="bottom"/>
            <w:gridSpan w:val="2"/>
          </w:tcPr>
          <w:p>
            <w:pPr>
              <w:ind w:left="40"/>
              <w:spacing w:after="0" w:line="168" w:lineRule="exact"/>
              <w:rPr>
                <w:sz w:val="20"/>
                <w:szCs w:val="20"/>
                <w:color w:val="auto"/>
              </w:rPr>
            </w:pPr>
            <w:r>
              <w:rPr>
                <w:rFonts w:ascii="Arial" w:cs="Arial" w:eastAsia="Arial" w:hAnsi="Arial"/>
                <w:sz w:val="16"/>
                <w:szCs w:val="16"/>
                <w:color w:val="auto"/>
              </w:rPr>
              <w:t>110</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113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860" w:type="dxa"/>
            <w:vAlign w:val="bottom"/>
            <w:gridSpan w:val="5"/>
          </w:tcPr>
          <w:p>
            <w:pPr>
              <w:spacing w:after="0" w:line="168" w:lineRule="exact"/>
              <w:rPr>
                <w:sz w:val="20"/>
                <w:szCs w:val="20"/>
                <w:color w:val="auto"/>
              </w:rPr>
            </w:pPr>
            <w:r>
              <w:rPr>
                <w:rFonts w:ascii="Arial" w:cs="Arial" w:eastAsia="Arial" w:hAnsi="Arial"/>
                <w:sz w:val="16"/>
                <w:szCs w:val="16"/>
                <w:color w:val="auto"/>
              </w:rPr>
              <w:t>(Leased Properties)  113</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4</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116</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620" w:type="dxa"/>
            <w:vAlign w:val="bottom"/>
            <w:gridSpan w:val="4"/>
          </w:tcPr>
          <w:p>
            <w:pPr>
              <w:spacing w:after="0" w:line="168" w:lineRule="exact"/>
              <w:rPr>
                <w:sz w:val="20"/>
                <w:szCs w:val="20"/>
                <w:color w:val="auto"/>
              </w:rPr>
            </w:pPr>
            <w:r>
              <w:rPr>
                <w:rFonts w:ascii="Arial" w:cs="Arial" w:eastAsia="Arial" w:hAnsi="Arial"/>
                <w:sz w:val="16"/>
                <w:szCs w:val="16"/>
                <w:color w:val="auto"/>
              </w:rPr>
              <w:t>(Non-Tax Warranties)</w:t>
            </w:r>
          </w:p>
        </w:tc>
        <w:tc>
          <w:tcPr>
            <w:tcW w:w="50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116</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5</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141</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620" w:type="dxa"/>
            <w:vAlign w:val="bottom"/>
            <w:gridSpan w:val="4"/>
          </w:tcPr>
          <w:p>
            <w:pPr>
              <w:spacing w:after="0" w:line="168" w:lineRule="exact"/>
              <w:rPr>
                <w:sz w:val="20"/>
                <w:szCs w:val="20"/>
                <w:color w:val="auto"/>
              </w:rPr>
            </w:pPr>
            <w:r>
              <w:rPr>
                <w:rFonts w:ascii="Arial" w:cs="Arial" w:eastAsia="Arial" w:hAnsi="Arial"/>
                <w:sz w:val="16"/>
                <w:szCs w:val="16"/>
                <w:color w:val="auto"/>
                <w:w w:val="98"/>
              </w:rPr>
              <w:t>(Limitations on liability)</w:t>
            </w:r>
          </w:p>
        </w:tc>
        <w:tc>
          <w:tcPr>
            <w:tcW w:w="500" w:type="dxa"/>
            <w:vAlign w:val="bottom"/>
            <w:gridSpan w:val="2"/>
          </w:tcPr>
          <w:p>
            <w:pPr>
              <w:jc w:val="right"/>
              <w:ind w:right="22"/>
              <w:spacing w:after="0" w:line="168" w:lineRule="exact"/>
              <w:rPr>
                <w:sz w:val="20"/>
                <w:szCs w:val="20"/>
                <w:color w:val="auto"/>
              </w:rPr>
            </w:pPr>
            <w:r>
              <w:rPr>
                <w:rFonts w:ascii="Arial" w:cs="Arial" w:eastAsia="Arial" w:hAnsi="Arial"/>
                <w:sz w:val="16"/>
                <w:szCs w:val="16"/>
                <w:color w:val="auto"/>
              </w:rPr>
              <w:t>141</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6</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145</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220" w:type="dxa"/>
            <w:vAlign w:val="bottom"/>
            <w:gridSpan w:val="3"/>
          </w:tcPr>
          <w:p>
            <w:pPr>
              <w:spacing w:after="0" w:line="168" w:lineRule="exact"/>
              <w:rPr>
                <w:sz w:val="20"/>
                <w:szCs w:val="20"/>
                <w:color w:val="auto"/>
              </w:rPr>
            </w:pPr>
            <w:r>
              <w:rPr>
                <w:rFonts w:ascii="Arial" w:cs="Arial" w:eastAsia="Arial" w:hAnsi="Arial"/>
                <w:sz w:val="16"/>
                <w:szCs w:val="16"/>
                <w:color w:val="auto"/>
              </w:rPr>
              <w:t>(Tax Schedule)</w:t>
            </w:r>
          </w:p>
        </w:tc>
        <w:tc>
          <w:tcPr>
            <w:tcW w:w="400" w:type="dxa"/>
            <w:vAlign w:val="bottom"/>
          </w:tcPr>
          <w:p>
            <w:pPr>
              <w:jc w:val="right"/>
              <w:ind w:right="42"/>
              <w:spacing w:after="0" w:line="168" w:lineRule="exact"/>
              <w:rPr>
                <w:sz w:val="20"/>
                <w:szCs w:val="20"/>
                <w:color w:val="auto"/>
              </w:rPr>
            </w:pPr>
            <w:r>
              <w:rPr>
                <w:rFonts w:ascii="Arial" w:cs="Arial" w:eastAsia="Arial" w:hAnsi="Arial"/>
                <w:sz w:val="16"/>
                <w:szCs w:val="16"/>
                <w:color w:val="auto"/>
                <w:w w:val="97"/>
              </w:rPr>
              <w:t>145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145</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120" w:type="dxa"/>
            <w:vAlign w:val="bottom"/>
            <w:gridSpan w:val="6"/>
          </w:tcPr>
          <w:p>
            <w:pPr>
              <w:spacing w:after="0" w:line="168" w:lineRule="exact"/>
              <w:rPr>
                <w:sz w:val="20"/>
                <w:szCs w:val="20"/>
                <w:color w:val="auto"/>
              </w:rPr>
            </w:pPr>
            <w:r>
              <w:rPr>
                <w:rFonts w:ascii="Arial" w:cs="Arial" w:eastAsia="Arial" w:hAnsi="Arial"/>
                <w:sz w:val="16"/>
                <w:szCs w:val="16"/>
                <w:color w:val="auto"/>
                <w:w w:val="97"/>
              </w:rPr>
              <w:t>(Definitions and Interpretation)</w:t>
            </w:r>
          </w:p>
        </w:tc>
        <w:tc>
          <w:tcPr>
            <w:tcW w:w="700" w:type="dxa"/>
            <w:vAlign w:val="bottom"/>
          </w:tcPr>
          <w:p>
            <w:pPr>
              <w:jc w:val="right"/>
              <w:ind w:right="202"/>
              <w:spacing w:after="0" w:line="168" w:lineRule="exact"/>
              <w:rPr>
                <w:sz w:val="20"/>
                <w:szCs w:val="20"/>
                <w:color w:val="auto"/>
              </w:rPr>
            </w:pPr>
            <w:r>
              <w:rPr>
                <w:rFonts w:ascii="Arial" w:cs="Arial" w:eastAsia="Arial" w:hAnsi="Arial"/>
                <w:sz w:val="16"/>
                <w:szCs w:val="16"/>
                <w:color w:val="auto"/>
              </w:rPr>
              <w:t>145</w:t>
            </w: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149</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220" w:type="dxa"/>
            <w:vAlign w:val="bottom"/>
            <w:gridSpan w:val="3"/>
          </w:tcPr>
          <w:p>
            <w:pPr>
              <w:spacing w:after="0" w:line="168" w:lineRule="exact"/>
              <w:rPr>
                <w:sz w:val="20"/>
                <w:szCs w:val="20"/>
                <w:color w:val="auto"/>
              </w:rPr>
            </w:pPr>
            <w:r>
              <w:rPr>
                <w:rFonts w:ascii="Arial" w:cs="Arial" w:eastAsia="Arial" w:hAnsi="Arial"/>
                <w:sz w:val="16"/>
                <w:szCs w:val="16"/>
                <w:color w:val="auto"/>
              </w:rPr>
              <w:t>(Tax Warranties)</w:t>
            </w:r>
          </w:p>
        </w:tc>
        <w:tc>
          <w:tcPr>
            <w:tcW w:w="400" w:type="dxa"/>
            <w:vAlign w:val="bottom"/>
          </w:tcPr>
          <w:p>
            <w:pPr>
              <w:jc w:val="right"/>
              <w:spacing w:after="0" w:line="168" w:lineRule="exact"/>
              <w:rPr>
                <w:sz w:val="20"/>
                <w:szCs w:val="20"/>
                <w:color w:val="auto"/>
              </w:rPr>
            </w:pPr>
            <w:r>
              <w:rPr>
                <w:rFonts w:ascii="Arial" w:cs="Arial" w:eastAsia="Arial" w:hAnsi="Arial"/>
                <w:sz w:val="16"/>
                <w:szCs w:val="16"/>
                <w:color w:val="auto"/>
              </w:rPr>
              <w:t>149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3</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152</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820" w:type="dxa"/>
            <w:vAlign w:val="bottom"/>
            <w:gridSpan w:val="7"/>
          </w:tcPr>
          <w:p>
            <w:pPr>
              <w:spacing w:after="0" w:line="168" w:lineRule="exact"/>
              <w:rPr>
                <w:sz w:val="20"/>
                <w:szCs w:val="20"/>
                <w:color w:val="auto"/>
              </w:rPr>
            </w:pPr>
            <w:r>
              <w:rPr>
                <w:rFonts w:ascii="Arial" w:cs="Arial" w:eastAsia="Arial" w:hAnsi="Arial"/>
                <w:sz w:val="16"/>
                <w:szCs w:val="16"/>
                <w:color w:val="auto"/>
              </w:rPr>
              <w:t>(Covenants to and from the Purchaser)</w:t>
            </w:r>
          </w:p>
        </w:tc>
        <w:tc>
          <w:tcPr>
            <w:tcW w:w="400" w:type="dxa"/>
            <w:vAlign w:val="bottom"/>
          </w:tcPr>
          <w:p>
            <w:pPr>
              <w:ind w:left="60"/>
              <w:spacing w:after="0" w:line="168" w:lineRule="exact"/>
              <w:rPr>
                <w:sz w:val="20"/>
                <w:szCs w:val="20"/>
                <w:color w:val="auto"/>
              </w:rPr>
            </w:pPr>
            <w:r>
              <w:rPr>
                <w:rFonts w:ascii="Arial" w:cs="Arial" w:eastAsia="Arial" w:hAnsi="Arial"/>
                <w:sz w:val="16"/>
                <w:szCs w:val="16"/>
                <w:color w:val="auto"/>
              </w:rPr>
              <w:t>152</w:t>
            </w: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4</w:t>
            </w:r>
          </w:p>
        </w:tc>
        <w:tc>
          <w:tcPr>
            <w:tcW w:w="420" w:type="dxa"/>
            <w:vAlign w:val="bottom"/>
          </w:tcPr>
          <w:p>
            <w:pPr>
              <w:ind w:left="100"/>
              <w:spacing w:after="0" w:line="168" w:lineRule="exact"/>
              <w:rPr>
                <w:sz w:val="20"/>
                <w:szCs w:val="20"/>
                <w:color w:val="auto"/>
              </w:rPr>
            </w:pPr>
            <w:r>
              <w:rPr>
                <w:rFonts w:ascii="Arial" w:cs="Arial" w:eastAsia="Arial" w:hAnsi="Arial"/>
                <w:sz w:val="16"/>
                <w:szCs w:val="16"/>
                <w:color w:val="auto"/>
              </w:rPr>
              <w:t>156</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860" w:type="dxa"/>
            <w:vAlign w:val="bottom"/>
            <w:gridSpan w:val="5"/>
          </w:tcPr>
          <w:p>
            <w:pPr>
              <w:spacing w:after="0" w:line="168" w:lineRule="exact"/>
              <w:rPr>
                <w:sz w:val="20"/>
                <w:szCs w:val="20"/>
                <w:color w:val="auto"/>
              </w:rPr>
            </w:pPr>
            <w:r>
              <w:rPr>
                <w:rFonts w:ascii="Arial" w:cs="Arial" w:eastAsia="Arial" w:hAnsi="Arial"/>
                <w:sz w:val="16"/>
                <w:szCs w:val="16"/>
                <w:color w:val="auto"/>
              </w:rPr>
              <w:t>(Limitations and general)</w:t>
            </w:r>
          </w:p>
        </w:tc>
        <w:tc>
          <w:tcPr>
            <w:tcW w:w="960" w:type="dxa"/>
            <w:vAlign w:val="bottom"/>
            <w:gridSpan w:val="2"/>
          </w:tcPr>
          <w:p>
            <w:pPr>
              <w:ind w:left="40"/>
              <w:spacing w:after="0" w:line="168" w:lineRule="exact"/>
              <w:rPr>
                <w:sz w:val="20"/>
                <w:szCs w:val="20"/>
                <w:color w:val="auto"/>
              </w:rPr>
            </w:pPr>
            <w:r>
              <w:rPr>
                <w:rFonts w:ascii="Arial" w:cs="Arial" w:eastAsia="Arial" w:hAnsi="Arial"/>
                <w:sz w:val="16"/>
                <w:szCs w:val="16"/>
                <w:color w:val="auto"/>
              </w:rPr>
              <w:t>156</w:t>
            </w:r>
          </w:p>
        </w:tc>
        <w:tc>
          <w:tcPr>
            <w:tcW w:w="400" w:type="dxa"/>
            <w:vAlign w:val="bottom"/>
          </w:tcPr>
          <w:p>
            <w:pPr>
              <w:spacing w:after="0"/>
              <w:rPr>
                <w:sz w:val="14"/>
                <w:szCs w:val="14"/>
                <w:color w:val="auto"/>
              </w:rPr>
            </w:pPr>
          </w:p>
        </w:tc>
      </w:tr>
      <w:tr>
        <w:trPr>
          <w:trHeight w:val="168"/>
        </w:trPr>
        <w:tc>
          <w:tcPr>
            <w:tcW w:w="920" w:type="dxa"/>
            <w:vAlign w:val="bottom"/>
            <w:gridSpan w:val="2"/>
          </w:tcPr>
          <w:p>
            <w:pPr>
              <w:spacing w:after="0" w:line="168" w:lineRule="exact"/>
              <w:rPr>
                <w:sz w:val="20"/>
                <w:szCs w:val="20"/>
                <w:color w:val="auto"/>
              </w:rPr>
            </w:pPr>
            <w:r>
              <w:rPr>
                <w:rFonts w:ascii="Arial" w:cs="Arial" w:eastAsia="Arial" w:hAnsi="Arial"/>
                <w:sz w:val="16"/>
                <w:szCs w:val="16"/>
                <w:color w:val="auto"/>
              </w:rPr>
              <w:t>Schedule 7</w:t>
            </w:r>
          </w:p>
        </w:tc>
        <w:tc>
          <w:tcPr>
            <w:tcW w:w="300" w:type="dxa"/>
            <w:vAlign w:val="bottom"/>
          </w:tcPr>
          <w:p>
            <w:pPr>
              <w:ind w:left="40"/>
              <w:spacing w:after="0" w:line="168" w:lineRule="exact"/>
              <w:rPr>
                <w:sz w:val="20"/>
                <w:szCs w:val="20"/>
                <w:color w:val="auto"/>
              </w:rPr>
            </w:pPr>
            <w:r>
              <w:rPr>
                <w:rFonts w:ascii="Arial" w:cs="Arial" w:eastAsia="Arial" w:hAnsi="Arial"/>
                <w:sz w:val="16"/>
                <w:szCs w:val="16"/>
                <w:color w:val="auto"/>
                <w:w w:val="89"/>
              </w:rPr>
              <w:t>159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5"/>
        </w:trPr>
        <w:tc>
          <w:tcPr>
            <w:tcW w:w="1860" w:type="dxa"/>
            <w:vAlign w:val="bottom"/>
            <w:gridSpan w:val="5"/>
          </w:tcPr>
          <w:p>
            <w:pPr>
              <w:spacing w:after="0"/>
              <w:rPr>
                <w:sz w:val="20"/>
                <w:szCs w:val="20"/>
                <w:color w:val="auto"/>
              </w:rPr>
            </w:pPr>
            <w:r>
              <w:rPr>
                <w:rFonts w:ascii="Arial" w:cs="Arial" w:eastAsia="Arial" w:hAnsi="Arial"/>
                <w:sz w:val="16"/>
                <w:szCs w:val="16"/>
                <w:color w:val="auto"/>
              </w:rPr>
              <w:t>(Completion obligations)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159</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r>
    </w:tbl>
    <w:p>
      <w:pPr>
        <w:sectPr>
          <w:pgSz w:w="11900" w:h="16840" w:orient="portrait"/>
          <w:cols w:equalWidth="0" w:num="1">
            <w:col w:w="9800"/>
          </w:cols>
          <w:pgMar w:left="660" w:top="1440" w:right="1440" w:bottom="1440" w:gutter="0" w:footer="0" w:header="0"/>
        </w:sectPr>
      </w:pPr>
    </w:p>
    <w:bookmarkStart w:id="350" w:name="page351"/>
    <w:bookmarkEnd w:id="350"/>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20"/>
                <w:szCs w:val="20"/>
                <w:color w:val="auto"/>
              </w:rPr>
            </w:pPr>
            <w:r>
              <w:rPr>
                <w:rFonts w:ascii="Arial" w:cs="Arial" w:eastAsia="Arial" w:hAnsi="Arial"/>
                <w:sz w:val="16"/>
                <w:szCs w:val="16"/>
                <w:color w:val="auto"/>
              </w:rPr>
              <w:t>Part 1</w:t>
            </w: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159</w:t>
            </w:r>
          </w:p>
        </w:tc>
        <w:tc>
          <w:tcPr>
            <w:tcW w:w="7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68"/>
        </w:trPr>
        <w:tc>
          <w:tcPr>
            <w:tcW w:w="4140" w:type="dxa"/>
            <w:vAlign w:val="bottom"/>
            <w:gridSpan w:val="4"/>
          </w:tcPr>
          <w:p>
            <w:pPr>
              <w:spacing w:after="0" w:line="168" w:lineRule="exact"/>
              <w:rPr>
                <w:sz w:val="20"/>
                <w:szCs w:val="20"/>
                <w:color w:val="auto"/>
              </w:rPr>
            </w:pPr>
            <w:r>
              <w:rPr>
                <w:rFonts w:ascii="Arial" w:cs="Arial" w:eastAsia="Arial" w:hAnsi="Arial"/>
                <w:sz w:val="16"/>
                <w:szCs w:val="16"/>
                <w:color w:val="auto"/>
              </w:rPr>
              <w:t>(Sellers' obligations)  159</w:t>
            </w: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162</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4140" w:type="dxa"/>
            <w:vAlign w:val="bottom"/>
            <w:gridSpan w:val="4"/>
          </w:tcPr>
          <w:p>
            <w:pPr>
              <w:spacing w:after="0" w:line="168" w:lineRule="exact"/>
              <w:rPr>
                <w:sz w:val="20"/>
                <w:szCs w:val="20"/>
                <w:color w:val="auto"/>
              </w:rPr>
            </w:pPr>
            <w:r>
              <w:rPr>
                <w:rFonts w:ascii="Arial" w:cs="Arial" w:eastAsia="Arial" w:hAnsi="Arial"/>
                <w:sz w:val="16"/>
                <w:szCs w:val="16"/>
                <w:color w:val="auto"/>
              </w:rPr>
              <w:t>(Purchaser's obligations)  162</w:t>
            </w:r>
          </w:p>
        </w:tc>
      </w:tr>
      <w:tr>
        <w:trPr>
          <w:trHeight w:val="168"/>
        </w:trPr>
        <w:tc>
          <w:tcPr>
            <w:tcW w:w="940" w:type="dxa"/>
            <w:vAlign w:val="bottom"/>
            <w:gridSpan w:val="2"/>
          </w:tcPr>
          <w:p>
            <w:pPr>
              <w:spacing w:after="0" w:line="168" w:lineRule="exact"/>
              <w:rPr>
                <w:sz w:val="20"/>
                <w:szCs w:val="20"/>
                <w:color w:val="auto"/>
              </w:rPr>
            </w:pPr>
            <w:r>
              <w:rPr>
                <w:rFonts w:ascii="Arial" w:cs="Arial" w:eastAsia="Arial" w:hAnsi="Arial"/>
                <w:sz w:val="16"/>
                <w:szCs w:val="16"/>
                <w:color w:val="auto"/>
              </w:rPr>
              <w:t>Schedule 8</w:t>
            </w:r>
          </w:p>
        </w:tc>
        <w:tc>
          <w:tcPr>
            <w:tcW w:w="700" w:type="dxa"/>
            <w:vAlign w:val="bottom"/>
          </w:tcPr>
          <w:p>
            <w:pPr>
              <w:jc w:val="right"/>
              <w:ind w:right="342"/>
              <w:spacing w:after="0" w:line="168" w:lineRule="exact"/>
              <w:rPr>
                <w:sz w:val="20"/>
                <w:szCs w:val="20"/>
                <w:color w:val="auto"/>
              </w:rPr>
            </w:pPr>
            <w:r>
              <w:rPr>
                <w:rFonts w:ascii="Arial" w:cs="Arial" w:eastAsia="Arial" w:hAnsi="Arial"/>
                <w:sz w:val="16"/>
                <w:szCs w:val="16"/>
                <w:color w:val="auto"/>
                <w:w w:val="97"/>
              </w:rPr>
              <w:t>163</w:t>
            </w:r>
          </w:p>
        </w:tc>
        <w:tc>
          <w:tcPr>
            <w:tcW w:w="2500" w:type="dxa"/>
            <w:vAlign w:val="bottom"/>
          </w:tcPr>
          <w:p>
            <w:pPr>
              <w:spacing w:after="0"/>
              <w:rPr>
                <w:sz w:val="14"/>
                <w:szCs w:val="14"/>
                <w:color w:val="auto"/>
              </w:rPr>
            </w:pPr>
          </w:p>
        </w:tc>
      </w:tr>
      <w:tr>
        <w:trPr>
          <w:trHeight w:val="168"/>
        </w:trPr>
        <w:tc>
          <w:tcPr>
            <w:tcW w:w="4140" w:type="dxa"/>
            <w:vAlign w:val="bottom"/>
            <w:gridSpan w:val="4"/>
          </w:tcPr>
          <w:p>
            <w:pPr>
              <w:spacing w:after="0" w:line="168" w:lineRule="exact"/>
              <w:rPr>
                <w:sz w:val="20"/>
                <w:szCs w:val="20"/>
                <w:color w:val="auto"/>
              </w:rPr>
            </w:pPr>
            <w:r>
              <w:rPr>
                <w:rFonts w:ascii="Arial" w:cs="Arial" w:eastAsia="Arial" w:hAnsi="Arial"/>
                <w:sz w:val="16"/>
                <w:szCs w:val="16"/>
                <w:color w:val="auto"/>
              </w:rPr>
              <w:t>(Pre Completion obligations)  163</w:t>
            </w:r>
          </w:p>
        </w:tc>
      </w:tr>
      <w:tr>
        <w:trPr>
          <w:trHeight w:val="168"/>
        </w:trPr>
        <w:tc>
          <w:tcPr>
            <w:tcW w:w="940" w:type="dxa"/>
            <w:vAlign w:val="bottom"/>
            <w:gridSpan w:val="2"/>
          </w:tcPr>
          <w:p>
            <w:pPr>
              <w:spacing w:after="0" w:line="168" w:lineRule="exact"/>
              <w:rPr>
                <w:sz w:val="20"/>
                <w:szCs w:val="20"/>
                <w:color w:val="auto"/>
              </w:rPr>
            </w:pPr>
            <w:r>
              <w:rPr>
                <w:rFonts w:ascii="Arial" w:cs="Arial" w:eastAsia="Arial" w:hAnsi="Arial"/>
                <w:sz w:val="16"/>
                <w:szCs w:val="16"/>
                <w:color w:val="auto"/>
              </w:rPr>
              <w:t>Schedule 9</w:t>
            </w:r>
          </w:p>
        </w:tc>
        <w:tc>
          <w:tcPr>
            <w:tcW w:w="700" w:type="dxa"/>
            <w:vAlign w:val="bottom"/>
          </w:tcPr>
          <w:p>
            <w:pPr>
              <w:jc w:val="right"/>
              <w:ind w:right="342"/>
              <w:spacing w:after="0" w:line="168" w:lineRule="exact"/>
              <w:rPr>
                <w:sz w:val="20"/>
                <w:szCs w:val="20"/>
                <w:color w:val="auto"/>
              </w:rPr>
            </w:pPr>
            <w:r>
              <w:rPr>
                <w:rFonts w:ascii="Arial" w:cs="Arial" w:eastAsia="Arial" w:hAnsi="Arial"/>
                <w:sz w:val="16"/>
                <w:szCs w:val="16"/>
                <w:color w:val="auto"/>
                <w:w w:val="97"/>
              </w:rPr>
              <w:t>165</w:t>
            </w:r>
          </w:p>
        </w:tc>
        <w:tc>
          <w:tcPr>
            <w:tcW w:w="2500" w:type="dxa"/>
            <w:vAlign w:val="bottom"/>
          </w:tcPr>
          <w:p>
            <w:pPr>
              <w:spacing w:after="0"/>
              <w:rPr>
                <w:sz w:val="14"/>
                <w:szCs w:val="14"/>
                <w:color w:val="auto"/>
              </w:rPr>
            </w:pPr>
          </w:p>
        </w:tc>
      </w:tr>
      <w:tr>
        <w:trPr>
          <w:trHeight w:val="168"/>
        </w:trPr>
        <w:tc>
          <w:tcPr>
            <w:tcW w:w="1640" w:type="dxa"/>
            <w:vAlign w:val="bottom"/>
            <w:gridSpan w:val="3"/>
          </w:tcPr>
          <w:p>
            <w:pPr>
              <w:spacing w:after="0" w:line="168" w:lineRule="exact"/>
              <w:rPr>
                <w:sz w:val="20"/>
                <w:szCs w:val="20"/>
                <w:color w:val="auto"/>
              </w:rPr>
            </w:pPr>
            <w:r>
              <w:rPr>
                <w:rFonts w:ascii="Arial" w:cs="Arial" w:eastAsia="Arial" w:hAnsi="Arial"/>
                <w:sz w:val="16"/>
                <w:szCs w:val="16"/>
                <w:color w:val="auto"/>
              </w:rPr>
              <w:t>(Completion Accounts)</w:t>
            </w:r>
          </w:p>
        </w:tc>
        <w:tc>
          <w:tcPr>
            <w:tcW w:w="2500" w:type="dxa"/>
            <w:vAlign w:val="bottom"/>
          </w:tcPr>
          <w:p>
            <w:pPr>
              <w:jc w:val="right"/>
              <w:ind w:right="2042"/>
              <w:spacing w:after="0" w:line="168" w:lineRule="exact"/>
              <w:rPr>
                <w:sz w:val="20"/>
                <w:szCs w:val="20"/>
                <w:color w:val="auto"/>
              </w:rPr>
            </w:pPr>
            <w:r>
              <w:rPr>
                <w:rFonts w:ascii="Arial" w:cs="Arial" w:eastAsia="Arial" w:hAnsi="Arial"/>
                <w:sz w:val="16"/>
                <w:szCs w:val="16"/>
                <w:color w:val="auto"/>
              </w:rPr>
              <w:t>165</w:t>
            </w: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165</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940" w:type="dxa"/>
            <w:vAlign w:val="bottom"/>
            <w:gridSpan w:val="2"/>
          </w:tcPr>
          <w:p>
            <w:pPr>
              <w:spacing w:after="0" w:line="168" w:lineRule="exact"/>
              <w:rPr>
                <w:sz w:val="20"/>
                <w:szCs w:val="20"/>
                <w:color w:val="auto"/>
              </w:rPr>
            </w:pPr>
            <w:r>
              <w:rPr>
                <w:rFonts w:ascii="Arial" w:cs="Arial" w:eastAsia="Arial" w:hAnsi="Arial"/>
                <w:sz w:val="16"/>
                <w:szCs w:val="16"/>
                <w:color w:val="auto"/>
                <w:w w:val="98"/>
              </w:rPr>
              <w:t>(Preparation)</w:t>
            </w:r>
          </w:p>
        </w:tc>
        <w:tc>
          <w:tcPr>
            <w:tcW w:w="700" w:type="dxa"/>
            <w:vAlign w:val="bottom"/>
          </w:tcPr>
          <w:p>
            <w:pPr>
              <w:jc w:val="right"/>
              <w:ind w:right="222"/>
              <w:spacing w:after="0" w:line="168" w:lineRule="exact"/>
              <w:rPr>
                <w:sz w:val="20"/>
                <w:szCs w:val="20"/>
                <w:color w:val="auto"/>
              </w:rPr>
            </w:pPr>
            <w:r>
              <w:rPr>
                <w:rFonts w:ascii="Arial" w:cs="Arial" w:eastAsia="Arial" w:hAnsi="Arial"/>
                <w:sz w:val="16"/>
                <w:szCs w:val="16"/>
                <w:color w:val="auto"/>
              </w:rPr>
              <w:t>165</w:t>
            </w:r>
          </w:p>
        </w:tc>
        <w:tc>
          <w:tcPr>
            <w:tcW w:w="25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167</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1640" w:type="dxa"/>
            <w:vAlign w:val="bottom"/>
            <w:gridSpan w:val="3"/>
          </w:tcPr>
          <w:p>
            <w:pPr>
              <w:spacing w:after="0" w:line="168" w:lineRule="exact"/>
              <w:rPr>
                <w:sz w:val="20"/>
                <w:szCs w:val="20"/>
                <w:color w:val="auto"/>
              </w:rPr>
            </w:pPr>
            <w:r>
              <w:rPr>
                <w:rFonts w:ascii="Arial" w:cs="Arial" w:eastAsia="Arial" w:hAnsi="Arial"/>
                <w:sz w:val="16"/>
                <w:szCs w:val="16"/>
                <w:color w:val="auto"/>
              </w:rPr>
              <w:t>(Basis of Preparation)</w:t>
            </w:r>
          </w:p>
        </w:tc>
        <w:tc>
          <w:tcPr>
            <w:tcW w:w="2500" w:type="dxa"/>
            <w:vAlign w:val="bottom"/>
          </w:tcPr>
          <w:p>
            <w:pPr>
              <w:jc w:val="right"/>
              <w:ind w:right="2122"/>
              <w:spacing w:after="0" w:line="168" w:lineRule="exact"/>
              <w:rPr>
                <w:sz w:val="20"/>
                <w:szCs w:val="20"/>
                <w:color w:val="auto"/>
              </w:rPr>
            </w:pPr>
            <w:r>
              <w:rPr>
                <w:rFonts w:ascii="Arial" w:cs="Arial" w:eastAsia="Arial" w:hAnsi="Arial"/>
                <w:sz w:val="16"/>
                <w:szCs w:val="16"/>
                <w:color w:val="auto"/>
              </w:rPr>
              <w:t>167</w:t>
            </w: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3</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170</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4140" w:type="dxa"/>
            <w:vAlign w:val="bottom"/>
            <w:gridSpan w:val="4"/>
          </w:tcPr>
          <w:p>
            <w:pPr>
              <w:spacing w:after="0" w:line="168" w:lineRule="exact"/>
              <w:rPr>
                <w:sz w:val="20"/>
                <w:szCs w:val="20"/>
                <w:color w:val="auto"/>
              </w:rPr>
            </w:pPr>
            <w:r>
              <w:rPr>
                <w:rFonts w:ascii="Arial" w:cs="Arial" w:eastAsia="Arial" w:hAnsi="Arial"/>
                <w:sz w:val="16"/>
                <w:szCs w:val="16"/>
                <w:color w:val="auto"/>
                <w:w w:val="99"/>
              </w:rPr>
              <w:t>(Illustration of Cash and Debt, as at 31 October 2022)  170</w:t>
            </w:r>
          </w:p>
        </w:tc>
      </w:tr>
      <w:tr>
        <w:trPr>
          <w:trHeight w:val="168"/>
        </w:trPr>
        <w:tc>
          <w:tcPr>
            <w:tcW w:w="940" w:type="dxa"/>
            <w:vAlign w:val="bottom"/>
            <w:gridSpan w:val="2"/>
          </w:tcPr>
          <w:p>
            <w:pPr>
              <w:spacing w:after="0" w:line="168" w:lineRule="exact"/>
              <w:rPr>
                <w:sz w:val="20"/>
                <w:szCs w:val="20"/>
                <w:color w:val="auto"/>
              </w:rPr>
            </w:pPr>
            <w:r>
              <w:rPr>
                <w:rFonts w:ascii="Arial" w:cs="Arial" w:eastAsia="Arial" w:hAnsi="Arial"/>
                <w:sz w:val="16"/>
                <w:szCs w:val="16"/>
                <w:color w:val="auto"/>
              </w:rPr>
              <w:t>Schedule 10</w:t>
            </w:r>
          </w:p>
        </w:tc>
        <w:tc>
          <w:tcPr>
            <w:tcW w:w="700" w:type="dxa"/>
            <w:vAlign w:val="bottom"/>
          </w:tcPr>
          <w:p>
            <w:pPr>
              <w:jc w:val="right"/>
              <w:ind w:right="262"/>
              <w:spacing w:after="0" w:line="168" w:lineRule="exact"/>
              <w:rPr>
                <w:sz w:val="20"/>
                <w:szCs w:val="20"/>
                <w:color w:val="auto"/>
              </w:rPr>
            </w:pPr>
            <w:r>
              <w:rPr>
                <w:rFonts w:ascii="Arial" w:cs="Arial" w:eastAsia="Arial" w:hAnsi="Arial"/>
                <w:sz w:val="16"/>
                <w:szCs w:val="16"/>
                <w:color w:val="auto"/>
              </w:rPr>
              <w:t>179</w:t>
            </w:r>
          </w:p>
        </w:tc>
        <w:tc>
          <w:tcPr>
            <w:tcW w:w="250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1</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179</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4140" w:type="dxa"/>
            <w:vAlign w:val="bottom"/>
            <w:gridSpan w:val="4"/>
          </w:tcPr>
          <w:p>
            <w:pPr>
              <w:spacing w:after="0" w:line="168" w:lineRule="exact"/>
              <w:rPr>
                <w:sz w:val="20"/>
                <w:szCs w:val="20"/>
                <w:color w:val="auto"/>
              </w:rPr>
            </w:pPr>
            <w:r>
              <w:rPr>
                <w:rFonts w:ascii="Arial" w:cs="Arial" w:eastAsia="Arial" w:hAnsi="Arial"/>
                <w:sz w:val="16"/>
                <w:szCs w:val="16"/>
                <w:color w:val="auto"/>
              </w:rPr>
              <w:t>(Calculation of Earn-out Consideration)  179</w:t>
            </w:r>
          </w:p>
        </w:tc>
      </w:tr>
      <w:tr>
        <w:trPr>
          <w:trHeight w:val="168"/>
        </w:trPr>
        <w:tc>
          <w:tcPr>
            <w:tcW w:w="500" w:type="dxa"/>
            <w:vAlign w:val="bottom"/>
          </w:tcPr>
          <w:p>
            <w:pPr>
              <w:spacing w:after="0" w:line="168" w:lineRule="exact"/>
              <w:rPr>
                <w:sz w:val="20"/>
                <w:szCs w:val="20"/>
                <w:color w:val="auto"/>
              </w:rPr>
            </w:pPr>
            <w:r>
              <w:rPr>
                <w:rFonts w:ascii="Arial" w:cs="Arial" w:eastAsia="Arial" w:hAnsi="Arial"/>
                <w:sz w:val="16"/>
                <w:szCs w:val="16"/>
                <w:color w:val="auto"/>
              </w:rPr>
              <w:t>Part 2</w:t>
            </w:r>
          </w:p>
        </w:tc>
        <w:tc>
          <w:tcPr>
            <w:tcW w:w="440" w:type="dxa"/>
            <w:vAlign w:val="bottom"/>
          </w:tcPr>
          <w:p>
            <w:pPr>
              <w:jc w:val="right"/>
              <w:ind w:right="2"/>
              <w:spacing w:after="0" w:line="168" w:lineRule="exact"/>
              <w:rPr>
                <w:sz w:val="20"/>
                <w:szCs w:val="20"/>
                <w:color w:val="auto"/>
              </w:rPr>
            </w:pPr>
            <w:r>
              <w:rPr>
                <w:rFonts w:ascii="Arial" w:cs="Arial" w:eastAsia="Arial" w:hAnsi="Arial"/>
                <w:sz w:val="16"/>
                <w:szCs w:val="16"/>
                <w:color w:val="auto"/>
              </w:rPr>
              <w:t>184</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05"/>
        </w:trPr>
        <w:tc>
          <w:tcPr>
            <w:tcW w:w="1640" w:type="dxa"/>
            <w:vAlign w:val="bottom"/>
            <w:gridSpan w:val="3"/>
          </w:tcPr>
          <w:p>
            <w:pPr>
              <w:spacing w:after="0"/>
              <w:rPr>
                <w:sz w:val="20"/>
                <w:szCs w:val="20"/>
                <w:color w:val="auto"/>
              </w:rPr>
            </w:pPr>
            <w:r>
              <w:rPr>
                <w:rFonts w:ascii="Arial" w:cs="Arial" w:eastAsia="Arial" w:hAnsi="Arial"/>
                <w:sz w:val="16"/>
                <w:szCs w:val="16"/>
                <w:color w:val="auto"/>
              </w:rPr>
              <w:t>Key Employees  184</w:t>
            </w:r>
          </w:p>
        </w:tc>
        <w:tc>
          <w:tcPr>
            <w:tcW w:w="2500" w:type="dxa"/>
            <w:vAlign w:val="bottom"/>
          </w:tcPr>
          <w:p>
            <w:pPr>
              <w:spacing w:after="0"/>
              <w:rPr>
                <w:sz w:val="17"/>
                <w:szCs w:val="17"/>
                <w:color w:val="auto"/>
              </w:rPr>
            </w:pPr>
          </w:p>
        </w:tc>
      </w:tr>
    </w:tbl>
    <w:p>
      <w:pPr>
        <w:sectPr>
          <w:pgSz w:w="11900" w:h="16840" w:orient="portrait"/>
          <w:cols w:equalWidth="0" w:num="1">
            <w:col w:w="9800"/>
          </w:cols>
          <w:pgMar w:left="660" w:top="1440" w:right="1440" w:bottom="1440" w:gutter="0" w:footer="0" w:header="0"/>
        </w:sectPr>
      </w:pPr>
    </w:p>
    <w:bookmarkStart w:id="351" w:name="page352"/>
    <w:bookmarkEnd w:id="351"/>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10 January 2023</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68" w:lineRule="exact"/>
        <w:rPr>
          <w:sz w:val="20"/>
          <w:szCs w:val="20"/>
          <w:color w:val="auto"/>
        </w:rPr>
      </w:pPr>
    </w:p>
    <w:p>
      <w:pPr>
        <w:ind w:left="580" w:right="40" w:hanging="574"/>
        <w:spacing w:after="0" w:line="244" w:lineRule="auto"/>
        <w:tabs>
          <w:tab w:leader="none" w:pos="568"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 xml:space="preserve">The persons </w:t>
      </w:r>
      <w:r>
        <w:rPr>
          <w:rFonts w:ascii="Arial" w:cs="Arial" w:eastAsia="Arial" w:hAnsi="Arial"/>
          <w:sz w:val="16"/>
          <w:szCs w:val="16"/>
          <w:color w:val="auto"/>
        </w:rPr>
        <w:t>whose names and addresses are set out in Part 1 of Schedule 1, together with the New FME Shareholders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clause 1.1 below, (the </w:t>
      </w:r>
      <w:r>
        <w:rPr>
          <w:rFonts w:ascii="Arial" w:cs="Arial" w:eastAsia="Arial" w:hAnsi="Arial"/>
          <w:sz w:val="16"/>
          <w:szCs w:val="16"/>
          <w:b w:val="1"/>
          <w:bCs w:val="1"/>
          <w:color w:val="auto"/>
        </w:rPr>
        <w:t>"FME Shareholders"</w:t>
      </w:r>
      <w:r>
        <w:rPr>
          <w:rFonts w:ascii="Arial" w:cs="Arial" w:eastAsia="Arial" w:hAnsi="Arial"/>
          <w:sz w:val="16"/>
          <w:szCs w:val="16"/>
          <w:color w:val="auto"/>
        </w:rPr>
        <w:t xml:space="preserve"> and each, an </w:t>
      </w:r>
      <w:r>
        <w:rPr>
          <w:rFonts w:ascii="Arial" w:cs="Arial" w:eastAsia="Arial" w:hAnsi="Arial"/>
          <w:sz w:val="16"/>
          <w:szCs w:val="16"/>
          <w:b w:val="1"/>
          <w:bCs w:val="1"/>
          <w:color w:val="auto"/>
        </w:rPr>
        <w:t>"FME Shareholder"</w:t>
      </w:r>
      <w:r>
        <w:rPr>
          <w:rFonts w:ascii="Arial" w:cs="Arial" w:eastAsia="Arial" w:hAnsi="Arial"/>
          <w:sz w:val="16"/>
          <w:szCs w:val="16"/>
          <w:color w:val="auto"/>
        </w:rPr>
        <w:t>);</w:t>
      </w:r>
    </w:p>
    <w:p>
      <w:pPr>
        <w:spacing w:after="0" w:line="36" w:lineRule="exact"/>
        <w:rPr>
          <w:rFonts w:ascii="Arial" w:cs="Arial" w:eastAsia="Arial" w:hAnsi="Arial"/>
          <w:sz w:val="16"/>
          <w:szCs w:val="16"/>
          <w:color w:val="auto"/>
        </w:rPr>
      </w:pPr>
    </w:p>
    <w:p>
      <w:pPr>
        <w:jc w:val="both"/>
        <w:ind w:left="580" w:right="20" w:hanging="574"/>
        <w:spacing w:after="0" w:line="228" w:lineRule="auto"/>
        <w:tabs>
          <w:tab w:leader="none" w:pos="56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persons whose names and addresses are set out in Part 2 of Schedule 1 and such other persons (who as of the date of this Agreement are FME Shareholders) as the Purchaser and the FME Shareholders' Representative may agree to classify as Investor Sellers before Completion (the </w:t>
      </w:r>
      <w:r>
        <w:rPr>
          <w:rFonts w:ascii="Arial" w:cs="Arial" w:eastAsia="Arial" w:hAnsi="Arial"/>
          <w:sz w:val="16"/>
          <w:szCs w:val="16"/>
          <w:b w:val="1"/>
          <w:bCs w:val="1"/>
          <w:color w:val="auto"/>
        </w:rPr>
        <w:t>"Investor Sellers"</w:t>
      </w:r>
      <w:r>
        <w:rPr>
          <w:rFonts w:ascii="Arial" w:cs="Arial" w:eastAsia="Arial" w:hAnsi="Arial"/>
          <w:sz w:val="16"/>
          <w:szCs w:val="16"/>
          <w:color w:val="auto"/>
        </w:rPr>
        <w:t xml:space="preserve"> and each, an </w:t>
      </w:r>
      <w:r>
        <w:rPr>
          <w:rFonts w:ascii="Arial" w:cs="Arial" w:eastAsia="Arial" w:hAnsi="Arial"/>
          <w:sz w:val="16"/>
          <w:szCs w:val="16"/>
          <w:b w:val="1"/>
          <w:bCs w:val="1"/>
          <w:color w:val="auto"/>
        </w:rPr>
        <w:t>"Investor Seller"</w:t>
      </w:r>
      <w:r>
        <w:rPr>
          <w:rFonts w:ascii="Arial" w:cs="Arial" w:eastAsia="Arial" w:hAnsi="Arial"/>
          <w:sz w:val="16"/>
          <w:szCs w:val="16"/>
          <w:color w:val="auto"/>
        </w:rPr>
        <w:t xml:space="preserve"> ),</w:t>
      </w:r>
    </w:p>
    <w:p>
      <w:pPr>
        <w:spacing w:after="0" w:line="3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 xml:space="preserve">(together, the </w:t>
      </w:r>
      <w:r>
        <w:rPr>
          <w:rFonts w:ascii="Arial" w:cs="Arial" w:eastAsia="Arial" w:hAnsi="Arial"/>
          <w:sz w:val="16"/>
          <w:szCs w:val="16"/>
          <w:b w:val="1"/>
          <w:bCs w:val="1"/>
          <w:color w:val="auto"/>
        </w:rPr>
        <w:t>"Sellers"</w:t>
      </w:r>
      <w:r>
        <w:rPr>
          <w:rFonts w:ascii="Arial" w:cs="Arial" w:eastAsia="Arial" w:hAnsi="Arial"/>
          <w:sz w:val="16"/>
          <w:szCs w:val="16"/>
          <w:color w:val="auto"/>
        </w:rPr>
        <w:t xml:space="preserve"> and each, a </w:t>
      </w:r>
      <w:r>
        <w:rPr>
          <w:rFonts w:ascii="Arial" w:cs="Arial" w:eastAsia="Arial" w:hAnsi="Arial"/>
          <w:sz w:val="16"/>
          <w:szCs w:val="16"/>
          <w:b w:val="1"/>
          <w:bCs w:val="1"/>
          <w:color w:val="auto"/>
        </w:rPr>
        <w:t>"Seller"</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580" w:right="40" w:hanging="574"/>
        <w:spacing w:after="0" w:line="244" w:lineRule="auto"/>
        <w:tabs>
          <w:tab w:leader="none" w:pos="568"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 xml:space="preserve">BioNTech SE </w:t>
      </w:r>
      <w:r>
        <w:rPr>
          <w:rFonts w:ascii="Arial" w:cs="Arial" w:eastAsia="Arial" w:hAnsi="Arial"/>
          <w:sz w:val="16"/>
          <w:szCs w:val="16"/>
          <w:color w:val="auto"/>
        </w:rPr>
        <w:t>(with its statutory seat in Mainz, registered in the commercial register of the local court of Mainz, Germany, under HBR 48720)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whose registered office is at An der Goldgrube 12, 55131 Mainz, Germany (the </w:t>
      </w:r>
      <w:r>
        <w:rPr>
          <w:rFonts w:ascii="Arial" w:cs="Arial" w:eastAsia="Arial" w:hAnsi="Arial"/>
          <w:sz w:val="16"/>
          <w:szCs w:val="16"/>
          <w:b w:val="1"/>
          <w:bCs w:val="1"/>
          <w:color w:val="auto"/>
        </w:rPr>
        <w:t>"Purchaser"</w:t>
      </w:r>
      <w:r>
        <w:rPr>
          <w:rFonts w:ascii="Arial" w:cs="Arial" w:eastAsia="Arial" w:hAnsi="Arial"/>
          <w:sz w:val="16"/>
          <w:szCs w:val="16"/>
          <w:color w:val="auto"/>
        </w:rPr>
        <w:t>); and</w:t>
      </w:r>
    </w:p>
    <w:p>
      <w:pPr>
        <w:spacing w:after="0" w:line="34" w:lineRule="exact"/>
        <w:rPr>
          <w:rFonts w:ascii="Arial" w:cs="Arial" w:eastAsia="Arial" w:hAnsi="Arial"/>
          <w:sz w:val="16"/>
          <w:szCs w:val="16"/>
          <w:color w:val="auto"/>
        </w:rPr>
      </w:pPr>
    </w:p>
    <w:p>
      <w:pPr>
        <w:ind w:left="580" w:hanging="574"/>
        <w:spacing w:after="0"/>
        <w:tabs>
          <w:tab w:leader="none" w:pos="580" w:val="left"/>
        </w:tabs>
        <w:numPr>
          <w:ilvl w:val="0"/>
          <w:numId w:val="235"/>
        </w:numPr>
        <w:rPr>
          <w:rFonts w:ascii="Arial" w:cs="Arial" w:eastAsia="Arial" w:hAnsi="Arial"/>
          <w:sz w:val="14"/>
          <w:szCs w:val="14"/>
          <w:color w:val="auto"/>
        </w:rPr>
      </w:pPr>
      <w:r>
        <w:rPr>
          <w:rFonts w:ascii="Arial" w:cs="Arial" w:eastAsia="Arial" w:hAnsi="Arial"/>
          <w:sz w:val="14"/>
          <w:szCs w:val="14"/>
          <w:b w:val="1"/>
          <w:bCs w:val="1"/>
          <w:color w:val="auto"/>
        </w:rPr>
        <w:t xml:space="preserve">InstaDeep Ltd </w:t>
      </w:r>
      <w:r>
        <w:rPr>
          <w:rFonts w:ascii="Arial" w:cs="Arial" w:eastAsia="Arial" w:hAnsi="Arial"/>
          <w:sz w:val="14"/>
          <w:szCs w:val="14"/>
          <w:color w:val="auto"/>
        </w:rPr>
        <w:t>(with registration number 09816291) whose registered office is at 5 Merchant Square, London, England, W2 1AY (</w:t>
      </w:r>
      <w:r>
        <w:rPr>
          <w:rFonts w:ascii="Arial" w:cs="Arial" w:eastAsia="Arial" w:hAnsi="Arial"/>
          <w:sz w:val="14"/>
          <w:szCs w:val="14"/>
          <w:b w:val="1"/>
          <w:bCs w:val="1"/>
          <w:color w:val="auto"/>
        </w:rPr>
        <w:t xml:space="preserve"> "InstaDeep"</w:t>
      </w:r>
      <w:r>
        <w:rPr>
          <w:rFonts w:ascii="Arial" w:cs="Arial" w:eastAsia="Arial" w:hAnsi="Arial"/>
          <w:sz w:val="14"/>
          <w:szCs w:val="14"/>
          <w:color w:val="auto"/>
        </w:rPr>
        <w:t>).</w:t>
      </w:r>
    </w:p>
    <w:p>
      <w:pPr>
        <w:spacing w:after="0" w:line="9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b w:val="1"/>
          <w:bCs w:val="1"/>
          <w:color w:val="auto"/>
        </w:rPr>
        <w:t>Background:</w:t>
      </w:r>
    </w:p>
    <w:p>
      <w:pPr>
        <w:spacing w:after="0" w:line="70" w:lineRule="exact"/>
        <w:rPr>
          <w:sz w:val="20"/>
          <w:szCs w:val="20"/>
          <w:color w:val="auto"/>
        </w:rPr>
      </w:pPr>
    </w:p>
    <w:p>
      <w:pPr>
        <w:ind w:left="580" w:hanging="574"/>
        <w:spacing w:after="0"/>
        <w:tabs>
          <w:tab w:leader="none" w:pos="5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Sellers are the legal and beneficial owners of the Completion Shares (save as set out in this Agreement).</w:t>
      </w:r>
    </w:p>
    <w:p>
      <w:pPr>
        <w:spacing w:after="0" w:line="68" w:lineRule="exact"/>
        <w:rPr>
          <w:rFonts w:ascii="Arial" w:cs="Arial" w:eastAsia="Arial" w:hAnsi="Arial"/>
          <w:sz w:val="16"/>
          <w:szCs w:val="16"/>
          <w:color w:val="auto"/>
        </w:rPr>
      </w:pPr>
    </w:p>
    <w:p>
      <w:pPr>
        <w:ind w:left="580" w:right="60" w:hanging="574"/>
        <w:spacing w:after="0" w:line="235" w:lineRule="auto"/>
        <w:tabs>
          <w:tab w:leader="none" w:pos="5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Sellers have agreed to sell, and the Purchaser has agreed to purchase the Completion Shares on the terms and subject to the Conditions set out in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Deed witnesses </w:t>
      </w:r>
      <w:r>
        <w:rPr>
          <w:rFonts w:ascii="Arial" w:cs="Arial" w:eastAsia="Arial" w:hAnsi="Arial"/>
          <w:sz w:val="16"/>
          <w:szCs w:val="16"/>
          <w:color w:val="auto"/>
        </w:rPr>
        <w:t>as follows:</w:t>
      </w:r>
    </w:p>
    <w:p>
      <w:pPr>
        <w:spacing w:after="0" w:line="68" w:lineRule="exact"/>
        <w:rPr>
          <w:sz w:val="20"/>
          <w:szCs w:val="20"/>
          <w:color w:val="auto"/>
        </w:rPr>
      </w:pPr>
    </w:p>
    <w:p>
      <w:pPr>
        <w:ind w:left="580" w:hanging="574"/>
        <w:spacing w:after="0"/>
        <w:tabs>
          <w:tab w:leader="none" w:pos="58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this Agreement, including the Background, unless a contrary intention is expressly stated, the following definitions shall apply:</w:t>
      </w:r>
    </w:p>
    <w:p>
      <w:pPr>
        <w:spacing w:after="0" w:line="66" w:lineRule="exact"/>
        <w:rPr>
          <w:sz w:val="20"/>
          <w:szCs w:val="20"/>
          <w:color w:val="auto"/>
        </w:rPr>
      </w:pPr>
    </w:p>
    <w:p>
      <w:pPr>
        <w:ind w:left="580"/>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2022 [***] SPA"</w:t>
      </w:r>
      <w:r>
        <w:rPr>
          <w:rFonts w:ascii="Arial" w:cs="Arial" w:eastAsia="Arial" w:hAnsi="Arial"/>
          <w:sz w:val="16"/>
          <w:szCs w:val="16"/>
          <w:color w:val="auto"/>
        </w:rPr>
        <w:t xml:space="preserve"> means the Share Purchase Agreement between (1) the Purchasers (as defined therein); (2) [***]; and (3) the Company, dated 6 December 2022.</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"Accounts" </w:t>
      </w:r>
      <w:r>
        <w:rPr>
          <w:rFonts w:ascii="Arial" w:cs="Arial" w:eastAsia="Arial" w:hAnsi="Arial"/>
          <w:sz w:val="16"/>
          <w:szCs w:val="16"/>
          <w:color w:val="auto"/>
        </w:rPr>
        <w:t>means the Stand-alone Accounts and the Group Accounts.</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"Accounts Date" </w:t>
      </w:r>
      <w:r>
        <w:rPr>
          <w:rFonts w:ascii="Arial" w:cs="Arial" w:eastAsia="Arial" w:hAnsi="Arial"/>
          <w:sz w:val="16"/>
          <w:szCs w:val="16"/>
          <w:color w:val="auto"/>
        </w:rPr>
        <w:t>means 31 December 2021.</w:t>
      </w:r>
    </w:p>
    <w:p>
      <w:pPr>
        <w:spacing w:after="0" w:line="68" w:lineRule="exact"/>
        <w:rPr>
          <w:sz w:val="20"/>
          <w:szCs w:val="20"/>
          <w:color w:val="auto"/>
        </w:rPr>
      </w:pPr>
    </w:p>
    <w:p>
      <w:pPr>
        <w:ind w:left="580" w:right="20"/>
        <w:spacing w:after="0" w:line="236" w:lineRule="auto"/>
        <w:rPr>
          <w:sz w:val="20"/>
          <w:szCs w:val="20"/>
          <w:color w:val="auto"/>
        </w:rPr>
      </w:pPr>
      <w:r>
        <w:rPr>
          <w:rFonts w:ascii="Arial" w:cs="Arial" w:eastAsia="Arial" w:hAnsi="Arial"/>
          <w:sz w:val="16"/>
          <w:szCs w:val="16"/>
          <w:b w:val="1"/>
          <w:bCs w:val="1"/>
          <w:color w:val="auto"/>
        </w:rPr>
        <w:t xml:space="preserve">"Act of God" </w:t>
      </w:r>
      <w:r>
        <w:rPr>
          <w:rFonts w:ascii="Arial" w:cs="Arial" w:eastAsia="Arial" w:hAnsi="Arial"/>
          <w:sz w:val="16"/>
          <w:szCs w:val="16"/>
          <w:color w:val="auto"/>
        </w:rPr>
        <w:t>means an unforeseeable grave natural phenomenon outside of human control/activity of an exceptional, inevitable, and irresistible</w:t>
      </w:r>
      <w:r>
        <w:rPr>
          <w:rFonts w:ascii="Arial" w:cs="Arial" w:eastAsia="Arial" w:hAnsi="Arial"/>
          <w:sz w:val="16"/>
          <w:szCs w:val="16"/>
          <w:b w:val="1"/>
          <w:bCs w:val="1"/>
          <w:color w:val="auto"/>
        </w:rPr>
        <w:t xml:space="preserve"> </w:t>
      </w:r>
      <w:r>
        <w:rPr>
          <w:rFonts w:ascii="Arial" w:cs="Arial" w:eastAsia="Arial" w:hAnsi="Arial"/>
          <w:sz w:val="16"/>
          <w:szCs w:val="16"/>
          <w:color w:val="auto"/>
        </w:rPr>
        <w:t>nature, such as a flood, a drought, an earthquake, a windstorm or another natural catastrophe.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"Actual Adjustment Amount" </w:t>
      </w:r>
      <w:r>
        <w:rPr>
          <w:rFonts w:ascii="Arial" w:cs="Arial" w:eastAsia="Arial" w:hAnsi="Arial"/>
          <w:sz w:val="16"/>
          <w:szCs w:val="16"/>
          <w:color w:val="auto"/>
        </w:rPr>
        <w:t>means the aggregate of:</w:t>
      </w:r>
    </w:p>
    <w:p>
      <w:pPr>
        <w:spacing w:after="0" w:line="70" w:lineRule="exact"/>
        <w:rPr>
          <w:sz w:val="20"/>
          <w:szCs w:val="20"/>
          <w:color w:val="auto"/>
        </w:rPr>
      </w:pPr>
    </w:p>
    <w:p>
      <w:pPr>
        <w:ind w:left="1140" w:hanging="558"/>
        <w:spacing w:after="0"/>
        <w:tabs>
          <w:tab w:leader="none" w:pos="11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amount by which the Actual Cash is in excess or shortfall of the Target Cash Balance,</w:t>
      </w:r>
    </w:p>
    <w:p>
      <w:pPr>
        <w:spacing w:after="0" w:line="6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i w:val="1"/>
          <w:iCs w:val="1"/>
          <w:color w:val="auto"/>
        </w:rPr>
        <w:t>less</w:t>
      </w:r>
    </w:p>
    <w:p>
      <w:pPr>
        <w:spacing w:after="0" w:line="68" w:lineRule="exact"/>
        <w:rPr>
          <w:rFonts w:ascii="Arial" w:cs="Arial" w:eastAsia="Arial" w:hAnsi="Arial"/>
          <w:sz w:val="16"/>
          <w:szCs w:val="16"/>
          <w:color w:val="auto"/>
        </w:rPr>
      </w:pPr>
    </w:p>
    <w:p>
      <w:pPr>
        <w:ind w:left="580" w:right="640" w:firstLine="2"/>
        <w:spacing w:after="0" w:line="328" w:lineRule="auto"/>
        <w:tabs>
          <w:tab w:leader="none" w:pos="11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the amount by which the Actual Debt is in excess of the Target Debt Balance (for the avoidance of doubt, no shortfall will occur), </w:t>
      </w:r>
      <w:r>
        <w:rPr>
          <w:rFonts w:ascii="Arial" w:cs="Arial" w:eastAsia="Arial" w:hAnsi="Arial"/>
          <w:sz w:val="16"/>
          <w:szCs w:val="16"/>
          <w:i w:val="1"/>
          <w:iCs w:val="1"/>
          <w:color w:val="auto"/>
        </w:rPr>
        <w:t>plus / minus</w:t>
      </w:r>
    </w:p>
    <w:p>
      <w:pPr>
        <w:spacing w:after="0" w:line="1" w:lineRule="exact"/>
        <w:rPr>
          <w:rFonts w:ascii="Arial" w:cs="Arial" w:eastAsia="Arial" w:hAnsi="Arial"/>
          <w:sz w:val="16"/>
          <w:szCs w:val="16"/>
          <w:color w:val="auto"/>
        </w:rPr>
      </w:pPr>
    </w:p>
    <w:p>
      <w:pPr>
        <w:jc w:val="both"/>
        <w:ind w:left="1160" w:right="60" w:hanging="578"/>
        <w:spacing w:after="0" w:line="224" w:lineRule="auto"/>
        <w:tabs>
          <w:tab w:leader="none" w:pos="114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amount of the difference between the Actual Working Capital and the Target Working Capital (which shall be a positive number if the Actual Working Capital is in excess of the Target Working Capital, or a negative number if the Actual Working Capital is less than the Target Working Capital).</w:t>
      </w:r>
    </w:p>
    <w:p>
      <w:pPr>
        <w:spacing w:after="0" w:line="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"Actual Cash" </w:t>
      </w:r>
      <w:r>
        <w:rPr>
          <w:rFonts w:ascii="Arial" w:cs="Arial" w:eastAsia="Arial" w:hAnsi="Arial"/>
          <w:sz w:val="16"/>
          <w:szCs w:val="16"/>
          <w:color w:val="auto"/>
        </w:rPr>
        <w:t>means the aggregate Cash as at the Effective Time, as set out in the Completion Accounts.</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"Actual Debt" </w:t>
      </w:r>
      <w:r>
        <w:rPr>
          <w:rFonts w:ascii="Arial" w:cs="Arial" w:eastAsia="Arial" w:hAnsi="Arial"/>
          <w:sz w:val="16"/>
          <w:szCs w:val="16"/>
          <w:color w:val="auto"/>
        </w:rPr>
        <w:t>means the aggregate Debt as at the Effective Time, as set out in the Completion Accounts.</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"Actual Working Capital" </w:t>
      </w:r>
      <w:r>
        <w:rPr>
          <w:rFonts w:ascii="Arial" w:cs="Arial" w:eastAsia="Arial" w:hAnsi="Arial"/>
          <w:sz w:val="16"/>
          <w:szCs w:val="16"/>
          <w:color w:val="auto"/>
        </w:rPr>
        <w:t>means the aggregate Working Capital as at the Effective Time, as set out in the Completion Accounts.</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executed as a deed (including any schedule to it).</w:t>
      </w:r>
    </w:p>
    <w:p>
      <w:pPr>
        <w:spacing w:after="0" w:line="68" w:lineRule="exact"/>
        <w:rPr>
          <w:sz w:val="20"/>
          <w:szCs w:val="20"/>
          <w:color w:val="auto"/>
        </w:rPr>
      </w:pPr>
    </w:p>
    <w:p>
      <w:pPr>
        <w:jc w:val="both"/>
        <w:ind w:left="580" w:right="20"/>
        <w:spacing w:after="0" w:line="229" w:lineRule="auto"/>
        <w:rPr>
          <w:sz w:val="20"/>
          <w:szCs w:val="20"/>
          <w:color w:val="auto"/>
        </w:rPr>
      </w:pPr>
      <w:r>
        <w:rPr>
          <w:rFonts w:ascii="Arial" w:cs="Arial" w:eastAsia="Arial" w:hAnsi="Arial"/>
          <w:sz w:val="16"/>
          <w:szCs w:val="16"/>
          <w:b w:val="1"/>
          <w:bCs w:val="1"/>
          <w:color w:val="auto"/>
        </w:rPr>
        <w:t xml:space="preserve">"Applicable Law" </w:t>
      </w:r>
      <w:r>
        <w:rPr>
          <w:rFonts w:ascii="Arial" w:cs="Arial" w:eastAsia="Arial" w:hAnsi="Arial"/>
          <w:sz w:val="16"/>
          <w:szCs w:val="16"/>
          <w:color w:val="auto"/>
        </w:rPr>
        <w:t>means (with respect to any person, property, transaction, event or other matter) any law, rule, statute, regulation,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order, judgment, decree, treaty or other requirement having the force of law in any jurisdiction (collectively,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relating or applicable to such person, property, transaction, event or other matter.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also</w:t>
      </w: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w:t>
      </w:r>
    </w:p>
    <w:p>
      <w:pPr>
        <w:sectPr>
          <w:pgSz w:w="11900" w:h="16840" w:orient="portrait"/>
          <w:cols w:equalWidth="0" w:num="1">
            <w:col w:w="10600"/>
          </w:cols>
          <w:pgMar w:left="660" w:top="1440" w:right="640" w:bottom="1440" w:gutter="0" w:footer="0" w:header="0"/>
        </w:sectPr>
      </w:pPr>
    </w:p>
    <w:bookmarkStart w:id="352" w:name="page353"/>
    <w:bookmarkEnd w:id="352"/>
    <w:p>
      <w:pPr>
        <w:spacing w:after="0" w:line="33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includes, where appropriate, any interpretation of the Law (or any part thereof) by any person having jurisdiction over it or charged with its administration or interpretation.</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"Applicable Jurisdiction" </w:t>
      </w:r>
      <w:r>
        <w:rPr>
          <w:rFonts w:ascii="Arial" w:cs="Arial" w:eastAsia="Arial" w:hAnsi="Arial"/>
          <w:sz w:val="16"/>
          <w:szCs w:val="16"/>
          <w:color w:val="auto"/>
        </w:rPr>
        <w:t>means any of the countries in which the Company has subsidiaries and branches from time to time being, at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Nigeria, Germany, the United States of America, Tunisia, France, the United Arab Emirates and South Africa.</w:t>
      </w:r>
    </w:p>
    <w:p>
      <w:pPr>
        <w:spacing w:after="0" w:line="46"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b w:val="1"/>
          <w:bCs w:val="1"/>
          <w:color w:val="auto"/>
        </w:rPr>
        <w:t xml:space="preserve">"BioNTech Company Shares" </w:t>
      </w:r>
      <w:r>
        <w:rPr>
          <w:rFonts w:ascii="Arial" w:cs="Arial" w:eastAsia="Arial" w:hAnsi="Arial"/>
          <w:sz w:val="14"/>
          <w:szCs w:val="14"/>
          <w:color w:val="auto"/>
        </w:rPr>
        <w:t>means the [***] Ordinary Shares, (of which [***] held only beneficially as of the date of this Agreement pending</w:t>
      </w:r>
      <w:r>
        <w:rPr>
          <w:rFonts w:ascii="Arial" w:cs="Arial" w:eastAsia="Arial" w:hAnsi="Arial"/>
          <w:sz w:val="14"/>
          <w:szCs w:val="14"/>
          <w:b w:val="1"/>
          <w:bCs w:val="1"/>
          <w:color w:val="auto"/>
        </w:rPr>
        <w:t xml:space="preserve"> </w:t>
      </w:r>
      <w:r>
        <w:rPr>
          <w:rFonts w:ascii="Arial" w:cs="Arial" w:eastAsia="Arial" w:hAnsi="Arial"/>
          <w:sz w:val="14"/>
          <w:szCs w:val="14"/>
          <w:color w:val="auto"/>
        </w:rPr>
        <w:t>stamping of a stock transfer form in respect of the [***] Shares and updating of the Company's register of members accordingly), [***] Class A Shares and [***] Class B Shares each of £0.00001 each in the capital of the Company held by the Purchaser immediately prior to Completion.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means the business carried on by the Group, or any part of it.</w:t>
      </w:r>
    </w:p>
    <w:p>
      <w:pPr>
        <w:spacing w:after="0" w:line="6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a Sunday or a public holiday) on which clearing banks are open for all normal banking</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 the city of London, UK and Mainz, Germany, and "</w:t>
      </w:r>
      <w:r>
        <w:rPr>
          <w:rFonts w:ascii="Arial" w:cs="Arial" w:eastAsia="Arial" w:hAnsi="Arial"/>
          <w:sz w:val="16"/>
          <w:szCs w:val="16"/>
          <w:b w:val="1"/>
          <w:bCs w:val="1"/>
          <w:color w:val="auto"/>
        </w:rPr>
        <w:t>Business Hours</w:t>
      </w:r>
      <w:r>
        <w:rPr>
          <w:rFonts w:ascii="Arial" w:cs="Arial" w:eastAsia="Arial" w:hAnsi="Arial"/>
          <w:sz w:val="16"/>
          <w:szCs w:val="16"/>
          <w:color w:val="auto"/>
        </w:rPr>
        <w:t>" means the hours of 9am to 5pm on a Business Day.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"CA2006" </w:t>
      </w:r>
      <w:r>
        <w:rPr>
          <w:rFonts w:ascii="Arial" w:cs="Arial" w:eastAsia="Arial" w:hAnsi="Arial"/>
          <w:sz w:val="16"/>
          <w:szCs w:val="16"/>
          <w:color w:val="auto"/>
        </w:rPr>
        <w:t>means the Companies Act 2006.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the aggregate amount of all unrestricted and freely available:</w:t>
      </w:r>
    </w:p>
    <w:p>
      <w:pPr>
        <w:spacing w:after="0" w:line="70" w:lineRule="exact"/>
        <w:rPr>
          <w:sz w:val="20"/>
          <w:szCs w:val="20"/>
          <w:color w:val="auto"/>
        </w:rPr>
      </w:pPr>
    </w:p>
    <w:p>
      <w:pPr>
        <w:ind w:left="560" w:hanging="558"/>
        <w:spacing w:after="0"/>
        <w:tabs>
          <w:tab w:leader="none" w:pos="5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cash on hand;</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cash standing to the credit of any account with a bank or other financial institution including all term deposits (for the avoidance of doubt, excluding any interest on such term deposits); and</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any Transaction Expenses up to £[***] which are paid out and settled by and/or invoiced to the relevant Group Company on or prior to the Completion Date;</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any cash owed to the Company by [***] in relation to the exercise of the options; and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w:t>
      </w:r>
    </w:p>
    <w:p>
      <w:pPr>
        <w:spacing w:after="0" w:line="68" w:lineRule="exact"/>
        <w:rPr>
          <w:sz w:val="20"/>
          <w:szCs w:val="20"/>
          <w:color w:val="auto"/>
        </w:rPr>
      </w:pPr>
    </w:p>
    <w:p>
      <w:pPr>
        <w:ind w:left="580" w:right="20" w:hanging="578"/>
        <w:spacing w:after="0" w:line="235" w:lineRule="auto"/>
        <w:tabs>
          <w:tab w:leader="none" w:pos="56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cash which is not freely available or convertible within [***] days after the Effective Time including deposits and loans which relate to the guarantee of contractual lease agreements,</w:t>
      </w:r>
    </w:p>
    <w:p>
      <w:pPr>
        <w:spacing w:after="0" w:line="4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in each case to which the Company or any of the Subsidiaries is beneficially entitled as at the Effective Time, calculated on a consolidated basis in accordance with the accounting principles, policies, standards, practices, evaluation rules and estimation techniques specified in Part 2 of Schedule 9 (</w:t>
      </w:r>
      <w:r>
        <w:rPr>
          <w:rFonts w:ascii="Arial" w:cs="Arial" w:eastAsia="Arial" w:hAnsi="Arial"/>
          <w:sz w:val="14"/>
          <w:szCs w:val="14"/>
          <w:i w:val="1"/>
          <w:iCs w:val="1"/>
          <w:color w:val="auto"/>
        </w:rPr>
        <w:t>Completion Accounts</w:t>
      </w:r>
      <w:r>
        <w:rPr>
          <w:rFonts w:ascii="Arial" w:cs="Arial" w:eastAsia="Arial" w:hAnsi="Arial"/>
          <w:sz w:val="14"/>
          <w:szCs w:val="14"/>
          <w:color w:val="auto"/>
        </w:rPr>
        <w:t>). An illustrative detailed mapping on account basis designated as "Cash" is set out in Part 3 of Schedule 9.</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"CBT Condition" </w:t>
      </w:r>
      <w:r>
        <w:rPr>
          <w:rFonts w:ascii="Arial" w:cs="Arial" w:eastAsia="Arial" w:hAnsi="Arial"/>
          <w:sz w:val="16"/>
          <w:szCs w:val="16"/>
          <w:color w:val="auto"/>
        </w:rPr>
        <w:t>has the meaning set out in sub-clause 2.2(g).</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"CJRS" </w:t>
      </w:r>
      <w:r>
        <w:rPr>
          <w:rFonts w:ascii="Arial" w:cs="Arial" w:eastAsia="Arial" w:hAnsi="Arial"/>
          <w:sz w:val="16"/>
          <w:szCs w:val="16"/>
          <w:color w:val="auto"/>
        </w:rPr>
        <w:t>means the coronavirus job retention scheme (as it has effect from time to time) that is the subject of the direction given by the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on 15 April 2020 under section 76 of the Coronavirus Act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"Claim" </w:t>
      </w:r>
      <w:r>
        <w:rPr>
          <w:rFonts w:ascii="Arial" w:cs="Arial" w:eastAsia="Arial" w:hAnsi="Arial"/>
          <w:sz w:val="16"/>
          <w:szCs w:val="16"/>
          <w:color w:val="auto"/>
        </w:rPr>
        <w:t>means a Warranty Claim and/or a claim by the Purchaser against the Warrantors under the Tax Covenant (as the case may be).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"Class A Shares" </w:t>
      </w:r>
      <w:r>
        <w:rPr>
          <w:rFonts w:ascii="Arial" w:cs="Arial" w:eastAsia="Arial" w:hAnsi="Arial"/>
          <w:sz w:val="16"/>
          <w:szCs w:val="16"/>
          <w:color w:val="auto"/>
        </w:rPr>
        <w:t>means convertible preference A shares of £0.000001 each in the capital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"Class B Shares" </w:t>
      </w:r>
      <w:r>
        <w:rPr>
          <w:rFonts w:ascii="Arial" w:cs="Arial" w:eastAsia="Arial" w:hAnsi="Arial"/>
          <w:sz w:val="16"/>
          <w:szCs w:val="16"/>
          <w:color w:val="auto"/>
        </w:rPr>
        <w:t>means convertible preference B shares of £0.000001 each in the capital of the Company.</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"Client" </w:t>
      </w:r>
      <w:r>
        <w:rPr>
          <w:rFonts w:ascii="Arial" w:cs="Arial" w:eastAsia="Arial" w:hAnsi="Arial"/>
          <w:sz w:val="16"/>
          <w:szCs w:val="16"/>
          <w:color w:val="auto"/>
        </w:rPr>
        <w:t>means any person to whom or which the Group shall at any time during the [***] month period prior to Completion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InstaDeep Ltd, details of which are set out in Part 1 of Schedule 2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Company</w:t>
      </w:r>
      <w:r>
        <w:rPr>
          <w:rFonts w:ascii="Arial" w:cs="Arial" w:eastAsia="Arial" w:hAnsi="Arial"/>
          <w:sz w:val="16"/>
          <w:szCs w:val="16"/>
          <w:color w:val="auto"/>
        </w:rPr>
        <w:t>).</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Intellectual Property</w:t>
      </w:r>
      <w:r>
        <w:rPr>
          <w:rFonts w:ascii="Arial" w:cs="Arial" w:eastAsia="Arial" w:hAnsi="Arial"/>
          <w:sz w:val="16"/>
          <w:szCs w:val="16"/>
          <w:color w:val="auto"/>
        </w:rPr>
        <w:t>" means the Intellectual Property owned, enjoyed, used or licensed by the Group or arising from the existence or activities of any Group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"Completion" </w:t>
      </w:r>
      <w:r>
        <w:rPr>
          <w:rFonts w:ascii="Arial" w:cs="Arial" w:eastAsia="Arial" w:hAnsi="Arial"/>
          <w:sz w:val="16"/>
          <w:szCs w:val="16"/>
          <w:color w:val="auto"/>
        </w:rPr>
        <w:t>means the completion of the sale and purchase of the Completion Shares in accordance with this Agreement.</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"Completion Accounts" </w:t>
      </w:r>
      <w:r>
        <w:rPr>
          <w:rFonts w:ascii="Arial" w:cs="Arial" w:eastAsia="Arial" w:hAnsi="Arial"/>
          <w:sz w:val="16"/>
          <w:szCs w:val="16"/>
          <w:color w:val="auto"/>
        </w:rPr>
        <w:t>means the completion accounts prepared and agreed or determined in accordance with Schedule 9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Completion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"Completion Allocation Schedule" </w:t>
      </w:r>
      <w:r>
        <w:rPr>
          <w:rFonts w:ascii="Arial" w:cs="Arial" w:eastAsia="Arial" w:hAnsi="Arial"/>
          <w:sz w:val="16"/>
          <w:szCs w:val="16"/>
          <w:color w:val="auto"/>
        </w:rPr>
        <w:t>means the schedule, substantially in the form of the Signing Allocation Schedule, setting out, amongst</w:t>
      </w:r>
      <w:r>
        <w:rPr>
          <w:rFonts w:ascii="Arial" w:cs="Arial" w:eastAsia="Arial" w:hAnsi="Arial"/>
          <w:sz w:val="16"/>
          <w:szCs w:val="16"/>
          <w:b w:val="1"/>
          <w:bCs w:val="1"/>
          <w:color w:val="auto"/>
        </w:rPr>
        <w:t xml:space="preserve"> </w:t>
      </w:r>
      <w:r>
        <w:rPr>
          <w:rFonts w:ascii="Arial" w:cs="Arial" w:eastAsia="Arial" w:hAnsi="Arial"/>
          <w:sz w:val="16"/>
          <w:szCs w:val="16"/>
          <w:color w:val="auto"/>
        </w:rPr>
        <w:t>other matters, the details of the Sellers'</w:t>
      </w: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2</w:t>
      </w:r>
    </w:p>
    <w:p>
      <w:pPr>
        <w:sectPr>
          <w:pgSz w:w="11900" w:h="16840" w:orient="portrait"/>
          <w:cols w:equalWidth="0" w:num="1">
            <w:col w:w="10000"/>
          </w:cols>
          <w:pgMar w:left="1240" w:top="1440" w:right="660" w:bottom="1440" w:gutter="0" w:footer="0" w:header="0"/>
        </w:sectPr>
      </w:pPr>
    </w:p>
    <w:bookmarkStart w:id="353" w:name="page354"/>
    <w:bookmarkEnd w:id="353"/>
    <w:p>
      <w:pPr>
        <w:spacing w:after="0" w:line="331"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residential addresses and country of residence, the Sellers' holdings of the Completion Shares, the FME Retained French Shares and the FME 2024 French Shares and the allocation of the Consideration payable to each of them (including, in particular, the mix of cash and Consideration ADSs used to settle the Upfront Consideration), as prepared in accordance with sub-clause 4.5.</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"Completion Date" </w:t>
      </w:r>
      <w:r>
        <w:rPr>
          <w:rFonts w:ascii="Arial" w:cs="Arial" w:eastAsia="Arial" w:hAnsi="Arial"/>
          <w:sz w:val="16"/>
          <w:szCs w:val="16"/>
          <w:color w:val="auto"/>
        </w:rPr>
        <w:t>means the date on which Completion occurs in accordance with the terms of this Agreement.</w:t>
      </w:r>
    </w:p>
    <w:p>
      <w:pPr>
        <w:spacing w:after="0" w:line="68"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"Completion Disclosure Letter" </w:t>
      </w:r>
      <w:r>
        <w:rPr>
          <w:rFonts w:ascii="Arial" w:cs="Arial" w:eastAsia="Arial" w:hAnsi="Arial"/>
          <w:sz w:val="16"/>
          <w:szCs w:val="16"/>
          <w:color w:val="auto"/>
        </w:rPr>
        <w:t>means the letter from the Warrantors to the Purchaser delivered on Completion, disclosing matters arisen</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date of this Agreement that are exceptions to the Warranties to be given at the Completion Date, together with all documents annexed to it.</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"Completion Fully-Diluted Shares" </w:t>
      </w:r>
      <w:r>
        <w:rPr>
          <w:rFonts w:ascii="Arial" w:cs="Arial" w:eastAsia="Arial" w:hAnsi="Arial"/>
          <w:sz w:val="16"/>
          <w:szCs w:val="16"/>
          <w:color w:val="auto"/>
        </w:rPr>
        <w:t>means, as at Completion, the total number of Shares that are in issue or are to be issued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being:</w:t>
      </w:r>
    </w:p>
    <w:p>
      <w:pPr>
        <w:spacing w:after="0" w:line="48" w:lineRule="exact"/>
        <w:rPr>
          <w:sz w:val="20"/>
          <w:szCs w:val="20"/>
          <w:color w:val="auto"/>
        </w:rPr>
      </w:pPr>
    </w:p>
    <w:p>
      <w:pPr>
        <w:ind w:left="560" w:hanging="558"/>
        <w:spacing w:after="0"/>
        <w:tabs>
          <w:tab w:leader="none" w:pos="5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Completion Shares (including any Shares issued or to be issued pursuant to the New Awards);</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BioNTech Company Shares;</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FME Retained French Shares; and</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FME 2024 French Shares.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"Completion Shares" </w:t>
      </w:r>
      <w:r>
        <w:rPr>
          <w:rFonts w:ascii="Arial" w:cs="Arial" w:eastAsia="Arial" w:hAnsi="Arial"/>
          <w:sz w:val="16"/>
          <w:szCs w:val="16"/>
          <w:color w:val="auto"/>
        </w:rPr>
        <w:t>means the Investors Sellers' Shares and the FME Completion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"Conditions" </w:t>
      </w:r>
      <w:r>
        <w:rPr>
          <w:rFonts w:ascii="Arial" w:cs="Arial" w:eastAsia="Arial" w:hAnsi="Arial"/>
          <w:sz w:val="16"/>
          <w:szCs w:val="16"/>
          <w:color w:val="auto"/>
        </w:rPr>
        <w:t>means those matters set out in sub-clause 2.2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68"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"Confirmatory IP Assignments" </w:t>
      </w:r>
      <w:r>
        <w:rPr>
          <w:rFonts w:ascii="Arial" w:cs="Arial" w:eastAsia="Arial" w:hAnsi="Arial"/>
          <w:sz w:val="16"/>
          <w:szCs w:val="16"/>
          <w:color w:val="auto"/>
        </w:rPr>
        <w:t>means the agreements in such form as may be agreed between the FME Shareholders' Representative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to be entered into on or before Completion relating to the assignment of Intellectual Property identified by the Purchaser during its due diligence exercise in respect of the Transaction as not being sufficiently vested in the Company, between:</w:t>
      </w:r>
    </w:p>
    <w:p>
      <w:pPr>
        <w:spacing w:after="0" w:line="49" w:lineRule="exact"/>
        <w:rPr>
          <w:sz w:val="20"/>
          <w:szCs w:val="20"/>
          <w:color w:val="auto"/>
        </w:rPr>
      </w:pPr>
    </w:p>
    <w:p>
      <w:pPr>
        <w:jc w:val="both"/>
        <w:ind w:left="580" w:right="20" w:hanging="578"/>
        <w:spacing w:after="0" w:line="224" w:lineRule="auto"/>
        <w:tabs>
          <w:tab w:leader="none" w:pos="56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such persons identified by the Purchaser (acting reasonably) as being employed by, or otherwise having a contractual relationship or arrangement with, a Group Company as at the date of this Agreement pursuant to which they have created Intellectual Property in the execution of their duties and/or following the instructions of the relevant Group Company, and the relevant Group Company; and</w:t>
      </w:r>
    </w:p>
    <w:p>
      <w:pPr>
        <w:spacing w:after="0" w:line="48" w:lineRule="exact"/>
        <w:rPr>
          <w:rFonts w:ascii="Arial" w:cs="Arial" w:eastAsia="Arial" w:hAnsi="Arial"/>
          <w:sz w:val="16"/>
          <w:szCs w:val="16"/>
          <w:color w:val="auto"/>
        </w:rPr>
      </w:pPr>
    </w:p>
    <w:p>
      <w:pPr>
        <w:ind w:left="560" w:hanging="558"/>
        <w:spacing w:after="0"/>
        <w:tabs>
          <w:tab w:leader="none" w:pos="5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relevant Group Company identified in part (a) above and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each a " </w:t>
      </w:r>
      <w:r>
        <w:rPr>
          <w:rFonts w:ascii="Arial" w:cs="Arial" w:eastAsia="Arial" w:hAnsi="Arial"/>
          <w:sz w:val="16"/>
          <w:szCs w:val="16"/>
          <w:b w:val="1"/>
          <w:bCs w:val="1"/>
          <w:color w:val="auto"/>
        </w:rPr>
        <w:t>Confirmatory IP Assignment</w:t>
      </w:r>
      <w:r>
        <w:rPr>
          <w:rFonts w:ascii="Arial" w:cs="Arial" w:eastAsia="Arial" w:hAnsi="Arial"/>
          <w:sz w:val="16"/>
          <w:szCs w:val="16"/>
          <w:color w:val="auto"/>
        </w:rPr>
        <w:t>".</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means the aggregate consideration payable by the Purchaser to the Sellers pursuant to sub-clauses 4.1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3.9 for the Consideration Shares, the FME Retained French Shares and the FME 2024 French Shares.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Consideration ADSs</w:t>
      </w:r>
      <w:r>
        <w:rPr>
          <w:rFonts w:ascii="Arial" w:cs="Arial" w:eastAsia="Arial" w:hAnsi="Arial"/>
          <w:sz w:val="14"/>
          <w:szCs w:val="14"/>
          <w:color w:val="auto"/>
        </w:rPr>
        <w:t>" means American Depositary Shares issued pursuant to the Deposit Agreement representing the Consideration Shares.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ADS Price</w:t>
      </w:r>
      <w:r>
        <w:rPr>
          <w:rFonts w:ascii="Arial" w:cs="Arial" w:eastAsia="Arial" w:hAnsi="Arial"/>
          <w:sz w:val="16"/>
          <w:szCs w:val="16"/>
          <w:color w:val="auto"/>
        </w:rPr>
        <w:t>" means [***].</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"Consideration Increase" </w:t>
      </w:r>
      <w:r>
        <w:rPr>
          <w:rFonts w:ascii="Arial" w:cs="Arial" w:eastAsia="Arial" w:hAnsi="Arial"/>
          <w:sz w:val="16"/>
          <w:szCs w:val="16"/>
          <w:color w:val="auto"/>
        </w:rPr>
        <w:t>has the meaning set out in sub-clause 5.2(c)</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 price adjustment</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"Consideration Reduction" </w:t>
      </w:r>
      <w:r>
        <w:rPr>
          <w:rFonts w:ascii="Arial" w:cs="Arial" w:eastAsia="Arial" w:hAnsi="Arial"/>
          <w:sz w:val="16"/>
          <w:szCs w:val="16"/>
          <w:color w:val="auto"/>
        </w:rPr>
        <w:t>has the meaning set out in sub-clause 5.2(a)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 price adjustment</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"Consideration Shares" </w:t>
      </w:r>
      <w:r>
        <w:rPr>
          <w:rFonts w:ascii="Arial" w:cs="Arial" w:eastAsia="Arial" w:hAnsi="Arial"/>
          <w:sz w:val="16"/>
          <w:szCs w:val="16"/>
          <w:color w:val="auto"/>
        </w:rPr>
        <w:t>means ordinary shares of the Purchaser that form a part of the Consideration.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"Contingent Consideration" </w:t>
      </w:r>
      <w:r>
        <w:rPr>
          <w:rFonts w:ascii="Arial" w:cs="Arial" w:eastAsia="Arial" w:hAnsi="Arial"/>
          <w:sz w:val="16"/>
          <w:szCs w:val="16"/>
          <w:color w:val="auto"/>
        </w:rPr>
        <w:t>means the Investor Sellers' Upfront Contingent Cash Consideration plus the Earn-out Consideration.</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"Counsel" </w:t>
      </w:r>
      <w:r>
        <w:rPr>
          <w:rFonts w:ascii="Arial" w:cs="Arial" w:eastAsia="Arial" w:hAnsi="Arial"/>
          <w:sz w:val="16"/>
          <w:szCs w:val="16"/>
          <w:color w:val="auto"/>
        </w:rPr>
        <w:t>means a barrister of not less than 10 years' standing, having experience in claims similar to a relevant Outstanding Claim, as agreed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Sellers' Representatives and the Purchaser, or failing such agreement, as appointed by the Chair for the time being of the Bar of England and Wales on the application of either party.</w:t>
      </w:r>
    </w:p>
    <w:p>
      <w:pPr>
        <w:spacing w:after="0" w:line="47" w:lineRule="exact"/>
        <w:rPr>
          <w:sz w:val="20"/>
          <w:szCs w:val="20"/>
          <w:color w:val="auto"/>
        </w:rPr>
      </w:pPr>
    </w:p>
    <w:p>
      <w:pPr>
        <w:jc w:val="both"/>
        <w:spacing w:after="0" w:line="220" w:lineRule="auto"/>
        <w:rPr>
          <w:sz w:val="20"/>
          <w:szCs w:val="20"/>
          <w:color w:val="auto"/>
        </w:rPr>
      </w:pPr>
      <w:r>
        <w:rPr>
          <w:rFonts w:ascii="Arial" w:cs="Arial" w:eastAsia="Arial" w:hAnsi="Arial"/>
          <w:sz w:val="16"/>
          <w:szCs w:val="16"/>
          <w:b w:val="1"/>
          <w:bCs w:val="1"/>
          <w:color w:val="auto"/>
        </w:rPr>
        <w:t xml:space="preserve">"Cybersecurity Requirements" </w:t>
      </w:r>
      <w:r>
        <w:rPr>
          <w:rFonts w:ascii="Arial" w:cs="Arial" w:eastAsia="Arial" w:hAnsi="Arial"/>
          <w:sz w:val="16"/>
          <w:szCs w:val="16"/>
          <w:color w:val="auto"/>
        </w:rPr>
        <w:t>means all laws, regulations, codes, mandatory guidance (from regulatory and advisory bodies),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national standards, industry schemes and sanctions relating to security of network and information systems and security breach and incident reporting requirements which are from time to time applicable to the Company or any of the Subsidiaries (or any part of their business), including the Data Protection Laws.</w:t>
      </w:r>
    </w:p>
    <w:p>
      <w:pPr>
        <w:spacing w:after="0" w:line="200" w:lineRule="exact"/>
        <w:rPr>
          <w:sz w:val="20"/>
          <w:szCs w:val="20"/>
          <w:color w:val="auto"/>
        </w:rPr>
      </w:pP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3</w:t>
      </w:r>
    </w:p>
    <w:p>
      <w:pPr>
        <w:sectPr>
          <w:pgSz w:w="11900" w:h="16840" w:orient="portrait"/>
          <w:cols w:equalWidth="0" w:num="1">
            <w:col w:w="10000"/>
          </w:cols>
          <w:pgMar w:left="1240" w:top="1440" w:right="660" w:bottom="1440" w:gutter="0" w:footer="0" w:header="0"/>
        </w:sectPr>
      </w:pPr>
    </w:p>
    <w:bookmarkStart w:id="354" w:name="page355"/>
    <w:bookmarkEnd w:id="354"/>
    <w:p>
      <w:pPr>
        <w:spacing w:after="0" w:line="329" w:lineRule="exact"/>
        <w:rPr>
          <w:sz w:val="20"/>
          <w:szCs w:val="20"/>
          <w:color w:val="auto"/>
        </w:rPr>
      </w:pPr>
    </w:p>
    <w:p>
      <w:pPr>
        <w:jc w:val="both"/>
        <w:spacing w:after="0" w:line="216" w:lineRule="auto"/>
        <w:rPr>
          <w:sz w:val="20"/>
          <w:szCs w:val="20"/>
          <w:color w:val="auto"/>
        </w:rPr>
      </w:pPr>
      <w:r>
        <w:rPr>
          <w:rFonts w:ascii="Arial" w:cs="Arial" w:eastAsia="Arial" w:hAnsi="Arial"/>
          <w:sz w:val="16"/>
          <w:szCs w:val="16"/>
          <w:b w:val="1"/>
          <w:bCs w:val="1"/>
          <w:color w:val="auto"/>
        </w:rPr>
        <w:t xml:space="preserve">"Dangerous Substance" </w:t>
      </w:r>
      <w:r>
        <w:rPr>
          <w:rFonts w:ascii="Arial" w:cs="Arial" w:eastAsia="Arial" w:hAnsi="Arial"/>
          <w:sz w:val="16"/>
          <w:szCs w:val="16"/>
          <w:color w:val="auto"/>
        </w:rPr>
        <w:t>means any natural or artificial substance, preparation (a mixture or solution of two or more substances) or biological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(including, without limitation, radiation or sources of radiation) (whether in the form of a solid, liquid, gas or vapour), the presence, generation, transportation, storage, treatment, use or disposal of which (whether alone or in combination with any other substance) gives rise to a risk of causing harm to human health, comfort or safety or harm to any other living organism or causing damage to the environment, or any waste.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"Data Protection Laws" </w:t>
      </w:r>
      <w:r>
        <w:rPr>
          <w:rFonts w:ascii="Arial" w:cs="Arial" w:eastAsia="Arial" w:hAnsi="Arial"/>
          <w:sz w:val="16"/>
          <w:szCs w:val="16"/>
          <w:color w:val="auto"/>
        </w:rPr>
        <w:t>has the meaning set out in sub-clause 34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Compliance</w:t>
      </w:r>
      <w:r>
        <w:rPr>
          <w:rFonts w:ascii="Arial" w:cs="Arial" w:eastAsia="Arial" w:hAnsi="Arial"/>
          <w:sz w:val="16"/>
          <w:szCs w:val="16"/>
          <w:color w:val="auto"/>
        </w:rPr>
        <w:t>) of Schedule 4 (</w:t>
      </w:r>
      <w:r>
        <w:rPr>
          <w:rFonts w:ascii="Arial" w:cs="Arial" w:eastAsia="Arial" w:hAnsi="Arial"/>
          <w:sz w:val="16"/>
          <w:szCs w:val="16"/>
          <w:i w:val="1"/>
          <w:iCs w:val="1"/>
          <w:color w:val="auto"/>
        </w:rPr>
        <w:t>Non-Tax Warranties</w:t>
      </w:r>
      <w:r>
        <w:rPr>
          <w:rFonts w:ascii="Arial" w:cs="Arial" w:eastAsia="Arial" w:hAnsi="Arial"/>
          <w:sz w:val="16"/>
          <w:szCs w:val="16"/>
          <w:color w:val="auto"/>
        </w:rPr>
        <w:t>).</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"Data Room" </w:t>
      </w:r>
      <w:r>
        <w:rPr>
          <w:rFonts w:ascii="Arial" w:cs="Arial" w:eastAsia="Arial" w:hAnsi="Arial"/>
          <w:sz w:val="16"/>
          <w:szCs w:val="16"/>
          <w:color w:val="auto"/>
        </w:rPr>
        <w:t>means the "Project Interstellar" virtual data room hosted by HighQ and made available by the Sellers to the Purchaser from 5</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2022 to and including 9 January 2023.</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in relation to the Company and the Subsidiaries, the aggregate amount of their respective borrowings and other financial indebtedness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nature of borrowing, including:</w:t>
      </w:r>
    </w:p>
    <w:p>
      <w:pPr>
        <w:spacing w:after="0" w:line="48" w:lineRule="exact"/>
        <w:rPr>
          <w:sz w:val="20"/>
          <w:szCs w:val="20"/>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borrowings from any bank, financial institution or other entity;</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indebtedness arising under any bond, note, loan stock, debenture, commercial paper or similar instrument;</w:t>
      </w:r>
    </w:p>
    <w:p>
      <w:pPr>
        <w:spacing w:after="0" w:line="68" w:lineRule="exact"/>
        <w:rPr>
          <w:rFonts w:ascii="Arial" w:cs="Arial" w:eastAsia="Arial" w:hAnsi="Arial"/>
          <w:sz w:val="16"/>
          <w:szCs w:val="16"/>
          <w:color w:val="auto"/>
        </w:rPr>
      </w:pPr>
    </w:p>
    <w:p>
      <w:pPr>
        <w:jc w:val="both"/>
        <w:ind w:left="580" w:right="20" w:hanging="578"/>
        <w:spacing w:after="0" w:line="224" w:lineRule="auto"/>
        <w:tabs>
          <w:tab w:leader="none" w:pos="5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obligations under any conditional sale, title retention, forward sale or purchase or any similar agreement or arrangement creating obligations with respect to the deferred purchase price of property (other than customary trade credit given in the ordinary course of trading);</w:t>
      </w:r>
    </w:p>
    <w:p>
      <w:pPr>
        <w:spacing w:after="0" w:line="4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indebtedness under any hire purchase agreement or finance lease (whether for land, machinery, equipment or otherwise) which is a liability under applicable accounting standards;</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indebtedness for monies borrowed or raised under any other transaction that has the commercial effect of borrowing;</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preference shares or element of preference shares shown as liabilities as required by applicable accounting standards;</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liabilities to shareholders of the Company;</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 accruals or liabilities relating to financial instruments, excluding accrued interests on the financial deposits;</w:t>
      </w:r>
    </w:p>
    <w:p>
      <w:pPr>
        <w:spacing w:after="0" w:line="68" w:lineRule="exact"/>
        <w:rPr>
          <w:rFonts w:ascii="Arial" w:cs="Arial" w:eastAsia="Arial" w:hAnsi="Arial"/>
          <w:sz w:val="16"/>
          <w:szCs w:val="16"/>
          <w:color w:val="auto"/>
        </w:rPr>
      </w:pPr>
    </w:p>
    <w:p>
      <w:pPr>
        <w:ind w:left="580" w:hanging="578"/>
        <w:spacing w:after="0" w:line="235" w:lineRule="auto"/>
        <w:tabs>
          <w:tab w:leader="none" w:pos="5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 accruals, liabilities or receivables relating to income taxes (including corporation tax, corporate income tax or any similar tax on a company's income, profits or gains);</w:t>
      </w:r>
    </w:p>
    <w:p>
      <w:pPr>
        <w:spacing w:after="0" w:line="47" w:lineRule="exact"/>
        <w:rPr>
          <w:rFonts w:ascii="Arial" w:cs="Arial" w:eastAsia="Arial" w:hAnsi="Arial"/>
          <w:sz w:val="16"/>
          <w:szCs w:val="16"/>
          <w:color w:val="auto"/>
        </w:rPr>
      </w:pPr>
    </w:p>
    <w:p>
      <w:pPr>
        <w:ind w:left="580" w:hanging="578"/>
        <w:spacing w:after="0" w:line="235" w:lineRule="auto"/>
        <w:tabs>
          <w:tab w:leader="none" w:pos="5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provisions, accruals or liabilities relating to annual bonus to employees and the long-term bonus which refers to the period ending at the Effective Time including any social security contributions;</w:t>
      </w:r>
    </w:p>
    <w:p>
      <w:pPr>
        <w:spacing w:after="0" w:line="47"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provisions, accruals or liabilities relating to retirement obligations including, without limitation, in respect of France and Tunisia and including any social security contributions in respect thereof;</w:t>
      </w:r>
    </w:p>
    <w:p>
      <w:pPr>
        <w:spacing w:after="0" w:line="47" w:lineRule="exact"/>
        <w:rPr>
          <w:rFonts w:ascii="Arial" w:cs="Arial" w:eastAsia="Arial" w:hAnsi="Arial"/>
          <w:sz w:val="16"/>
          <w:szCs w:val="16"/>
          <w:color w:val="auto"/>
        </w:rPr>
      </w:pPr>
    </w:p>
    <w:p>
      <w:pPr>
        <w:ind w:left="580" w:hanging="578"/>
        <w:spacing w:after="0" w:line="235" w:lineRule="auto"/>
        <w:tabs>
          <w:tab w:leader="none" w:pos="5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provisions, accruals and liabilities relating to long term incentive plans and share-based payment in accordance with IFRS 2 if they are not settled as of the Effective Time;</w:t>
      </w:r>
    </w:p>
    <w:p>
      <w:pPr>
        <w:spacing w:after="0" w:line="47" w:lineRule="exact"/>
        <w:rPr>
          <w:rFonts w:ascii="Arial" w:cs="Arial" w:eastAsia="Arial" w:hAnsi="Arial"/>
          <w:sz w:val="16"/>
          <w:szCs w:val="16"/>
          <w:color w:val="auto"/>
        </w:rPr>
      </w:pPr>
    </w:p>
    <w:p>
      <w:pPr>
        <w:jc w:val="both"/>
        <w:ind w:left="580" w:right="20" w:hanging="578"/>
        <w:spacing w:after="0" w:line="224" w:lineRule="auto"/>
        <w:tabs>
          <w:tab w:leader="none" w:pos="5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provisions, accruals and liabilities for taxes and levy resulting from the vesting or exercise of the options (share-based payments) and including the effects from the Options, and awards pursuant to the French Plan which are not vested or exercised as of the Effective Time;</w:t>
      </w:r>
    </w:p>
    <w:p>
      <w:pPr>
        <w:spacing w:after="0" w:line="4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lease liability obligation according to IFRS 16;</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Transaction Expenses less the Transaction Expenses treated as Cash for the purposes of paragraph (d) of that definition;</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Paying Agent Fee;</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W&amp;I Cost;</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minority interest which exists prior to and on the Completion Date (for the avoidance of doubt, the minority interest is the book value calculated by multiplying the minority share interest with the next assets as of the Completion Date); and</w:t>
      </w: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4</w:t>
      </w:r>
    </w:p>
    <w:p>
      <w:pPr>
        <w:sectPr>
          <w:pgSz w:w="11900" w:h="16840" w:orient="portrait"/>
          <w:cols w:equalWidth="0" w:num="1">
            <w:col w:w="10000"/>
          </w:cols>
          <w:pgMar w:left="1240" w:top="1440" w:right="660" w:bottom="1440" w:gutter="0" w:footer="0" w:header="0"/>
        </w:sectPr>
      </w:pPr>
    </w:p>
    <w:bookmarkStart w:id="355" w:name="page356"/>
    <w:bookmarkEnd w:id="355"/>
    <w:p>
      <w:pPr>
        <w:spacing w:after="0" w:line="331" w:lineRule="exact"/>
        <w:rPr>
          <w:sz w:val="20"/>
          <w:szCs w:val="20"/>
          <w:color w:val="auto"/>
        </w:rPr>
      </w:pPr>
    </w:p>
    <w:p>
      <w:pPr>
        <w:jc w:val="both"/>
        <w:ind w:left="580" w:hanging="578"/>
        <w:spacing w:after="0" w:line="224" w:lineRule="auto"/>
        <w:tabs>
          <w:tab w:leader="none" w:pos="56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all unpaid accrued interest on any borrowings or indebtedness referred to in the paragraphs above, together with any prepayment premiums or other penalties, fees, expenses or breakage costs arising (or which would arise) in connection with the repayment of any such borrowings or indebtedness,</w:t>
      </w:r>
    </w:p>
    <w:p>
      <w:pPr>
        <w:spacing w:after="0" w:line="49" w:lineRule="exact"/>
        <w:rPr>
          <w:sz w:val="20"/>
          <w:szCs w:val="20"/>
          <w:color w:val="auto"/>
        </w:rPr>
      </w:pPr>
    </w:p>
    <w:p>
      <w:pPr>
        <w:ind w:right="100"/>
        <w:spacing w:after="0" w:line="224" w:lineRule="auto"/>
        <w:rPr>
          <w:sz w:val="20"/>
          <w:szCs w:val="20"/>
          <w:color w:val="auto"/>
        </w:rPr>
      </w:pPr>
      <w:r>
        <w:rPr>
          <w:rFonts w:ascii="Arial" w:cs="Arial" w:eastAsia="Arial" w:hAnsi="Arial"/>
          <w:sz w:val="16"/>
          <w:szCs w:val="16"/>
          <w:color w:val="auto"/>
        </w:rPr>
        <w:t>as at the Effective Time, calculated on a consolidated basis in accordance with the accounting principles, policies, standards, practices, evaluation rules and estimation techniques specified in Part 2 of Schedule 9 (</w:t>
      </w:r>
      <w:r>
        <w:rPr>
          <w:rFonts w:ascii="Arial" w:cs="Arial" w:eastAsia="Arial" w:hAnsi="Arial"/>
          <w:sz w:val="16"/>
          <w:szCs w:val="16"/>
          <w:i w:val="1"/>
          <w:iCs w:val="1"/>
          <w:color w:val="auto"/>
        </w:rPr>
        <w:t>Completion Accounts</w:t>
      </w:r>
      <w:r>
        <w:rPr>
          <w:rFonts w:ascii="Arial" w:cs="Arial" w:eastAsia="Arial" w:hAnsi="Arial"/>
          <w:sz w:val="16"/>
          <w:szCs w:val="16"/>
          <w:color w:val="auto"/>
        </w:rPr>
        <w:t>). An illustrative detailed mapping on account basis designated as "Debt" is set out in Part 3 of Schedule 9.</w:t>
      </w:r>
    </w:p>
    <w:p>
      <w:pPr>
        <w:spacing w:after="0" w:line="47"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"Deed of Adherence" </w:t>
      </w:r>
      <w:r>
        <w:rPr>
          <w:rFonts w:ascii="Arial" w:cs="Arial" w:eastAsia="Arial" w:hAnsi="Arial"/>
          <w:sz w:val="16"/>
          <w:szCs w:val="16"/>
          <w:color w:val="auto"/>
        </w:rPr>
        <w:t>means the deed of adherence substantially in the agreed form under which a New FME Shareholder agrees to adhere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 Agreement as a Seller in respect of the Shares acquired, or to be acquired, by them from the New Awards.</w:t>
      </w:r>
    </w:p>
    <w:p>
      <w:pPr>
        <w:spacing w:after="0" w:line="4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"Deposit Agreement" </w:t>
      </w:r>
      <w:r>
        <w:rPr>
          <w:rFonts w:ascii="Arial" w:cs="Arial" w:eastAsia="Arial" w:hAnsi="Arial"/>
          <w:sz w:val="16"/>
          <w:szCs w:val="16"/>
          <w:color w:val="auto"/>
        </w:rPr>
        <w:t>means the Deposit Agreement dated 9 October 2019, as amended from time to time, between the Purchaser, The Bank</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 Mellon, as depositary (the "</w:t>
      </w:r>
      <w:r>
        <w:rPr>
          <w:rFonts w:ascii="Arial" w:cs="Arial" w:eastAsia="Arial" w:hAnsi="Arial"/>
          <w:sz w:val="16"/>
          <w:szCs w:val="16"/>
          <w:b w:val="1"/>
          <w:bCs w:val="1"/>
          <w:color w:val="auto"/>
        </w:rPr>
        <w:t>Depositary</w:t>
      </w:r>
      <w:r>
        <w:rPr>
          <w:rFonts w:ascii="Arial" w:cs="Arial" w:eastAsia="Arial" w:hAnsi="Arial"/>
          <w:sz w:val="16"/>
          <w:szCs w:val="16"/>
          <w:color w:val="auto"/>
        </w:rPr>
        <w:t>") and all Owners and Holders (each as defined in the Deposit Agreement), from time to time, of American Depositary Shares issued thereunder.</w:t>
      </w:r>
    </w:p>
    <w:p>
      <w:pPr>
        <w:spacing w:after="0" w:line="47"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"Determination Date" </w:t>
      </w:r>
      <w:r>
        <w:rPr>
          <w:rFonts w:ascii="Arial" w:cs="Arial" w:eastAsia="Arial" w:hAnsi="Arial"/>
          <w:sz w:val="16"/>
          <w:szCs w:val="16"/>
          <w:color w:val="auto"/>
        </w:rPr>
        <w:t>means the date of agreement or determination of the Completion Accounts in accordance with Schedule 9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Completion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46"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b w:val="1"/>
          <w:bCs w:val="1"/>
          <w:color w:val="auto"/>
        </w:rPr>
        <w:t xml:space="preserve">"Disclosed" </w:t>
      </w:r>
      <w:r>
        <w:rPr>
          <w:rFonts w:ascii="Arial" w:cs="Arial" w:eastAsia="Arial" w:hAnsi="Arial"/>
          <w:sz w:val="16"/>
          <w:szCs w:val="16"/>
          <w:color w:val="auto"/>
        </w:rPr>
        <w:t>means fairly disclosed to the Purchaser for the purposes of this Agreement in the Disclosure Documents and</w:t>
      </w:r>
      <w:r>
        <w:rPr>
          <w:rFonts w:ascii="Arial" w:cs="Arial" w:eastAsia="Arial" w:hAnsi="Arial"/>
          <w:sz w:val="16"/>
          <w:szCs w:val="16"/>
          <w:b w:val="1"/>
          <w:bCs w:val="1"/>
          <w:color w:val="auto"/>
        </w:rPr>
        <w:t xml:space="preserve"> "fairly" </w:t>
      </w:r>
      <w:r>
        <w:rPr>
          <w:rFonts w:ascii="Arial" w:cs="Arial" w:eastAsia="Arial" w:hAnsi="Arial"/>
          <w:sz w:val="16"/>
          <w:szCs w:val="16"/>
          <w:color w:val="auto"/>
        </w:rPr>
        <w:t>means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disclosed with sufficient particularity to enable the Purchaser to assess the impact on the Group of the matter disclosed and to properly identify the nature and scope of the matter disclosed and </w:t>
      </w:r>
      <w:r>
        <w:rPr>
          <w:rFonts w:ascii="Arial" w:cs="Arial" w:eastAsia="Arial" w:hAnsi="Arial"/>
          <w:sz w:val="16"/>
          <w:szCs w:val="16"/>
          <w:b w:val="1"/>
          <w:bCs w:val="1"/>
          <w:color w:val="auto"/>
        </w:rPr>
        <w:t>"Disclose"</w:t>
      </w:r>
      <w:r>
        <w:rPr>
          <w:rFonts w:ascii="Arial" w:cs="Arial" w:eastAsia="Arial" w:hAnsi="Arial"/>
          <w:sz w:val="16"/>
          <w:szCs w:val="16"/>
          <w:color w:val="auto"/>
        </w:rPr>
        <w:t xml:space="preserve"> shall be construed accordingly.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"Disclosure Documents" </w:t>
      </w:r>
      <w:r>
        <w:rPr>
          <w:rFonts w:ascii="Arial" w:cs="Arial" w:eastAsia="Arial" w:hAnsi="Arial"/>
          <w:sz w:val="16"/>
          <w:szCs w:val="16"/>
          <w:color w:val="auto"/>
        </w:rPr>
        <w:t>means:</w:t>
      </w:r>
    </w:p>
    <w:p>
      <w:pPr>
        <w:spacing w:after="0" w:line="70" w:lineRule="exact"/>
        <w:rPr>
          <w:sz w:val="20"/>
          <w:szCs w:val="20"/>
          <w:color w:val="auto"/>
        </w:rPr>
      </w:pPr>
    </w:p>
    <w:p>
      <w:pPr>
        <w:ind w:left="580" w:right="20" w:hanging="578"/>
        <w:spacing w:after="0" w:line="235" w:lineRule="auto"/>
        <w:tabs>
          <w:tab w:leader="none" w:pos="56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Signing Disclosure Letter and the Completion Disclosure Letter (in each case, including the general disclosures contained therein); and</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documents in the Data Room, including all documents and answers provided as part of the Q&amp;A function.</w:t>
      </w:r>
    </w:p>
    <w:p>
      <w:pPr>
        <w:spacing w:after="0" w:line="66" w:lineRule="exact"/>
        <w:rPr>
          <w:sz w:val="20"/>
          <w:szCs w:val="20"/>
          <w:color w:val="auto"/>
        </w:rPr>
      </w:pPr>
    </w:p>
    <w:p>
      <w:pPr>
        <w:jc w:val="both"/>
        <w:ind w:right="40"/>
        <w:spacing w:after="0" w:line="225" w:lineRule="auto"/>
        <w:rPr>
          <w:sz w:val="20"/>
          <w:szCs w:val="20"/>
          <w:color w:val="auto"/>
        </w:rPr>
      </w:pPr>
      <w:r>
        <w:rPr>
          <w:rFonts w:ascii="Arial" w:cs="Arial" w:eastAsia="Arial" w:hAnsi="Arial"/>
          <w:sz w:val="16"/>
          <w:szCs w:val="16"/>
          <w:b w:val="1"/>
          <w:bCs w:val="1"/>
          <w:color w:val="auto"/>
        </w:rPr>
        <w:t xml:space="preserve">"Disposal" </w:t>
      </w:r>
      <w:r>
        <w:rPr>
          <w:rFonts w:ascii="Arial" w:cs="Arial" w:eastAsia="Arial" w:hAnsi="Arial"/>
          <w:sz w:val="16"/>
          <w:szCs w:val="16"/>
          <w:color w:val="auto"/>
        </w:rPr>
        <w:t>means the transfer, sale, disposal of, or the creation of any Encumbrance over, or the entry into any agreement to do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in relation to (in each case whether directly, indirectly, contingently or otherwise) any Consideration Shares or any Interest in Consideration Shares, and "Dispose" shall be construed accordingly.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"Dispute Notice" </w:t>
      </w:r>
      <w:r>
        <w:rPr>
          <w:rFonts w:ascii="Arial" w:cs="Arial" w:eastAsia="Arial" w:hAnsi="Arial"/>
          <w:sz w:val="16"/>
          <w:szCs w:val="16"/>
          <w:color w:val="auto"/>
        </w:rPr>
        <w:t>has the meaning set out in Schedule 9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Completion Accounts</w:t>
      </w:r>
      <w:r>
        <w:rPr>
          <w:rFonts w:ascii="Arial" w:cs="Arial" w:eastAsia="Arial" w:hAnsi="Arial"/>
          <w:sz w:val="16"/>
          <w:szCs w:val="16"/>
          <w:color w:val="auto"/>
        </w:rPr>
        <w:t>).</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"Due Amount" </w:t>
      </w:r>
      <w:r>
        <w:rPr>
          <w:rFonts w:ascii="Arial" w:cs="Arial" w:eastAsia="Arial" w:hAnsi="Arial"/>
          <w:sz w:val="16"/>
          <w:szCs w:val="16"/>
          <w:color w:val="auto"/>
        </w:rPr>
        <w:t>means the amount (if any) due for payment to the Purchaser by those Sellers due to receive the Earn-out Consideration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and only to the extent of their pro-rata liability for a Resolved Claim.</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"Earn -Out" </w:t>
      </w:r>
      <w:r>
        <w:rPr>
          <w:rFonts w:ascii="Arial" w:cs="Arial" w:eastAsia="Arial" w:hAnsi="Arial"/>
          <w:sz w:val="16"/>
          <w:szCs w:val="16"/>
          <w:color w:val="auto"/>
        </w:rPr>
        <w:t>means the proportion of the Consideration calculated on a contingent basis during the Earn-out Period in respect of the satisfaction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Milestones set out in Schedule 10 (</w:t>
      </w:r>
      <w:r>
        <w:rPr>
          <w:rFonts w:ascii="Arial" w:cs="Arial" w:eastAsia="Arial" w:hAnsi="Arial"/>
          <w:sz w:val="16"/>
          <w:szCs w:val="16"/>
          <w:i w:val="1"/>
          <w:iCs w:val="1"/>
          <w:color w:val="auto"/>
        </w:rPr>
        <w:t>Calculation of Earn-out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"Earn-Out Consideration" </w:t>
      </w:r>
      <w:r>
        <w:rPr>
          <w:rFonts w:ascii="Arial" w:cs="Arial" w:eastAsia="Arial" w:hAnsi="Arial"/>
          <w:sz w:val="16"/>
          <w:szCs w:val="16"/>
          <w:color w:val="auto"/>
        </w:rPr>
        <w:t>has the meaning set out in Schedule 10 (</w:t>
      </w:r>
      <w:r>
        <w:rPr>
          <w:rFonts w:ascii="Arial" w:cs="Arial" w:eastAsia="Arial" w:hAnsi="Arial"/>
          <w:sz w:val="16"/>
          <w:szCs w:val="16"/>
          <w:i w:val="1"/>
          <w:iCs w:val="1"/>
          <w:color w:val="auto"/>
        </w:rPr>
        <w:t>Calculation of Earn-out Consideration).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"Earn-Out Consideration Completion Date" </w:t>
      </w:r>
      <w:r>
        <w:rPr>
          <w:rFonts w:ascii="Arial" w:cs="Arial" w:eastAsia="Arial" w:hAnsi="Arial"/>
          <w:sz w:val="16"/>
          <w:szCs w:val="16"/>
          <w:color w:val="auto"/>
        </w:rPr>
        <w:t>means the date being the 20th Business Day following the end of the Earn-Out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"Earn-Out Period" </w:t>
      </w:r>
      <w:r>
        <w:rPr>
          <w:rFonts w:ascii="Arial" w:cs="Arial" w:eastAsia="Arial" w:hAnsi="Arial"/>
          <w:sz w:val="16"/>
          <w:szCs w:val="16"/>
          <w:color w:val="auto"/>
        </w:rPr>
        <w:t>means the period commencing on the Completion Date and ending on the third anniversary of the Completion Date.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"Effective Time" </w:t>
      </w:r>
      <w:r>
        <w:rPr>
          <w:rFonts w:ascii="Arial" w:cs="Arial" w:eastAsia="Arial" w:hAnsi="Arial"/>
          <w:sz w:val="16"/>
          <w:szCs w:val="16"/>
          <w:color w:val="auto"/>
        </w:rPr>
        <w:t>means 11:59pm (GMT) on the date of Completion.</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“EIP Conditions” </w:t>
      </w:r>
      <w:r>
        <w:rPr>
          <w:rFonts w:ascii="Arial" w:cs="Arial" w:eastAsia="Arial" w:hAnsi="Arial"/>
          <w:sz w:val="16"/>
          <w:szCs w:val="16"/>
          <w:color w:val="auto"/>
        </w:rPr>
        <w:t>means (i) the CBT EIP Condition (as defined in the Purchaser's Employee Incentive Plan) and (ii) the registration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South African Reserve Bank;</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"EMI Option" </w:t>
      </w:r>
      <w:r>
        <w:rPr>
          <w:rFonts w:ascii="Arial" w:cs="Arial" w:eastAsia="Arial" w:hAnsi="Arial"/>
          <w:sz w:val="16"/>
          <w:szCs w:val="16"/>
          <w:color w:val="auto"/>
        </w:rPr>
        <w:t>means a share option granted pursuant to the Stock Option Plan that is intended to qualify as an Enterprise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option in accordance with section 527(4) and Schedule 5 of ITEPA.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"Employee Shares" </w:t>
      </w:r>
      <w:r>
        <w:rPr>
          <w:rFonts w:ascii="Arial" w:cs="Arial" w:eastAsia="Arial" w:hAnsi="Arial"/>
          <w:sz w:val="16"/>
          <w:szCs w:val="16"/>
          <w:color w:val="auto"/>
        </w:rPr>
        <w:t>means non-voting ordinary shares of £0.000001 each in the capital of the Company.</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"Encumbrance" </w:t>
      </w:r>
      <w:r>
        <w:rPr>
          <w:rFonts w:ascii="Arial" w:cs="Arial" w:eastAsia="Arial" w:hAnsi="Arial"/>
          <w:sz w:val="16"/>
          <w:szCs w:val="16"/>
          <w:color w:val="auto"/>
        </w:rPr>
        <w:t>means any interest or equity of any person (including any right to acquire, option or right of pre -emption or conversion)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charge, pledge, lien, assignment, hypothecation, security interest, title retention, or any other security agreement or arrangement, or any agreement to create any of the above.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"Estimated Adjustment Amount" </w:t>
      </w:r>
      <w:r>
        <w:rPr>
          <w:rFonts w:ascii="Arial" w:cs="Arial" w:eastAsia="Arial" w:hAnsi="Arial"/>
          <w:sz w:val="16"/>
          <w:szCs w:val="16"/>
          <w:color w:val="auto"/>
        </w:rPr>
        <w:t>means the aggregate of:</w:t>
      </w:r>
    </w:p>
    <w:p>
      <w:pPr>
        <w:spacing w:after="0" w:line="200" w:lineRule="exact"/>
        <w:rPr>
          <w:sz w:val="20"/>
          <w:szCs w:val="20"/>
          <w:color w:val="auto"/>
        </w:rPr>
      </w:pPr>
    </w:p>
    <w:p>
      <w:pPr>
        <w:spacing w:after="0" w:line="350"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5</w:t>
      </w:r>
    </w:p>
    <w:p>
      <w:pPr>
        <w:sectPr>
          <w:pgSz w:w="11900" w:h="16840" w:orient="portrait"/>
          <w:cols w:equalWidth="0" w:num="1">
            <w:col w:w="10000"/>
          </w:cols>
          <w:pgMar w:left="1240" w:top="1440" w:right="660" w:bottom="1440" w:gutter="0" w:footer="0" w:header="0"/>
        </w:sectPr>
      </w:pPr>
    </w:p>
    <w:bookmarkStart w:id="356" w:name="page357"/>
    <w:bookmarkEnd w:id="356"/>
    <w:p>
      <w:pPr>
        <w:spacing w:after="0" w:line="331" w:lineRule="exact"/>
        <w:rPr>
          <w:sz w:val="20"/>
          <w:szCs w:val="20"/>
          <w:color w:val="auto"/>
        </w:rPr>
      </w:pPr>
    </w:p>
    <w:p>
      <w:pPr>
        <w:ind w:left="560" w:hanging="558"/>
        <w:spacing w:after="0"/>
        <w:tabs>
          <w:tab w:leader="none" w:pos="5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amount by which the Estimated Cash is in excess or shortfall of the Target Cash Balance,</w:t>
      </w:r>
    </w:p>
    <w:p>
      <w:pPr>
        <w:spacing w:after="0" w:line="6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i w:val="1"/>
          <w:iCs w:val="1"/>
          <w:color w:val="auto"/>
        </w:rPr>
        <w:t>less</w:t>
      </w:r>
    </w:p>
    <w:p>
      <w:pPr>
        <w:spacing w:after="0" w:line="68" w:lineRule="exact"/>
        <w:rPr>
          <w:rFonts w:ascii="Arial" w:cs="Arial" w:eastAsia="Arial" w:hAnsi="Arial"/>
          <w:sz w:val="16"/>
          <w:szCs w:val="16"/>
          <w:color w:val="auto"/>
        </w:rPr>
      </w:pPr>
    </w:p>
    <w:p>
      <w:pPr>
        <w:ind w:right="400" w:firstLine="2"/>
        <w:spacing w:after="0" w:line="328" w:lineRule="auto"/>
        <w:tabs>
          <w:tab w:leader="none" w:pos="56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amount by which the Estimated Debt is in excess of the Target Debt Balance (for the avoidance of doubt, no shortfall will incur), </w:t>
      </w:r>
      <w:r>
        <w:rPr>
          <w:rFonts w:ascii="Arial" w:cs="Arial" w:eastAsia="Arial" w:hAnsi="Arial"/>
          <w:sz w:val="16"/>
          <w:szCs w:val="16"/>
          <w:i w:val="1"/>
          <w:iCs w:val="1"/>
          <w:color w:val="auto"/>
        </w:rPr>
        <w:t>plus / minus</w:t>
      </w:r>
    </w:p>
    <w:p>
      <w:pPr>
        <w:spacing w:after="0" w:line="1" w:lineRule="exact"/>
        <w:rPr>
          <w:rFonts w:ascii="Arial" w:cs="Arial" w:eastAsia="Arial" w:hAnsi="Arial"/>
          <w:sz w:val="16"/>
          <w:szCs w:val="16"/>
          <w:color w:val="auto"/>
        </w:rPr>
      </w:pPr>
    </w:p>
    <w:p>
      <w:pPr>
        <w:jc w:val="both"/>
        <w:ind w:left="580" w:right="20" w:hanging="578"/>
        <w:spacing w:after="0" w:line="224" w:lineRule="auto"/>
        <w:tabs>
          <w:tab w:leader="none" w:pos="56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amount of the difference between the Estimated Working Capital and the Target Working Capital (which shall be a positive number if the Estimated Working Capital is in excess of the Target Working Capital, or a negative number if the Estimated Working Capital is less than the Target Working Capital),</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provided pursuant to clause 6 </w:t>
      </w:r>
      <w:r>
        <w:rPr>
          <w:rFonts w:ascii="Arial" w:cs="Arial" w:eastAsia="Arial" w:hAnsi="Arial"/>
          <w:sz w:val="16"/>
          <w:szCs w:val="16"/>
          <w:i w:val="1"/>
          <w:iCs w:val="1"/>
          <w:color w:val="auto"/>
        </w:rPr>
        <w:t>(Pre-Completion obligations)</w:t>
      </w:r>
      <w:r>
        <w:rPr>
          <w:rFonts w:ascii="Arial" w:cs="Arial" w:eastAsia="Arial" w:hAnsi="Arial"/>
          <w:sz w:val="16"/>
          <w:szCs w:val="16"/>
          <w:color w:val="auto"/>
        </w:rPr>
        <w:t xml:space="preserve"> and set out in the Estimates Notice.</w:t>
      </w:r>
    </w:p>
    <w:p>
      <w:pPr>
        <w:spacing w:after="0" w:line="6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"Estimated Cash" </w:t>
      </w:r>
      <w:r>
        <w:rPr>
          <w:rFonts w:ascii="Arial" w:cs="Arial" w:eastAsia="Arial" w:hAnsi="Arial"/>
          <w:sz w:val="16"/>
          <w:szCs w:val="16"/>
          <w:color w:val="auto"/>
        </w:rPr>
        <w:t>means the Sellers' reasonable good faith estimate of Cash of the Group as at the Effective Time, as provided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clause 6 </w:t>
      </w:r>
      <w:r>
        <w:rPr>
          <w:rFonts w:ascii="Arial" w:cs="Arial" w:eastAsia="Arial" w:hAnsi="Arial"/>
          <w:sz w:val="16"/>
          <w:szCs w:val="16"/>
          <w:i w:val="1"/>
          <w:iCs w:val="1"/>
          <w:color w:val="auto"/>
        </w:rPr>
        <w:t>(Pre-Completion obligations)</w:t>
      </w:r>
      <w:r>
        <w:rPr>
          <w:rFonts w:ascii="Arial" w:cs="Arial" w:eastAsia="Arial" w:hAnsi="Arial"/>
          <w:sz w:val="16"/>
          <w:szCs w:val="16"/>
          <w:color w:val="auto"/>
        </w:rPr>
        <w:t xml:space="preserve"> and set out in the Estimates Notice.</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"Estimated Debt" </w:t>
      </w:r>
      <w:r>
        <w:rPr>
          <w:rFonts w:ascii="Arial" w:cs="Arial" w:eastAsia="Arial" w:hAnsi="Arial"/>
          <w:sz w:val="16"/>
          <w:szCs w:val="16"/>
          <w:color w:val="auto"/>
        </w:rPr>
        <w:t>means the Sellers' reasonable good faith estimate of Debt of the Group as at the Effective Time, as provided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clause 6 </w:t>
      </w:r>
      <w:r>
        <w:rPr>
          <w:rFonts w:ascii="Arial" w:cs="Arial" w:eastAsia="Arial" w:hAnsi="Arial"/>
          <w:sz w:val="16"/>
          <w:szCs w:val="16"/>
          <w:i w:val="1"/>
          <w:iCs w:val="1"/>
          <w:color w:val="auto"/>
        </w:rPr>
        <w:t>(Pre-Completion obligations</w:t>
      </w:r>
      <w:r>
        <w:rPr>
          <w:rFonts w:ascii="Arial" w:cs="Arial" w:eastAsia="Arial" w:hAnsi="Arial"/>
          <w:sz w:val="16"/>
          <w:szCs w:val="16"/>
          <w:color w:val="auto"/>
        </w:rPr>
        <w:t>) and set out in the Estimates Notice.</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"Estimated FME Shareholders' Upfront Consideration" </w:t>
      </w:r>
      <w:r>
        <w:rPr>
          <w:rFonts w:ascii="Arial" w:cs="Arial" w:eastAsia="Arial" w:hAnsi="Arial"/>
          <w:sz w:val="16"/>
          <w:szCs w:val="16"/>
          <w:color w:val="auto"/>
        </w:rPr>
        <w:t>means the £price per share calculated in accordance with the Completion Allocation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after including therein:</w:t>
      </w:r>
    </w:p>
    <w:p>
      <w:pPr>
        <w:spacing w:after="0" w:line="48" w:lineRule="exact"/>
        <w:rPr>
          <w:sz w:val="20"/>
          <w:szCs w:val="20"/>
          <w:color w:val="auto"/>
        </w:rPr>
      </w:pPr>
    </w:p>
    <w:p>
      <w:pPr>
        <w:ind w:left="580" w:hanging="578"/>
        <w:spacing w:after="0" w:line="298" w:lineRule="auto"/>
        <w:tabs>
          <w:tab w:leader="none" w:pos="568"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Estimated Cash, Estimated Debt and the Estimated Working Capital amounts set out in the Estimates Notice and reflecting (if applicable) any increase or reduction of the FME Shareholders' Upfront Consideration as a result of the Estimated Adjustment Amount;</w:t>
      </w:r>
    </w:p>
    <w:p>
      <w:pPr>
        <w:spacing w:after="0" w:line="8" w:lineRule="exact"/>
        <w:rPr>
          <w:rFonts w:ascii="Arial" w:cs="Arial" w:eastAsia="Arial" w:hAnsi="Arial"/>
          <w:sz w:val="14"/>
          <w:szCs w:val="14"/>
          <w:color w:val="auto"/>
        </w:rPr>
      </w:pPr>
    </w:p>
    <w:p>
      <w:pPr>
        <w:ind w:left="560" w:hanging="558"/>
        <w:spacing w:after="0"/>
        <w:tabs>
          <w:tab w:leader="none" w:pos="5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 as a deduction in respect of the Completion Fully Diluted Consideration Shares held or to be held by FME Shareholders; and</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p>
    <w:p>
      <w:pPr>
        <w:spacing w:after="0" w:line="6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"Estimated Liability" </w:t>
      </w:r>
      <w:r>
        <w:rPr>
          <w:rFonts w:ascii="Arial" w:cs="Arial" w:eastAsia="Arial" w:hAnsi="Arial"/>
          <w:sz w:val="16"/>
          <w:szCs w:val="16"/>
          <w:color w:val="auto"/>
        </w:rPr>
        <w:t>means, in relation to an Outstanding Claim, a genuine and bona fide estimate of the amount of the liability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of any relevant Seller who is due to receive Earn-Out Consideration if the Outstanding Claim was to be resolved in the Purchaser's favour, as agreed or determined in accordance with sub-clause 19.12(b).</w:t>
      </w:r>
    </w:p>
    <w:p>
      <w:pPr>
        <w:spacing w:after="0" w:line="47"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Sellers' Upfront Payment</w:t>
      </w:r>
      <w:r>
        <w:rPr>
          <w:rFonts w:ascii="Arial" w:cs="Arial" w:eastAsia="Arial" w:hAnsi="Arial"/>
          <w:sz w:val="16"/>
          <w:szCs w:val="16"/>
          <w:color w:val="auto"/>
        </w:rPr>
        <w:t xml:space="preserve"> " means the £price per share calculated in accordance with the Completion Allocation Schedule after inserting the Estimated Cash, Estimated Debt and the Estimated Working Capital amounts set out in the Estimates Notice and reflecting (if applicable) any increase or reduction of the Investor Sellers' Upfront Consideration as a result of the Estimated Adjustment Amount.</w:t>
      </w:r>
    </w:p>
    <w:p>
      <w:pPr>
        <w:spacing w:after="0" w:line="47"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Tax Withholding</w:t>
      </w:r>
      <w:r>
        <w:rPr>
          <w:rFonts w:ascii="Arial" w:cs="Arial" w:eastAsia="Arial" w:hAnsi="Arial"/>
          <w:sz w:val="16"/>
          <w:szCs w:val="16"/>
          <w:color w:val="auto"/>
        </w:rPr>
        <w:t>" means, in relation to an FME Shareholder who is exercising an Option on or immediately before Completion and in respect of whom an Option Tax Liability will arise, the estimated amount of that Option Tax Liability as set out in the Completion Allocation Schedule.</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xml:space="preserve"> " means the Sellers' reasonable good faith estimate of Working Capital of the Group as at the Effective Time, as provided pursuant to clause 6 </w:t>
      </w:r>
      <w:r>
        <w:rPr>
          <w:rFonts w:ascii="Arial" w:cs="Arial" w:eastAsia="Arial" w:hAnsi="Arial"/>
          <w:sz w:val="16"/>
          <w:szCs w:val="16"/>
          <w:i w:val="1"/>
          <w:iCs w:val="1"/>
          <w:color w:val="auto"/>
        </w:rPr>
        <w:t>(Pre-Completion obligations)</w:t>
      </w:r>
      <w:r>
        <w:rPr>
          <w:rFonts w:ascii="Arial" w:cs="Arial" w:eastAsia="Arial" w:hAnsi="Arial"/>
          <w:sz w:val="16"/>
          <w:szCs w:val="16"/>
          <w:color w:val="auto"/>
        </w:rPr>
        <w:t xml:space="preserve"> and set out in the Estimates Notice.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"Estimates Notice" </w:t>
      </w:r>
      <w:r>
        <w:rPr>
          <w:rFonts w:ascii="Arial" w:cs="Arial" w:eastAsia="Arial" w:hAnsi="Arial"/>
          <w:sz w:val="16"/>
          <w:szCs w:val="16"/>
          <w:color w:val="auto"/>
        </w:rPr>
        <w:t>has the meaning set out in sub-clause 6.3 (Pre-Completion obligations).</w:t>
      </w:r>
    </w:p>
    <w:p>
      <w:pPr>
        <w:spacing w:after="0" w:line="6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b w:val="1"/>
          <w:bCs w:val="1"/>
          <w:color w:val="auto"/>
        </w:rPr>
        <w:t xml:space="preserve">"Exchange Rate" </w:t>
      </w:r>
      <w:r>
        <w:rPr>
          <w:rFonts w:ascii="Arial" w:cs="Arial" w:eastAsia="Arial" w:hAnsi="Arial"/>
          <w:sz w:val="16"/>
          <w:szCs w:val="16"/>
          <w:color w:val="auto"/>
        </w:rPr>
        <w:t>means with respect to a particular currency for a particular day the spot rate of exchange (the closing mid-point) for that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into sterling on such date as published by the European Central Bank or where no such rate is published in respect of that currency for such date at the rate quoted by Bloomberg FX Fixings (https://www.bloomberg.com/markets/currencies/fx-fixings) as at 4:00pm London time on such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"Exchange Shares" </w:t>
      </w:r>
      <w:r>
        <w:rPr>
          <w:rFonts w:ascii="Arial" w:cs="Arial" w:eastAsia="Arial" w:hAnsi="Arial"/>
          <w:sz w:val="16"/>
          <w:szCs w:val="16"/>
          <w:color w:val="auto"/>
        </w:rPr>
        <w:t>means the Shares held by a Seller as at the date of this Agreement, being:</w:t>
      </w:r>
    </w:p>
    <w:p>
      <w:pPr>
        <w:spacing w:after="0" w:line="70" w:lineRule="exact"/>
        <w:rPr>
          <w:sz w:val="20"/>
          <w:szCs w:val="20"/>
          <w:color w:val="auto"/>
        </w:rPr>
      </w:pPr>
    </w:p>
    <w:p>
      <w:pPr>
        <w:ind w:left="580" w:right="20" w:hanging="578"/>
        <w:spacing w:after="0" w:line="235" w:lineRule="auto"/>
        <w:tabs>
          <w:tab w:leader="none" w:pos="56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respect of any FME Shareholder, the Shares set out against that FME Shareholder's name in any of column C1, C2 or E2 of the table set out in Part 1 of Schedule 1; and</w:t>
      </w:r>
    </w:p>
    <w:p>
      <w:pPr>
        <w:spacing w:after="0" w:line="47"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respect of any Investor Seller, the Shares set out against that Investor Seller's name in any of columns C1 to C4 (inclusive) of the table set out in Part 2 of Schedule 1.</w:t>
      </w: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6</w:t>
      </w:r>
    </w:p>
    <w:p>
      <w:pPr>
        <w:sectPr>
          <w:pgSz w:w="11900" w:h="16840" w:orient="portrait"/>
          <w:cols w:equalWidth="0" w:num="1">
            <w:col w:w="10000"/>
          </w:cols>
          <w:pgMar w:left="1240" w:top="1440" w:right="660" w:bottom="1440" w:gutter="0" w:footer="0" w:header="0"/>
        </w:sectPr>
      </w:pPr>
    </w:p>
    <w:bookmarkStart w:id="357" w:name="page358"/>
    <w:bookmarkEnd w:id="357"/>
    <w:p>
      <w:pPr>
        <w:spacing w:after="0" w:line="32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"Existing Options" </w:t>
      </w:r>
      <w:r>
        <w:rPr>
          <w:rFonts w:ascii="Arial" w:cs="Arial" w:eastAsia="Arial" w:hAnsi="Arial"/>
          <w:sz w:val="16"/>
          <w:szCs w:val="16"/>
          <w:color w:val="auto"/>
        </w:rPr>
        <w:t>means the options to subscribe for Ordinary Shares or Employee Shares granted pursuant to the Stock Option Plan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date of this Agreement.</w:t>
      </w:r>
    </w:p>
    <w:p>
      <w:pPr>
        <w:spacing w:after="0" w:line="46"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b w:val="1"/>
          <w:bCs w:val="1"/>
          <w:color w:val="auto"/>
        </w:rPr>
        <w:t xml:space="preserve">"FME 2024 French Shares" </w:t>
      </w:r>
      <w:r>
        <w:rPr>
          <w:rFonts w:ascii="Arial" w:cs="Arial" w:eastAsia="Arial" w:hAnsi="Arial"/>
          <w:sz w:val="16"/>
          <w:szCs w:val="16"/>
          <w:color w:val="auto"/>
        </w:rPr>
        <w:t>means the Ordinary Shares set against that FME Shareholder's name in column E5 of the table set out in Part 1 of</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1 (being Ordinary Shares that remain subject to a French Award and which, following a proposed amendment to the French Plan to be made with effect from Completion, will vest on [***]) but excluding any such Ordinary Shares to the extent that the applicable French Award held by the FME Shareholder lapses before Completion in accordance with the terms of the French Plan.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"FME Cash in Hand" </w:t>
      </w:r>
      <w:r>
        <w:rPr>
          <w:rFonts w:ascii="Arial" w:cs="Arial" w:eastAsia="Arial" w:hAnsi="Arial"/>
          <w:sz w:val="16"/>
          <w:szCs w:val="16"/>
          <w:color w:val="auto"/>
        </w:rPr>
        <w:t>means [***]% of (i) the Estimated Sellers' Upfront Payment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multiplied by</w:t>
      </w:r>
      <w:r>
        <w:rPr>
          <w:rFonts w:ascii="Arial" w:cs="Arial" w:eastAsia="Arial" w:hAnsi="Arial"/>
          <w:sz w:val="16"/>
          <w:szCs w:val="16"/>
          <w:b w:val="1"/>
          <w:bCs w:val="1"/>
          <w:color w:val="auto"/>
        </w:rPr>
        <w:t xml:space="preserve"> </w:t>
      </w:r>
      <w:r>
        <w:rPr>
          <w:rFonts w:ascii="Arial" w:cs="Arial" w:eastAsia="Arial" w:hAnsi="Arial"/>
          <w:sz w:val="16"/>
          <w:szCs w:val="16"/>
          <w:color w:val="auto"/>
        </w:rPr>
        <w:t>(ii) the number of FME Completion Shares.</w:t>
      </w:r>
    </w:p>
    <w:p>
      <w:pPr>
        <w:spacing w:after="0" w:line="6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"FME Completion Shares" </w:t>
      </w:r>
      <w:r>
        <w:rPr>
          <w:rFonts w:ascii="Arial" w:cs="Arial" w:eastAsia="Arial" w:hAnsi="Arial"/>
          <w:sz w:val="16"/>
          <w:szCs w:val="16"/>
          <w:color w:val="auto"/>
        </w:rPr>
        <w:t>means all the Shares held by the FME Shareholders at Completion which, in respect of each FME Shareholder, will</w:t>
      </w:r>
      <w:r>
        <w:rPr>
          <w:rFonts w:ascii="Arial" w:cs="Arial" w:eastAsia="Arial" w:hAnsi="Arial"/>
          <w:sz w:val="16"/>
          <w:szCs w:val="16"/>
          <w:b w:val="1"/>
          <w:bCs w:val="1"/>
          <w:color w:val="auto"/>
        </w:rPr>
        <w:t xml:space="preserve"> </w:t>
      </w:r>
      <w:r>
        <w:rPr>
          <w:rFonts w:ascii="Arial" w:cs="Arial" w:eastAsia="Arial" w:hAnsi="Arial"/>
          <w:sz w:val="16"/>
          <w:szCs w:val="16"/>
          <w:color w:val="auto"/>
        </w:rPr>
        <w:t>consist of:</w:t>
      </w:r>
    </w:p>
    <w:p>
      <w:pPr>
        <w:spacing w:after="0" w:line="48" w:lineRule="exact"/>
        <w:rPr>
          <w:sz w:val="20"/>
          <w:szCs w:val="20"/>
          <w:color w:val="auto"/>
        </w:rPr>
      </w:pPr>
    </w:p>
    <w:p>
      <w:pPr>
        <w:jc w:val="both"/>
        <w:ind w:left="580" w:hanging="578"/>
        <w:spacing w:after="0" w:line="224"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Ordinary Shares set against that FME Shareholder's name in column C1 of the table set out in Part 1 of Schedule 1, being Ordinary Shares held by that FME Shareholder as at the date of this Agreement (other than Ordinary Shares that remain subject to a French Holding Period);</w:t>
      </w:r>
    </w:p>
    <w:p>
      <w:pPr>
        <w:spacing w:after="0" w:line="4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Employee Shares set against that FME Shareholder's name in column C2 of the table set out in Part 1 of Schedule 1, being Employee Shares held by that FME Shareholder as at the date of this Agreement;</w:t>
      </w:r>
    </w:p>
    <w:p>
      <w:pPr>
        <w:spacing w:after="0" w:line="47" w:lineRule="exact"/>
        <w:rPr>
          <w:rFonts w:ascii="Arial" w:cs="Arial" w:eastAsia="Arial" w:hAnsi="Arial"/>
          <w:sz w:val="16"/>
          <w:szCs w:val="16"/>
          <w:color w:val="auto"/>
        </w:rPr>
      </w:pPr>
    </w:p>
    <w:p>
      <w:pPr>
        <w:jc w:val="both"/>
        <w:ind w:left="580" w:hanging="578"/>
        <w:spacing w:after="0" w:line="219"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Ordinary Shares set against that FME Shareholder's name in column D1 of the table set out in Part 1 of Schedule 1 (being Ordinary Shares that the FME Shareholder will acquire from the exercise of Existing Options immediately before Completion) but excluding any such Ordinary Shares to the extent that the applicable Existing Option held by the FME Shareholder lapses before Completion in accordance with the terms of the Stock Option Plan;</w:t>
      </w:r>
    </w:p>
    <w:p>
      <w:pPr>
        <w:spacing w:after="0" w:line="48" w:lineRule="exact"/>
        <w:rPr>
          <w:rFonts w:ascii="Arial" w:cs="Arial" w:eastAsia="Arial" w:hAnsi="Arial"/>
          <w:sz w:val="16"/>
          <w:szCs w:val="16"/>
          <w:color w:val="auto"/>
        </w:rPr>
      </w:pPr>
    </w:p>
    <w:p>
      <w:pPr>
        <w:jc w:val="both"/>
        <w:ind w:left="580" w:hanging="578"/>
        <w:spacing w:after="0" w:line="219"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Employee Shares set against that FME Shareholder's name in column D2 of the table set out in Part 1 of Schedule 1 (being Employee Shares that the FME Shareholder will acquire from the exercise of Existing Options immediately before Completion) but excluding any such Employee Shares to the extent that the applicable Existing Option held by the FME Shareholder lapses before Completion in accordance with the terms of the Stock Option Plan;</w:t>
      </w:r>
    </w:p>
    <w:p>
      <w:pPr>
        <w:spacing w:after="0" w:line="48" w:lineRule="exact"/>
        <w:rPr>
          <w:rFonts w:ascii="Arial" w:cs="Arial" w:eastAsia="Arial" w:hAnsi="Arial"/>
          <w:sz w:val="16"/>
          <w:szCs w:val="16"/>
          <w:color w:val="auto"/>
        </w:rPr>
      </w:pPr>
    </w:p>
    <w:p>
      <w:pPr>
        <w:jc w:val="both"/>
        <w:ind w:left="580" w:hanging="578"/>
        <w:spacing w:after="0" w:line="219"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Ordinary Shares set against that FME Shareholder's name in column E1 of the table set out in Part 1 of Schedule 1 (being Ordinary Shares that will be issued to that the FME Shareholder immediately before Completion in connection with the vesting of French Awards) but excluding any such Ordinary Shares to the extent that the applicable French Awards held by the FME Shareholder lapse before Completion in accordance with the terms of the French Plan;</w:t>
      </w:r>
    </w:p>
    <w:p>
      <w:pPr>
        <w:spacing w:after="0" w:line="48" w:lineRule="exact"/>
        <w:rPr>
          <w:rFonts w:ascii="Arial" w:cs="Arial" w:eastAsia="Arial" w:hAnsi="Arial"/>
          <w:sz w:val="16"/>
          <w:szCs w:val="16"/>
          <w:color w:val="auto"/>
        </w:rPr>
      </w:pPr>
    </w:p>
    <w:p>
      <w:pPr>
        <w:jc w:val="both"/>
        <w:ind w:left="580" w:hanging="578"/>
        <w:spacing w:after="0" w:line="219"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Completion arises after the date set against that FME Shareholder's name in column E4 of the table set out in Part 1 of Schedule 1, the Ordinary Shares set against that FME Shareholder's name in column E2 of the table set out in Part 1 of Schedule 1 (being Ordinary Shares held by that FME Shareholder as at the date of this Agreement that remain subject to a French Holding Period but which cease to be subject to that French Holding Period on or before Completion);</w:t>
      </w:r>
    </w:p>
    <w:p>
      <w:pPr>
        <w:spacing w:after="0" w:line="48" w:lineRule="exact"/>
        <w:rPr>
          <w:rFonts w:ascii="Arial" w:cs="Arial" w:eastAsia="Arial" w:hAnsi="Arial"/>
          <w:sz w:val="16"/>
          <w:szCs w:val="16"/>
          <w:color w:val="auto"/>
        </w:rPr>
      </w:pPr>
    </w:p>
    <w:p>
      <w:pPr>
        <w:jc w:val="both"/>
        <w:ind w:left="580" w:hanging="578"/>
        <w:spacing w:after="0" w:line="216"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Completion arises after the date set against that FME Shareholder's name in column E4 of the table set out in Part 1 of Schedule 1, the Ordinary Shares set against that FME Shareholder's name in column E3 of the table set out in Part 1 of Schedule 1 (being Ordinary Shares that will be issued to that the FME Shareholder immediately before Completion in connection with vesting of French Awards) but excluding any such Ordinary Shares to the extent that the applicable French Award held by the FME Shareholder lapses before Completion in accordance with the terms of the French Plan; and</w:t>
      </w:r>
    </w:p>
    <w:p>
      <w:pPr>
        <w:spacing w:after="0" w:line="48" w:lineRule="exact"/>
        <w:rPr>
          <w:rFonts w:ascii="Arial" w:cs="Arial" w:eastAsia="Arial" w:hAnsi="Arial"/>
          <w:sz w:val="16"/>
          <w:szCs w:val="16"/>
          <w:color w:val="auto"/>
        </w:rPr>
      </w:pPr>
    </w:p>
    <w:p>
      <w:pPr>
        <w:ind w:left="580" w:hanging="578"/>
        <w:spacing w:after="0" w:line="235" w:lineRule="auto"/>
        <w:tabs>
          <w:tab w:leader="none" w:pos="56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Employee Shares and/or Ordinary Shares issued to an FME Shareholder on or before Completion pursuant to the terms of, and/or following the exercise of, a New Award.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"FME Holdback Amount" </w:t>
      </w:r>
      <w:r>
        <w:rPr>
          <w:rFonts w:ascii="Arial" w:cs="Arial" w:eastAsia="Arial" w:hAnsi="Arial"/>
          <w:sz w:val="16"/>
          <w:szCs w:val="16"/>
          <w:color w:val="auto"/>
        </w:rPr>
        <w:t>means [***]% of the FME Cash in Hand in respect of the FME Completion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"FME Retained French Shares" </w:t>
      </w:r>
      <w:r>
        <w:rPr>
          <w:rFonts w:ascii="Arial" w:cs="Arial" w:eastAsia="Arial" w:hAnsi="Arial"/>
          <w:sz w:val="16"/>
          <w:szCs w:val="16"/>
          <w:color w:val="auto"/>
        </w:rPr>
        <w:t>means:</w:t>
      </w:r>
    </w:p>
    <w:p>
      <w:pPr>
        <w:spacing w:after="0" w:line="70" w:lineRule="exact"/>
        <w:rPr>
          <w:sz w:val="20"/>
          <w:szCs w:val="20"/>
          <w:color w:val="auto"/>
        </w:rPr>
      </w:pPr>
    </w:p>
    <w:p>
      <w:pPr>
        <w:ind w:left="580" w:right="20" w:hanging="578"/>
        <w:spacing w:after="0" w:line="235" w:lineRule="auto"/>
        <w:tabs>
          <w:tab w:leader="none" w:pos="56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Completion arises on or before the date set against that FME Shareholder's name in column E4 of the table set out in Part 1 of Schedule 1, the Ordinary Shares set against that FME Shareholder's name in column E2 of the table set out in Part 1 of Schedule 1</w:t>
      </w: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7</w:t>
      </w:r>
    </w:p>
    <w:p>
      <w:pPr>
        <w:sectPr>
          <w:pgSz w:w="11900" w:h="16840" w:orient="portrait"/>
          <w:cols w:equalWidth="0" w:num="1">
            <w:col w:w="10000"/>
          </w:cols>
          <w:pgMar w:left="1240" w:top="1440" w:right="660" w:bottom="1440" w:gutter="0" w:footer="0" w:header="0"/>
        </w:sectPr>
      </w:pPr>
    </w:p>
    <w:bookmarkStart w:id="358" w:name="page359"/>
    <w:bookmarkEnd w:id="358"/>
    <w:p>
      <w:pPr>
        <w:spacing w:after="0" w:line="3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(being Ordinary Shares held by that FME Shareholder that, as at Completion, remain subject to a French Holding Period); and</w:t>
      </w:r>
    </w:p>
    <w:p>
      <w:pPr>
        <w:spacing w:after="0" w:line="68" w:lineRule="exact"/>
        <w:rPr>
          <w:sz w:val="20"/>
          <w:szCs w:val="20"/>
          <w:color w:val="auto"/>
        </w:rPr>
      </w:pPr>
    </w:p>
    <w:p>
      <w:pPr>
        <w:jc w:val="both"/>
        <w:ind w:left="580" w:right="20" w:hanging="578"/>
        <w:spacing w:after="0" w:line="216" w:lineRule="auto"/>
        <w:tabs>
          <w:tab w:leader="none" w:pos="56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Completion arises on or before the date set against that FME Shareholder's name in column E4 of the table set out in Part 1 of Schedule 1, the Ordinary Shares set against that FME Shareholder's name in column E3 of the table set out in Part 1 of Schedule 1 (being Ordinary Shares that remain subject to a French Award that has not vested as at Completion but which is due to vest in May or June 2023) but excluding any such Ordinary Shares to the extent that the applicable French Award held by the FME Shareholder lapses before Completion in accordance with the terms of the French Plan.</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"FME Shareholders' Representative" </w:t>
      </w:r>
      <w:r>
        <w:rPr>
          <w:rFonts w:ascii="Arial" w:cs="Arial" w:eastAsia="Arial" w:hAnsi="Arial"/>
          <w:sz w:val="16"/>
          <w:szCs w:val="16"/>
          <w:color w:val="auto"/>
        </w:rPr>
        <w:t>means [***] or such other person as the majority by value of Consideration receivable by the FME</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may notify to the Purchaser in writing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"FME Shareholders' Transaction Tax Liability" </w:t>
      </w:r>
      <w:r>
        <w:rPr>
          <w:rFonts w:ascii="Arial" w:cs="Arial" w:eastAsia="Arial" w:hAnsi="Arial"/>
          <w:sz w:val="16"/>
          <w:szCs w:val="16"/>
          <w:color w:val="auto"/>
        </w:rPr>
        <w:t>means, in respect of an FME Shareholder, the sum of:</w:t>
      </w:r>
    </w:p>
    <w:p>
      <w:pPr>
        <w:spacing w:after="0" w:line="70" w:lineRule="exact"/>
        <w:rPr>
          <w:sz w:val="20"/>
          <w:szCs w:val="20"/>
          <w:color w:val="auto"/>
        </w:rPr>
      </w:pPr>
    </w:p>
    <w:p>
      <w:pPr>
        <w:ind w:left="580" w:right="40" w:hanging="578"/>
        <w:spacing w:after="0" w:line="235" w:lineRule="auto"/>
        <w:tabs>
          <w:tab w:leader="none" w:pos="56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amount of any Option Tax Liability, or any personal tax liability of such FME Shareholder, that arises as a result of any exercise of an Option immediately before Completion;</w:t>
      </w:r>
    </w:p>
    <w:p>
      <w:pPr>
        <w:spacing w:after="0" w:line="47" w:lineRule="exact"/>
        <w:rPr>
          <w:rFonts w:ascii="Arial" w:cs="Arial" w:eastAsia="Arial" w:hAnsi="Arial"/>
          <w:sz w:val="16"/>
          <w:szCs w:val="16"/>
          <w:color w:val="auto"/>
        </w:rPr>
      </w:pPr>
    </w:p>
    <w:p>
      <w:pPr>
        <w:jc w:val="both"/>
        <w:ind w:left="580" w:hanging="578"/>
        <w:spacing w:after="0" w:line="224" w:lineRule="auto"/>
        <w:tabs>
          <w:tab w:leader="none" w:pos="56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amount of any personal tax liability of such FME Shareholder that arises as a result of, or in connection with, the sale of any Completion Shares in accordance with this Agreement (provided that such personal tax liability is payable in respect of the tax year in which Completion occurs); and</w:t>
      </w:r>
    </w:p>
    <w:p>
      <w:pPr>
        <w:spacing w:after="0" w:line="48" w:lineRule="exact"/>
        <w:rPr>
          <w:rFonts w:ascii="Arial" w:cs="Arial" w:eastAsia="Arial" w:hAnsi="Arial"/>
          <w:sz w:val="16"/>
          <w:szCs w:val="16"/>
          <w:color w:val="auto"/>
        </w:rPr>
      </w:pPr>
    </w:p>
    <w:p>
      <w:pPr>
        <w:jc w:val="both"/>
        <w:ind w:left="580" w:hanging="578"/>
        <w:spacing w:after="0" w:line="224" w:lineRule="auto"/>
        <w:tabs>
          <w:tab w:leader="none" w:pos="56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amount of any personal tax liability of such FME Shareholder that arises as a result of, or in connection with, the sale of any FME Retained French Shares and/or FME 2024 French Shares in accordance with this Agreement (provided that such personal tax liability is payable in respect of the tax year in which the sale of those Shares to the Purchaser takes place),</w:t>
      </w:r>
    </w:p>
    <w:p>
      <w:pPr>
        <w:spacing w:after="0" w:line="49"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and, for the purposes of estimating an FME Shareholders' Transaction Tax Liability under this Agreement, the parties agree that, except for anything which can be factored in as a result of running dummy payroll runs in advance of Completion to the extent feasible: (1) no account will be taken of any reliefs that are personal to an FME Shareholder and which would require knowledge of the FME Shareholder's personal circumstances; and (2) all taxes will be estimated using the highest marginal rate of tax, unless the relevant payments are processed through a Group Company payroll and such reliefs and / or tax rates are taken into account in respect of such payment.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"FME Shareholders' Upfront Cash Completion Payment" </w:t>
      </w:r>
      <w:r>
        <w:rPr>
          <w:rFonts w:ascii="Arial" w:cs="Arial" w:eastAsia="Arial" w:hAnsi="Arial"/>
          <w:sz w:val="16"/>
          <w:szCs w:val="16"/>
          <w:color w:val="auto"/>
        </w:rPr>
        <w:t>means:</w:t>
      </w:r>
    </w:p>
    <w:p>
      <w:pPr>
        <w:spacing w:after="0" w:line="70" w:lineRule="exact"/>
        <w:rPr>
          <w:sz w:val="20"/>
          <w:szCs w:val="20"/>
          <w:color w:val="auto"/>
        </w:rPr>
      </w:pPr>
    </w:p>
    <w:p>
      <w:pPr>
        <w:ind w:left="560" w:hanging="558"/>
        <w:spacing w:after="0"/>
        <w:tabs>
          <w:tab w:leader="none" w:pos="5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FME Cash in Hand </w:t>
      </w:r>
      <w:r>
        <w:rPr>
          <w:rFonts w:ascii="Arial" w:cs="Arial" w:eastAsia="Arial" w:hAnsi="Arial"/>
          <w:sz w:val="16"/>
          <w:szCs w:val="16"/>
          <w:b w:val="1"/>
          <w:bCs w:val="1"/>
          <w:i w:val="1"/>
          <w:iCs w:val="1"/>
          <w:color w:val="auto"/>
        </w:rPr>
        <w:t>plus</w:t>
      </w:r>
    </w:p>
    <w:p>
      <w:pPr>
        <w:spacing w:after="0" w:line="68" w:lineRule="exact"/>
        <w:rPr>
          <w:rFonts w:ascii="Arial" w:cs="Arial" w:eastAsia="Arial" w:hAnsi="Arial"/>
          <w:sz w:val="16"/>
          <w:szCs w:val="16"/>
          <w:color w:val="auto"/>
        </w:rPr>
      </w:pPr>
    </w:p>
    <w:p>
      <w:pPr>
        <w:ind w:right="1460" w:firstLine="2"/>
        <w:spacing w:after="0" w:line="374" w:lineRule="auto"/>
        <w:tabs>
          <w:tab w:leader="none" w:pos="564" w:val="left"/>
        </w:tabs>
        <w:numPr>
          <w:ilvl w:val="0"/>
          <w:numId w:val="253"/>
        </w:numPr>
        <w:rPr>
          <w:rFonts w:ascii="Arial" w:cs="Arial" w:eastAsia="Arial" w:hAnsi="Arial"/>
          <w:sz w:val="14"/>
          <w:szCs w:val="14"/>
          <w:color w:val="auto"/>
        </w:rPr>
      </w:pPr>
      <w:r>
        <w:rPr>
          <w:rFonts w:ascii="Arial" w:cs="Arial" w:eastAsia="Arial" w:hAnsi="Arial"/>
          <w:sz w:val="14"/>
          <w:szCs w:val="14"/>
          <w:color w:val="auto"/>
        </w:rPr>
        <w:t xml:space="preserve">the FME Shareholders' Transaction Tax Liability of all FME Shareholders in respect of the FME Completion Shares. </w:t>
      </w:r>
      <w:r>
        <w:rPr>
          <w:rFonts w:ascii="Arial" w:cs="Arial" w:eastAsia="Arial" w:hAnsi="Arial"/>
          <w:sz w:val="14"/>
          <w:szCs w:val="14"/>
          <w:b w:val="1"/>
          <w:bCs w:val="1"/>
          <w:color w:val="auto"/>
        </w:rPr>
        <w:t xml:space="preserve">"Founder Sellers" </w:t>
      </w:r>
      <w:r>
        <w:rPr>
          <w:rFonts w:ascii="Arial" w:cs="Arial" w:eastAsia="Arial" w:hAnsi="Arial"/>
          <w:sz w:val="14"/>
          <w:szCs w:val="14"/>
          <w:color w:val="auto"/>
        </w:rPr>
        <w:t>means [***] and [***] details for whom are set out in Part 1 of Schedule 1 (and each a "</w:t>
      </w:r>
      <w:r>
        <w:rPr>
          <w:rFonts w:ascii="Arial" w:cs="Arial" w:eastAsia="Arial" w:hAnsi="Arial"/>
          <w:sz w:val="14"/>
          <w:szCs w:val="14"/>
          <w:b w:val="1"/>
          <w:bCs w:val="1"/>
          <w:color w:val="auto"/>
        </w:rPr>
        <w:t xml:space="preserve"> Founder</w:t>
      </w:r>
      <w:r>
        <w:rPr>
          <w:rFonts w:ascii="Arial" w:cs="Arial" w:eastAsia="Arial" w:hAnsi="Arial"/>
          <w:sz w:val="14"/>
          <w:szCs w:val="14"/>
          <w:color w:val="auto"/>
        </w:rPr>
        <w:t>").</w:t>
      </w:r>
    </w:p>
    <w:p>
      <w:pPr>
        <w:spacing w:after="0"/>
        <w:rPr>
          <w:rFonts w:ascii="Arial" w:cs="Arial" w:eastAsia="Arial" w:hAnsi="Arial"/>
          <w:sz w:val="14"/>
          <w:szCs w:val="14"/>
          <w:color w:val="auto"/>
        </w:rPr>
      </w:pPr>
      <w:r>
        <w:rPr>
          <w:rFonts w:ascii="Arial" w:cs="Arial" w:eastAsia="Arial" w:hAnsi="Arial"/>
          <w:sz w:val="14"/>
          <w:szCs w:val="14"/>
          <w:b w:val="1"/>
          <w:bCs w:val="1"/>
          <w:color w:val="auto"/>
        </w:rPr>
        <w:t xml:space="preserve">"French Award" </w:t>
      </w:r>
      <w:r>
        <w:rPr>
          <w:rFonts w:ascii="Arial" w:cs="Arial" w:eastAsia="Arial" w:hAnsi="Arial"/>
          <w:sz w:val="14"/>
          <w:szCs w:val="14"/>
          <w:color w:val="auto"/>
        </w:rPr>
        <w:t>means a right to acquire Ordinary Shares granted by the Company under the French Plan before the date of this Agreement.</w:t>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"French Holding Period" </w:t>
      </w:r>
      <w:r>
        <w:rPr>
          <w:rFonts w:ascii="Arial" w:cs="Arial" w:eastAsia="Arial" w:hAnsi="Arial"/>
          <w:sz w:val="16"/>
          <w:szCs w:val="16"/>
          <w:color w:val="auto"/>
        </w:rPr>
        <w:t>means a Holding Period (as such term is defined in the French Plan) applying to Ordinary Shares acquired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 French Award.</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"French Plan" </w:t>
      </w:r>
      <w:r>
        <w:rPr>
          <w:rFonts w:ascii="Arial" w:cs="Arial" w:eastAsia="Arial" w:hAnsi="Arial"/>
          <w:sz w:val="16"/>
          <w:szCs w:val="16"/>
          <w:color w:val="auto"/>
        </w:rPr>
        <w:t>the allocation plan of performance shares adopted by the Company on 21 August 2019 in respect of the employees of InstaDeep</w:t>
      </w:r>
      <w:r>
        <w:rPr>
          <w:rFonts w:ascii="Arial" w:cs="Arial" w:eastAsia="Arial" w:hAnsi="Arial"/>
          <w:sz w:val="16"/>
          <w:szCs w:val="16"/>
          <w:b w:val="1"/>
          <w:bCs w:val="1"/>
          <w:color w:val="auto"/>
        </w:rPr>
        <w:t xml:space="preserve"> </w:t>
      </w:r>
      <w:r>
        <w:rPr>
          <w:rFonts w:ascii="Arial" w:cs="Arial" w:eastAsia="Arial" w:hAnsi="Arial"/>
          <w:sz w:val="16"/>
          <w:szCs w:val="16"/>
          <w:color w:val="auto"/>
        </w:rPr>
        <w:t>SAS.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“Good Faith” </w:t>
      </w:r>
      <w:r>
        <w:rPr>
          <w:rFonts w:ascii="Arial" w:cs="Arial" w:eastAsia="Arial" w:hAnsi="Arial"/>
          <w:sz w:val="14"/>
          <w:szCs w:val="14"/>
          <w:color w:val="auto"/>
        </w:rPr>
        <w:t>means acting honestly, reasonably and with fair dealing, having regard to (i) the collective interests of the parties represented and</w:t>
      </w:r>
    </w:p>
    <w:p>
      <w:pPr>
        <w:spacing w:after="0" w:line="11" w:lineRule="exact"/>
        <w:rPr>
          <w:sz w:val="20"/>
          <w:szCs w:val="20"/>
          <w:color w:val="auto"/>
        </w:rPr>
      </w:pPr>
    </w:p>
    <w:p>
      <w:pPr>
        <w:ind w:right="40" w:firstLine="2"/>
        <w:spacing w:after="0" w:line="226" w:lineRule="auto"/>
        <w:tabs>
          <w:tab w:leader="none" w:pos="27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provisions, aims and purposes of this Agreement, the Paying Agent Agreements and, if applicable, the Institutional Sellers’ Representative Agreement, but without an obligation to subordinate one’s own interests to the interests of the others.</w:t>
      </w:r>
    </w:p>
    <w:p>
      <w:pPr>
        <w:spacing w:after="0" w:line="46"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b w:val="1"/>
          <w:bCs w:val="1"/>
          <w:color w:val="auto"/>
        </w:rPr>
        <w:t xml:space="preserve">"Governmental Authority" </w:t>
      </w:r>
      <w:r>
        <w:rPr>
          <w:rFonts w:ascii="Arial" w:cs="Arial" w:eastAsia="Arial" w:hAnsi="Arial"/>
          <w:sz w:val="14"/>
          <w:szCs w:val="14"/>
          <w:color w:val="auto"/>
        </w:rPr>
        <w:t>means any governmental authority in the United Kingdom, France, United Arab Emirates, South Africa, Tunisia,</w:t>
      </w:r>
      <w:r>
        <w:rPr>
          <w:rFonts w:ascii="Arial" w:cs="Arial" w:eastAsia="Arial" w:hAnsi="Arial"/>
          <w:sz w:val="14"/>
          <w:szCs w:val="14"/>
          <w:b w:val="1"/>
          <w:bCs w:val="1"/>
          <w:color w:val="auto"/>
        </w:rPr>
        <w:t xml:space="preserve"> </w:t>
      </w:r>
      <w:r>
        <w:rPr>
          <w:rFonts w:ascii="Arial" w:cs="Arial" w:eastAsia="Arial" w:hAnsi="Arial"/>
          <w:sz w:val="14"/>
          <w:szCs w:val="14"/>
          <w:color w:val="auto"/>
        </w:rPr>
        <w:t>Germany, United States of America, Nigeria or any other country in which a Group Company conducts, or has conducted in the previous 2 years preceding the date of this Agreement, its business and includes any district, county, federal, state, provincial, municipal or similar authorities.</w:t>
      </w:r>
    </w:p>
    <w:p>
      <w:pPr>
        <w:spacing w:after="0" w:line="200" w:lineRule="exact"/>
        <w:rPr>
          <w:sz w:val="20"/>
          <w:szCs w:val="20"/>
          <w:color w:val="auto"/>
        </w:rPr>
      </w:pPr>
    </w:p>
    <w:p>
      <w:pPr>
        <w:spacing w:after="0" w:line="309"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8</w:t>
      </w:r>
    </w:p>
    <w:p>
      <w:pPr>
        <w:sectPr>
          <w:pgSz w:w="11900" w:h="16840" w:orient="portrait"/>
          <w:cols w:equalWidth="0" w:num="1">
            <w:col w:w="10000"/>
          </w:cols>
          <w:pgMar w:left="1240" w:top="1440" w:right="660" w:bottom="1440" w:gutter="0" w:footer="0" w:header="0"/>
        </w:sectPr>
      </w:pPr>
    </w:p>
    <w:bookmarkStart w:id="359" w:name="page360"/>
    <w:bookmarkEnd w:id="359"/>
    <w:p>
      <w:pPr>
        <w:spacing w:after="0" w:line="32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"Group Accounts" </w:t>
      </w:r>
      <w:r>
        <w:rPr>
          <w:rFonts w:ascii="Arial" w:cs="Arial" w:eastAsia="Arial" w:hAnsi="Arial"/>
          <w:sz w:val="16"/>
          <w:szCs w:val="16"/>
          <w:color w:val="auto"/>
        </w:rPr>
        <w:t>means, in respect of the Company, the audited consolidated balance sheet as at that date and the audited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income statement for that period (including all documents required by Applicable Law to be annexed to them for that period).</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b w:val="1"/>
          <w:bCs w:val="1"/>
          <w:color w:val="auto"/>
        </w:rPr>
        <w:t xml:space="preserve">"Group Companies" </w:t>
      </w:r>
      <w:r>
        <w:rPr>
          <w:rFonts w:ascii="Arial" w:cs="Arial" w:eastAsia="Arial" w:hAnsi="Arial"/>
          <w:sz w:val="16"/>
          <w:szCs w:val="16"/>
          <w:color w:val="auto"/>
        </w:rPr>
        <w:t>or</w:t>
      </w:r>
      <w:r>
        <w:rPr>
          <w:rFonts w:ascii="Arial" w:cs="Arial" w:eastAsia="Arial" w:hAnsi="Arial"/>
          <w:sz w:val="16"/>
          <w:szCs w:val="16"/>
          <w:b w:val="1"/>
          <w:bCs w:val="1"/>
          <w:color w:val="auto"/>
        </w:rPr>
        <w:t xml:space="preserve"> "Group" </w:t>
      </w:r>
      <w:r>
        <w:rPr>
          <w:rFonts w:ascii="Arial" w:cs="Arial" w:eastAsia="Arial" w:hAnsi="Arial"/>
          <w:sz w:val="16"/>
          <w:szCs w:val="16"/>
          <w:color w:val="auto"/>
        </w:rPr>
        <w:t>means the Company, any holding company and any subsidiary and any subsidiary undertaking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such companies (as set out in Part 2 of Schedule 2 (</w:t>
      </w:r>
      <w:r>
        <w:rPr>
          <w:rFonts w:ascii="Arial" w:cs="Arial" w:eastAsia="Arial" w:hAnsi="Arial"/>
          <w:sz w:val="16"/>
          <w:szCs w:val="16"/>
          <w:i w:val="1"/>
          <w:iCs w:val="1"/>
          <w:color w:val="auto"/>
        </w:rPr>
        <w:t>The Group Companies</w:t>
      </w:r>
      <w:r>
        <w:rPr>
          <w:rFonts w:ascii="Arial" w:cs="Arial" w:eastAsia="Arial" w:hAnsi="Arial"/>
          <w:sz w:val="16"/>
          <w:szCs w:val="16"/>
          <w:color w:val="auto"/>
        </w:rPr>
        <w:t xml:space="preserve">)) and </w:t>
      </w:r>
      <w:r>
        <w:rPr>
          <w:rFonts w:ascii="Arial" w:cs="Arial" w:eastAsia="Arial" w:hAnsi="Arial"/>
          <w:sz w:val="16"/>
          <w:szCs w:val="16"/>
          <w:b w:val="1"/>
          <w:bCs w:val="1"/>
          <w:color w:val="auto"/>
        </w:rPr>
        <w:t>"Group Company"</w:t>
      </w:r>
      <w:r>
        <w:rPr>
          <w:rFonts w:ascii="Arial" w:cs="Arial" w:eastAsia="Arial" w:hAnsi="Arial"/>
          <w:sz w:val="16"/>
          <w:szCs w:val="16"/>
          <w:color w:val="auto"/>
        </w:rPr>
        <w:t xml:space="preserve"> means any one of them.</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Shares transferred pursuant to the terms of the 2022 [***]SPA.</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"Holdback Amount" </w:t>
      </w:r>
      <w:r>
        <w:rPr>
          <w:rFonts w:ascii="Arial" w:cs="Arial" w:eastAsia="Arial" w:hAnsi="Arial"/>
          <w:sz w:val="16"/>
          <w:szCs w:val="16"/>
          <w:color w:val="auto"/>
        </w:rPr>
        <w:t>means the FME Holdback Amount and the Investors Holdback Amount.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"holding company" </w:t>
      </w:r>
      <w:r>
        <w:rPr>
          <w:rFonts w:ascii="Arial" w:cs="Arial" w:eastAsia="Arial" w:hAnsi="Arial"/>
          <w:sz w:val="16"/>
          <w:szCs w:val="16"/>
          <w:color w:val="auto"/>
        </w:rPr>
        <w:t>has the meaning set out in Section 1159, CA2006.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"HMRC" </w:t>
      </w:r>
      <w:r>
        <w:rPr>
          <w:rFonts w:ascii="Arial" w:cs="Arial" w:eastAsia="Arial" w:hAnsi="Arial"/>
          <w:sz w:val="16"/>
          <w:szCs w:val="16"/>
          <w:color w:val="auto"/>
        </w:rPr>
        <w:t>has the meaning set out in the Tax Schedule.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"ICAEW President" </w:t>
      </w:r>
      <w:r>
        <w:rPr>
          <w:rFonts w:ascii="Arial" w:cs="Arial" w:eastAsia="Arial" w:hAnsi="Arial"/>
          <w:sz w:val="16"/>
          <w:szCs w:val="16"/>
          <w:color w:val="auto"/>
        </w:rPr>
        <w:t>shall have the meaning given to it in sub-clause 19.11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Independent Expert</w:t>
      </w:r>
      <w:r>
        <w:rPr>
          <w:rFonts w:ascii="Arial" w:cs="Arial" w:eastAsia="Arial" w:hAnsi="Arial"/>
          <w:sz w:val="16"/>
          <w:szCs w:val="16"/>
          <w:color w:val="auto"/>
        </w:rPr>
        <w:t>).</w:t>
      </w:r>
    </w:p>
    <w:p>
      <w:pPr>
        <w:spacing w:after="0" w:line="6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b w:val="1"/>
          <w:bCs w:val="1"/>
          <w:color w:val="auto"/>
        </w:rPr>
        <w:t xml:space="preserve">"IFRS" </w:t>
      </w:r>
      <w:r>
        <w:rPr>
          <w:rFonts w:ascii="Arial" w:cs="Arial" w:eastAsia="Arial" w:hAnsi="Arial"/>
          <w:sz w:val="16"/>
          <w:szCs w:val="16"/>
          <w:color w:val="auto"/>
        </w:rPr>
        <w:t>means International Financial Reporting Standards (including international accounting standards, international financial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and interpretations of such standards) adopted for use in the UK under the International Accounting Standards and European Public Limited-Liability Company (Amendment etc.) (EU Exit) Regulations 2019 (SI 2019/685) and in force for the accounting period ending on the Accounts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"Indemnified Losses" </w:t>
      </w:r>
      <w:r>
        <w:rPr>
          <w:rFonts w:ascii="Arial" w:cs="Arial" w:eastAsia="Arial" w:hAnsi="Arial"/>
          <w:sz w:val="16"/>
          <w:szCs w:val="16"/>
          <w:color w:val="auto"/>
        </w:rPr>
        <w:t>has the meaning set out in the Paying Agent Agreements and each an "</w:t>
      </w:r>
      <w:r>
        <w:rPr>
          <w:rFonts w:ascii="Arial" w:cs="Arial" w:eastAsia="Arial" w:hAnsi="Arial"/>
          <w:sz w:val="16"/>
          <w:szCs w:val="16"/>
          <w:b w:val="1"/>
          <w:bCs w:val="1"/>
          <w:color w:val="auto"/>
        </w:rPr>
        <w:t xml:space="preserve"> Indemnified Loss</w:t>
      </w:r>
      <w:r>
        <w:rPr>
          <w:rFonts w:ascii="Arial" w:cs="Arial" w:eastAsia="Arial" w:hAnsi="Arial"/>
          <w:sz w:val="16"/>
          <w:szCs w:val="16"/>
          <w:color w:val="auto"/>
        </w:rPr>
        <w:t>".</w:t>
      </w:r>
    </w:p>
    <w:p>
      <w:pPr>
        <w:spacing w:after="0" w:line="6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"Independent Expert" </w:t>
      </w:r>
      <w:r>
        <w:rPr>
          <w:rFonts w:ascii="Arial" w:cs="Arial" w:eastAsia="Arial" w:hAnsi="Arial"/>
          <w:sz w:val="16"/>
          <w:szCs w:val="16"/>
          <w:color w:val="auto"/>
        </w:rPr>
        <w:t>means an independent expert whose appointment and terms of reference are governed by sub-clause 19.11</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Independent Expert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“Instadeep Tunisia” </w:t>
      </w:r>
      <w:r>
        <w:rPr>
          <w:rFonts w:ascii="Arial" w:cs="Arial" w:eastAsia="Arial" w:hAnsi="Arial"/>
          <w:sz w:val="16"/>
          <w:szCs w:val="16"/>
          <w:color w:val="auto"/>
        </w:rPr>
        <w:t>means InstaDeep SARL, details of which are set out in Part 2 of Schedule 2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Group Companies (and branches)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"Institutional Sellers" </w:t>
      </w:r>
      <w:r>
        <w:rPr>
          <w:rFonts w:ascii="Arial" w:cs="Arial" w:eastAsia="Arial" w:hAnsi="Arial"/>
          <w:sz w:val="16"/>
          <w:szCs w:val="16"/>
          <w:color w:val="auto"/>
        </w:rPr>
        <w:t>means [***].</w:t>
      </w:r>
    </w:p>
    <w:p>
      <w:pPr>
        <w:spacing w:after="0" w:line="6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"Institutional Sellers' Representative" </w:t>
      </w:r>
      <w:r>
        <w:rPr>
          <w:rFonts w:ascii="Arial" w:cs="Arial" w:eastAsia="Arial" w:hAnsi="Arial"/>
          <w:sz w:val="16"/>
          <w:szCs w:val="16"/>
          <w:color w:val="auto"/>
        </w:rPr>
        <w:t>means [***] or such other person as the Institutional Sellers (acting jointly on a unanimous basis) may</w:t>
      </w:r>
      <w:r>
        <w:rPr>
          <w:rFonts w:ascii="Arial" w:cs="Arial" w:eastAsia="Arial" w:hAnsi="Arial"/>
          <w:sz w:val="16"/>
          <w:szCs w:val="16"/>
          <w:b w:val="1"/>
          <w:bCs w:val="1"/>
          <w:color w:val="auto"/>
        </w:rPr>
        <w:t xml:space="preserve"> </w:t>
      </w:r>
      <w:r>
        <w:rPr>
          <w:rFonts w:ascii="Arial" w:cs="Arial" w:eastAsia="Arial" w:hAnsi="Arial"/>
          <w:sz w:val="16"/>
          <w:szCs w:val="16"/>
          <w:color w:val="auto"/>
        </w:rPr>
        <w:t>notify to the Purchaser in writing from time to time.</w:t>
      </w:r>
    </w:p>
    <w:p>
      <w:pPr>
        <w:spacing w:after="0" w:line="46" w:lineRule="exact"/>
        <w:rPr>
          <w:sz w:val="20"/>
          <w:szCs w:val="20"/>
          <w:color w:val="auto"/>
        </w:rPr>
      </w:pPr>
    </w:p>
    <w:p>
      <w:pPr>
        <w:jc w:val="both"/>
        <w:spacing w:after="0" w:line="214" w:lineRule="auto"/>
        <w:rPr>
          <w:sz w:val="20"/>
          <w:szCs w:val="20"/>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means any intellectual property or similar proprietary right, including all patents and patent applications,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patentable), trade marks, trade names whether or not registered or capable of registration, registered designs, design rights, domain names, copyrights, database rights, the right to apply for and applications for any of the preceding items, together with the rights in inventions, processes, software, know how, trade or business secrets, confidential information or any process or other similar right or asset capable of protection enjoyed, owned, used or licensed and all other intellectual and industrial property rights throughout the world arising directly or indirectly and all licences of the intellectual property referred to above.</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means any legal or beneficial interest or any other interest as defined in section 820 (when read with sections 821 to 825 inclusive)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CA 2006 and </w:t>
      </w:r>
      <w:r>
        <w:rPr>
          <w:rFonts w:ascii="Arial" w:cs="Arial" w:eastAsia="Arial" w:hAnsi="Arial"/>
          <w:sz w:val="16"/>
          <w:szCs w:val="16"/>
          <w:b w:val="1"/>
          <w:bCs w:val="1"/>
          <w:color w:val="auto"/>
        </w:rPr>
        <w:t>"Interested"</w:t>
      </w:r>
      <w:r>
        <w:rPr>
          <w:rFonts w:ascii="Arial" w:cs="Arial" w:eastAsia="Arial" w:hAnsi="Arial"/>
          <w:sz w:val="16"/>
          <w:szCs w:val="16"/>
          <w:color w:val="auto"/>
        </w:rPr>
        <w:t xml:space="preserve"> shall be construed accordingly.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"International Armed Conflict" </w:t>
      </w:r>
      <w:r>
        <w:rPr>
          <w:rFonts w:ascii="Arial" w:cs="Arial" w:eastAsia="Arial" w:hAnsi="Arial"/>
          <w:sz w:val="16"/>
          <w:szCs w:val="16"/>
          <w:color w:val="auto"/>
        </w:rPr>
        <w:t>means all cases of:</w:t>
      </w:r>
    </w:p>
    <w:p>
      <w:pPr>
        <w:spacing w:after="0" w:line="70" w:lineRule="exact"/>
        <w:rPr>
          <w:sz w:val="20"/>
          <w:szCs w:val="20"/>
          <w:color w:val="auto"/>
        </w:rPr>
      </w:pPr>
    </w:p>
    <w:p>
      <w:pPr>
        <w:ind w:left="560" w:hanging="558"/>
        <w:spacing w:after="0"/>
        <w:tabs>
          <w:tab w:leader="none" w:pos="5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state of war declared in accordance with the laws of England and Wales; or</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other armed conflict with significant participation of the British Armed Forces which may arise between two or more states, even if the state of war is not recognized by one of them; or</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partial or total occupation of the territory of the UK, even if the said occupation meets with no armed resistance; or</w:t>
      </w:r>
    </w:p>
    <w:p>
      <w:pPr>
        <w:spacing w:after="0" w:line="68" w:lineRule="exact"/>
        <w:rPr>
          <w:rFonts w:ascii="Arial" w:cs="Arial" w:eastAsia="Arial" w:hAnsi="Arial"/>
          <w:sz w:val="16"/>
          <w:szCs w:val="16"/>
          <w:color w:val="auto"/>
        </w:rPr>
      </w:pPr>
    </w:p>
    <w:p>
      <w:pPr>
        <w:ind w:left="580" w:hanging="578"/>
        <w:spacing w:after="0" w:line="235" w:lineRule="auto"/>
        <w:tabs>
          <w:tab w:leader="none" w:pos="56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other armed conflicts in which people are fighting against colonial domination and alien occupation and against racist regimes in the exercise of their right of self-determination.</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"Investors Holdback Amount" </w:t>
      </w:r>
      <w:r>
        <w:rPr>
          <w:rFonts w:ascii="Arial" w:cs="Arial" w:eastAsia="Arial" w:hAnsi="Arial"/>
          <w:sz w:val="16"/>
          <w:szCs w:val="16"/>
          <w:color w:val="auto"/>
        </w:rPr>
        <w:t>means [***]% of (i) the Estimated Sellers' Upfront Payment</w:t>
      </w:r>
      <w:r>
        <w:rPr>
          <w:rFonts w:ascii="Arial" w:cs="Arial" w:eastAsia="Arial" w:hAnsi="Arial"/>
          <w:sz w:val="16"/>
          <w:szCs w:val="16"/>
          <w:b w:val="1"/>
          <w:bCs w:val="1"/>
          <w:color w:val="auto"/>
        </w:rPr>
        <w:t xml:space="preserve"> multiplied by </w:t>
      </w:r>
      <w:r>
        <w:rPr>
          <w:rFonts w:ascii="Arial" w:cs="Arial" w:eastAsia="Arial" w:hAnsi="Arial"/>
          <w:sz w:val="16"/>
          <w:szCs w:val="16"/>
          <w:color w:val="auto"/>
        </w:rPr>
        <w:t>(ii) the number of Completion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the Investor Sellers.</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"Investor Sellers' Representative" </w:t>
      </w:r>
      <w:r>
        <w:rPr>
          <w:rFonts w:ascii="Arial" w:cs="Arial" w:eastAsia="Arial" w:hAnsi="Arial"/>
          <w:sz w:val="16"/>
          <w:szCs w:val="16"/>
          <w:color w:val="auto"/>
        </w:rPr>
        <w:t>means [***] or such other person as the majority by value of Consideration receivable by the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Sellers (excluding the Institutional Sellers) may notify to the Purchaser in writing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"Investor Sellers' Shares" </w:t>
      </w:r>
      <w:r>
        <w:rPr>
          <w:rFonts w:ascii="Arial" w:cs="Arial" w:eastAsia="Arial" w:hAnsi="Arial"/>
          <w:sz w:val="16"/>
          <w:szCs w:val="16"/>
          <w:color w:val="auto"/>
        </w:rPr>
        <w:t>means the following fully paid and issued shares:</w:t>
      </w:r>
    </w:p>
    <w:p>
      <w:pPr>
        <w:spacing w:after="0" w:line="200" w:lineRule="exact"/>
        <w:rPr>
          <w:sz w:val="20"/>
          <w:szCs w:val="20"/>
          <w:color w:val="auto"/>
        </w:rPr>
      </w:pPr>
    </w:p>
    <w:p>
      <w:pPr>
        <w:spacing w:after="0" w:line="350"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9</w:t>
      </w:r>
    </w:p>
    <w:p>
      <w:pPr>
        <w:sectPr>
          <w:pgSz w:w="11900" w:h="16840" w:orient="portrait"/>
          <w:cols w:equalWidth="0" w:num="1">
            <w:col w:w="10000"/>
          </w:cols>
          <w:pgMar w:left="1240" w:top="1440" w:right="660" w:bottom="1440" w:gutter="0" w:footer="0" w:header="0"/>
        </w:sectPr>
      </w:pPr>
    </w:p>
    <w:bookmarkStart w:id="360" w:name="page361"/>
    <w:bookmarkEnd w:id="360"/>
    <w:p>
      <w:pPr>
        <w:spacing w:after="0" w:line="331" w:lineRule="exact"/>
        <w:rPr>
          <w:sz w:val="20"/>
          <w:szCs w:val="20"/>
          <w:color w:val="auto"/>
        </w:rPr>
      </w:pPr>
    </w:p>
    <w:p>
      <w:pPr>
        <w:ind w:left="560" w:hanging="558"/>
        <w:spacing w:after="0"/>
        <w:tabs>
          <w:tab w:leader="none" w:pos="5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Ordinary Shares;</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Class A Shares;</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Class B Shares; and</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Employee Shares,</w:t>
      </w:r>
    </w:p>
    <w:p>
      <w:pPr>
        <w:spacing w:after="0" w:line="6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held by the Investor Sellers in the proportions set out in Part 2 of Schedule 1 and any other shares in the capital of the Company that the Purchaser and the FME Shareholders' Representative may agree to classify as Investor Sellers' Shares before Completion.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Investor Sellers' Upfront Contingent Cash Consideration</w:t>
      </w:r>
      <w:r>
        <w:rPr>
          <w:rFonts w:ascii="Arial" w:cs="Arial" w:eastAsia="Arial" w:hAnsi="Arial"/>
          <w:sz w:val="16"/>
          <w:szCs w:val="16"/>
          <w:color w:val="auto"/>
        </w:rPr>
        <w:t xml:space="preserve"> " means the sum of £[***] per share held.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"ITEPA" </w:t>
      </w:r>
      <w:r>
        <w:rPr>
          <w:rFonts w:ascii="Arial" w:cs="Arial" w:eastAsia="Arial" w:hAnsi="Arial"/>
          <w:sz w:val="16"/>
          <w:szCs w:val="16"/>
          <w:color w:val="auto"/>
        </w:rPr>
        <w:t>has the meaning given to it in the Tax Schedule.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 Systems" </w:t>
      </w:r>
      <w:r>
        <w:rPr>
          <w:rFonts w:ascii="Arial" w:cs="Arial" w:eastAsia="Arial" w:hAnsi="Arial"/>
          <w:sz w:val="16"/>
          <w:szCs w:val="16"/>
          <w:color w:val="auto"/>
        </w:rPr>
        <w:t>has the meaning set out in sub-clause 30.1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Information technology</w:t>
      </w:r>
      <w:r>
        <w:rPr>
          <w:rFonts w:ascii="Arial" w:cs="Arial" w:eastAsia="Arial" w:hAnsi="Arial"/>
          <w:sz w:val="16"/>
          <w:szCs w:val="16"/>
          <w:color w:val="auto"/>
        </w:rPr>
        <w:t>) of Schedule 4.</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 Employees" </w:t>
      </w:r>
      <w:r>
        <w:rPr>
          <w:rFonts w:ascii="Arial" w:cs="Arial" w:eastAsia="Arial" w:hAnsi="Arial"/>
          <w:sz w:val="16"/>
          <w:szCs w:val="16"/>
          <w:color w:val="auto"/>
        </w:rPr>
        <w:t>means those persons listed in Part 2 of Schedule 10.</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means all leases (including underleases) under which the Properties are held, particulars of which are set out in Part 2 of Schedule 3</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The Properties</w:t>
      </w:r>
      <w:r>
        <w:rPr>
          <w:rFonts w:ascii="Arial" w:cs="Arial" w:eastAsia="Arial" w:hAnsi="Arial"/>
          <w:sz w:val="16"/>
          <w:szCs w:val="16"/>
          <w:color w:val="auto"/>
        </w:rPr>
        <w:t xml:space="preserve">) and </w:t>
      </w:r>
      <w:r>
        <w:rPr>
          <w:rFonts w:ascii="Arial" w:cs="Arial" w:eastAsia="Arial" w:hAnsi="Arial"/>
          <w:sz w:val="16"/>
          <w:szCs w:val="16"/>
          <w:b w:val="1"/>
          <w:bCs w:val="1"/>
          <w:color w:val="auto"/>
        </w:rPr>
        <w:t>"Lease"</w:t>
      </w:r>
      <w:r>
        <w:rPr>
          <w:rFonts w:ascii="Arial" w:cs="Arial" w:eastAsia="Arial" w:hAnsi="Arial"/>
          <w:sz w:val="16"/>
          <w:szCs w:val="16"/>
          <w:color w:val="auto"/>
        </w:rPr>
        <w:t xml:space="preserve"> means any one of them.</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"Lock-up Period" </w:t>
      </w:r>
      <w:r>
        <w:rPr>
          <w:rFonts w:ascii="Arial" w:cs="Arial" w:eastAsia="Arial" w:hAnsi="Arial"/>
          <w:sz w:val="16"/>
          <w:szCs w:val="16"/>
          <w:color w:val="auto"/>
        </w:rPr>
        <w:t>has the meaning set out in clause 18.1.</w:t>
      </w:r>
    </w:p>
    <w:p>
      <w:pPr>
        <w:spacing w:after="0" w:line="68"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means [***] acting in its capacity as paying agent and escrow agent under the relevant Paying Agent Agreement, or such other paying</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and/or escrow agent as may be agreed between the Purchaser, the FME Shareholders Representative, the Investor Sellers' Representative and the Institutional Sellers.</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"Management Accounts" </w:t>
      </w:r>
      <w:r>
        <w:rPr>
          <w:rFonts w:ascii="Arial" w:cs="Arial" w:eastAsia="Arial" w:hAnsi="Arial"/>
          <w:sz w:val="16"/>
          <w:szCs w:val="16"/>
          <w:color w:val="auto"/>
        </w:rPr>
        <w:t>means each of the unaudited consolidated monthly management accounts (including a balance sheet and an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for the Group for the period from the Accounts Date to 31 October 2022.</w:t>
      </w:r>
    </w:p>
    <w:p>
      <w:pPr>
        <w:spacing w:after="0" w:line="4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color w:val="auto"/>
        </w:rPr>
        <w:t xml:space="preserve">"Material Adverse Change" </w:t>
      </w:r>
      <w:r>
        <w:rPr>
          <w:rFonts w:ascii="Arial" w:cs="Arial" w:eastAsia="Arial" w:hAnsi="Arial"/>
          <w:sz w:val="14"/>
          <w:szCs w:val="14"/>
          <w:color w:val="auto"/>
        </w:rPr>
        <w:t>means the occurrence or commencement, between the date of this Agreement and Completion, of a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Adverse Change Event which is reasonably likely to sustain beyond Completion and which results in the Group as a whole having suffered any one or more impairments (as construed under IFRS as in force on the date of this Agreement, but ignoring for these purposes any impairments occurring as a result of any future changes in accounting standards or principles or interpretations of general application in relation thereto) of the assets of the Group and/or having incurred one or more one-off costs or liabilities outside the ordinary course of business which, taken together, have resulted in the total assets of the Group on a consolidated basis being reduced by more than [***], where: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"Material Adverse Change Event" </w:t>
      </w:r>
      <w:r>
        <w:rPr>
          <w:rFonts w:ascii="Arial" w:cs="Arial" w:eastAsia="Arial" w:hAnsi="Arial"/>
          <w:sz w:val="16"/>
          <w:szCs w:val="16"/>
          <w:color w:val="auto"/>
        </w:rPr>
        <w:t>means:</w:t>
      </w:r>
    </w:p>
    <w:p>
      <w:pPr>
        <w:spacing w:after="0" w:line="70" w:lineRule="exact"/>
        <w:rPr>
          <w:sz w:val="20"/>
          <w:szCs w:val="20"/>
          <w:color w:val="auto"/>
        </w:rPr>
      </w:pPr>
    </w:p>
    <w:p>
      <w:pPr>
        <w:ind w:left="560" w:hanging="558"/>
        <w:spacing w:after="0"/>
        <w:tabs>
          <w:tab w:leader="none" w:pos="5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 Act of God in the UK;</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 International Armed Conflict on the territory of the UK; or</w:t>
      </w:r>
    </w:p>
    <w:p>
      <w:pPr>
        <w:spacing w:after="0" w:line="68" w:lineRule="exact"/>
        <w:rPr>
          <w:rFonts w:ascii="Arial" w:cs="Arial" w:eastAsia="Arial" w:hAnsi="Arial"/>
          <w:sz w:val="16"/>
          <w:szCs w:val="16"/>
          <w:color w:val="auto"/>
        </w:rPr>
      </w:pPr>
    </w:p>
    <w:p>
      <w:pPr>
        <w:ind w:right="5260" w:firstLine="2"/>
        <w:spacing w:after="0" w:line="328" w:lineRule="auto"/>
        <w:tabs>
          <w:tab w:leader="none" w:pos="56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a Non-International Armed Conflict on the territory of the UK; </w:t>
      </w:r>
      <w:r>
        <w:rPr>
          <w:rFonts w:ascii="Arial" w:cs="Arial" w:eastAsia="Arial" w:hAnsi="Arial"/>
          <w:sz w:val="16"/>
          <w:szCs w:val="16"/>
          <w:b w:val="1"/>
          <w:bCs w:val="1"/>
          <w:color w:val="auto"/>
        </w:rPr>
        <w:t xml:space="preserve">"Milestones" </w:t>
      </w:r>
      <w:r>
        <w:rPr>
          <w:rFonts w:ascii="Arial" w:cs="Arial" w:eastAsia="Arial" w:hAnsi="Arial"/>
          <w:sz w:val="16"/>
          <w:szCs w:val="16"/>
          <w:color w:val="auto"/>
        </w:rPr>
        <w:t>has the meaning set out in Part 1 of Schedule 10.</w:t>
      </w:r>
      <w:r>
        <w:rPr>
          <w:rFonts w:ascii="Arial" w:cs="Arial" w:eastAsia="Arial" w:hAnsi="Arial"/>
          <w:sz w:val="16"/>
          <w:szCs w:val="16"/>
          <w:b w:val="1"/>
          <w:bCs w:val="1"/>
          <w:color w:val="auto"/>
        </w:rPr>
        <w:t xml:space="preserve"> "Minority Share Transfers" </w:t>
      </w:r>
      <w:r>
        <w:rPr>
          <w:rFonts w:ascii="Arial" w:cs="Arial" w:eastAsia="Arial" w:hAnsi="Arial"/>
          <w:sz w:val="16"/>
          <w:szCs w:val="16"/>
          <w:color w:val="auto"/>
        </w:rPr>
        <w:t>means:</w:t>
      </w:r>
    </w:p>
    <w:p>
      <w:pPr>
        <w:spacing w:after="0" w:line="2" w:lineRule="exact"/>
        <w:rPr>
          <w:sz w:val="20"/>
          <w:szCs w:val="20"/>
          <w:color w:val="auto"/>
        </w:rPr>
      </w:pPr>
    </w:p>
    <w:p>
      <w:pPr>
        <w:ind w:left="560" w:hanging="558"/>
        <w:spacing w:after="0"/>
        <w:tabs>
          <w:tab w:leader="none" w:pos="5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respect of InstaDeep Tunisia, the transfer of 1 share in the capital of InstaDeep Tunisia from [***] to the Company; and</w:t>
      </w:r>
    </w:p>
    <w:p>
      <w:pPr>
        <w:spacing w:after="0" w:line="68" w:lineRule="exact"/>
        <w:rPr>
          <w:rFonts w:ascii="Arial" w:cs="Arial" w:eastAsia="Arial" w:hAnsi="Arial"/>
          <w:sz w:val="16"/>
          <w:szCs w:val="16"/>
          <w:color w:val="auto"/>
        </w:rPr>
      </w:pPr>
    </w:p>
    <w:p>
      <w:pPr>
        <w:ind w:right="840" w:firstLine="2"/>
        <w:spacing w:after="0" w:line="327" w:lineRule="auto"/>
        <w:tabs>
          <w:tab w:leader="none" w:pos="56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in respect of InstaDeep Nigeria, the transfer of 10,000 shares in the capital of InstaDeep Nigeria from [***] to InstaDeep SAS, and each a </w:t>
      </w:r>
      <w:r>
        <w:rPr>
          <w:rFonts w:ascii="Arial" w:cs="Arial" w:eastAsia="Arial" w:hAnsi="Arial"/>
          <w:sz w:val="16"/>
          <w:szCs w:val="16"/>
          <w:b w:val="1"/>
          <w:bCs w:val="1"/>
          <w:color w:val="auto"/>
        </w:rPr>
        <w:t>"Minority Share Transfer"</w:t>
      </w:r>
      <w:r>
        <w:rPr>
          <w:rFonts w:ascii="Arial" w:cs="Arial" w:eastAsia="Arial" w:hAnsi="Arial"/>
          <w:sz w:val="16"/>
          <w:szCs w:val="16"/>
          <w:color w:val="auto"/>
        </w:rPr>
        <w:t>.</w:t>
      </w:r>
    </w:p>
    <w:p>
      <w:pPr>
        <w:spacing w:after="0"/>
        <w:rPr>
          <w:rFonts w:ascii="Arial" w:cs="Arial" w:eastAsia="Arial" w:hAnsi="Arial"/>
          <w:sz w:val="16"/>
          <w:szCs w:val="16"/>
          <w:color w:val="auto"/>
        </w:rPr>
      </w:pPr>
      <w:r>
        <w:rPr>
          <w:rFonts w:ascii="Arial" w:cs="Arial" w:eastAsia="Arial" w:hAnsi="Arial"/>
          <w:sz w:val="16"/>
          <w:szCs w:val="16"/>
          <w:b w:val="1"/>
          <w:bCs w:val="1"/>
          <w:color w:val="auto"/>
        </w:rPr>
        <w:t xml:space="preserve">"New Articles of Association" </w:t>
      </w:r>
      <w:r>
        <w:rPr>
          <w:rFonts w:ascii="Arial" w:cs="Arial" w:eastAsia="Arial" w:hAnsi="Arial"/>
          <w:sz w:val="16"/>
          <w:szCs w:val="16"/>
          <w:color w:val="auto"/>
        </w:rPr>
        <w:t>means the new articles of association to be adopted by the Company with effect from Completion.</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"New Award" </w:t>
      </w:r>
      <w:r>
        <w:rPr>
          <w:rFonts w:ascii="Arial" w:cs="Arial" w:eastAsia="Arial" w:hAnsi="Arial"/>
          <w:sz w:val="16"/>
          <w:szCs w:val="16"/>
          <w:color w:val="auto"/>
        </w:rPr>
        <w:t>means an option or other right to acquire Employee Shares and/or Ordinary Shares granted after the date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Completion Date pursuant to either the French Plan or the Stock Option (or pursuant to any other arrangement with the prior written agreement of the Purchaser).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FME Shareholder" </w:t>
      </w:r>
      <w:r>
        <w:rPr>
          <w:rFonts w:ascii="Arial" w:cs="Arial" w:eastAsia="Arial" w:hAnsi="Arial"/>
          <w:sz w:val="16"/>
          <w:szCs w:val="16"/>
          <w:color w:val="auto"/>
        </w:rPr>
        <w:t>means any person not set out in Part 1 of Schedule 1:</w:t>
      </w:r>
    </w:p>
    <w:p>
      <w:pPr>
        <w:spacing w:after="0" w:line="70" w:lineRule="exact"/>
        <w:rPr>
          <w:sz w:val="20"/>
          <w:szCs w:val="20"/>
          <w:color w:val="auto"/>
        </w:rPr>
      </w:pPr>
    </w:p>
    <w:p>
      <w:pPr>
        <w:ind w:left="560" w:hanging="558"/>
        <w:spacing w:after="0"/>
        <w:tabs>
          <w:tab w:leader="none" w:pos="5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to whom a New Award is granted after the date of this Agreement and before Completion;</w:t>
      </w:r>
    </w:p>
    <w:p>
      <w:pPr>
        <w:spacing w:after="0" w:line="200" w:lineRule="exact"/>
        <w:rPr>
          <w:sz w:val="20"/>
          <w:szCs w:val="20"/>
          <w:color w:val="auto"/>
        </w:rPr>
      </w:pPr>
    </w:p>
    <w:p>
      <w:pPr>
        <w:spacing w:after="0" w:line="348"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10</w:t>
      </w:r>
    </w:p>
    <w:p>
      <w:pPr>
        <w:sectPr>
          <w:pgSz w:w="11900" w:h="16840" w:orient="portrait"/>
          <w:cols w:equalWidth="0" w:num="1">
            <w:col w:w="10000"/>
          </w:cols>
          <w:pgMar w:left="1240" w:top="1440" w:right="660" w:bottom="1440" w:gutter="0" w:footer="0" w:header="0"/>
        </w:sectPr>
      </w:pPr>
    </w:p>
    <w:bookmarkStart w:id="361" w:name="page362"/>
    <w:bookmarkEnd w:id="361"/>
    <w:p>
      <w:pPr>
        <w:spacing w:after="0" w:line="331" w:lineRule="exact"/>
        <w:rPr>
          <w:sz w:val="20"/>
          <w:szCs w:val="20"/>
          <w:color w:val="auto"/>
        </w:rPr>
      </w:pPr>
    </w:p>
    <w:p>
      <w:pPr>
        <w:ind w:left="560" w:hanging="558"/>
        <w:spacing w:after="0"/>
        <w:tabs>
          <w:tab w:leader="none" w:pos="5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who will be issued Ordinary Shares and/or Employee Shares on or before Completion in respect of that New Award; and</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who, on or before Completion, has signed a Deed of Adherence.</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 xml:space="preserve">"Non-International Armed Conflict" </w:t>
      </w:r>
      <w:r>
        <w:rPr>
          <w:rFonts w:ascii="Arial" w:cs="Arial" w:eastAsia="Arial" w:hAnsi="Arial"/>
          <w:sz w:val="14"/>
          <w:szCs w:val="14"/>
          <w:color w:val="auto"/>
        </w:rPr>
        <w:t>means all armed conflicts, other than International Armed Conflicts, which take place on the territory of the</w:t>
      </w:r>
      <w:r>
        <w:rPr>
          <w:rFonts w:ascii="Arial" w:cs="Arial" w:eastAsia="Arial" w:hAnsi="Arial"/>
          <w:sz w:val="14"/>
          <w:szCs w:val="14"/>
          <w:b w:val="1"/>
          <w:bCs w:val="1"/>
          <w:color w:val="auto"/>
        </w:rPr>
        <w:t xml:space="preserve"> </w:t>
      </w:r>
      <w:r>
        <w:rPr>
          <w:rFonts w:ascii="Arial" w:cs="Arial" w:eastAsia="Arial" w:hAnsi="Arial"/>
          <w:sz w:val="14"/>
          <w:szCs w:val="14"/>
          <w:color w:val="auto"/>
        </w:rPr>
        <w:t>UK between the British Armed Forces and dissident armed forces or other organised armed groups which, under responsible command, exercise control over a part of its territory, such control enabling them to carry out sustained and concerted military operations, but in each case excluding situations of internal disturbances and tensions, such as riots, isolated and sporadic acts of violence and other acts of a similar nature.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"Non-Tax Claim" </w:t>
      </w:r>
      <w:r>
        <w:rPr>
          <w:rFonts w:ascii="Arial" w:cs="Arial" w:eastAsia="Arial" w:hAnsi="Arial"/>
          <w:sz w:val="16"/>
          <w:szCs w:val="16"/>
          <w:color w:val="auto"/>
        </w:rPr>
        <w:t>means any Claim which is not a Tax Claim.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"Non-Tax Warranties" </w:t>
      </w:r>
      <w:r>
        <w:rPr>
          <w:rFonts w:ascii="Arial" w:cs="Arial" w:eastAsia="Arial" w:hAnsi="Arial"/>
          <w:sz w:val="16"/>
          <w:szCs w:val="16"/>
          <w:color w:val="auto"/>
        </w:rPr>
        <w:t>means the warranties set out in Schedule 4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Non-Tax Warranties</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"Non-US FME Shareholders" </w:t>
      </w:r>
      <w:r>
        <w:rPr>
          <w:rFonts w:ascii="Arial" w:cs="Arial" w:eastAsia="Arial" w:hAnsi="Arial"/>
          <w:sz w:val="16"/>
          <w:szCs w:val="16"/>
          <w:color w:val="auto"/>
        </w:rPr>
        <w:t>means the FME Shareholders, other than the US FME Shareholders.</w:t>
      </w:r>
    </w:p>
    <w:p>
      <w:pPr>
        <w:spacing w:after="0" w:line="68"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 -US FME Shareholders' ADS Letter of Representation</w:t>
      </w:r>
      <w:r>
        <w:rPr>
          <w:rFonts w:ascii="Arial" w:cs="Arial" w:eastAsia="Arial" w:hAnsi="Arial"/>
          <w:sz w:val="16"/>
          <w:szCs w:val="16"/>
          <w:color w:val="auto"/>
        </w:rPr>
        <w:t>" means the letter of representation, in a form to be agreed between each Non-US FME Shareholder and the Purchaser acting reasonably, to be provided by each Non-US FME Shareholder at Completion to the Purchaser in respect of the Consideration Shares and Consideration ADSs.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includes any notice, demand, consent or other communication.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"Open Source Materials" </w:t>
      </w:r>
      <w:r>
        <w:rPr>
          <w:rFonts w:ascii="Arial" w:cs="Arial" w:eastAsia="Arial" w:hAnsi="Arial"/>
          <w:sz w:val="16"/>
          <w:szCs w:val="16"/>
          <w:color w:val="auto"/>
        </w:rPr>
        <w:t>means any publicly available software or material that contains or is derived from, or is distributed or licensed:</w:t>
      </w:r>
    </w:p>
    <w:p>
      <w:pPr>
        <w:spacing w:after="0" w:line="70" w:lineRule="exact"/>
        <w:rPr>
          <w:sz w:val="20"/>
          <w:szCs w:val="20"/>
          <w:color w:val="auto"/>
        </w:rPr>
      </w:pPr>
    </w:p>
    <w:p>
      <w:pPr>
        <w:ind w:left="560" w:hanging="558"/>
        <w:spacing w:after="0"/>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as free, libre or open-source software;</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under a licensing or distribution arrangement that requires, as a condition of use, modification and/or distribution of such software or material, that other software incorporated into, derived from or distributed with such software or material be:</w:t>
      </w:r>
    </w:p>
    <w:p>
      <w:pPr>
        <w:spacing w:after="0" w:line="47" w:lineRule="exact"/>
        <w:rPr>
          <w:rFonts w:ascii="Arial" w:cs="Arial" w:eastAsia="Arial" w:hAnsi="Arial"/>
          <w:sz w:val="16"/>
          <w:szCs w:val="16"/>
          <w:color w:val="auto"/>
        </w:rPr>
      </w:pPr>
    </w:p>
    <w:p>
      <w:pPr>
        <w:ind w:left="1160" w:hanging="582"/>
        <w:spacing w:after="0"/>
        <w:tabs>
          <w:tab w:leader="none" w:pos="116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disclosed or distributed in source code form;</w:t>
      </w:r>
    </w:p>
    <w:p>
      <w:pPr>
        <w:spacing w:after="0" w:line="68" w:lineRule="exact"/>
        <w:rPr>
          <w:rFonts w:ascii="Arial" w:cs="Arial" w:eastAsia="Arial" w:hAnsi="Arial"/>
          <w:sz w:val="16"/>
          <w:szCs w:val="16"/>
          <w:color w:val="auto"/>
        </w:rPr>
      </w:pPr>
    </w:p>
    <w:p>
      <w:pPr>
        <w:ind w:left="1140" w:hanging="562"/>
        <w:spacing w:after="0"/>
        <w:tabs>
          <w:tab w:leader="none" w:pos="11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licensed for the purpose of making derivative works;</w:t>
      </w:r>
    </w:p>
    <w:p>
      <w:pPr>
        <w:spacing w:after="0" w:line="68" w:lineRule="exact"/>
        <w:rPr>
          <w:rFonts w:ascii="Arial" w:cs="Arial" w:eastAsia="Arial" w:hAnsi="Arial"/>
          <w:sz w:val="16"/>
          <w:szCs w:val="16"/>
          <w:color w:val="auto"/>
        </w:rPr>
      </w:pPr>
    </w:p>
    <w:p>
      <w:pPr>
        <w:ind w:left="1140" w:hanging="562"/>
        <w:spacing w:after="0"/>
        <w:tabs>
          <w:tab w:leader="none" w:pos="11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licensed to permit decompilation, disassembly or reverse engineering of licensee's products; or</w:t>
      </w:r>
    </w:p>
    <w:p>
      <w:pPr>
        <w:spacing w:after="0" w:line="68" w:lineRule="exact"/>
        <w:rPr>
          <w:rFonts w:ascii="Arial" w:cs="Arial" w:eastAsia="Arial" w:hAnsi="Arial"/>
          <w:sz w:val="16"/>
          <w:szCs w:val="16"/>
          <w:color w:val="auto"/>
        </w:rPr>
      </w:pPr>
    </w:p>
    <w:p>
      <w:pPr>
        <w:ind w:left="1140" w:hanging="562"/>
        <w:spacing w:after="0"/>
        <w:tabs>
          <w:tab w:leader="none" w:pos="11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redistributable at no charge; or</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under a licensing or distribution arrangement similar to (a) or (b) including but not limited to the GNU General Public License, GNU Lesser General Public License and Mozilla Public License.</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"Optionholders" </w:t>
      </w:r>
      <w:r>
        <w:rPr>
          <w:rFonts w:ascii="Arial" w:cs="Arial" w:eastAsia="Arial" w:hAnsi="Arial"/>
          <w:sz w:val="16"/>
          <w:szCs w:val="16"/>
          <w:color w:val="auto"/>
        </w:rPr>
        <w:t>means the FME Shareholders who, under the Stock Option Plan, hold an Option that is to be exercised on or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before Completion.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means the Existing Options and the New Awards.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 Exercise Documents" </w:t>
      </w:r>
      <w:r>
        <w:rPr>
          <w:rFonts w:ascii="Arial" w:cs="Arial" w:eastAsia="Arial" w:hAnsi="Arial"/>
          <w:sz w:val="16"/>
          <w:szCs w:val="16"/>
          <w:color w:val="auto"/>
        </w:rPr>
        <w:t>means:</w:t>
      </w:r>
    </w:p>
    <w:p>
      <w:pPr>
        <w:spacing w:after="0" w:line="70" w:lineRule="exact"/>
        <w:rPr>
          <w:sz w:val="20"/>
          <w:szCs w:val="20"/>
          <w:color w:val="auto"/>
        </w:rPr>
      </w:pPr>
    </w:p>
    <w:p>
      <w:pPr>
        <w:ind w:left="560" w:hanging="558"/>
        <w:spacing w:after="0"/>
        <w:tabs>
          <w:tab w:leader="none" w:pos="5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relation to the Options (excluding any New Award in the form of an RSU Award):</w:t>
      </w:r>
    </w:p>
    <w:p>
      <w:pPr>
        <w:spacing w:after="0" w:line="68" w:lineRule="exact"/>
        <w:rPr>
          <w:rFonts w:ascii="Arial" w:cs="Arial" w:eastAsia="Arial" w:hAnsi="Arial"/>
          <w:sz w:val="16"/>
          <w:szCs w:val="16"/>
          <w:color w:val="auto"/>
        </w:rPr>
      </w:pPr>
    </w:p>
    <w:p>
      <w:pPr>
        <w:ind w:left="1160" w:hanging="582"/>
        <w:spacing w:after="0"/>
        <w:tabs>
          <w:tab w:leader="none" w:pos="11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 sale notice provided by the Company to each Optionholder inviting such Optionholder to exercise their Options;</w:t>
      </w:r>
    </w:p>
    <w:p>
      <w:pPr>
        <w:spacing w:after="0" w:line="68" w:lineRule="exact"/>
        <w:rPr>
          <w:rFonts w:ascii="Arial" w:cs="Arial" w:eastAsia="Arial" w:hAnsi="Arial"/>
          <w:sz w:val="16"/>
          <w:szCs w:val="16"/>
          <w:color w:val="auto"/>
        </w:rPr>
      </w:pPr>
    </w:p>
    <w:p>
      <w:pPr>
        <w:jc w:val="both"/>
        <w:ind w:left="1160" w:hanging="582"/>
        <w:spacing w:after="0" w:line="224" w:lineRule="auto"/>
        <w:tabs>
          <w:tab w:leader="none" w:pos="114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 notice of exercise provided by each Optionholder (or a duly appointed attorney) under which each such Optionholder has elected and authorised their employing company to deduct sufficient amounts to settle the Option Exercise Price and Option Tax Liability arising on exercise of their Options;</w:t>
      </w:r>
    </w:p>
    <w:p>
      <w:pPr>
        <w:spacing w:after="0" w:line="48" w:lineRule="exact"/>
        <w:rPr>
          <w:rFonts w:ascii="Arial" w:cs="Arial" w:eastAsia="Arial" w:hAnsi="Arial"/>
          <w:sz w:val="16"/>
          <w:szCs w:val="16"/>
          <w:color w:val="auto"/>
        </w:rPr>
      </w:pPr>
    </w:p>
    <w:p>
      <w:pPr>
        <w:jc w:val="both"/>
        <w:ind w:left="1160" w:right="20" w:hanging="582"/>
        <w:spacing w:after="0" w:line="224" w:lineRule="auto"/>
        <w:tabs>
          <w:tab w:leader="none" w:pos="114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where applicable, a duly executed joint election pursuant to section 431 of ITEPA for full disapplication of Chapter 2 ITEPA in relation to the exercise of the Options made by each Optionholder's employing entity that is a member of the Group and each Optionholder (or a duly appointed attorney);</w:t>
      </w:r>
    </w:p>
    <w:p>
      <w:pPr>
        <w:spacing w:after="0" w:line="48" w:lineRule="exact"/>
        <w:rPr>
          <w:rFonts w:ascii="Arial" w:cs="Arial" w:eastAsia="Arial" w:hAnsi="Arial"/>
          <w:sz w:val="16"/>
          <w:szCs w:val="16"/>
          <w:color w:val="auto"/>
        </w:rPr>
      </w:pPr>
    </w:p>
    <w:p>
      <w:pPr>
        <w:ind w:left="1160" w:right="20" w:hanging="582"/>
        <w:spacing w:after="0" w:line="235" w:lineRule="auto"/>
        <w:tabs>
          <w:tab w:leader="none" w:pos="114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 power of attorney to, inter alia, facilitate the exercise of the Options and the sale of the resulting shares provided by each Optionholder; and</w:t>
      </w:r>
    </w:p>
    <w:p>
      <w:pPr>
        <w:spacing w:after="0" w:line="47" w:lineRule="exact"/>
        <w:rPr>
          <w:rFonts w:ascii="Arial" w:cs="Arial" w:eastAsia="Arial" w:hAnsi="Arial"/>
          <w:sz w:val="16"/>
          <w:szCs w:val="16"/>
          <w:color w:val="auto"/>
        </w:rPr>
      </w:pPr>
    </w:p>
    <w:p>
      <w:pPr>
        <w:ind w:left="1160" w:right="20" w:hanging="582"/>
        <w:spacing w:after="0" w:line="235" w:lineRule="auto"/>
        <w:tabs>
          <w:tab w:leader="none" w:pos="114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board minutes of the Company approving the exercise of the Options and the issue and allotment of the Shares in respect of the exercise of the Options to the Optionholders; and</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relation to the RSU Awards:</w:t>
      </w:r>
    </w:p>
    <w:p>
      <w:pPr>
        <w:spacing w:after="0" w:line="200" w:lineRule="exact"/>
        <w:rPr>
          <w:sz w:val="20"/>
          <w:szCs w:val="20"/>
          <w:color w:val="auto"/>
        </w:rPr>
      </w:pPr>
    </w:p>
    <w:p>
      <w:pPr>
        <w:spacing w:after="0" w:line="348"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11</w:t>
      </w:r>
    </w:p>
    <w:p>
      <w:pPr>
        <w:sectPr>
          <w:pgSz w:w="11900" w:h="16840" w:orient="portrait"/>
          <w:cols w:equalWidth="0" w:num="1">
            <w:col w:w="10000"/>
          </w:cols>
          <w:pgMar w:left="1240" w:top="1440" w:right="660" w:bottom="1440" w:gutter="0" w:footer="0" w:header="0"/>
        </w:sectPr>
      </w:pPr>
    </w:p>
    <w:bookmarkStart w:id="362" w:name="page363"/>
    <w:bookmarkEnd w:id="362"/>
    <w:p>
      <w:pPr>
        <w:spacing w:after="0" w:line="331" w:lineRule="exact"/>
        <w:rPr>
          <w:sz w:val="20"/>
          <w:szCs w:val="20"/>
          <w:color w:val="auto"/>
        </w:rPr>
      </w:pPr>
    </w:p>
    <w:p>
      <w:pPr>
        <w:jc w:val="both"/>
        <w:ind w:left="1160" w:right="20" w:hanging="582"/>
        <w:spacing w:after="0" w:line="224" w:lineRule="auto"/>
        <w:tabs>
          <w:tab w:leader="none" w:pos="11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where applicable, a duly executed joint election pursuant to section 431 of ITEPA for full disapplication of Chapter 2 ITEPA in relation to the Completion Shares to be issued to the RSU Holder, made by each RSU Holder's entity that is a member of the Group and the RSU Holder (or a duly appointed attorney);</w:t>
      </w:r>
    </w:p>
    <w:p>
      <w:pPr>
        <w:spacing w:after="0" w:line="48" w:lineRule="exact"/>
        <w:rPr>
          <w:rFonts w:ascii="Arial" w:cs="Arial" w:eastAsia="Arial" w:hAnsi="Arial"/>
          <w:sz w:val="16"/>
          <w:szCs w:val="16"/>
          <w:color w:val="auto"/>
        </w:rPr>
      </w:pPr>
    </w:p>
    <w:p>
      <w:pPr>
        <w:ind w:left="1160" w:right="20" w:hanging="582"/>
        <w:spacing w:after="0" w:line="235" w:lineRule="auto"/>
        <w:tabs>
          <w:tab w:leader="none" w:pos="11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 power of attorney given by each RSU Holder to, inter alia, facilitate the sale of the Completion Shares held by the RSU Holder; and</w:t>
      </w:r>
    </w:p>
    <w:p>
      <w:pPr>
        <w:spacing w:after="0" w:line="47" w:lineRule="exact"/>
        <w:rPr>
          <w:rFonts w:ascii="Arial" w:cs="Arial" w:eastAsia="Arial" w:hAnsi="Arial"/>
          <w:sz w:val="16"/>
          <w:szCs w:val="16"/>
          <w:color w:val="auto"/>
        </w:rPr>
      </w:pPr>
    </w:p>
    <w:p>
      <w:pPr>
        <w:ind w:left="1160" w:right="20" w:hanging="582"/>
        <w:spacing w:after="0" w:line="235" w:lineRule="auto"/>
        <w:tabs>
          <w:tab w:leader="none" w:pos="114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board minutes of the Company approving the issue and allotment of the Shares in respect of the RSU Awards to the RSU Holders,</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in a form to be agreed between each RSU Holder and the Purchaser acting reasonably.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 Exercise Monies" </w:t>
      </w:r>
      <w:r>
        <w:rPr>
          <w:rFonts w:ascii="Arial" w:cs="Arial" w:eastAsia="Arial" w:hAnsi="Arial"/>
          <w:sz w:val="16"/>
          <w:szCs w:val="16"/>
          <w:color w:val="auto"/>
        </w:rPr>
        <w:t>means the aggregate exercise price payable by an Optionholder on the exercise of his/her Option.</w:t>
      </w:r>
    </w:p>
    <w:p>
      <w:pPr>
        <w:spacing w:after="0" w:line="68"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b w:val="1"/>
          <w:bCs w:val="1"/>
          <w:color w:val="auto"/>
        </w:rPr>
        <w:t xml:space="preserve">"Option Tax Liability" </w:t>
      </w:r>
      <w:r>
        <w:rPr>
          <w:rFonts w:ascii="Arial" w:cs="Arial" w:eastAsia="Arial" w:hAnsi="Arial"/>
          <w:sz w:val="16"/>
          <w:szCs w:val="16"/>
          <w:color w:val="auto"/>
        </w:rPr>
        <w:t>means the amount of any income tax under PAYE and Class 1 employee National Insurance contributions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secondary Class 1 (employer's) National Insurance contributions), or any other income tax, social security liability or other similar imposts or levies which become payable by a Group Company in any jurisdiction other than the UK, on exercise of an Option or, on the vesting in case of an RSU Award, by an FME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"Ordinary Shares" </w:t>
      </w:r>
      <w:r>
        <w:rPr>
          <w:rFonts w:ascii="Arial" w:cs="Arial" w:eastAsia="Arial" w:hAnsi="Arial"/>
          <w:sz w:val="16"/>
          <w:szCs w:val="16"/>
          <w:color w:val="auto"/>
        </w:rPr>
        <w:t>means ordinary shares of £0.000001 each in the capital of the Company.</w:t>
      </w:r>
    </w:p>
    <w:p>
      <w:pPr>
        <w:spacing w:after="0" w:line="68"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"Outstanding Claim" </w:t>
      </w:r>
      <w:r>
        <w:rPr>
          <w:rFonts w:ascii="Arial" w:cs="Arial" w:eastAsia="Arial" w:hAnsi="Arial"/>
          <w:sz w:val="16"/>
          <w:szCs w:val="16"/>
          <w:color w:val="auto"/>
        </w:rPr>
        <w:t>means such portion of a claim under this Agreement which is against any of the Sellers who are due to receive Earn-out</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and that has been duly notified by the Purchaser to the relevant Sellers' Representatives or the Warrantors (as the case may be) in accordance with this Agreement, but which is not a Resolved Claim as at the Earn-out Consideration Completion Date.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"Paying Agent Agreements" </w:t>
      </w:r>
      <w:r>
        <w:rPr>
          <w:rFonts w:ascii="Arial" w:cs="Arial" w:eastAsia="Arial" w:hAnsi="Arial"/>
          <w:sz w:val="16"/>
          <w:szCs w:val="16"/>
          <w:color w:val="auto"/>
        </w:rPr>
        <w:t>means:</w:t>
      </w:r>
    </w:p>
    <w:p>
      <w:pPr>
        <w:spacing w:after="0" w:line="70" w:lineRule="exact"/>
        <w:rPr>
          <w:sz w:val="20"/>
          <w:szCs w:val="20"/>
          <w:color w:val="auto"/>
        </w:rPr>
      </w:pPr>
    </w:p>
    <w:p>
      <w:pPr>
        <w:jc w:val="both"/>
        <w:ind w:left="580" w:hanging="578"/>
        <w:spacing w:after="0" w:line="224" w:lineRule="auto"/>
        <w:tabs>
          <w:tab w:leader="none" w:pos="56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paying agent agreement for paying agency services to be entered into prior to Completion between (1) [***], (2) the FME Shareholders' Representative, (3) the Investor Sellers' Representative, (4) the Institutional Sellers' Representative, (5) the Purchaser and (6) the Company, together with the paying agent fee letter relating to such agreement; and</w:t>
      </w:r>
    </w:p>
    <w:p>
      <w:pPr>
        <w:spacing w:after="0" w:line="48" w:lineRule="exact"/>
        <w:rPr>
          <w:rFonts w:ascii="Arial" w:cs="Arial" w:eastAsia="Arial" w:hAnsi="Arial"/>
          <w:sz w:val="16"/>
          <w:szCs w:val="16"/>
          <w:color w:val="auto"/>
        </w:rPr>
      </w:pPr>
    </w:p>
    <w:p>
      <w:pPr>
        <w:jc w:val="both"/>
        <w:ind w:left="580" w:right="40" w:hanging="578"/>
        <w:spacing w:after="0" w:line="265" w:lineRule="auto"/>
        <w:tabs>
          <w:tab w:leader="none" w:pos="568" w:val="left"/>
        </w:tabs>
        <w:numPr>
          <w:ilvl w:val="0"/>
          <w:numId w:val="264"/>
        </w:numPr>
        <w:rPr>
          <w:rFonts w:ascii="Arial" w:cs="Arial" w:eastAsia="Arial" w:hAnsi="Arial"/>
          <w:sz w:val="14"/>
          <w:szCs w:val="14"/>
          <w:color w:val="auto"/>
        </w:rPr>
      </w:pPr>
      <w:r>
        <w:rPr>
          <w:rFonts w:ascii="Arial" w:cs="Arial" w:eastAsia="Arial" w:hAnsi="Arial"/>
          <w:sz w:val="14"/>
          <w:szCs w:val="14"/>
          <w:color w:val="auto"/>
        </w:rPr>
        <w:t>the escrow agreement for escrow services in respect of the Investors Holdback Amount and FME Holdback Amount to be entered into prior to Completion between (1) [***], (2) the Company, (3) the Purchaser, (4) the FME Shareholders' Representative, (5) the Investor Sellers' Representative and (6) the Institutional Sellers' Representative, together with the escrow fee letter relating to such agreement,</w:t>
      </w:r>
    </w:p>
    <w:p>
      <w:pPr>
        <w:spacing w:after="0" w:line="3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each case, in a form reasonably acceptable to the Institutional Sellers, the FME Shareholders Representative, the Investor Sellers' Representative and the Purchaser (each a "</w:t>
      </w:r>
      <w:r>
        <w:rPr>
          <w:rFonts w:ascii="Arial" w:cs="Arial" w:eastAsia="Arial" w:hAnsi="Arial"/>
          <w:sz w:val="16"/>
          <w:szCs w:val="16"/>
          <w:b w:val="1"/>
          <w:bCs w:val="1"/>
          <w:color w:val="auto"/>
        </w:rPr>
        <w:t>Paying Agent Agreement</w:t>
      </w:r>
      <w:r>
        <w:rPr>
          <w:rFonts w:ascii="Arial" w:cs="Arial" w:eastAsia="Arial" w:hAnsi="Arial"/>
          <w:sz w:val="16"/>
          <w:szCs w:val="16"/>
          <w:color w:val="auto"/>
        </w:rPr>
        <w:t xml:space="preserve"> ").</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"Paying Agent Fee" </w:t>
      </w:r>
      <w:r>
        <w:rPr>
          <w:rFonts w:ascii="Arial" w:cs="Arial" w:eastAsia="Arial" w:hAnsi="Arial"/>
          <w:sz w:val="16"/>
          <w:szCs w:val="16"/>
          <w:color w:val="auto"/>
        </w:rPr>
        <w:t>means [***]% of the aggregate amount payable to [***] in respect of the matters the subject of this Agreement.</w:t>
      </w:r>
    </w:p>
    <w:p>
      <w:pPr>
        <w:spacing w:after="0" w:line="68"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"Payment Amount" </w:t>
      </w:r>
      <w:r>
        <w:rPr>
          <w:rFonts w:ascii="Arial" w:cs="Arial" w:eastAsia="Arial" w:hAnsi="Arial"/>
          <w:sz w:val="16"/>
          <w:szCs w:val="16"/>
          <w:color w:val="auto"/>
        </w:rPr>
        <w:t>means any amount of the Earn-Out Consideration due from the Purchaser to the relevant Sellers under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"Pension Scheme(s)" </w:t>
      </w:r>
      <w:r>
        <w:rPr>
          <w:rFonts w:ascii="Arial" w:cs="Arial" w:eastAsia="Arial" w:hAnsi="Arial"/>
          <w:sz w:val="16"/>
          <w:szCs w:val="16"/>
          <w:color w:val="auto"/>
        </w:rPr>
        <w:t>means the group personal pension scheme of the Company operated by [***].</w:t>
      </w:r>
    </w:p>
    <w:p>
      <w:pPr>
        <w:spacing w:after="0" w:line="68"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b w:val="1"/>
          <w:bCs w:val="1"/>
          <w:color w:val="auto"/>
        </w:rPr>
        <w:t xml:space="preserve">"Post-Completion Management Agreement" </w:t>
      </w:r>
      <w:r>
        <w:rPr>
          <w:rFonts w:ascii="Arial" w:cs="Arial" w:eastAsia="Arial" w:hAnsi="Arial"/>
          <w:sz w:val="16"/>
          <w:szCs w:val="16"/>
          <w:color w:val="auto"/>
        </w:rPr>
        <w:t>means the management agreement to be entered into between the Purchaser, the Founder</w:t>
      </w:r>
      <w:r>
        <w:rPr>
          <w:rFonts w:ascii="Arial" w:cs="Arial" w:eastAsia="Arial" w:hAnsi="Arial"/>
          <w:sz w:val="16"/>
          <w:szCs w:val="16"/>
          <w:b w:val="1"/>
          <w:bCs w:val="1"/>
          <w:color w:val="auto"/>
        </w:rPr>
        <w:t xml:space="preserve"> </w:t>
      </w:r>
      <w:r>
        <w:rPr>
          <w:rFonts w:ascii="Arial" w:cs="Arial" w:eastAsia="Arial" w:hAnsi="Arial"/>
          <w:sz w:val="16"/>
          <w:szCs w:val="16"/>
          <w:color w:val="auto"/>
        </w:rPr>
        <w:t>Sellers and the Company regulating the governance rights of the Founder Sellers (as managers and employees (as applicable) of the Group) in respect of the Group, which shall be on terms to be agreed between the parties to it (each acting reasonably) prior to Completion, and which shall include (among other things) provisions whereby:</w:t>
      </w:r>
    </w:p>
    <w:p>
      <w:pPr>
        <w:spacing w:after="0" w:line="48" w:lineRule="exact"/>
        <w:rPr>
          <w:sz w:val="20"/>
          <w:szCs w:val="20"/>
          <w:color w:val="auto"/>
        </w:rPr>
      </w:pPr>
    </w:p>
    <w:p>
      <w:pPr>
        <w:ind w:left="580" w:hanging="578"/>
        <w:spacing w:after="0" w:line="235" w:lineRule="auto"/>
        <w:tabs>
          <w:tab w:leader="none" w:pos="56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prior written consent of the Founder Sellers will be required in order for the Company (or any other Group Company) to adopt or action any of the matters set out in paragraph 8(c) of Part 1 of Schedule 10 (</w:t>
      </w:r>
      <w:r>
        <w:rPr>
          <w:rFonts w:ascii="Arial" w:cs="Arial" w:eastAsia="Arial" w:hAnsi="Arial"/>
          <w:sz w:val="16"/>
          <w:szCs w:val="16"/>
          <w:i w:val="1"/>
          <w:iCs w:val="1"/>
          <w:color w:val="auto"/>
        </w:rPr>
        <w:t>Calculation of Earn-out Consideration</w:t>
      </w:r>
      <w:r>
        <w:rPr>
          <w:rFonts w:ascii="Arial" w:cs="Arial" w:eastAsia="Arial" w:hAnsi="Arial"/>
          <w:sz w:val="16"/>
          <w:szCs w:val="16"/>
          <w:color w:val="auto"/>
        </w:rPr>
        <w:t>); and</w:t>
      </w:r>
    </w:p>
    <w:p>
      <w:pPr>
        <w:spacing w:after="0" w:line="47"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prior written consent of the Purchaser will be required in relation to the Company (or any other Group Company) effecting any of the matters set out in paragraph 8(d) of Part 1 of Schedule 10 (</w:t>
      </w:r>
      <w:r>
        <w:rPr>
          <w:rFonts w:ascii="Arial" w:cs="Arial" w:eastAsia="Arial" w:hAnsi="Arial"/>
          <w:sz w:val="16"/>
          <w:szCs w:val="16"/>
          <w:i w:val="1"/>
          <w:iCs w:val="1"/>
          <w:color w:val="auto"/>
        </w:rPr>
        <w:t>Calculation of Earn-out Consideration</w:t>
      </w:r>
      <w:r>
        <w:rPr>
          <w:rFonts w:ascii="Arial" w:cs="Arial" w:eastAsia="Arial" w:hAnsi="Arial"/>
          <w:sz w:val="16"/>
          <w:szCs w:val="16"/>
          <w:color w:val="auto"/>
        </w:rPr>
        <w:t>); and</w:t>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12</w:t>
      </w:r>
    </w:p>
    <w:p>
      <w:pPr>
        <w:sectPr>
          <w:pgSz w:w="11900" w:h="16840" w:orient="portrait"/>
          <w:cols w:equalWidth="0" w:num="1">
            <w:col w:w="10000"/>
          </w:cols>
          <w:pgMar w:left="1240" w:top="1440" w:right="660" w:bottom="1440" w:gutter="0" w:footer="0" w:header="0"/>
        </w:sectPr>
      </w:pPr>
    </w:p>
    <w:bookmarkStart w:id="363" w:name="page364"/>
    <w:bookmarkEnd w:id="363"/>
    <w:p>
      <w:pPr>
        <w:spacing w:after="0" w:line="331" w:lineRule="exact"/>
        <w:rPr>
          <w:sz w:val="20"/>
          <w:szCs w:val="20"/>
          <w:color w:val="auto"/>
        </w:rPr>
      </w:pPr>
    </w:p>
    <w:p>
      <w:pPr>
        <w:jc w:val="both"/>
        <w:ind w:left="580" w:hanging="578"/>
        <w:spacing w:after="0" w:line="224" w:lineRule="auto"/>
        <w:tabs>
          <w:tab w:leader="none" w:pos="56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Purchaser will consult with the Founder Sellers in respect of any change to be made to the allocation of any Purchaser's EIP Recipient pursuant to the Purchaser's Employee Incentive Plan, notwithstanding that each party acknowledges as at the date of this Agreement that the draft allocations are intended by each party to be in substantially agreed form.</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"Properties" </w:t>
      </w:r>
      <w:r>
        <w:rPr>
          <w:rFonts w:ascii="Arial" w:cs="Arial" w:eastAsia="Arial" w:hAnsi="Arial"/>
          <w:sz w:val="16"/>
          <w:szCs w:val="16"/>
          <w:color w:val="auto"/>
        </w:rPr>
        <w:t>means the properties leased or licensed to the Group, particulars of which are set out in Schedule 3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Properties</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"Property" </w:t>
      </w:r>
      <w:r>
        <w:rPr>
          <w:rFonts w:ascii="Arial" w:cs="Arial" w:eastAsia="Arial" w:hAnsi="Arial"/>
          <w:sz w:val="16"/>
          <w:szCs w:val="16"/>
          <w:color w:val="auto"/>
        </w:rPr>
        <w:t>means any one of them.</w:t>
      </w:r>
    </w:p>
    <w:p>
      <w:pPr>
        <w:spacing w:after="0" w:line="34"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"Prospective Client" </w:t>
      </w:r>
      <w:r>
        <w:rPr>
          <w:rFonts w:ascii="Arial" w:cs="Arial" w:eastAsia="Arial" w:hAnsi="Arial"/>
          <w:sz w:val="16"/>
          <w:szCs w:val="16"/>
          <w:color w:val="auto"/>
        </w:rPr>
        <w:t>means any person who or which was at any time during the [***] month period prior to Completion negotiating with or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subject to any presentation or pitch by any Group Company for the provision of any Restricted Business.</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"Purchaser's EIP Amount" </w:t>
      </w:r>
      <w:r>
        <w:rPr>
          <w:rFonts w:ascii="Arial" w:cs="Arial" w:eastAsia="Arial" w:hAnsi="Arial"/>
          <w:sz w:val="16"/>
          <w:szCs w:val="16"/>
          <w:color w:val="auto"/>
        </w:rPr>
        <w:t>means up to £[***] in aggregate payable to the Purchaser's EIP Recipients by the Purchaser following Completion</w:t>
      </w:r>
      <w:r>
        <w:rPr>
          <w:rFonts w:ascii="Arial" w:cs="Arial" w:eastAsia="Arial" w:hAnsi="Arial"/>
          <w:sz w:val="16"/>
          <w:szCs w:val="16"/>
          <w:b w:val="1"/>
          <w:bCs w:val="1"/>
          <w:color w:val="auto"/>
        </w:rPr>
        <w:t xml:space="preserve"> </w:t>
      </w:r>
      <w:r>
        <w:rPr>
          <w:rFonts w:ascii="Arial" w:cs="Arial" w:eastAsia="Arial" w:hAnsi="Arial"/>
          <w:sz w:val="16"/>
          <w:szCs w:val="16"/>
          <w:color w:val="auto"/>
        </w:rPr>
        <w:t>in respect of, and in accordance with the terms of, the Purchaser's Employee Incentive Plan.</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"Purchaser's EIP Recipients" </w:t>
      </w:r>
      <w:r>
        <w:rPr>
          <w:rFonts w:ascii="Arial" w:cs="Arial" w:eastAsia="Arial" w:hAnsi="Arial"/>
          <w:sz w:val="16"/>
          <w:szCs w:val="16"/>
          <w:color w:val="auto"/>
        </w:rPr>
        <w:t>means those individuals agreed between the Purchaser and the Founder Sellers as at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as set out in the Purchaser's Employee Incentive Plan (or an agreed form document referred to therein).</w:t>
      </w:r>
    </w:p>
    <w:p>
      <w:pPr>
        <w:spacing w:after="0" w:line="4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"Purchaser's Employee Incentive Plan" </w:t>
      </w:r>
      <w:r>
        <w:rPr>
          <w:rFonts w:ascii="Arial" w:cs="Arial" w:eastAsia="Arial" w:hAnsi="Arial"/>
          <w:sz w:val="16"/>
          <w:szCs w:val="16"/>
          <w:color w:val="auto"/>
        </w:rPr>
        <w:t>means the employee incentive plan, in the agreed form [***] in respect of the Purchaser's EIP</w:t>
      </w:r>
      <w:r>
        <w:rPr>
          <w:rFonts w:ascii="Arial" w:cs="Arial" w:eastAsia="Arial" w:hAnsi="Arial"/>
          <w:sz w:val="16"/>
          <w:szCs w:val="16"/>
          <w:b w:val="1"/>
          <w:bCs w:val="1"/>
          <w:color w:val="auto"/>
        </w:rPr>
        <w:t xml:space="preserve"> </w:t>
      </w:r>
      <w:r>
        <w:rPr>
          <w:rFonts w:ascii="Arial" w:cs="Arial" w:eastAsia="Arial" w:hAnsi="Arial"/>
          <w:sz w:val="16"/>
          <w:szCs w:val="16"/>
          <w:color w:val="auto"/>
        </w:rPr>
        <w:t>Amount, to be established for the benefit of the Purchaser's EIP Recipients pursuant to which such persons shall, subject to the terms therein, be eligible to participate.</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"Purchaser's Group" </w:t>
      </w:r>
      <w:r>
        <w:rPr>
          <w:rFonts w:ascii="Arial" w:cs="Arial" w:eastAsia="Arial" w:hAnsi="Arial"/>
          <w:sz w:val="16"/>
          <w:szCs w:val="16"/>
          <w:color w:val="auto"/>
        </w:rPr>
        <w:t>means the Purchaser and any holding company and any subsidiary and any subsidiary undertaking of the Purchaser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companies from time to time and </w:t>
      </w:r>
      <w:r>
        <w:rPr>
          <w:rFonts w:ascii="Arial" w:cs="Arial" w:eastAsia="Arial" w:hAnsi="Arial"/>
          <w:sz w:val="16"/>
          <w:szCs w:val="16"/>
          <w:b w:val="1"/>
          <w:bCs w:val="1"/>
          <w:color w:val="auto"/>
        </w:rPr>
        <w:t>"Purchaser Group Company"</w:t>
      </w:r>
      <w:r>
        <w:rPr>
          <w:rFonts w:ascii="Arial" w:cs="Arial" w:eastAsia="Arial" w:hAnsi="Arial"/>
          <w:sz w:val="16"/>
          <w:szCs w:val="16"/>
          <w:color w:val="auto"/>
        </w:rPr>
        <w:t xml:space="preserve"> means any one of them.</w:t>
      </w:r>
    </w:p>
    <w:p>
      <w:pPr>
        <w:spacing w:after="0" w:line="34"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"Purchaser's Bank Account" </w:t>
      </w:r>
      <w:r>
        <w:rPr>
          <w:rFonts w:ascii="Arial" w:cs="Arial" w:eastAsia="Arial" w:hAnsi="Arial"/>
          <w:sz w:val="16"/>
          <w:szCs w:val="16"/>
          <w:color w:val="auto"/>
        </w:rPr>
        <w:t>means the Purchaser's bank account at [***] (and/or such other bank account(s) as the Sellers'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Purchaser may agree in writing).</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"Regulation S" </w:t>
      </w:r>
      <w:r>
        <w:rPr>
          <w:rFonts w:ascii="Arial" w:cs="Arial" w:eastAsia="Arial" w:hAnsi="Arial"/>
          <w:sz w:val="16"/>
          <w:szCs w:val="16"/>
          <w:color w:val="auto"/>
        </w:rPr>
        <w:t>in the context of the Consideration Shares and Consideration ADSs, has the common meaning given in respect of US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law with reference to the Securities and Exchange Commission.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"Relevant Authority" </w:t>
      </w:r>
      <w:r>
        <w:rPr>
          <w:rFonts w:ascii="Arial" w:cs="Arial" w:eastAsia="Arial" w:hAnsi="Arial"/>
          <w:sz w:val="16"/>
          <w:szCs w:val="16"/>
          <w:color w:val="auto"/>
        </w:rPr>
        <w:t>means any of the UK Secretary of State for Business, Energy and Industrial Strategy (or a representative), the UK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Security Unit, the German Bundeskartellamt, the German Federal Ministry for Economic Affairs and Climate Action, the French Minister for Economy, the General Authority for Competition in Saudi Arabia or the Taiwan Fair Trade Commission.</w:t>
      </w:r>
    </w:p>
    <w:p>
      <w:pPr>
        <w:spacing w:after="0" w:line="47" w:lineRule="exact"/>
        <w:rPr>
          <w:sz w:val="20"/>
          <w:szCs w:val="20"/>
          <w:color w:val="auto"/>
        </w:rPr>
      </w:pPr>
    </w:p>
    <w:p>
      <w:pPr>
        <w:ind w:right="3700"/>
        <w:spacing w:after="0" w:line="329" w:lineRule="auto"/>
        <w:rPr>
          <w:sz w:val="20"/>
          <w:szCs w:val="20"/>
          <w:color w:val="auto"/>
        </w:rPr>
      </w:pPr>
      <w:r>
        <w:rPr>
          <w:rFonts w:ascii="Arial" w:cs="Arial" w:eastAsia="Arial" w:hAnsi="Arial"/>
          <w:sz w:val="16"/>
          <w:szCs w:val="16"/>
          <w:b w:val="1"/>
          <w:bCs w:val="1"/>
          <w:color w:val="auto"/>
        </w:rPr>
        <w:t xml:space="preserve">"Relevant Person" </w:t>
      </w:r>
      <w:r>
        <w:rPr>
          <w:rFonts w:ascii="Arial" w:cs="Arial" w:eastAsia="Arial" w:hAnsi="Arial"/>
          <w:sz w:val="16"/>
          <w:szCs w:val="16"/>
          <w:color w:val="auto"/>
        </w:rPr>
        <w:t>has the meaning given to it in sub-clause 13.1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Purchaser's remedies</w:t>
      </w:r>
      <w:r>
        <w:rPr>
          <w:rFonts w:ascii="Arial" w:cs="Arial" w:eastAsia="Arial" w:hAnsi="Arial"/>
          <w:sz w:val="16"/>
          <w:szCs w:val="16"/>
          <w:color w:val="auto"/>
        </w:rPr>
        <w:t>).</w:t>
      </w:r>
      <w:r>
        <w:rPr>
          <w:rFonts w:ascii="Arial" w:cs="Arial" w:eastAsia="Arial" w:hAnsi="Arial"/>
          <w:sz w:val="16"/>
          <w:szCs w:val="16"/>
          <w:b w:val="1"/>
          <w:bCs w:val="1"/>
          <w:color w:val="auto"/>
        </w:rPr>
        <w:t xml:space="preserve"> "Reserved Sum" </w:t>
      </w:r>
      <w:r>
        <w:rPr>
          <w:rFonts w:ascii="Arial" w:cs="Arial" w:eastAsia="Arial" w:hAnsi="Arial"/>
          <w:sz w:val="16"/>
          <w:szCs w:val="16"/>
          <w:color w:val="auto"/>
        </w:rPr>
        <w:t>has the meaning given to it in sub-clause 19.12(a)(ii)(A)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Set-off</w:t>
      </w:r>
      <w:r>
        <w:rPr>
          <w:rFonts w:ascii="Arial" w:cs="Arial" w:eastAsia="Arial" w:hAnsi="Arial"/>
          <w:sz w:val="16"/>
          <w:szCs w:val="16"/>
          <w:color w:val="auto"/>
        </w:rPr>
        <w:t>).</w:t>
      </w:r>
      <w:r>
        <w:rPr>
          <w:rFonts w:ascii="Arial" w:cs="Arial" w:eastAsia="Arial" w:hAnsi="Arial"/>
          <w:sz w:val="16"/>
          <w:szCs w:val="16"/>
          <w:b w:val="1"/>
          <w:bCs w:val="1"/>
          <w:color w:val="auto"/>
        </w:rPr>
        <w:t xml:space="preserve"> "Resolved Claim" </w:t>
      </w:r>
      <w:r>
        <w:rPr>
          <w:rFonts w:ascii="Arial" w:cs="Arial" w:eastAsia="Arial" w:hAnsi="Arial"/>
          <w:sz w:val="16"/>
          <w:szCs w:val="16"/>
          <w:color w:val="auto"/>
        </w:rPr>
        <w:t>means any claim under this Agreement that has been:</w:t>
      </w:r>
    </w:p>
    <w:p>
      <w:pPr>
        <w:spacing w:after="0" w:line="2" w:lineRule="exact"/>
        <w:rPr>
          <w:sz w:val="20"/>
          <w:szCs w:val="20"/>
          <w:color w:val="auto"/>
        </w:rPr>
      </w:pPr>
    </w:p>
    <w:p>
      <w:pPr>
        <w:ind w:left="580" w:hanging="578"/>
        <w:spacing w:after="0" w:line="235" w:lineRule="auto"/>
        <w:tabs>
          <w:tab w:leader="none" w:pos="56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agreed in writing between the Purchaser and the Sellers' Representatives or the Warrantors (as the case may be) as to both liability and quantum; or</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finally determined by the English courts pursuant to clause 28 (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xml:space="preserve"> ).</w:t>
      </w:r>
    </w:p>
    <w:p>
      <w:pPr>
        <w:spacing w:after="0" w:line="66" w:lineRule="exact"/>
        <w:rPr>
          <w:sz w:val="20"/>
          <w:szCs w:val="20"/>
          <w:color w:val="auto"/>
        </w:rPr>
      </w:pPr>
    </w:p>
    <w:p>
      <w:pPr>
        <w:jc w:val="both"/>
        <w:spacing w:after="0" w:line="216" w:lineRule="auto"/>
        <w:rPr>
          <w:sz w:val="20"/>
          <w:szCs w:val="20"/>
          <w:color w:val="auto"/>
        </w:rPr>
      </w:pPr>
      <w:r>
        <w:rPr>
          <w:rFonts w:ascii="Arial" w:cs="Arial" w:eastAsia="Arial" w:hAnsi="Arial"/>
          <w:sz w:val="16"/>
          <w:szCs w:val="16"/>
          <w:b w:val="1"/>
          <w:bCs w:val="1"/>
          <w:color w:val="auto"/>
        </w:rPr>
        <w:t xml:space="preserve">"Restricted Business" </w:t>
      </w:r>
      <w:r>
        <w:rPr>
          <w:rFonts w:ascii="Arial" w:cs="Arial" w:eastAsia="Arial" w:hAnsi="Arial"/>
          <w:sz w:val="16"/>
          <w:szCs w:val="16"/>
          <w:color w:val="auto"/>
        </w:rPr>
        <w:t>means the business of producing high quality artificial intelligence, mobile applications, websites, e-commerce, e-learning, AR/VR and software solutions, as well as 3D or graphic design and social media content including, without limitation, those activities relating to life sciences and those ancillary or incidental to or in connection with such business as carried on by the Group during the [***]-month period prior to Completion in any jurisdiction where the Group was materially active during such time or had concrete and active plans to enter as at Completion.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"Restricted Period" </w:t>
      </w:r>
      <w:r>
        <w:rPr>
          <w:rFonts w:ascii="Arial" w:cs="Arial" w:eastAsia="Arial" w:hAnsi="Arial"/>
          <w:sz w:val="16"/>
          <w:szCs w:val="16"/>
          <w:color w:val="auto"/>
        </w:rPr>
        <w:t>means the period commencing on Completion and ending [***] years from Completion.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"Restricted Person" </w:t>
      </w:r>
      <w:r>
        <w:rPr>
          <w:rFonts w:ascii="Arial" w:cs="Arial" w:eastAsia="Arial" w:hAnsi="Arial"/>
          <w:sz w:val="16"/>
          <w:szCs w:val="16"/>
          <w:color w:val="auto"/>
        </w:rPr>
        <w:t>means each of:</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"RSU Award" </w:t>
      </w:r>
      <w:r>
        <w:rPr>
          <w:rFonts w:ascii="Arial" w:cs="Arial" w:eastAsia="Arial" w:hAnsi="Arial"/>
          <w:sz w:val="16"/>
          <w:szCs w:val="16"/>
          <w:color w:val="auto"/>
        </w:rPr>
        <w:t>means:</w:t>
      </w:r>
    </w:p>
    <w:p>
      <w:pPr>
        <w:spacing w:after="0" w:line="200" w:lineRule="exact"/>
        <w:rPr>
          <w:sz w:val="20"/>
          <w:szCs w:val="20"/>
          <w:color w:val="auto"/>
        </w:rPr>
      </w:pPr>
    </w:p>
    <w:p>
      <w:pPr>
        <w:spacing w:after="0" w:line="35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13</w:t>
      </w:r>
    </w:p>
    <w:p>
      <w:pPr>
        <w:sectPr>
          <w:pgSz w:w="11900" w:h="16840" w:orient="portrait"/>
          <w:cols w:equalWidth="0" w:num="1">
            <w:col w:w="10000"/>
          </w:cols>
          <w:pgMar w:left="1240" w:top="1440" w:right="660" w:bottom="1440" w:gutter="0" w:footer="0" w:header="0"/>
        </w:sectPr>
      </w:pPr>
    </w:p>
    <w:bookmarkStart w:id="364" w:name="page365"/>
    <w:bookmarkEnd w:id="364"/>
    <w:p>
      <w:pPr>
        <w:spacing w:after="0" w:line="331" w:lineRule="exact"/>
        <w:rPr>
          <w:sz w:val="20"/>
          <w:szCs w:val="20"/>
          <w:color w:val="auto"/>
        </w:rPr>
      </w:pPr>
    </w:p>
    <w:p>
      <w:pPr>
        <w:ind w:left="580" w:hanging="578"/>
        <w:spacing w:after="0" w:line="235" w:lineRule="auto"/>
        <w:tabs>
          <w:tab w:leader="none" w:pos="56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French Award that will vest on or immediately before Completion and will result in the issue and allotment of FME Completion Shares referred to in paragraphs (e) or (g) of the definition of FME Completion Shares;</w:t>
      </w:r>
    </w:p>
    <w:p>
      <w:pPr>
        <w:spacing w:after="0" w:line="47" w:lineRule="exact"/>
        <w:rPr>
          <w:rFonts w:ascii="Arial" w:cs="Arial" w:eastAsia="Arial" w:hAnsi="Arial"/>
          <w:sz w:val="16"/>
          <w:szCs w:val="16"/>
          <w:color w:val="auto"/>
        </w:rPr>
      </w:pPr>
    </w:p>
    <w:p>
      <w:pPr>
        <w:jc w:val="both"/>
        <w:ind w:left="580" w:hanging="578"/>
        <w:spacing w:after="0" w:line="224" w:lineRule="auto"/>
        <w:tabs>
          <w:tab w:leader="none" w:pos="56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New Award in the form of a conditional right to acquire Shares that will vest automatically (without needing to be exercised) on or immediately before Completion and will result in the issue and allotment of FME Completion Shares referred to in paragraph (h) of the definition of FME Completion Shares.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"RSU Holder" </w:t>
      </w:r>
      <w:r>
        <w:rPr>
          <w:rFonts w:ascii="Arial" w:cs="Arial" w:eastAsia="Arial" w:hAnsi="Arial"/>
          <w:sz w:val="16"/>
          <w:szCs w:val="16"/>
          <w:color w:val="auto"/>
        </w:rPr>
        <w:t>means the FME Shareholders who hold an RSU Award that is to vest on or immediately before Completion.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"Schemes" </w:t>
      </w:r>
      <w:r>
        <w:rPr>
          <w:rFonts w:ascii="Arial" w:cs="Arial" w:eastAsia="Arial" w:hAnsi="Arial"/>
          <w:sz w:val="16"/>
          <w:szCs w:val="16"/>
          <w:color w:val="auto"/>
        </w:rPr>
        <w:t>has the meaning given to it in sub-clause 35.1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Particulars of employees and workers</w:t>
      </w:r>
      <w:r>
        <w:rPr>
          <w:rFonts w:ascii="Arial" w:cs="Arial" w:eastAsia="Arial" w:hAnsi="Arial"/>
          <w:sz w:val="16"/>
          <w:szCs w:val="16"/>
          <w:b w:val="1"/>
          <w:bCs w:val="1"/>
          <w:color w:val="auto"/>
        </w:rPr>
        <w:t xml:space="preserve"> </w:t>
      </w:r>
      <w:r>
        <w:rPr>
          <w:rFonts w:ascii="Arial" w:cs="Arial" w:eastAsia="Arial" w:hAnsi="Arial"/>
          <w:sz w:val="16"/>
          <w:szCs w:val="16"/>
          <w:color w:val="auto"/>
        </w:rPr>
        <w:t>) of Schedule 4.</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"Securities Act" </w:t>
      </w:r>
      <w:r>
        <w:rPr>
          <w:rFonts w:ascii="Arial" w:cs="Arial" w:eastAsia="Arial" w:hAnsi="Arial"/>
          <w:sz w:val="16"/>
          <w:szCs w:val="16"/>
          <w:color w:val="auto"/>
        </w:rPr>
        <w:t>means, in the context of the Consideration Shares and Consideration ADSs, the U.S. Securities Act of 1933, as amended.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"Security Incident" </w:t>
      </w:r>
      <w:r>
        <w:rPr>
          <w:rFonts w:ascii="Arial" w:cs="Arial" w:eastAsia="Arial" w:hAnsi="Arial"/>
          <w:sz w:val="16"/>
          <w:szCs w:val="16"/>
          <w:color w:val="auto"/>
        </w:rPr>
        <w:t>means any event having an actual adverse effect on the security of the IT Systems.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"Seller Associate" </w:t>
      </w:r>
      <w:r>
        <w:rPr>
          <w:rFonts w:ascii="Arial" w:cs="Arial" w:eastAsia="Arial" w:hAnsi="Arial"/>
          <w:sz w:val="16"/>
          <w:szCs w:val="16"/>
          <w:color w:val="auto"/>
        </w:rPr>
        <w:t>means any person with whom a Seller and/or (prior to Completion) any Group Company is either associated or connected</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Tax purpose.</w:t>
      </w:r>
    </w:p>
    <w:p>
      <w:pPr>
        <w:spacing w:after="0" w:line="4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"Sellers' Bank Account" </w:t>
      </w:r>
      <w:r>
        <w:rPr>
          <w:rFonts w:ascii="Arial" w:cs="Arial" w:eastAsia="Arial" w:hAnsi="Arial"/>
          <w:sz w:val="16"/>
          <w:szCs w:val="16"/>
          <w:color w:val="auto"/>
        </w:rPr>
        <w:t>means the bank account maintained by [***] as shall be notified to the Purchaser by [***] (and/or such other bank</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as the Sellers and the Purchaser may agree in writing).</w:t>
      </w:r>
    </w:p>
    <w:p>
      <w:pPr>
        <w:spacing w:after="0" w:line="4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"Sellers' Solicitors" </w:t>
      </w:r>
      <w:r>
        <w:rPr>
          <w:rFonts w:ascii="Arial" w:cs="Arial" w:eastAsia="Arial" w:hAnsi="Arial"/>
          <w:sz w:val="16"/>
          <w:szCs w:val="16"/>
          <w:color w:val="auto"/>
        </w:rPr>
        <w:t>means CMS Cameron McKenna Nabarro Olswang LLP of Cannon Place, 78 Cannon Street, London, EC4N 6AF, United</w:t>
      </w:r>
      <w:r>
        <w:rPr>
          <w:rFonts w:ascii="Arial" w:cs="Arial" w:eastAsia="Arial" w:hAnsi="Arial"/>
          <w:sz w:val="16"/>
          <w:szCs w:val="16"/>
          <w:b w:val="1"/>
          <w:bCs w:val="1"/>
          <w:color w:val="auto"/>
        </w:rPr>
        <w:t xml:space="preserve"> </w:t>
      </w:r>
      <w:r>
        <w:rPr>
          <w:rFonts w:ascii="Arial" w:cs="Arial" w:eastAsia="Arial" w:hAnsi="Arial"/>
          <w:sz w:val="16"/>
          <w:szCs w:val="16"/>
          <w:color w:val="auto"/>
        </w:rPr>
        <w:t>Kingdom.</w:t>
      </w:r>
    </w:p>
    <w:p>
      <w:pPr>
        <w:spacing w:after="0" w:line="4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"Sellers' Representatives" </w:t>
      </w:r>
      <w:r>
        <w:rPr>
          <w:rFonts w:ascii="Arial" w:cs="Arial" w:eastAsia="Arial" w:hAnsi="Arial"/>
          <w:sz w:val="16"/>
          <w:szCs w:val="16"/>
          <w:color w:val="auto"/>
        </w:rPr>
        <w:t>means, collectively, the FME Shareholders' Representative, the Investor Sellers' Representative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Institutional Sellers' Representative.</w:t>
      </w:r>
    </w:p>
    <w:p>
      <w:pPr>
        <w:spacing w:after="0" w:line="46" w:lineRule="exact"/>
        <w:rPr>
          <w:sz w:val="20"/>
          <w:szCs w:val="20"/>
          <w:color w:val="auto"/>
        </w:rPr>
      </w:pPr>
    </w:p>
    <w:p>
      <w:pPr>
        <w:jc w:val="both"/>
        <w:spacing w:after="0" w:line="220" w:lineRule="auto"/>
        <w:rPr>
          <w:sz w:val="20"/>
          <w:szCs w:val="20"/>
          <w:color w:val="auto"/>
        </w:rPr>
      </w:pPr>
      <w:r>
        <w:rPr>
          <w:rFonts w:ascii="Arial" w:cs="Arial" w:eastAsia="Arial" w:hAnsi="Arial"/>
          <w:sz w:val="16"/>
          <w:szCs w:val="16"/>
          <w:b w:val="1"/>
          <w:bCs w:val="1"/>
          <w:color w:val="auto"/>
        </w:rPr>
        <w:t xml:space="preserve">"Sellers' Upfront Consideration" </w:t>
      </w:r>
      <w:r>
        <w:rPr>
          <w:rFonts w:ascii="Arial" w:cs="Arial" w:eastAsia="Arial" w:hAnsi="Arial"/>
          <w:sz w:val="16"/>
          <w:szCs w:val="16"/>
          <w:color w:val="auto"/>
        </w:rPr>
        <w:t>means the Upfront Base Consideration, as adjusted in accordance with the Completion Allocation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after inserting the Actual Cash, Actual Debt and the Actual Working Capital amounts set out in the Completion Accounts and reflecting (if applicable) any increase or reduction to the Upfront Base Consideration as a result of the Actual Adjustment Amount, in respect of all Completion Fully-Diluted Shares held or to be held by the Sellers.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"Senior Employee" </w:t>
      </w:r>
      <w:r>
        <w:rPr>
          <w:rFonts w:ascii="Arial" w:cs="Arial" w:eastAsia="Arial" w:hAnsi="Arial"/>
          <w:sz w:val="16"/>
          <w:szCs w:val="16"/>
          <w:color w:val="auto"/>
        </w:rPr>
        <w:t>means:</w:t>
      </w:r>
    </w:p>
    <w:p>
      <w:pPr>
        <w:spacing w:after="0" w:line="70" w:lineRule="exact"/>
        <w:rPr>
          <w:sz w:val="20"/>
          <w:szCs w:val="20"/>
          <w:color w:val="auto"/>
        </w:rPr>
      </w:pPr>
    </w:p>
    <w:p>
      <w:pPr>
        <w:ind w:left="560" w:hanging="558"/>
        <w:spacing w:after="0"/>
        <w:tabs>
          <w:tab w:leader="none" w:pos="5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of the Key Employees; and</w:t>
      </w:r>
    </w:p>
    <w:p>
      <w:pPr>
        <w:spacing w:after="0" w:line="68" w:lineRule="exact"/>
        <w:rPr>
          <w:rFonts w:ascii="Arial" w:cs="Arial" w:eastAsia="Arial" w:hAnsi="Arial"/>
          <w:sz w:val="16"/>
          <w:szCs w:val="16"/>
          <w:color w:val="auto"/>
        </w:rPr>
      </w:pPr>
    </w:p>
    <w:p>
      <w:pPr>
        <w:ind w:left="580" w:hanging="578"/>
        <w:spacing w:after="0" w:line="235" w:lineRule="auto"/>
        <w:tabs>
          <w:tab w:leader="none" w:pos="56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any other employee of or consultant to any Group Company whose fees and/or emoluments exceed £[***] (or the equivalent amount in local currency in respect of each of the Group Companies) per annum at the relevant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"Shareholder Documents" </w:t>
      </w:r>
      <w:r>
        <w:rPr>
          <w:rFonts w:ascii="Arial" w:cs="Arial" w:eastAsia="Arial" w:hAnsi="Arial"/>
          <w:sz w:val="16"/>
          <w:szCs w:val="16"/>
          <w:color w:val="auto"/>
        </w:rPr>
        <w:t>means:</w:t>
      </w:r>
    </w:p>
    <w:p>
      <w:pPr>
        <w:spacing w:after="0" w:line="70" w:lineRule="exact"/>
        <w:rPr>
          <w:sz w:val="20"/>
          <w:szCs w:val="20"/>
          <w:color w:val="auto"/>
        </w:rPr>
      </w:pPr>
    </w:p>
    <w:p>
      <w:pPr>
        <w:ind w:left="580" w:hanging="578"/>
        <w:spacing w:after="0" w:line="235" w:lineRule="auto"/>
        <w:tabs>
          <w:tab w:leader="none" w:pos="5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Share Purchase Agreement dated [***] between (1) the Purchaser (2) the Sellers and (3) the Company (all such terms as defined therein);</w:t>
      </w:r>
    </w:p>
    <w:p>
      <w:pPr>
        <w:spacing w:after="0" w:line="47" w:lineRule="exact"/>
        <w:rPr>
          <w:rFonts w:ascii="Arial" w:cs="Arial" w:eastAsia="Arial" w:hAnsi="Arial"/>
          <w:sz w:val="16"/>
          <w:szCs w:val="16"/>
          <w:color w:val="auto"/>
        </w:rPr>
      </w:pPr>
    </w:p>
    <w:p>
      <w:pPr>
        <w:ind w:left="580" w:hanging="578"/>
        <w:spacing w:after="0" w:line="235" w:lineRule="auto"/>
        <w:tabs>
          <w:tab w:leader="none" w:pos="5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Subscription Agreement dated [***] between (1) the Investors; (2) the Founders and (3) InstaDeep Limited (all such terms as defined therein);</w:t>
      </w:r>
    </w:p>
    <w:p>
      <w:pPr>
        <w:spacing w:after="0" w:line="47"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Amended and Restated Shareholders' Agreement dated [***] between (1) the New Investors; (2) the Founders; (3) the Existing Shareholders and (4) the Company (all such terms as defined therein); and</w:t>
      </w:r>
    </w:p>
    <w:p>
      <w:pPr>
        <w:spacing w:after="0" w:line="47" w:lineRule="exact"/>
        <w:rPr>
          <w:rFonts w:ascii="Arial" w:cs="Arial" w:eastAsia="Arial" w:hAnsi="Arial"/>
          <w:sz w:val="16"/>
          <w:szCs w:val="16"/>
          <w:color w:val="auto"/>
        </w:rPr>
      </w:pPr>
    </w:p>
    <w:p>
      <w:pPr>
        <w:ind w:left="560" w:hanging="558"/>
        <w:spacing w:after="0"/>
        <w:tabs>
          <w:tab w:leader="none" w:pos="5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2022 [***] SPA.</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"Share Purchase Options" </w:t>
      </w:r>
      <w:r>
        <w:rPr>
          <w:rFonts w:ascii="Arial" w:cs="Arial" w:eastAsia="Arial" w:hAnsi="Arial"/>
          <w:sz w:val="16"/>
          <w:szCs w:val="16"/>
          <w:color w:val="auto"/>
        </w:rPr>
        <w:t>means the following options granted by [***] to purchase Ordinary Shares (registered in [***] name as at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w:t>
      </w:r>
    </w:p>
    <w:p>
      <w:pPr>
        <w:spacing w:after="0" w:line="48" w:lineRule="exact"/>
        <w:rPr>
          <w:sz w:val="20"/>
          <w:szCs w:val="20"/>
          <w:color w:val="auto"/>
        </w:rPr>
      </w:pPr>
    </w:p>
    <w:p>
      <w:pPr>
        <w:ind w:left="560" w:hanging="558"/>
        <w:spacing w:after="0"/>
        <w:tabs>
          <w:tab w:leader="none" w:pos="5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 option granted on [***] to [***] to purchase from [***] [***] Ordinary Shares at a purchase price of £[***] per Share;</w:t>
      </w:r>
    </w:p>
    <w:p>
      <w:pPr>
        <w:spacing w:after="0" w:line="68" w:lineRule="exact"/>
        <w:rPr>
          <w:rFonts w:ascii="Arial" w:cs="Arial" w:eastAsia="Arial" w:hAnsi="Arial"/>
          <w:sz w:val="16"/>
          <w:szCs w:val="16"/>
          <w:color w:val="auto"/>
        </w:rPr>
      </w:pPr>
    </w:p>
    <w:p>
      <w:pPr>
        <w:ind w:left="560" w:hanging="558"/>
        <w:spacing w:after="0"/>
        <w:tabs>
          <w:tab w:leader="none" w:pos="5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 option granted on [***] to [***] to purchase from [***] [***] Ordinary Shares at a purchase price of £[***] per Share; and</w:t>
      </w:r>
    </w:p>
    <w:p>
      <w:pPr>
        <w:spacing w:after="0" w:line="68" w:lineRule="exact"/>
        <w:rPr>
          <w:rFonts w:ascii="Arial" w:cs="Arial" w:eastAsia="Arial" w:hAnsi="Arial"/>
          <w:sz w:val="16"/>
          <w:szCs w:val="16"/>
          <w:color w:val="auto"/>
        </w:rPr>
      </w:pPr>
    </w:p>
    <w:p>
      <w:pPr>
        <w:ind w:left="580" w:hanging="578"/>
        <w:spacing w:after="0" w:line="235" w:lineRule="auto"/>
        <w:tabs>
          <w:tab w:leader="none" w:pos="56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 option granted on [***] to [***] to purchase from [***] [***] Ordinary Shares (out of which [***] Ordinary Shares were vested as of the date when [***] ceased to be an employee of the relevant Group Company) at a purchase price of £[***] per Share.</w:t>
      </w:r>
    </w:p>
    <w:p>
      <w:pPr>
        <w:spacing w:after="0" w:line="4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shares in the capital of the Company, consisting of the Ordinary Shares, Class A Shares, Class B Shares and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Shares.</w:t>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14</w:t>
      </w:r>
    </w:p>
    <w:p>
      <w:pPr>
        <w:sectPr>
          <w:pgSz w:w="11900" w:h="16840" w:orient="portrait"/>
          <w:cols w:equalWidth="0" w:num="1">
            <w:col w:w="9980"/>
          </w:cols>
          <w:pgMar w:left="1240" w:top="1440" w:right="680" w:bottom="1440" w:gutter="0" w:footer="0" w:header="0"/>
        </w:sectPr>
      </w:pPr>
    </w:p>
    <w:bookmarkStart w:id="365" w:name="page366"/>
    <w:bookmarkEnd w:id="365"/>
    <w:p>
      <w:pPr>
        <w:spacing w:after="0" w:line="329"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"Signing Allocation Schedule" </w:t>
      </w:r>
      <w:r>
        <w:rPr>
          <w:rFonts w:ascii="Arial" w:cs="Arial" w:eastAsia="Arial" w:hAnsi="Arial"/>
          <w:sz w:val="16"/>
          <w:szCs w:val="16"/>
          <w:color w:val="auto"/>
        </w:rPr>
        <w:t>means the schedule, in the agreed form, setting out, amongst other matters, the details of the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addresses and country of residence, the Sellers' holdings of the Shares and the draft allocation of the Consideration payable to each of them as prepared, and based on information known, at the date of this Agreement.</w:t>
      </w:r>
    </w:p>
    <w:p>
      <w:pPr>
        <w:spacing w:after="0" w:line="47"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"Signing Disclosure Letter" </w:t>
      </w:r>
      <w:r>
        <w:rPr>
          <w:rFonts w:ascii="Arial" w:cs="Arial" w:eastAsia="Arial" w:hAnsi="Arial"/>
          <w:sz w:val="16"/>
          <w:szCs w:val="16"/>
          <w:color w:val="auto"/>
        </w:rPr>
        <w:t>means the letter of the same date as this Agreement, in the agreed form, from the Warrantors to the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immediately prior to the execution of this Agreement, disclosing matters that are exceptions to the Warranties given at the date of this Agreement, together with all documents annexed to it.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"Stand-alone Accounts" </w:t>
      </w:r>
      <w:r>
        <w:rPr>
          <w:rFonts w:ascii="Arial" w:cs="Arial" w:eastAsia="Arial" w:hAnsi="Arial"/>
          <w:sz w:val="16"/>
          <w:szCs w:val="16"/>
          <w:color w:val="auto"/>
        </w:rPr>
        <w:t>means the audited balance sheet as at the Accounts Date and the audited income statement for the financial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ended on the Accounts Date in each case of each Group Company (including all documents required by Applicable Law to be annexed to them for that period).</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"Stock Option Plan" </w:t>
      </w:r>
      <w:r>
        <w:rPr>
          <w:rFonts w:ascii="Arial" w:cs="Arial" w:eastAsia="Arial" w:hAnsi="Arial"/>
          <w:sz w:val="16"/>
          <w:szCs w:val="16"/>
          <w:color w:val="auto"/>
        </w:rPr>
        <w:t>means the InstaDeep Ltd Share Option Plan, an employees' share scheme established by the directors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on [***] (as amended), and each of the share options granted under it to employees of the Group.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"subordinate legislation" </w:t>
      </w:r>
      <w:r>
        <w:rPr>
          <w:rFonts w:ascii="Arial" w:cs="Arial" w:eastAsia="Arial" w:hAnsi="Arial"/>
          <w:sz w:val="16"/>
          <w:szCs w:val="16"/>
          <w:color w:val="auto"/>
        </w:rPr>
        <w:t>has the meaning set out in Section 21(1), Interpretation Act 1978.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has the meaning set out in Section 1159, CA2006.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"subsidiary undertaking" </w:t>
      </w:r>
      <w:r>
        <w:rPr>
          <w:rFonts w:ascii="Arial" w:cs="Arial" w:eastAsia="Arial" w:hAnsi="Arial"/>
          <w:sz w:val="16"/>
          <w:szCs w:val="16"/>
          <w:color w:val="auto"/>
        </w:rPr>
        <w:t>has the meaning set out in Section 1162, CA2006.</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"Surviving Provisions" </w:t>
      </w:r>
      <w:r>
        <w:rPr>
          <w:rFonts w:ascii="Arial" w:cs="Arial" w:eastAsia="Arial" w:hAnsi="Arial"/>
          <w:sz w:val="16"/>
          <w:szCs w:val="16"/>
          <w:color w:val="auto"/>
        </w:rPr>
        <w:t>means the provisions of clause 1.1 (</w:t>
      </w:r>
      <w:r>
        <w:rPr>
          <w:rFonts w:ascii="Arial" w:cs="Arial" w:eastAsia="Arial" w:hAnsi="Arial"/>
          <w:sz w:val="16"/>
          <w:szCs w:val="16"/>
          <w:i w:val="1"/>
          <w:iCs w:val="1"/>
          <w:color w:val="auto"/>
        </w:rPr>
        <w:t>Definitions and 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 clause 19 (</w:t>
      </w:r>
      <w:r>
        <w:rPr>
          <w:rFonts w:ascii="Arial" w:cs="Arial" w:eastAsia="Arial" w:hAnsi="Arial"/>
          <w:sz w:val="16"/>
          <w:szCs w:val="16"/>
          <w:i w:val="1"/>
          <w:iCs w:val="1"/>
          <w:color w:val="auto"/>
        </w:rPr>
        <w:t>General</w:t>
      </w:r>
      <w:r>
        <w:rPr>
          <w:rFonts w:ascii="Arial" w:cs="Arial" w:eastAsia="Arial" w:hAnsi="Arial"/>
          <w:sz w:val="16"/>
          <w:szCs w:val="16"/>
          <w:color w:val="auto"/>
        </w:rPr>
        <w:t>) (save for sub- clauses 19.5</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Effect of Completion</w:t>
      </w:r>
      <w:r>
        <w:rPr>
          <w:rFonts w:ascii="Arial" w:cs="Arial" w:eastAsia="Arial" w:hAnsi="Arial"/>
          <w:sz w:val="16"/>
          <w:szCs w:val="16"/>
          <w:color w:val="auto"/>
        </w:rPr>
        <w:t xml:space="preserve">) and 19.8 ( </w:t>
      </w:r>
      <w:r>
        <w:rPr>
          <w:rFonts w:ascii="Arial" w:cs="Arial" w:eastAsia="Arial" w:hAnsi="Arial"/>
          <w:sz w:val="16"/>
          <w:szCs w:val="16"/>
          <w:i w:val="1"/>
          <w:iCs w:val="1"/>
          <w:color w:val="auto"/>
        </w:rPr>
        <w:t>Further assurance</w:t>
      </w:r>
      <w:r>
        <w:rPr>
          <w:rFonts w:ascii="Arial" w:cs="Arial" w:eastAsia="Arial" w:hAnsi="Arial"/>
          <w:sz w:val="16"/>
          <w:szCs w:val="16"/>
          <w:color w:val="auto"/>
        </w:rPr>
        <w:t>)), clause 20 (</w:t>
      </w:r>
      <w:r>
        <w:rPr>
          <w:rFonts w:ascii="Arial" w:cs="Arial" w:eastAsia="Arial" w:hAnsi="Arial"/>
          <w:sz w:val="16"/>
          <w:szCs w:val="16"/>
          <w:i w:val="1"/>
          <w:iCs w:val="1"/>
          <w:color w:val="auto"/>
        </w:rPr>
        <w:t>Announcements</w:t>
      </w:r>
      <w:r>
        <w:rPr>
          <w:rFonts w:ascii="Arial" w:cs="Arial" w:eastAsia="Arial" w:hAnsi="Arial"/>
          <w:sz w:val="16"/>
          <w:szCs w:val="16"/>
          <w:color w:val="auto"/>
        </w:rPr>
        <w:t>), clause 21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 clause 23 (</w:t>
      </w:r>
      <w:r>
        <w:rPr>
          <w:rFonts w:ascii="Arial" w:cs="Arial" w:eastAsia="Arial" w:hAnsi="Arial"/>
          <w:sz w:val="16"/>
          <w:szCs w:val="16"/>
          <w:i w:val="1"/>
          <w:iCs w:val="1"/>
          <w:color w:val="auto"/>
        </w:rPr>
        <w:t>Payments</w:t>
      </w:r>
      <w:r>
        <w:rPr>
          <w:rFonts w:ascii="Arial" w:cs="Arial" w:eastAsia="Arial" w:hAnsi="Arial"/>
          <w:sz w:val="16"/>
          <w:szCs w:val="16"/>
          <w:color w:val="auto"/>
        </w:rPr>
        <w:t>), clause 24 (</w:t>
      </w:r>
      <w:r>
        <w:rPr>
          <w:rFonts w:ascii="Arial" w:cs="Arial" w:eastAsia="Arial" w:hAnsi="Arial"/>
          <w:sz w:val="16"/>
          <w:szCs w:val="16"/>
          <w:i w:val="1"/>
          <w:iCs w:val="1"/>
          <w:color w:val="auto"/>
        </w:rPr>
        <w:t>Notices</w:t>
      </w:r>
      <w:r>
        <w:rPr>
          <w:rFonts w:ascii="Arial" w:cs="Arial" w:eastAsia="Arial" w:hAnsi="Arial"/>
          <w:sz w:val="16"/>
          <w:szCs w:val="16"/>
          <w:color w:val="auto"/>
        </w:rPr>
        <w:t>) and clause 28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w:t>
      </w:r>
    </w:p>
    <w:p>
      <w:pPr>
        <w:spacing w:after="0" w:line="47"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"Systems Data" </w:t>
      </w:r>
      <w:r>
        <w:rPr>
          <w:rFonts w:ascii="Arial" w:cs="Arial" w:eastAsia="Arial" w:hAnsi="Arial"/>
          <w:sz w:val="16"/>
          <w:szCs w:val="16"/>
          <w:color w:val="auto"/>
        </w:rPr>
        <w:t>means the digital data (including personal and non-personal data) stored, processed, retrieved or transmitted by any element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IT Systems.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Cash Balance" </w:t>
      </w:r>
      <w:r>
        <w:rPr>
          <w:rFonts w:ascii="Arial" w:cs="Arial" w:eastAsia="Arial" w:hAnsi="Arial"/>
          <w:sz w:val="16"/>
          <w:szCs w:val="16"/>
          <w:color w:val="auto"/>
        </w:rPr>
        <w:t>means £[***].</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Debt Balance" </w:t>
      </w:r>
      <w:r>
        <w:rPr>
          <w:rFonts w:ascii="Arial" w:cs="Arial" w:eastAsia="Arial" w:hAnsi="Arial"/>
          <w:sz w:val="16"/>
          <w:szCs w:val="16"/>
          <w:color w:val="auto"/>
        </w:rPr>
        <w:t>means £[***].</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Working Capital" </w:t>
      </w:r>
      <w:r>
        <w:rPr>
          <w:rFonts w:ascii="Arial" w:cs="Arial" w:eastAsia="Arial" w:hAnsi="Arial"/>
          <w:sz w:val="16"/>
          <w:szCs w:val="16"/>
          <w:color w:val="auto"/>
        </w:rPr>
        <w:t>means £[***].</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"Tax Claim" </w:t>
      </w:r>
      <w:r>
        <w:rPr>
          <w:rFonts w:ascii="Arial" w:cs="Arial" w:eastAsia="Arial" w:hAnsi="Arial"/>
          <w:sz w:val="16"/>
          <w:szCs w:val="16"/>
          <w:color w:val="auto"/>
        </w:rPr>
        <w:t>has the meaning given to it in the Tax Schedule.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"Tax Covenant" </w:t>
      </w:r>
      <w:r>
        <w:rPr>
          <w:rFonts w:ascii="Arial" w:cs="Arial" w:eastAsia="Arial" w:hAnsi="Arial"/>
          <w:sz w:val="16"/>
          <w:szCs w:val="16"/>
          <w:color w:val="auto"/>
        </w:rPr>
        <w:t>means the covenant given by the Warrantors under Part 3 of the Tax Schedule.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"Tax Schedule" </w:t>
      </w:r>
      <w:r>
        <w:rPr>
          <w:rFonts w:ascii="Arial" w:cs="Arial" w:eastAsia="Arial" w:hAnsi="Arial"/>
          <w:sz w:val="16"/>
          <w:szCs w:val="16"/>
          <w:color w:val="auto"/>
        </w:rPr>
        <w:t>means the provisions of Schedule 6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Tax Schedule</w:t>
      </w:r>
      <w:r>
        <w:rPr>
          <w:rFonts w:ascii="Arial" w:cs="Arial" w:eastAsia="Arial" w:hAnsi="Arial"/>
          <w:sz w:val="16"/>
          <w:szCs w:val="16"/>
          <w:color w:val="auto"/>
        </w:rPr>
        <w:t>).</w:t>
      </w:r>
    </w:p>
    <w:p>
      <w:pPr>
        <w:spacing w:after="0" w:line="68"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color w:val="auto"/>
        </w:rPr>
        <w:t xml:space="preserve">"Tax Warranties" </w:t>
      </w:r>
      <w:r>
        <w:rPr>
          <w:rFonts w:ascii="Arial" w:cs="Arial" w:eastAsia="Arial" w:hAnsi="Arial"/>
          <w:sz w:val="16"/>
          <w:szCs w:val="16"/>
          <w:color w:val="auto"/>
        </w:rPr>
        <w:t>means the warranties set out in paragraph 2 of part 2 of the Tax Schedule and the warranties set out at paragraph 36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Schedule 4 insofar as any breach of such warranties would give rise to a claim for Tax and </w:t>
      </w:r>
      <w:r>
        <w:rPr>
          <w:rFonts w:ascii="Arial" w:cs="Arial" w:eastAsia="Arial" w:hAnsi="Arial"/>
          <w:sz w:val="16"/>
          <w:szCs w:val="16"/>
          <w:b w:val="1"/>
          <w:bCs w:val="1"/>
          <w:color w:val="auto"/>
        </w:rPr>
        <w:t>"Tax Warranty"</w:t>
      </w:r>
      <w:r>
        <w:rPr>
          <w:rFonts w:ascii="Arial" w:cs="Arial" w:eastAsia="Arial" w:hAnsi="Arial"/>
          <w:sz w:val="16"/>
          <w:szCs w:val="16"/>
          <w:color w:val="auto"/>
        </w:rPr>
        <w:t xml:space="preserve"> means any one of them.</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"Taxation" </w:t>
      </w:r>
      <w:r>
        <w:rPr>
          <w:rFonts w:ascii="Arial" w:cs="Arial" w:eastAsia="Arial" w:hAnsi="Arial"/>
          <w:sz w:val="16"/>
          <w:szCs w:val="16"/>
          <w:color w:val="auto"/>
        </w:rPr>
        <w:t>has the meaning given to it in the Tax Schedule.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"Third Party Claim" </w:t>
      </w:r>
      <w:r>
        <w:rPr>
          <w:rFonts w:ascii="Arial" w:cs="Arial" w:eastAsia="Arial" w:hAnsi="Arial"/>
          <w:sz w:val="16"/>
          <w:szCs w:val="16"/>
          <w:color w:val="auto"/>
        </w:rPr>
        <w:t>has the meaning set out in clause 15 (</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Purchaser's conduct of Third Party Claims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"Total Earn- out Value" </w:t>
      </w:r>
      <w:r>
        <w:rPr>
          <w:rFonts w:ascii="Arial" w:cs="Arial" w:eastAsia="Arial" w:hAnsi="Arial"/>
          <w:sz w:val="16"/>
          <w:szCs w:val="16"/>
          <w:color w:val="auto"/>
        </w:rPr>
        <w:t>means £200,000,000, being the maximum aggregate amount that the Sellers would be entitled to receive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Earn-out in the event that all Milestones were satisfied in accordance with the terms of this Agreement but for any Investor Seller's election to waive entitlement to [***]% of their pro rata proportion of such amount pursuant to sub-clause 4.3.</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"Transaction" </w:t>
      </w:r>
      <w:r>
        <w:rPr>
          <w:rFonts w:ascii="Arial" w:cs="Arial" w:eastAsia="Arial" w:hAnsi="Arial"/>
          <w:sz w:val="16"/>
          <w:szCs w:val="16"/>
          <w:color w:val="auto"/>
        </w:rPr>
        <w:t>means the transactions contemplated by this Agreement.</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b w:val="1"/>
          <w:bCs w:val="1"/>
          <w:color w:val="auto"/>
        </w:rPr>
        <w:t xml:space="preserve">"Transaction Document" </w:t>
      </w:r>
      <w:r>
        <w:rPr>
          <w:rFonts w:ascii="Arial" w:cs="Arial" w:eastAsia="Arial" w:hAnsi="Arial"/>
          <w:sz w:val="16"/>
          <w:szCs w:val="16"/>
          <w:color w:val="auto"/>
        </w:rPr>
        <w:t>means this Agreement, the Signing Disclosure Letter, the Completion Disclosure Letter, any document in the agreed</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any other agreement entered into pursuant to the foregoing.</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"Transaction Expenses" </w:t>
      </w:r>
      <w:r>
        <w:rPr>
          <w:rFonts w:ascii="Arial" w:cs="Arial" w:eastAsia="Arial" w:hAnsi="Arial"/>
          <w:sz w:val="16"/>
          <w:szCs w:val="16"/>
          <w:color w:val="auto"/>
        </w:rPr>
        <w:t>means costs, expenses, fees and other payments made to advisors by any Group Company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"Tunisia Completion" </w:t>
      </w:r>
      <w:r>
        <w:rPr>
          <w:rFonts w:ascii="Arial" w:cs="Arial" w:eastAsia="Arial" w:hAnsi="Arial"/>
          <w:sz w:val="16"/>
          <w:szCs w:val="16"/>
          <w:color w:val="auto"/>
        </w:rPr>
        <w:t>has the meaning given set out in sub-clause 2.11.</w:t>
      </w:r>
    </w:p>
    <w:p>
      <w:pPr>
        <w:spacing w:after="0" w:line="200" w:lineRule="exact"/>
        <w:rPr>
          <w:sz w:val="20"/>
          <w:szCs w:val="20"/>
          <w:color w:val="auto"/>
        </w:rPr>
      </w:pPr>
    </w:p>
    <w:p>
      <w:pPr>
        <w:spacing w:after="0" w:line="35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15</w:t>
      </w:r>
    </w:p>
    <w:p>
      <w:pPr>
        <w:sectPr>
          <w:pgSz w:w="11900" w:h="16840" w:orient="portrait"/>
          <w:cols w:equalWidth="0" w:num="1">
            <w:col w:w="10000"/>
          </w:cols>
          <w:pgMar w:left="1240" w:top="1440" w:right="660" w:bottom="1440" w:gutter="0" w:footer="0" w:header="0"/>
        </w:sectPr>
      </w:pPr>
    </w:p>
    <w:bookmarkStart w:id="366" w:name="page367"/>
    <w:bookmarkEnd w:id="366"/>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"Tunisian Sellers" </w:t>
      </w:r>
      <w:r>
        <w:rPr>
          <w:rFonts w:ascii="Arial" w:cs="Arial" w:eastAsia="Arial" w:hAnsi="Arial"/>
          <w:sz w:val="16"/>
          <w:szCs w:val="16"/>
          <w:color w:val="auto"/>
        </w:rPr>
        <w:t>means those Sellers that will, as at Completion, be resident or domiciled in Tunisia.</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"TUPE Regulations" </w:t>
      </w:r>
      <w:r>
        <w:rPr>
          <w:rFonts w:ascii="Arial" w:cs="Arial" w:eastAsia="Arial" w:hAnsi="Arial"/>
          <w:sz w:val="16"/>
          <w:szCs w:val="16"/>
          <w:color w:val="auto"/>
        </w:rPr>
        <w:t>means the Transfer of Undertakings (Protection of Employment) Regulations 1981 (SI 1981/1794) and/or, as the case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the Transfer of Undertakings (Protection of Employment) Regulations 2006 (SI 2006/246).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"Upfront Base Consideration" </w:t>
      </w:r>
      <w:r>
        <w:rPr>
          <w:rFonts w:ascii="Arial" w:cs="Arial" w:eastAsia="Arial" w:hAnsi="Arial"/>
          <w:sz w:val="16"/>
          <w:szCs w:val="16"/>
          <w:color w:val="auto"/>
        </w:rPr>
        <w:t>means the sum of £[***] per share.</w:t>
      </w:r>
    </w:p>
    <w:p>
      <w:pPr>
        <w:spacing w:after="0" w:line="6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"US FME Shareholders" </w:t>
      </w:r>
      <w:r>
        <w:rPr>
          <w:rFonts w:ascii="Arial" w:cs="Arial" w:eastAsia="Arial" w:hAnsi="Arial"/>
          <w:sz w:val="16"/>
          <w:szCs w:val="16"/>
          <w:color w:val="auto"/>
        </w:rPr>
        <w:t>means those FME Shareholders who are a "U.S. person" (as such term is defined in Regulation 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the final list of which will be delivered by the FME Shareholders' Representative to the Purchaser no later than [***] Business Days prior to Completion.</w:t>
      </w:r>
    </w:p>
    <w:p>
      <w:pPr>
        <w:spacing w:after="0" w:line="47"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FME Shareholders Upfront Cash Completion Payment</w:t>
      </w:r>
      <w:r>
        <w:rPr>
          <w:rFonts w:ascii="Arial" w:cs="Arial" w:eastAsia="Arial" w:hAnsi="Arial"/>
          <w:sz w:val="16"/>
          <w:szCs w:val="16"/>
          <w:color w:val="auto"/>
        </w:rPr>
        <w:t xml:space="preserve"> " means the Estimated Sellers' Upfront Consideration in respect of the Consideration Shares held by the relevant US FME Shareholders.</w:t>
      </w:r>
    </w:p>
    <w:p>
      <w:pPr>
        <w:spacing w:after="0" w:line="46"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 xml:space="preserve">"VWAP Value" </w:t>
      </w:r>
      <w:r>
        <w:rPr>
          <w:rFonts w:ascii="Arial" w:cs="Arial" w:eastAsia="Arial" w:hAnsi="Arial"/>
          <w:sz w:val="16"/>
          <w:szCs w:val="16"/>
          <w:color w:val="auto"/>
        </w:rPr>
        <w:t>means $[***], being the Bloomberg [***] calendar day volume -weighted average price of the Purchaser's shares listed on</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(over that [***] calendar period not on a daily basis), such period ending on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"Warranties" </w:t>
      </w:r>
      <w:r>
        <w:rPr>
          <w:rFonts w:ascii="Arial" w:cs="Arial" w:eastAsia="Arial" w:hAnsi="Arial"/>
          <w:sz w:val="16"/>
          <w:szCs w:val="16"/>
          <w:color w:val="auto"/>
        </w:rPr>
        <w:t>means the Non-Tax Warranties and the Tax Warranties, and</w:t>
      </w:r>
      <w:r>
        <w:rPr>
          <w:rFonts w:ascii="Arial" w:cs="Arial" w:eastAsia="Arial" w:hAnsi="Arial"/>
          <w:sz w:val="16"/>
          <w:szCs w:val="16"/>
          <w:b w:val="1"/>
          <w:bCs w:val="1"/>
          <w:color w:val="auto"/>
        </w:rPr>
        <w:t xml:space="preserve"> "Warranty" </w:t>
      </w:r>
      <w:r>
        <w:rPr>
          <w:rFonts w:ascii="Arial" w:cs="Arial" w:eastAsia="Arial" w:hAnsi="Arial"/>
          <w:sz w:val="16"/>
          <w:szCs w:val="16"/>
          <w:color w:val="auto"/>
        </w:rPr>
        <w:t>means any one of them.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"Warrantors" </w:t>
      </w:r>
      <w:r>
        <w:rPr>
          <w:rFonts w:ascii="Arial" w:cs="Arial" w:eastAsia="Arial" w:hAnsi="Arial"/>
          <w:sz w:val="16"/>
          <w:szCs w:val="16"/>
          <w:color w:val="auto"/>
        </w:rPr>
        <w:t>means the Founder Sellers.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"Warranty Claim" </w:t>
      </w:r>
      <w:r>
        <w:rPr>
          <w:rFonts w:ascii="Arial" w:cs="Arial" w:eastAsia="Arial" w:hAnsi="Arial"/>
          <w:sz w:val="16"/>
          <w:szCs w:val="16"/>
          <w:color w:val="auto"/>
        </w:rPr>
        <w:t>means a claim by the Purchaser against the Warrantors for breach of any of the Warranties.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means the aggregated amount of:</w:t>
      </w:r>
    </w:p>
    <w:p>
      <w:pPr>
        <w:spacing w:after="0" w:line="70" w:lineRule="exact"/>
        <w:rPr>
          <w:sz w:val="20"/>
          <w:szCs w:val="20"/>
          <w:color w:val="auto"/>
        </w:rPr>
      </w:pPr>
    </w:p>
    <w:p>
      <w:pPr>
        <w:ind w:left="560" w:hanging="558"/>
        <w:spacing w:after="0"/>
        <w:tabs>
          <w:tab w:leader="none" w:pos="5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trade receivables, less any loss allowance (bad debt allowance); and</w:t>
      </w:r>
    </w:p>
    <w:p>
      <w:pPr>
        <w:spacing w:after="0" w:line="68" w:lineRule="exact"/>
        <w:rPr>
          <w:rFonts w:ascii="Arial" w:cs="Arial" w:eastAsia="Arial" w:hAnsi="Arial"/>
          <w:sz w:val="16"/>
          <w:szCs w:val="16"/>
          <w:color w:val="auto"/>
        </w:rPr>
      </w:pPr>
    </w:p>
    <w:p>
      <w:pPr>
        <w:ind w:left="580" w:right="20" w:hanging="578"/>
        <w:spacing w:after="0" w:line="235" w:lineRule="auto"/>
        <w:tabs>
          <w:tab w:leader="none" w:pos="56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all other current receivables, deferred revenue, other current assets, prepaid expenses (including receivables relating to taxes other than income taxes), financial deposit and accrued interests on the financial deposits to the extent not included in Cash or Debt;</w:t>
      </w:r>
    </w:p>
    <w:p>
      <w:pPr>
        <w:spacing w:after="0" w:line="4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less:</w:t>
      </w:r>
    </w:p>
    <w:p>
      <w:pPr>
        <w:spacing w:after="0" w:line="68" w:lineRule="exact"/>
        <w:rPr>
          <w:rFonts w:ascii="Arial" w:cs="Arial" w:eastAsia="Arial" w:hAnsi="Arial"/>
          <w:sz w:val="16"/>
          <w:szCs w:val="16"/>
          <w:color w:val="auto"/>
        </w:rPr>
      </w:pPr>
    </w:p>
    <w:p>
      <w:pPr>
        <w:ind w:left="1160" w:hanging="582"/>
        <w:spacing w:after="0"/>
        <w:tabs>
          <w:tab w:leader="none" w:pos="11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trade payables;</w:t>
      </w:r>
    </w:p>
    <w:p>
      <w:pPr>
        <w:spacing w:after="0" w:line="68" w:lineRule="exact"/>
        <w:rPr>
          <w:rFonts w:ascii="Arial" w:cs="Arial" w:eastAsia="Arial" w:hAnsi="Arial"/>
          <w:sz w:val="16"/>
          <w:szCs w:val="16"/>
          <w:color w:val="auto"/>
        </w:rPr>
      </w:pPr>
    </w:p>
    <w:p>
      <w:pPr>
        <w:ind w:left="1140" w:hanging="562"/>
        <w:spacing w:after="0"/>
        <w:tabs>
          <w:tab w:leader="none" w:pos="11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prepayments received;</w:t>
      </w:r>
    </w:p>
    <w:p>
      <w:pPr>
        <w:spacing w:after="0" w:line="68" w:lineRule="exact"/>
        <w:rPr>
          <w:rFonts w:ascii="Arial" w:cs="Arial" w:eastAsia="Arial" w:hAnsi="Arial"/>
          <w:sz w:val="16"/>
          <w:szCs w:val="16"/>
          <w:color w:val="auto"/>
        </w:rPr>
      </w:pPr>
    </w:p>
    <w:p>
      <w:pPr>
        <w:ind w:left="1160" w:hanging="582"/>
        <w:spacing w:after="0" w:line="235" w:lineRule="auto"/>
        <w:tabs>
          <w:tab w:leader="none" w:pos="114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all other current provisions and accruals other than income taxes to the extent not included in Debt and separately treated in this definition;</w:t>
      </w:r>
    </w:p>
    <w:p>
      <w:pPr>
        <w:spacing w:after="0" w:line="47" w:lineRule="exact"/>
        <w:rPr>
          <w:rFonts w:ascii="Arial" w:cs="Arial" w:eastAsia="Arial" w:hAnsi="Arial"/>
          <w:sz w:val="16"/>
          <w:szCs w:val="16"/>
          <w:color w:val="auto"/>
        </w:rPr>
      </w:pPr>
    </w:p>
    <w:p>
      <w:pPr>
        <w:ind w:left="1160" w:right="20" w:hanging="582"/>
        <w:spacing w:after="0" w:line="235" w:lineRule="auto"/>
        <w:tabs>
          <w:tab w:leader="none" w:pos="114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any provisions, accruals or liabilities relating to contractual bonuses (including the commission bonuses payable to [***] and to [***]) which refers to the period ending on the Effective Time including any social security contribution;</w:t>
      </w:r>
    </w:p>
    <w:p>
      <w:pPr>
        <w:spacing w:after="0" w:line="47" w:lineRule="exact"/>
        <w:rPr>
          <w:rFonts w:ascii="Arial" w:cs="Arial" w:eastAsia="Arial" w:hAnsi="Arial"/>
          <w:sz w:val="16"/>
          <w:szCs w:val="16"/>
          <w:color w:val="auto"/>
        </w:rPr>
      </w:pPr>
    </w:p>
    <w:p>
      <w:pPr>
        <w:ind w:left="1140" w:hanging="562"/>
        <w:spacing w:after="0"/>
        <w:tabs>
          <w:tab w:leader="none" w:pos="11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any provisions, accruals or liabilities relating to the 13th salary including any social security contribution;</w:t>
      </w:r>
    </w:p>
    <w:p>
      <w:pPr>
        <w:spacing w:after="0" w:line="68" w:lineRule="exact"/>
        <w:rPr>
          <w:rFonts w:ascii="Arial" w:cs="Arial" w:eastAsia="Arial" w:hAnsi="Arial"/>
          <w:sz w:val="16"/>
          <w:szCs w:val="16"/>
          <w:color w:val="auto"/>
        </w:rPr>
      </w:pPr>
    </w:p>
    <w:p>
      <w:pPr>
        <w:jc w:val="both"/>
        <w:ind w:left="1160" w:right="20" w:hanging="582"/>
        <w:spacing w:after="0" w:line="224" w:lineRule="auto"/>
        <w:tabs>
          <w:tab w:leader="none" w:pos="114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any provisions, accruals or liabilities relating to employee benefits such as unused holidays or overtime including any social security contribution which are not above the amounts legally authorized to carry-over or which are related to the legal holiday entitlement for the current year;</w:t>
      </w:r>
    </w:p>
    <w:p>
      <w:pPr>
        <w:spacing w:after="0" w:line="48" w:lineRule="exact"/>
        <w:rPr>
          <w:rFonts w:ascii="Arial" w:cs="Arial" w:eastAsia="Arial" w:hAnsi="Arial"/>
          <w:sz w:val="16"/>
          <w:szCs w:val="16"/>
          <w:color w:val="auto"/>
        </w:rPr>
      </w:pPr>
    </w:p>
    <w:p>
      <w:pPr>
        <w:ind w:left="1140" w:hanging="562"/>
        <w:spacing w:after="0"/>
        <w:tabs>
          <w:tab w:leader="none" w:pos="11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all other current payables (including liabilities relating to taxes other than income taxes), to the extent not included in Debt,</w:t>
      </w:r>
    </w:p>
    <w:p>
      <w:pPr>
        <w:spacing w:after="0" w:line="68" w:lineRule="exact"/>
        <w:rPr>
          <w:sz w:val="20"/>
          <w:szCs w:val="20"/>
          <w:color w:val="auto"/>
        </w:rPr>
      </w:pPr>
    </w:p>
    <w:p>
      <w:pPr>
        <w:ind w:right="80"/>
        <w:spacing w:after="0" w:line="219" w:lineRule="auto"/>
        <w:rPr>
          <w:sz w:val="20"/>
          <w:szCs w:val="20"/>
          <w:color w:val="auto"/>
        </w:rPr>
      </w:pPr>
      <w:r>
        <w:rPr>
          <w:rFonts w:ascii="Arial" w:cs="Arial" w:eastAsia="Arial" w:hAnsi="Arial"/>
          <w:sz w:val="16"/>
          <w:szCs w:val="16"/>
          <w:color w:val="auto"/>
        </w:rPr>
        <w:t>in each case to which the Company or any of the Subsidiaries is beneficially entitled as at the Effective Time, calculated on a consolidated basis in accordance with the accounting principles, policies, standards, practices, evaluation rules and estimation techniques specified in Part 2 of Schedule 9 (</w:t>
      </w:r>
      <w:r>
        <w:rPr>
          <w:rFonts w:ascii="Arial" w:cs="Arial" w:eastAsia="Arial" w:hAnsi="Arial"/>
          <w:sz w:val="16"/>
          <w:szCs w:val="16"/>
          <w:i w:val="1"/>
          <w:iCs w:val="1"/>
          <w:color w:val="auto"/>
        </w:rPr>
        <w:t>Completion Accounts</w:t>
      </w:r>
      <w:r>
        <w:rPr>
          <w:rFonts w:ascii="Arial" w:cs="Arial" w:eastAsia="Arial" w:hAnsi="Arial"/>
          <w:sz w:val="16"/>
          <w:szCs w:val="16"/>
          <w:color w:val="auto"/>
        </w:rPr>
        <w:t>). An illustrative detailed mapping on account basis designated as "Working Capital" is outlined in Part 3 of Schedule 9.</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"Working Time Regulations" </w:t>
      </w:r>
      <w:r>
        <w:rPr>
          <w:rFonts w:ascii="Arial" w:cs="Arial" w:eastAsia="Arial" w:hAnsi="Arial"/>
          <w:sz w:val="16"/>
          <w:szCs w:val="16"/>
          <w:color w:val="auto"/>
        </w:rPr>
        <w:t>means the Working Time Regulations 1998 (SI 1998/1833).</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b w:val="1"/>
          <w:bCs w:val="1"/>
          <w:color w:val="auto"/>
        </w:rPr>
        <w:t xml:space="preserve">"W&amp;I Cost" </w:t>
      </w:r>
      <w:r>
        <w:rPr>
          <w:rFonts w:ascii="Arial" w:cs="Arial" w:eastAsia="Arial" w:hAnsi="Arial"/>
          <w:sz w:val="16"/>
          <w:szCs w:val="16"/>
          <w:color w:val="auto"/>
        </w:rPr>
        <w:t>means £[***], being [***]% of the aggregate amount payable in respect of the W&amp;I Policy, including the insurance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costs, underwriting costs and insurance premium tax.</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"W&amp;I Insurer" </w:t>
      </w:r>
      <w:r>
        <w:rPr>
          <w:rFonts w:ascii="Arial" w:cs="Arial" w:eastAsia="Arial" w:hAnsi="Arial"/>
          <w:sz w:val="16"/>
          <w:szCs w:val="16"/>
          <w:color w:val="auto"/>
        </w:rPr>
        <w:t>means the insurer for the W&amp;I Policy being principally [***], together with [***], [***] and joint insurers, [***], as set out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W&amp;I Policy.</w:t>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16</w:t>
      </w:r>
    </w:p>
    <w:p>
      <w:pPr>
        <w:sectPr>
          <w:pgSz w:w="11900" w:h="16840" w:orient="portrait"/>
          <w:cols w:equalWidth="0" w:num="1">
            <w:col w:w="10000"/>
          </w:cols>
          <w:pgMar w:left="1240" w:top="1440" w:right="660" w:bottom="1440" w:gutter="0" w:footer="0" w:header="0"/>
        </w:sectPr>
      </w:pPr>
    </w:p>
    <w:bookmarkStart w:id="367" w:name="page368"/>
    <w:bookmarkEnd w:id="367"/>
    <w:p>
      <w:pPr>
        <w:spacing w:after="0" w:line="329" w:lineRule="exact"/>
        <w:rPr>
          <w:sz w:val="20"/>
          <w:szCs w:val="20"/>
          <w:color w:val="auto"/>
        </w:rPr>
      </w:pPr>
    </w:p>
    <w:p>
      <w:pPr>
        <w:ind w:left="580" w:right="20"/>
        <w:spacing w:after="0" w:line="236" w:lineRule="auto"/>
        <w:rPr>
          <w:sz w:val="20"/>
          <w:szCs w:val="20"/>
          <w:color w:val="auto"/>
        </w:rPr>
      </w:pPr>
      <w:r>
        <w:rPr>
          <w:rFonts w:ascii="Arial" w:cs="Arial" w:eastAsia="Arial" w:hAnsi="Arial"/>
          <w:sz w:val="16"/>
          <w:szCs w:val="16"/>
          <w:b w:val="1"/>
          <w:bCs w:val="1"/>
          <w:color w:val="auto"/>
        </w:rPr>
        <w:t xml:space="preserve">"W&amp;I Policy" </w:t>
      </w:r>
      <w:r>
        <w:rPr>
          <w:rFonts w:ascii="Arial" w:cs="Arial" w:eastAsia="Arial" w:hAnsi="Arial"/>
          <w:sz w:val="16"/>
          <w:szCs w:val="16"/>
          <w:color w:val="auto"/>
        </w:rPr>
        <w:t>means the warranty and indemnity insurance policies in the agreed form with policy number [***] and [***], issued by the W&amp;I</w:t>
      </w:r>
      <w:r>
        <w:rPr>
          <w:rFonts w:ascii="Arial" w:cs="Arial" w:eastAsia="Arial" w:hAnsi="Arial"/>
          <w:sz w:val="16"/>
          <w:szCs w:val="16"/>
          <w:b w:val="1"/>
          <w:bCs w:val="1"/>
          <w:color w:val="auto"/>
        </w:rPr>
        <w:t xml:space="preserve"> </w:t>
      </w:r>
      <w:r>
        <w:rPr>
          <w:rFonts w:ascii="Arial" w:cs="Arial" w:eastAsia="Arial" w:hAnsi="Arial"/>
          <w:sz w:val="16"/>
          <w:szCs w:val="16"/>
          <w:color w:val="auto"/>
        </w:rPr>
        <w:t>Insurer in favour of the Purchaser on the date of this Agreement and relating to claims under this Agreement.</w:t>
      </w:r>
    </w:p>
    <w:p>
      <w:pPr>
        <w:spacing w:after="0" w:line="46" w:lineRule="exact"/>
        <w:rPr>
          <w:sz w:val="20"/>
          <w:szCs w:val="20"/>
          <w:color w:val="auto"/>
        </w:rPr>
      </w:pPr>
    </w:p>
    <w:p>
      <w:pPr>
        <w:ind w:left="580"/>
        <w:spacing w:after="0" w:line="236" w:lineRule="auto"/>
        <w:rPr>
          <w:sz w:val="20"/>
          <w:szCs w:val="20"/>
          <w:color w:val="auto"/>
        </w:rPr>
      </w:pPr>
      <w:r>
        <w:rPr>
          <w:rFonts w:ascii="Arial" w:cs="Arial" w:eastAsia="Arial" w:hAnsi="Arial"/>
          <w:sz w:val="16"/>
          <w:szCs w:val="16"/>
          <w:b w:val="1"/>
          <w:bCs w:val="1"/>
          <w:color w:val="auto"/>
        </w:rPr>
        <w:t xml:space="preserve">"W&amp;I Policy Excerpt" </w:t>
      </w:r>
      <w:r>
        <w:rPr>
          <w:rFonts w:ascii="Arial" w:cs="Arial" w:eastAsia="Arial" w:hAnsi="Arial"/>
          <w:sz w:val="16"/>
          <w:szCs w:val="16"/>
          <w:color w:val="auto"/>
        </w:rPr>
        <w:t>means an excerpt of the W&amp;I Policy showing no subrogation rights against the Warrantors except in the case of fraud,</w:t>
      </w:r>
      <w:r>
        <w:rPr>
          <w:rFonts w:ascii="Arial" w:cs="Arial" w:eastAsia="Arial" w:hAnsi="Arial"/>
          <w:sz w:val="16"/>
          <w:szCs w:val="16"/>
          <w:b w:val="1"/>
          <w:bCs w:val="1"/>
          <w:color w:val="auto"/>
        </w:rPr>
        <w:t xml:space="preserve"> </w:t>
      </w:r>
      <w:r>
        <w:rPr>
          <w:rFonts w:ascii="Arial" w:cs="Arial" w:eastAsia="Arial" w:hAnsi="Arial"/>
          <w:sz w:val="16"/>
          <w:szCs w:val="16"/>
          <w:color w:val="auto"/>
        </w:rPr>
        <w:t>dishonesty or wilful misconduct.</w:t>
      </w:r>
    </w:p>
    <w:p>
      <w:pPr>
        <w:spacing w:after="0" w:line="4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Agreement:</w:t>
      </w:r>
    </w:p>
    <w:p>
      <w:pPr>
        <w:spacing w:after="0" w:line="68" w:lineRule="exact"/>
        <w:rPr>
          <w:sz w:val="20"/>
          <w:szCs w:val="20"/>
          <w:color w:val="auto"/>
        </w:rPr>
      </w:pPr>
    </w:p>
    <w:p>
      <w:pPr>
        <w:ind w:left="1140" w:hanging="558"/>
        <w:spacing w:after="0"/>
        <w:tabs>
          <w:tab w:leader="none" w:pos="11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words in the singular include the plural and vice versa and words in one gender include any other gender;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 reference to a statute or statutory provision includes:</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subordinate legislation;</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repealed statute or statutory provision which it re-enacts (with or without modification); and</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statute, statutory provision or subordinate legislation which modifies, consolidates, re-enacts or supersedes it,</w:t>
      </w:r>
    </w:p>
    <w:p>
      <w:pPr>
        <w:spacing w:after="0" w:line="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provided such subordinate legislation, re-enactment, statute or statutory provision came into force before the date of this Agreement;</w:t>
      </w:r>
    </w:p>
    <w:p>
      <w:pPr>
        <w:spacing w:after="0" w:line="68" w:lineRule="exact"/>
        <w:rPr>
          <w:sz w:val="20"/>
          <w:szCs w:val="20"/>
          <w:color w:val="auto"/>
        </w:rPr>
      </w:pPr>
    </w:p>
    <w:p>
      <w:pPr>
        <w:ind w:left="1140" w:hanging="558"/>
        <w:spacing w:after="0"/>
        <w:tabs>
          <w:tab w:leader="none" w:pos="11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 reference to:</w:t>
      </w:r>
    </w:p>
    <w:p>
      <w:pPr>
        <w:spacing w:after="0" w:line="66" w:lineRule="exact"/>
        <w:rPr>
          <w:rFonts w:ascii="Arial" w:cs="Arial" w:eastAsia="Arial" w:hAnsi="Arial"/>
          <w:sz w:val="16"/>
          <w:szCs w:val="16"/>
          <w:color w:val="auto"/>
        </w:rPr>
      </w:pPr>
    </w:p>
    <w:p>
      <w:pPr>
        <w:jc w:val="both"/>
        <w:ind w:left="1740" w:hanging="582"/>
        <w:spacing w:after="0" w:line="225" w:lineRule="auto"/>
        <w:tabs>
          <w:tab w:leader="none" w:pos="174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"party"</w:t>
      </w:r>
      <w:r>
        <w:rPr>
          <w:rFonts w:ascii="Arial" w:cs="Arial" w:eastAsia="Arial" w:hAnsi="Arial"/>
          <w:sz w:val="16"/>
          <w:szCs w:val="16"/>
          <w:color w:val="auto"/>
        </w:rPr>
        <w:t xml:space="preserve"> means each person as set out at the head of page </w:t>
      </w:r>
      <w:hyperlink w:anchor="page351">
        <w:r>
          <w:rPr>
            <w:rFonts w:ascii="Arial" w:cs="Arial" w:eastAsia="Arial" w:hAnsi="Arial"/>
            <w:sz w:val="16"/>
            <w:szCs w:val="16"/>
            <w:color w:val="auto"/>
          </w:rPr>
          <w:t xml:space="preserve">1 </w:t>
        </w:r>
      </w:hyperlink>
      <w:r>
        <w:rPr>
          <w:rFonts w:ascii="Arial" w:cs="Arial" w:eastAsia="Arial" w:hAnsi="Arial"/>
          <w:sz w:val="16"/>
          <w:szCs w:val="16"/>
          <w:color w:val="auto"/>
        </w:rPr>
        <w:t>(save for InstaDeep), a reference to "parties" means all of the parties to this Agreement (save for InstaDeep) and, upon any succession or permitted assignment, a reference to any party shall be deemed to include a reference to that party's successors in title or permitted assigns;</w:t>
      </w:r>
    </w:p>
    <w:p>
      <w:pPr>
        <w:spacing w:after="0" w:line="46" w:lineRule="exact"/>
        <w:rPr>
          <w:rFonts w:ascii="Arial" w:cs="Arial" w:eastAsia="Arial" w:hAnsi="Arial"/>
          <w:sz w:val="16"/>
          <w:szCs w:val="16"/>
          <w:color w:val="auto"/>
        </w:rPr>
      </w:pPr>
    </w:p>
    <w:p>
      <w:pPr>
        <w:jc w:val="both"/>
        <w:ind w:left="1740" w:right="20" w:hanging="582"/>
        <w:spacing w:after="0" w:line="225" w:lineRule="auto"/>
        <w:tabs>
          <w:tab w:leader="none" w:pos="17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includes any individual, firm, corporation, body corporate, association or partnership, trust, unincorporated organisation, employee representative body, government or state or agency or department thereof, executors, administrators or successors in title (whether or not having a separate legal personality);</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clauses and schedules are to clauses and schedules of this Agreement and references to sub-clauses and paragraphs are references to sub-clauses and paragraphs of the clause or schedule in which they appear;</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provision of this Agreement is to that provision as amended in accordance with the terms of this Agreement;</w:t>
      </w:r>
    </w:p>
    <w:p>
      <w:pPr>
        <w:spacing w:after="0" w:line="66" w:lineRule="exact"/>
        <w:rPr>
          <w:rFonts w:ascii="Arial" w:cs="Arial" w:eastAsia="Arial" w:hAnsi="Arial"/>
          <w:sz w:val="16"/>
          <w:szCs w:val="16"/>
          <w:color w:val="auto"/>
        </w:rPr>
      </w:pPr>
    </w:p>
    <w:p>
      <w:pPr>
        <w:ind w:left="1740" w:right="20" w:hanging="582"/>
        <w:spacing w:after="0" w:line="236" w:lineRule="auto"/>
        <w:tabs>
          <w:tab w:leader="none" w:pos="17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any document being </w:t>
      </w:r>
      <w:r>
        <w:rPr>
          <w:rFonts w:ascii="Arial" w:cs="Arial" w:eastAsia="Arial" w:hAnsi="Arial"/>
          <w:sz w:val="16"/>
          <w:szCs w:val="16"/>
          <w:b w:val="1"/>
          <w:bCs w:val="1"/>
          <w:color w:val="auto"/>
        </w:rPr>
        <w:t>"in the agreed form"</w:t>
      </w:r>
      <w:r>
        <w:rPr>
          <w:rFonts w:ascii="Arial" w:cs="Arial" w:eastAsia="Arial" w:hAnsi="Arial"/>
          <w:sz w:val="16"/>
          <w:szCs w:val="16"/>
          <w:color w:val="auto"/>
        </w:rPr>
        <w:t xml:space="preserve"> means in a form which has been agreed in writing by the parties (or by their respective solicitors on their behalf) on or before the date of this Agreement;</w:t>
      </w:r>
    </w:p>
    <w:p>
      <w:pPr>
        <w:spacing w:after="0" w:line="48" w:lineRule="exact"/>
        <w:rPr>
          <w:rFonts w:ascii="Arial" w:cs="Arial" w:eastAsia="Arial" w:hAnsi="Arial"/>
          <w:sz w:val="16"/>
          <w:szCs w:val="16"/>
          <w:color w:val="auto"/>
        </w:rPr>
      </w:pPr>
    </w:p>
    <w:p>
      <w:pPr>
        <w:jc w:val="both"/>
        <w:ind w:left="1740" w:right="20" w:hanging="582"/>
        <w:spacing w:after="0" w:line="219" w:lineRule="auto"/>
        <w:tabs>
          <w:tab w:leader="none" w:pos="172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English legal term for any action, remedy, method of judicial proceeding, legal document, legal status, legal concept, state of affairs or thing or references to any English body, organisation, court or official shall in each case in respect of any jurisdiction other than England or any body corporate incorporated in any such jurisdiction, be deemed to refer to and include that which most approximates in that jurisdiction to the English legal term, body, organisation, court or official;</w:t>
      </w:r>
    </w:p>
    <w:p>
      <w:pPr>
        <w:spacing w:after="0" w:line="48" w:lineRule="exact"/>
        <w:rPr>
          <w:rFonts w:ascii="Arial" w:cs="Arial" w:eastAsia="Arial" w:hAnsi="Arial"/>
          <w:sz w:val="16"/>
          <w:szCs w:val="16"/>
          <w:color w:val="auto"/>
        </w:rPr>
      </w:pPr>
    </w:p>
    <w:p>
      <w:pPr>
        <w:jc w:val="both"/>
        <w:ind w:left="1740" w:right="20" w:hanging="582"/>
        <w:spacing w:after="0" w:line="265" w:lineRule="auto"/>
        <w:tabs>
          <w:tab w:leader="none" w:pos="1728" w:val="left"/>
        </w:tabs>
        <w:numPr>
          <w:ilvl w:val="1"/>
          <w:numId w:val="274"/>
        </w:numPr>
        <w:rPr>
          <w:rFonts w:ascii="Arial" w:cs="Arial" w:eastAsia="Arial" w:hAnsi="Arial"/>
          <w:sz w:val="14"/>
          <w:szCs w:val="14"/>
          <w:color w:val="auto"/>
        </w:rPr>
      </w:pPr>
      <w:r>
        <w:rPr>
          <w:rFonts w:ascii="Arial" w:cs="Arial" w:eastAsia="Arial" w:hAnsi="Arial"/>
          <w:sz w:val="14"/>
          <w:szCs w:val="14"/>
          <w:color w:val="auto"/>
        </w:rPr>
        <w:t>any reference to any English statute, statutory provision or EU derived law applicable in England shall in each case in respect of any jurisdiction other than England or a body corporate incorporated in any such jurisdiction, be deemed to include a reference to all Applicable Law relating to the same subject matter as that English statute, statutory provision or EU derived law; and</w:t>
      </w:r>
    </w:p>
    <w:p>
      <w:pPr>
        <w:spacing w:after="0" w:line="30" w:lineRule="exact"/>
        <w:rPr>
          <w:rFonts w:ascii="Arial" w:cs="Arial" w:eastAsia="Arial" w:hAnsi="Arial"/>
          <w:sz w:val="14"/>
          <w:szCs w:val="14"/>
          <w:color w:val="auto"/>
        </w:rPr>
      </w:pPr>
    </w:p>
    <w:p>
      <w:pPr>
        <w:ind w:left="1720" w:hanging="562"/>
        <w:spacing w:after="0"/>
        <w:tabs>
          <w:tab w:leader="none" w:pos="172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references to times of the day are to local time in the relevant jurisdiction unless otherwise stated;</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save as expressly defined or otherwise set out in sub-clause 1.1 (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 xml:space="preserve"> ) or this sub-clause 1.2 (</w:t>
      </w:r>
      <w:r>
        <w:rPr>
          <w:rFonts w:ascii="Arial" w:cs="Arial" w:eastAsia="Arial" w:hAnsi="Arial"/>
          <w:sz w:val="16"/>
          <w:szCs w:val="16"/>
          <w:i w:val="1"/>
          <w:iCs w:val="1"/>
          <w:color w:val="auto"/>
        </w:rPr>
        <w:t>Definitions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w:t>
      </w:r>
      <w:r>
        <w:rPr>
          <w:rFonts w:ascii="Arial" w:cs="Arial" w:eastAsia="Arial" w:hAnsi="Arial"/>
          <w:sz w:val="16"/>
          <w:szCs w:val="16"/>
          <w:color w:val="auto"/>
        </w:rPr>
        <w:t>) or in any other provision of this Agreement, words and expressions which are defined in the CA2006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attributed to them in the CA2006 when used in this Agreement;</w:t>
      </w:r>
    </w:p>
    <w:p>
      <w:pPr>
        <w:spacing w:after="0" w:line="46" w:lineRule="exact"/>
        <w:rPr>
          <w:rFonts w:ascii="Arial" w:cs="Arial" w:eastAsia="Arial" w:hAnsi="Arial"/>
          <w:sz w:val="16"/>
          <w:szCs w:val="16"/>
          <w:color w:val="auto"/>
        </w:rPr>
      </w:pPr>
    </w:p>
    <w:p>
      <w:pPr>
        <w:ind w:left="1140" w:hanging="558"/>
        <w:spacing w:after="0"/>
        <w:tabs>
          <w:tab w:leader="none" w:pos="1140" w:val="left"/>
        </w:tabs>
        <w:numPr>
          <w:ilvl w:val="0"/>
          <w:numId w:val="274"/>
        </w:numPr>
        <w:rPr>
          <w:rFonts w:ascii="Arial" w:cs="Arial" w:eastAsia="Arial" w:hAnsi="Arial"/>
          <w:sz w:val="16"/>
          <w:szCs w:val="16"/>
          <w:color w:val="auto"/>
        </w:rPr>
      </w:pPr>
      <w:r>
        <w:rPr>
          <w:rFonts w:ascii="Arial" w:cs="Arial" w:eastAsia="Arial" w:hAnsi="Arial"/>
          <w:sz w:val="16"/>
          <w:szCs w:val="16"/>
          <w:b w:val="1"/>
          <w:bCs w:val="1"/>
          <w:color w:val="auto"/>
        </w:rPr>
        <w:t xml:space="preserve">"sterling" </w:t>
      </w:r>
      <w:r>
        <w:rPr>
          <w:rFonts w:ascii="Arial" w:cs="Arial" w:eastAsia="Arial" w:hAnsi="Arial"/>
          <w:sz w:val="16"/>
          <w:szCs w:val="16"/>
          <w:color w:val="auto"/>
        </w:rPr>
        <w:t>and the sign</w:t>
      </w:r>
      <w:r>
        <w:rPr>
          <w:rFonts w:ascii="Arial" w:cs="Arial" w:eastAsia="Arial" w:hAnsi="Arial"/>
          <w:sz w:val="16"/>
          <w:szCs w:val="16"/>
          <w:b w:val="1"/>
          <w:bCs w:val="1"/>
          <w:color w:val="auto"/>
        </w:rPr>
        <w:t xml:space="preserve"> "£" </w:t>
      </w:r>
      <w:r>
        <w:rPr>
          <w:rFonts w:ascii="Arial" w:cs="Arial" w:eastAsia="Arial" w:hAnsi="Arial"/>
          <w:sz w:val="16"/>
          <w:szCs w:val="16"/>
          <w:color w:val="auto"/>
        </w:rPr>
        <w:t>means pounds sterling in the currency of the United Kingdom;</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4"/>
        </w:numPr>
        <w:rPr>
          <w:rFonts w:ascii="Arial" w:cs="Arial" w:eastAsia="Arial" w:hAnsi="Arial"/>
          <w:sz w:val="16"/>
          <w:szCs w:val="16"/>
          <w:color w:val="auto"/>
        </w:rPr>
      </w:pPr>
      <w:r>
        <w:rPr>
          <w:rFonts w:ascii="Arial" w:cs="Arial" w:eastAsia="Arial" w:hAnsi="Arial"/>
          <w:sz w:val="16"/>
          <w:szCs w:val="16"/>
          <w:b w:val="1"/>
          <w:bCs w:val="1"/>
          <w:color w:val="auto"/>
        </w:rPr>
        <w:t xml:space="preserve">"Euros" </w:t>
      </w:r>
      <w:r>
        <w:rPr>
          <w:rFonts w:ascii="Arial" w:cs="Arial" w:eastAsia="Arial" w:hAnsi="Arial"/>
          <w:sz w:val="16"/>
          <w:szCs w:val="16"/>
          <w:color w:val="auto"/>
        </w:rPr>
        <w:t>and the sign</w:t>
      </w:r>
      <w:r>
        <w:rPr>
          <w:rFonts w:ascii="Arial" w:cs="Arial" w:eastAsia="Arial" w:hAnsi="Arial"/>
          <w:sz w:val="16"/>
          <w:szCs w:val="16"/>
          <w:b w:val="1"/>
          <w:bCs w:val="1"/>
          <w:color w:val="auto"/>
        </w:rPr>
        <w:t xml:space="preserve"> "€" </w:t>
      </w:r>
      <w:r>
        <w:rPr>
          <w:rFonts w:ascii="Arial" w:cs="Arial" w:eastAsia="Arial" w:hAnsi="Arial"/>
          <w:sz w:val="16"/>
          <w:szCs w:val="16"/>
          <w:color w:val="auto"/>
        </w:rPr>
        <w:t>means euros in the currency of the European Union;</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ectPr>
          <w:pgSz w:w="11900" w:h="16840" w:orient="portrait"/>
          <w:cols w:equalWidth="0" w:num="1">
            <w:col w:w="10580"/>
          </w:cols>
          <w:pgMar w:left="660" w:top="1440" w:right="660" w:bottom="1440" w:gutter="0" w:footer="0" w:header="0"/>
        </w:sectPr>
      </w:pPr>
    </w:p>
    <w:bookmarkStart w:id="368" w:name="page369"/>
    <w:bookmarkEnd w:id="368"/>
    <w:p>
      <w:pPr>
        <w:spacing w:after="0" w:line="329" w:lineRule="exact"/>
        <w:rPr>
          <w:sz w:val="20"/>
          <w:szCs w:val="20"/>
          <w:color w:val="auto"/>
        </w:rPr>
      </w:pPr>
    </w:p>
    <w:p>
      <w:pPr>
        <w:ind w:left="558" w:hanging="558"/>
        <w:spacing w:after="0"/>
        <w:tabs>
          <w:tab w:leader="none" w:pos="558"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 xml:space="preserve">"UK" </w:t>
      </w:r>
      <w:r>
        <w:rPr>
          <w:rFonts w:ascii="Arial" w:cs="Arial" w:eastAsia="Arial" w:hAnsi="Arial"/>
          <w:sz w:val="16"/>
          <w:szCs w:val="16"/>
          <w:color w:val="auto"/>
        </w:rPr>
        <w:t>means the United Kingdom of Great Britain and Northern Ireland;</w:t>
      </w:r>
    </w:p>
    <w:p>
      <w:pPr>
        <w:spacing w:after="0" w:line="70" w:lineRule="exact"/>
        <w:rPr>
          <w:rFonts w:ascii="Arial" w:cs="Arial" w:eastAsia="Arial" w:hAnsi="Arial"/>
          <w:sz w:val="16"/>
          <w:szCs w:val="16"/>
          <w:color w:val="auto"/>
        </w:rPr>
      </w:pPr>
    </w:p>
    <w:p>
      <w:pPr>
        <w:ind w:left="558" w:hanging="558"/>
        <w:spacing w:after="0"/>
        <w:tabs>
          <w:tab w:leader="none" w:pos="55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table of contents and headings are for convenience only and shall not affect the interpretation of this Agreement;</w:t>
      </w:r>
    </w:p>
    <w:p>
      <w:pPr>
        <w:spacing w:after="0" w:line="68" w:lineRule="exact"/>
        <w:rPr>
          <w:rFonts w:ascii="Arial" w:cs="Arial" w:eastAsia="Arial" w:hAnsi="Arial"/>
          <w:sz w:val="16"/>
          <w:szCs w:val="16"/>
          <w:color w:val="auto"/>
        </w:rPr>
      </w:pPr>
    </w:p>
    <w:p>
      <w:pPr>
        <w:ind w:left="578" w:hanging="578"/>
        <w:spacing w:after="0"/>
        <w:tabs>
          <w:tab w:leader="none" w:pos="57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general words shall not be given a restrictive meaning:</w:t>
      </w:r>
    </w:p>
    <w:p>
      <w:pPr>
        <w:spacing w:after="0" w:line="68" w:lineRule="exact"/>
        <w:rPr>
          <w:rFonts w:ascii="Arial" w:cs="Arial" w:eastAsia="Arial" w:hAnsi="Arial"/>
          <w:sz w:val="16"/>
          <w:szCs w:val="16"/>
          <w:color w:val="auto"/>
        </w:rPr>
      </w:pPr>
    </w:p>
    <w:p>
      <w:pPr>
        <w:ind w:left="1158" w:right="60" w:hanging="582"/>
        <w:spacing w:after="0" w:line="235" w:lineRule="auto"/>
        <w:tabs>
          <w:tab w:leader="none" w:pos="115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if they are introduced by the word "other" or "including" or similar words by reason of the fact that they are preceded by words indicating a particular class of act, matter or thing; or</w:t>
      </w:r>
    </w:p>
    <w:p>
      <w:pPr>
        <w:spacing w:after="0" w:line="47" w:lineRule="exact"/>
        <w:rPr>
          <w:rFonts w:ascii="Arial" w:cs="Arial" w:eastAsia="Arial" w:hAnsi="Arial"/>
          <w:sz w:val="16"/>
          <w:szCs w:val="16"/>
          <w:color w:val="auto"/>
        </w:rPr>
      </w:pPr>
    </w:p>
    <w:p>
      <w:pPr>
        <w:ind w:left="1138" w:hanging="562"/>
        <w:spacing w:after="0"/>
        <w:tabs>
          <w:tab w:leader="none" w:pos="113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by reason of the fact that they are followed by particular examples intended to be embraced by those general words;</w:t>
      </w:r>
    </w:p>
    <w:p>
      <w:pPr>
        <w:spacing w:after="0" w:line="66" w:lineRule="exact"/>
        <w:rPr>
          <w:rFonts w:ascii="Arial" w:cs="Arial" w:eastAsia="Arial" w:hAnsi="Arial"/>
          <w:sz w:val="16"/>
          <w:szCs w:val="16"/>
          <w:color w:val="auto"/>
        </w:rPr>
      </w:pPr>
    </w:p>
    <w:p>
      <w:pPr>
        <w:jc w:val="both"/>
        <w:ind w:left="578" w:right="40" w:hanging="578"/>
        <w:spacing w:after="0" w:line="225" w:lineRule="auto"/>
        <w:tabs>
          <w:tab w:leader="none" w:pos="57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where any statement is qualified by the expression </w:t>
      </w:r>
      <w:r>
        <w:rPr>
          <w:rFonts w:ascii="Arial" w:cs="Arial" w:eastAsia="Arial" w:hAnsi="Arial"/>
          <w:sz w:val="16"/>
          <w:szCs w:val="16"/>
          <w:b w:val="1"/>
          <w:bCs w:val="1"/>
          <w:color w:val="auto"/>
        </w:rPr>
        <w:t>"so far as the Warrantors are aware"</w:t>
      </w:r>
      <w:r>
        <w:rPr>
          <w:rFonts w:ascii="Arial" w:cs="Arial" w:eastAsia="Arial" w:hAnsi="Arial"/>
          <w:sz w:val="16"/>
          <w:szCs w:val="16"/>
          <w:color w:val="auto"/>
        </w:rPr>
        <w:t xml:space="preserve"> or </w:t>
      </w:r>
      <w:r>
        <w:rPr>
          <w:rFonts w:ascii="Arial" w:cs="Arial" w:eastAsia="Arial" w:hAnsi="Arial"/>
          <w:sz w:val="16"/>
          <w:szCs w:val="16"/>
          <w:b w:val="1"/>
          <w:bCs w:val="1"/>
          <w:color w:val="auto"/>
        </w:rPr>
        <w:t>"to the best of the Warrantors'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knowledge and belief" </w:t>
      </w:r>
      <w:r>
        <w:rPr>
          <w:rFonts w:ascii="Arial" w:cs="Arial" w:eastAsia="Arial" w:hAnsi="Arial"/>
          <w:sz w:val="16"/>
          <w:szCs w:val="16"/>
          <w:color w:val="auto"/>
        </w:rPr>
        <w:t>or any similar expression, it shall be deemed to refer to the actual awareness, knowledge or belief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Warrantors having made due and careful enquiry of:</w:t>
      </w:r>
    </w:p>
    <w:p>
      <w:pPr>
        <w:spacing w:after="0" w:line="48" w:lineRule="exact"/>
        <w:rPr>
          <w:rFonts w:ascii="Arial" w:cs="Arial" w:eastAsia="Arial" w:hAnsi="Arial"/>
          <w:sz w:val="16"/>
          <w:szCs w:val="16"/>
          <w:color w:val="auto"/>
        </w:rPr>
      </w:pPr>
    </w:p>
    <w:p>
      <w:pPr>
        <w:ind w:left="1158" w:hanging="582"/>
        <w:spacing w:after="0"/>
        <w:tabs>
          <w:tab w:leader="none" w:pos="115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38" w:hanging="562"/>
        <w:spacing w:after="0"/>
        <w:tabs>
          <w:tab w:leader="none" w:pos="113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in respect of InstaDeep Dubai (branch) and InstaDeep Abu Dhabi (branch);</w:t>
      </w:r>
    </w:p>
    <w:p>
      <w:pPr>
        <w:spacing w:after="0" w:line="68" w:lineRule="exact"/>
        <w:rPr>
          <w:rFonts w:ascii="Arial" w:cs="Arial" w:eastAsia="Arial" w:hAnsi="Arial"/>
          <w:sz w:val="16"/>
          <w:szCs w:val="16"/>
          <w:color w:val="auto"/>
        </w:rPr>
      </w:pPr>
    </w:p>
    <w:p>
      <w:pPr>
        <w:ind w:left="1138" w:hanging="562"/>
        <w:spacing w:after="0"/>
        <w:tabs>
          <w:tab w:leader="none" w:pos="113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in respect of InstaDeep South Africa (branch);</w:t>
      </w:r>
    </w:p>
    <w:p>
      <w:pPr>
        <w:spacing w:after="0" w:line="68" w:lineRule="exact"/>
        <w:rPr>
          <w:rFonts w:ascii="Arial" w:cs="Arial" w:eastAsia="Arial" w:hAnsi="Arial"/>
          <w:sz w:val="16"/>
          <w:szCs w:val="16"/>
          <w:color w:val="auto"/>
        </w:rPr>
      </w:pPr>
    </w:p>
    <w:p>
      <w:pPr>
        <w:ind w:left="1158" w:right="60" w:hanging="582"/>
        <w:spacing w:after="0" w:line="235" w:lineRule="auto"/>
        <w:tabs>
          <w:tab w:leader="none" w:pos="11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 (only in respect of the Non-Tax Warranties at paragraphs 35 to 40 (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and paragraphs 41 to 43 ( </w:t>
      </w:r>
      <w:r>
        <w:rPr>
          <w:rFonts w:ascii="Arial" w:cs="Arial" w:eastAsia="Arial" w:hAnsi="Arial"/>
          <w:sz w:val="16"/>
          <w:szCs w:val="16"/>
          <w:i w:val="1"/>
          <w:iCs w:val="1"/>
          <w:color w:val="auto"/>
        </w:rPr>
        <w:t>Pensions</w:t>
      </w:r>
      <w:r>
        <w:rPr>
          <w:rFonts w:ascii="Arial" w:cs="Arial" w:eastAsia="Arial" w:hAnsi="Arial"/>
          <w:sz w:val="16"/>
          <w:szCs w:val="16"/>
          <w:color w:val="auto"/>
        </w:rPr>
        <w:t>) of Schedule 4);</w:t>
      </w:r>
    </w:p>
    <w:p>
      <w:pPr>
        <w:spacing w:after="0" w:line="47" w:lineRule="exact"/>
        <w:rPr>
          <w:rFonts w:ascii="Arial" w:cs="Arial" w:eastAsia="Arial" w:hAnsi="Arial"/>
          <w:sz w:val="16"/>
          <w:szCs w:val="16"/>
          <w:color w:val="auto"/>
        </w:rPr>
      </w:pPr>
    </w:p>
    <w:p>
      <w:pPr>
        <w:jc w:val="both"/>
        <w:ind w:left="1158" w:right="40" w:hanging="582"/>
        <w:spacing w:after="0" w:line="224" w:lineRule="auto"/>
        <w:tabs>
          <w:tab w:leader="none" w:pos="11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 (only in respect of the Non-Tax Warranties at paragraphs 9 to 13 ( </w:t>
      </w:r>
      <w:r>
        <w:rPr>
          <w:rFonts w:ascii="Arial" w:cs="Arial" w:eastAsia="Arial" w:hAnsi="Arial"/>
          <w:sz w:val="16"/>
          <w:szCs w:val="16"/>
          <w:i w:val="1"/>
          <w:iCs w:val="1"/>
          <w:color w:val="auto"/>
        </w:rPr>
        <w:t>Accounts</w:t>
      </w:r>
      <w:r>
        <w:rPr>
          <w:rFonts w:ascii="Arial" w:cs="Arial" w:eastAsia="Arial" w:hAnsi="Arial"/>
          <w:sz w:val="16"/>
          <w:szCs w:val="16"/>
          <w:color w:val="auto"/>
        </w:rPr>
        <w:t>), paragraphs 16 to 17 (</w:t>
      </w:r>
      <w:r>
        <w:rPr>
          <w:rFonts w:ascii="Arial" w:cs="Arial" w:eastAsia="Arial" w:hAnsi="Arial"/>
          <w:sz w:val="16"/>
          <w:szCs w:val="16"/>
          <w:i w:val="1"/>
          <w:iCs w:val="1"/>
          <w:color w:val="auto"/>
        </w:rPr>
        <w:t>Insurance</w:t>
      </w:r>
      <w:r>
        <w:rPr>
          <w:rFonts w:ascii="Arial" w:cs="Arial" w:eastAsia="Arial" w:hAnsi="Arial"/>
          <w:sz w:val="16"/>
          <w:szCs w:val="16"/>
          <w:color w:val="auto"/>
        </w:rPr>
        <w:t>), paragraphs 35 to 40 (</w:t>
      </w:r>
      <w:r>
        <w:rPr>
          <w:rFonts w:ascii="Arial" w:cs="Arial" w:eastAsia="Arial" w:hAnsi="Arial"/>
          <w:sz w:val="16"/>
          <w:szCs w:val="16"/>
          <w:i w:val="1"/>
          <w:iCs w:val="1"/>
          <w:color w:val="auto"/>
        </w:rPr>
        <w:t>Employment</w:t>
      </w:r>
      <w:r>
        <w:rPr>
          <w:rFonts w:ascii="Arial" w:cs="Arial" w:eastAsia="Arial" w:hAnsi="Arial"/>
          <w:sz w:val="16"/>
          <w:szCs w:val="16"/>
          <w:color w:val="auto"/>
        </w:rPr>
        <w:t>), paragraphs 41 to 43 (</w:t>
      </w:r>
      <w:r>
        <w:rPr>
          <w:rFonts w:ascii="Arial" w:cs="Arial" w:eastAsia="Arial" w:hAnsi="Arial"/>
          <w:sz w:val="16"/>
          <w:szCs w:val="16"/>
          <w:i w:val="1"/>
          <w:iCs w:val="1"/>
          <w:color w:val="auto"/>
        </w:rPr>
        <w:t>Pensions</w:t>
      </w:r>
      <w:r>
        <w:rPr>
          <w:rFonts w:ascii="Arial" w:cs="Arial" w:eastAsia="Arial" w:hAnsi="Arial"/>
          <w:sz w:val="16"/>
          <w:szCs w:val="16"/>
          <w:color w:val="auto"/>
        </w:rPr>
        <w:t>), paragraph 18 (</w:t>
      </w:r>
      <w:r>
        <w:rPr>
          <w:rFonts w:ascii="Arial" w:cs="Arial" w:eastAsia="Arial" w:hAnsi="Arial"/>
          <w:sz w:val="16"/>
          <w:szCs w:val="16"/>
          <w:i w:val="1"/>
          <w:iCs w:val="1"/>
          <w:color w:val="auto"/>
        </w:rPr>
        <w:t>Contracts and commitments</w:t>
      </w:r>
      <w:r>
        <w:rPr>
          <w:rFonts w:ascii="Arial" w:cs="Arial" w:eastAsia="Arial" w:hAnsi="Arial"/>
          <w:sz w:val="16"/>
          <w:szCs w:val="16"/>
          <w:color w:val="auto"/>
        </w:rPr>
        <w:t>), paragraph 19 (</w:t>
      </w:r>
      <w:r>
        <w:rPr>
          <w:rFonts w:ascii="Arial" w:cs="Arial" w:eastAsia="Arial" w:hAnsi="Arial"/>
          <w:sz w:val="16"/>
          <w:szCs w:val="16"/>
          <w:i w:val="1"/>
          <w:iCs w:val="1"/>
          <w:color w:val="auto"/>
        </w:rPr>
        <w:t>Trading</w:t>
      </w:r>
      <w:r>
        <w:rPr>
          <w:rFonts w:ascii="Arial" w:cs="Arial" w:eastAsia="Arial" w:hAnsi="Arial"/>
          <w:sz w:val="16"/>
          <w:szCs w:val="16"/>
          <w:color w:val="auto"/>
        </w:rPr>
        <w:t xml:space="preserve"> </w:t>
      </w:r>
      <w:r>
        <w:rPr>
          <w:rFonts w:ascii="Arial" w:cs="Arial" w:eastAsia="Arial" w:hAnsi="Arial"/>
          <w:sz w:val="16"/>
          <w:szCs w:val="16"/>
          <w:i w:val="1"/>
          <w:iCs w:val="1"/>
          <w:color w:val="auto"/>
        </w:rPr>
        <w:t>partners</w:t>
      </w:r>
      <w:r>
        <w:rPr>
          <w:rFonts w:ascii="Arial" w:cs="Arial" w:eastAsia="Arial" w:hAnsi="Arial"/>
          <w:sz w:val="16"/>
          <w:szCs w:val="16"/>
          <w:color w:val="auto"/>
        </w:rPr>
        <w:t>) and paragraphs 24 to 25 (</w:t>
      </w:r>
      <w:r>
        <w:rPr>
          <w:rFonts w:ascii="Arial" w:cs="Arial" w:eastAsia="Arial" w:hAnsi="Arial"/>
          <w:sz w:val="16"/>
          <w:szCs w:val="16"/>
          <w:i w:val="1"/>
          <w:iCs w:val="1"/>
          <w:color w:val="auto"/>
        </w:rPr>
        <w:t xml:space="preserve"> Assets</w:t>
      </w:r>
      <w:r>
        <w:rPr>
          <w:rFonts w:ascii="Arial" w:cs="Arial" w:eastAsia="Arial" w:hAnsi="Arial"/>
          <w:sz w:val="16"/>
          <w:szCs w:val="16"/>
          <w:color w:val="auto"/>
        </w:rPr>
        <w:t>) of Schedule 4);</w:t>
      </w:r>
    </w:p>
    <w:p>
      <w:pPr>
        <w:spacing w:after="0" w:line="48" w:lineRule="exact"/>
        <w:rPr>
          <w:rFonts w:ascii="Arial" w:cs="Arial" w:eastAsia="Arial" w:hAnsi="Arial"/>
          <w:sz w:val="16"/>
          <w:szCs w:val="16"/>
          <w:color w:val="auto"/>
        </w:rPr>
      </w:pPr>
    </w:p>
    <w:p>
      <w:pPr>
        <w:ind w:left="1158" w:right="60" w:hanging="582"/>
        <w:spacing w:after="0" w:line="235" w:lineRule="auto"/>
        <w:tabs>
          <w:tab w:leader="none" w:pos="11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 (only in respect of the Non-Tax Warranties at paragraphs 26 to 29 ( </w:t>
      </w:r>
      <w:r>
        <w:rPr>
          <w:rFonts w:ascii="Arial" w:cs="Arial" w:eastAsia="Arial" w:hAnsi="Arial"/>
          <w:sz w:val="16"/>
          <w:szCs w:val="16"/>
          <w:i w:val="1"/>
          <w:iCs w:val="1"/>
          <w:color w:val="auto"/>
        </w:rPr>
        <w:t>Intellectual Property</w:t>
      </w:r>
      <w:r>
        <w:rPr>
          <w:rFonts w:ascii="Arial" w:cs="Arial" w:eastAsia="Arial" w:hAnsi="Arial"/>
          <w:sz w:val="16"/>
          <w:szCs w:val="16"/>
          <w:color w:val="auto"/>
        </w:rPr>
        <w:t>) and paragraph 30 (</w:t>
      </w:r>
      <w:r>
        <w:rPr>
          <w:rFonts w:ascii="Arial" w:cs="Arial" w:eastAsia="Arial" w:hAnsi="Arial"/>
          <w:sz w:val="16"/>
          <w:szCs w:val="16"/>
          <w:i w:val="1"/>
          <w:iCs w:val="1"/>
          <w:color w:val="auto"/>
        </w:rPr>
        <w:t>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technology</w:t>
      </w:r>
      <w:r>
        <w:rPr>
          <w:rFonts w:ascii="Arial" w:cs="Arial" w:eastAsia="Arial" w:hAnsi="Arial"/>
          <w:sz w:val="16"/>
          <w:szCs w:val="16"/>
          <w:color w:val="auto"/>
        </w:rPr>
        <w:t>) of Schedule 4);</w:t>
      </w:r>
    </w:p>
    <w:p>
      <w:pPr>
        <w:spacing w:after="0" w:line="47" w:lineRule="exact"/>
        <w:rPr>
          <w:rFonts w:ascii="Arial" w:cs="Arial" w:eastAsia="Arial" w:hAnsi="Arial"/>
          <w:sz w:val="16"/>
          <w:szCs w:val="16"/>
          <w:color w:val="auto"/>
        </w:rPr>
      </w:pPr>
    </w:p>
    <w:p>
      <w:pPr>
        <w:jc w:val="both"/>
        <w:ind w:left="1158" w:hanging="582"/>
        <w:spacing w:after="0" w:line="224" w:lineRule="auto"/>
        <w:tabs>
          <w:tab w:leader="none" w:pos="11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 (only in respect of the Non-Tax Warranties at paragraph 18 ( </w:t>
      </w:r>
      <w:r>
        <w:rPr>
          <w:rFonts w:ascii="Arial" w:cs="Arial" w:eastAsia="Arial" w:hAnsi="Arial"/>
          <w:sz w:val="16"/>
          <w:szCs w:val="16"/>
          <w:i w:val="1"/>
          <w:iCs w:val="1"/>
          <w:color w:val="auto"/>
        </w:rPr>
        <w:t>Contracts and commitments</w:t>
      </w:r>
      <w:r>
        <w:rPr>
          <w:rFonts w:ascii="Arial" w:cs="Arial" w:eastAsia="Arial" w:hAnsi="Arial"/>
          <w:sz w:val="16"/>
          <w:szCs w:val="16"/>
          <w:color w:val="auto"/>
        </w:rPr>
        <w:t xml:space="preserve"> ), paragraph 19 (</w:t>
      </w:r>
      <w:r>
        <w:rPr>
          <w:rFonts w:ascii="Arial" w:cs="Arial" w:eastAsia="Arial" w:hAnsi="Arial"/>
          <w:sz w:val="16"/>
          <w:szCs w:val="16"/>
          <w:i w:val="1"/>
          <w:iCs w:val="1"/>
          <w:color w:val="auto"/>
        </w:rPr>
        <w:t>Trading partners</w:t>
      </w:r>
      <w:r>
        <w:rPr>
          <w:rFonts w:ascii="Arial" w:cs="Arial" w:eastAsia="Arial" w:hAnsi="Arial"/>
          <w:sz w:val="16"/>
          <w:szCs w:val="16"/>
          <w:color w:val="auto"/>
        </w:rPr>
        <w:t>), paragraph 21 (</w:t>
      </w:r>
      <w:r>
        <w:rPr>
          <w:rFonts w:ascii="Arial" w:cs="Arial" w:eastAsia="Arial" w:hAnsi="Arial"/>
          <w:sz w:val="16"/>
          <w:szCs w:val="16"/>
          <w:i w:val="1"/>
          <w:iCs w:val="1"/>
          <w:color w:val="auto"/>
        </w:rPr>
        <w:t>Competition and trade regulation law</w:t>
      </w:r>
      <w:r>
        <w:rPr>
          <w:rFonts w:ascii="Arial" w:cs="Arial" w:eastAsia="Arial" w:hAnsi="Arial"/>
          <w:sz w:val="16"/>
          <w:szCs w:val="16"/>
          <w:color w:val="auto"/>
        </w:rPr>
        <w:t xml:space="preserve"> ), paragraph 23 (</w:t>
      </w:r>
      <w:r>
        <w:rPr>
          <w:rFonts w:ascii="Arial" w:cs="Arial" w:eastAsia="Arial" w:hAnsi="Arial"/>
          <w:sz w:val="16"/>
          <w:szCs w:val="16"/>
          <w:i w:val="1"/>
          <w:iCs w:val="1"/>
          <w:color w:val="auto"/>
        </w:rPr>
        <w:t>Litigation</w:t>
      </w:r>
      <w:r>
        <w:rPr>
          <w:rFonts w:ascii="Arial" w:cs="Arial" w:eastAsia="Arial" w:hAnsi="Arial"/>
          <w:sz w:val="16"/>
          <w:szCs w:val="16"/>
          <w:color w:val="auto"/>
        </w:rPr>
        <w:t>), paragraphs 26 to 29 (</w:t>
      </w:r>
      <w:r>
        <w:rPr>
          <w:rFonts w:ascii="Arial" w:cs="Arial" w:eastAsia="Arial" w:hAnsi="Arial"/>
          <w:sz w:val="16"/>
          <w:szCs w:val="16"/>
          <w:i w:val="1"/>
          <w:iCs w:val="1"/>
          <w:color w:val="auto"/>
        </w:rPr>
        <w:t>Intellectual Property</w:t>
      </w:r>
      <w:r>
        <w:rPr>
          <w:rFonts w:ascii="Arial" w:cs="Arial" w:eastAsia="Arial" w:hAnsi="Arial"/>
          <w:sz w:val="16"/>
          <w:szCs w:val="16"/>
          <w:color w:val="auto"/>
        </w:rPr>
        <w:t>) and paragraph 34 (</w:t>
      </w:r>
      <w:r>
        <w:rPr>
          <w:rFonts w:ascii="Arial" w:cs="Arial" w:eastAsia="Arial" w:hAnsi="Arial"/>
          <w:sz w:val="16"/>
          <w:szCs w:val="16"/>
          <w:i w:val="1"/>
          <w:iCs w:val="1"/>
          <w:color w:val="auto"/>
        </w:rPr>
        <w:t>Data Protection</w:t>
      </w:r>
      <w:r>
        <w:rPr>
          <w:rFonts w:ascii="Arial" w:cs="Arial" w:eastAsia="Arial" w:hAnsi="Arial"/>
          <w:sz w:val="16"/>
          <w:szCs w:val="16"/>
          <w:color w:val="auto"/>
        </w:rPr>
        <w:t>) of Schedule 4);</w:t>
      </w:r>
    </w:p>
    <w:p>
      <w:pPr>
        <w:spacing w:after="0" w:line="48" w:lineRule="exact"/>
        <w:rPr>
          <w:rFonts w:ascii="Arial" w:cs="Arial" w:eastAsia="Arial" w:hAnsi="Arial"/>
          <w:sz w:val="16"/>
          <w:szCs w:val="16"/>
          <w:color w:val="auto"/>
        </w:rPr>
      </w:pPr>
    </w:p>
    <w:p>
      <w:pPr>
        <w:ind w:left="1138" w:hanging="562"/>
        <w:spacing w:after="0"/>
        <w:tabs>
          <w:tab w:leader="none" w:pos="113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 (only in respect of the Non-Tax Warranties at paragraphs 26 to 29 ( </w:t>
      </w:r>
      <w:r>
        <w:rPr>
          <w:rFonts w:ascii="Arial" w:cs="Arial" w:eastAsia="Arial" w:hAnsi="Arial"/>
          <w:sz w:val="16"/>
          <w:szCs w:val="16"/>
          <w:i w:val="1"/>
          <w:iCs w:val="1"/>
          <w:color w:val="auto"/>
        </w:rPr>
        <w:t>Intellectual Property</w:t>
      </w:r>
      <w:r>
        <w:rPr>
          <w:rFonts w:ascii="Arial" w:cs="Arial" w:eastAsia="Arial" w:hAnsi="Arial"/>
          <w:sz w:val="16"/>
          <w:szCs w:val="16"/>
          <w:color w:val="auto"/>
        </w:rPr>
        <w:t>) of Schedule 4); and</w:t>
      </w:r>
    </w:p>
    <w:p>
      <w:pPr>
        <w:spacing w:after="0" w:line="68" w:lineRule="exact"/>
        <w:rPr>
          <w:rFonts w:ascii="Arial" w:cs="Arial" w:eastAsia="Arial" w:hAnsi="Arial"/>
          <w:sz w:val="16"/>
          <w:szCs w:val="16"/>
          <w:color w:val="auto"/>
        </w:rPr>
      </w:pPr>
    </w:p>
    <w:p>
      <w:pPr>
        <w:ind w:left="1158" w:right="60" w:hanging="582"/>
        <w:spacing w:after="0" w:line="235" w:lineRule="auto"/>
        <w:tabs>
          <w:tab w:leader="none" w:pos="114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the following individuals only in respect of (i) the Non-Tax Warranties at paragraphs 9 to 13 ( </w:t>
      </w:r>
      <w:r>
        <w:rPr>
          <w:rFonts w:ascii="Arial" w:cs="Arial" w:eastAsia="Arial" w:hAnsi="Arial"/>
          <w:sz w:val="16"/>
          <w:szCs w:val="16"/>
          <w:i w:val="1"/>
          <w:iCs w:val="1"/>
          <w:color w:val="auto"/>
        </w:rPr>
        <w:t>Accounts</w:t>
      </w:r>
      <w:r>
        <w:rPr>
          <w:rFonts w:ascii="Arial" w:cs="Arial" w:eastAsia="Arial" w:hAnsi="Arial"/>
          <w:sz w:val="16"/>
          <w:szCs w:val="16"/>
          <w:color w:val="auto"/>
        </w:rPr>
        <w:t>), paragraphs 35 to 40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and paragraphs 41 to 43 ( </w:t>
      </w:r>
      <w:r>
        <w:rPr>
          <w:rFonts w:ascii="Arial" w:cs="Arial" w:eastAsia="Arial" w:hAnsi="Arial"/>
          <w:sz w:val="16"/>
          <w:szCs w:val="16"/>
          <w:i w:val="1"/>
          <w:iCs w:val="1"/>
          <w:color w:val="auto"/>
        </w:rPr>
        <w:t>Pensions</w:t>
      </w:r>
      <w:r>
        <w:rPr>
          <w:rFonts w:ascii="Arial" w:cs="Arial" w:eastAsia="Arial" w:hAnsi="Arial"/>
          <w:sz w:val="16"/>
          <w:szCs w:val="16"/>
          <w:color w:val="auto"/>
        </w:rPr>
        <w:t>) of Schedule 4; and (ii) the Tax Warranties:</w:t>
      </w:r>
    </w:p>
    <w:p>
      <w:pPr>
        <w:spacing w:after="0" w:line="47"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the Company;</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SAS;</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Dubai (branch) and InstaDeep Abu Dhabi (branch);</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Nigeria Limited;</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LLC;</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Tunisia;</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South Africa (branch); and</w:t>
      </w:r>
    </w:p>
    <w:p>
      <w:pPr>
        <w:spacing w:after="0" w:line="68" w:lineRule="exact"/>
        <w:rPr>
          <w:rFonts w:ascii="Arial" w:cs="Arial" w:eastAsia="Arial" w:hAnsi="Arial"/>
          <w:sz w:val="16"/>
          <w:szCs w:val="16"/>
          <w:color w:val="auto"/>
        </w:rPr>
      </w:pPr>
    </w:p>
    <w:p>
      <w:pPr>
        <w:ind w:left="1718" w:hanging="565"/>
        <w:spacing w:after="0"/>
        <w:tabs>
          <w:tab w:leader="none" w:pos="171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 only in respect of InstaDeep Deutschland GmbH;</w:t>
      </w:r>
    </w:p>
    <w:p>
      <w:pPr>
        <w:spacing w:after="0" w:line="68" w:lineRule="exact"/>
        <w:rPr>
          <w:rFonts w:ascii="Arial" w:cs="Arial" w:eastAsia="Arial" w:hAnsi="Arial"/>
          <w:sz w:val="16"/>
          <w:szCs w:val="16"/>
          <w:color w:val="auto"/>
        </w:rPr>
      </w:pPr>
    </w:p>
    <w:p>
      <w:pPr>
        <w:ind w:left="1138" w:hanging="562"/>
        <w:spacing w:after="0"/>
        <w:tabs>
          <w:tab w:leader="none" w:pos="113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(only in respect of the Tax Warranties in respect of InstaDeep SAS).</w:t>
      </w:r>
    </w:p>
    <w:p>
      <w:pPr>
        <w:spacing w:after="0" w:line="68" w:lineRule="exact"/>
        <w:rPr>
          <w:rFonts w:ascii="Arial" w:cs="Arial" w:eastAsia="Arial" w:hAnsi="Arial"/>
          <w:sz w:val="16"/>
          <w:szCs w:val="16"/>
          <w:color w:val="auto"/>
        </w:rPr>
      </w:pPr>
    </w:p>
    <w:p>
      <w:pPr>
        <w:ind w:left="578" w:right="60" w:hanging="578"/>
        <w:spacing w:after="0" w:line="235" w:lineRule="auto"/>
        <w:tabs>
          <w:tab w:leader="none" w:pos="56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where any liability or obligation is undertaken by two or more parties the liability or obligation of each of them shall be several (and not joint and several), unless expressly stated to the contrary;</w:t>
      </w:r>
    </w:p>
    <w:p>
      <w:pPr>
        <w:spacing w:after="0" w:line="47" w:lineRule="exact"/>
        <w:rPr>
          <w:rFonts w:ascii="Arial" w:cs="Arial" w:eastAsia="Arial" w:hAnsi="Arial"/>
          <w:sz w:val="16"/>
          <w:szCs w:val="16"/>
          <w:color w:val="auto"/>
        </w:rPr>
      </w:pPr>
    </w:p>
    <w:p>
      <w:pPr>
        <w:jc w:val="both"/>
        <w:ind w:left="578" w:right="60" w:hanging="578"/>
        <w:spacing w:after="0" w:line="224" w:lineRule="auto"/>
        <w:tabs>
          <w:tab w:leader="none" w:pos="57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for the purposes only of the membership requirement contained in subsections 1159(1)(b) and (c), CA 2006, shares registered in the name of a person (or its nominee) by way of security or in connection with the taking of security shall be treated as held by the person providing the security and shares held by a person as nominee for another shall be treated as held by the other;</w:t>
      </w:r>
    </w:p>
    <w:p>
      <w:pPr>
        <w:spacing w:after="0" w:line="200" w:lineRule="exact"/>
        <w:rPr>
          <w:sz w:val="20"/>
          <w:szCs w:val="20"/>
          <w:color w:val="auto"/>
        </w:rPr>
      </w:pPr>
    </w:p>
    <w:p>
      <w:pPr>
        <w:spacing w:after="0" w:line="329" w:lineRule="exact"/>
        <w:rPr>
          <w:sz w:val="20"/>
          <w:szCs w:val="20"/>
          <w:color w:val="auto"/>
        </w:rPr>
      </w:pPr>
    </w:p>
    <w:p>
      <w:pPr>
        <w:ind w:left="4618"/>
        <w:spacing w:after="0"/>
        <w:rPr>
          <w:sz w:val="20"/>
          <w:szCs w:val="20"/>
          <w:color w:val="auto"/>
        </w:rPr>
      </w:pPr>
      <w:r>
        <w:rPr>
          <w:rFonts w:ascii="Arial" w:cs="Arial" w:eastAsia="Arial" w:hAnsi="Arial"/>
          <w:sz w:val="13"/>
          <w:szCs w:val="13"/>
          <w:color w:val="auto"/>
        </w:rPr>
        <w:t>18</w:t>
      </w:r>
    </w:p>
    <w:p>
      <w:pPr>
        <w:sectPr>
          <w:pgSz w:w="11900" w:h="16840" w:orient="portrait"/>
          <w:cols w:equalWidth="0" w:num="1">
            <w:col w:w="10038"/>
          </w:cols>
          <w:pgMar w:left="1242" w:top="1440" w:right="620" w:bottom="1440" w:gutter="0" w:footer="0" w:header="0"/>
        </w:sectPr>
      </w:pPr>
    </w:p>
    <w:bookmarkStart w:id="369" w:name="page370"/>
    <w:bookmarkEnd w:id="369"/>
    <w:p>
      <w:pPr>
        <w:spacing w:after="0" w:line="331" w:lineRule="exact"/>
        <w:rPr>
          <w:sz w:val="20"/>
          <w:szCs w:val="20"/>
          <w:color w:val="auto"/>
        </w:rPr>
      </w:pPr>
    </w:p>
    <w:p>
      <w:pPr>
        <w:jc w:val="both"/>
        <w:ind w:left="1160" w:right="40" w:hanging="578"/>
        <w:spacing w:after="0" w:line="224" w:lineRule="auto"/>
        <w:tabs>
          <w:tab w:leader="none" w:pos="1148" w:val="left"/>
        </w:tabs>
        <w:numPr>
          <w:ilvl w:val="1"/>
          <w:numId w:val="276"/>
        </w:numPr>
        <w:rPr>
          <w:rFonts w:ascii="Arial" w:cs="Arial" w:eastAsia="Arial" w:hAnsi="Arial"/>
          <w:sz w:val="16"/>
          <w:szCs w:val="16"/>
          <w:color w:val="auto"/>
        </w:rPr>
      </w:pPr>
      <w:r>
        <w:rPr>
          <w:rFonts w:ascii="Arial" w:cs="Arial" w:eastAsia="Arial" w:hAnsi="Arial"/>
          <w:sz w:val="16"/>
          <w:szCs w:val="16"/>
          <w:color w:val="auto"/>
        </w:rPr>
        <w:t>references in any Warranty to any monetary sum expressed in a sterling amount shall, where such sum is referable in whole or part to a particular jurisdiction, be deemed to be a reference to an equivalent amount in the local currency of that jurisdiction translated at the Exchange Rate as at the date on which the relevant Warranty was given;</w:t>
      </w:r>
    </w:p>
    <w:p>
      <w:pPr>
        <w:spacing w:after="0" w:line="48" w:lineRule="exact"/>
        <w:rPr>
          <w:rFonts w:ascii="Arial" w:cs="Arial" w:eastAsia="Arial" w:hAnsi="Arial"/>
          <w:sz w:val="16"/>
          <w:szCs w:val="16"/>
          <w:color w:val="auto"/>
        </w:rPr>
      </w:pPr>
    </w:p>
    <w:p>
      <w:pPr>
        <w:jc w:val="both"/>
        <w:ind w:left="1160" w:right="20" w:hanging="578"/>
        <w:spacing w:after="0" w:line="254" w:lineRule="auto"/>
        <w:tabs>
          <w:tab w:leader="none" w:pos="1148" w:val="left"/>
        </w:tabs>
        <w:numPr>
          <w:ilvl w:val="1"/>
          <w:numId w:val="276"/>
        </w:numPr>
        <w:rPr>
          <w:rFonts w:ascii="Arial" w:cs="Arial" w:eastAsia="Arial" w:hAnsi="Arial"/>
          <w:sz w:val="14"/>
          <w:szCs w:val="14"/>
          <w:color w:val="auto"/>
        </w:rPr>
      </w:pPr>
      <w:r>
        <w:rPr>
          <w:rFonts w:ascii="Arial" w:cs="Arial" w:eastAsia="Arial" w:hAnsi="Arial"/>
          <w:sz w:val="14"/>
          <w:szCs w:val="14"/>
          <w:color w:val="auto"/>
        </w:rPr>
        <w:t xml:space="preserve">where it is necessary to determine whether a monetary limit or threshold set out in clause 14 ( </w:t>
      </w:r>
      <w:r>
        <w:rPr>
          <w:rFonts w:ascii="Arial" w:cs="Arial" w:eastAsia="Arial" w:hAnsi="Arial"/>
          <w:sz w:val="14"/>
          <w:szCs w:val="14"/>
          <w:i w:val="1"/>
          <w:iCs w:val="1"/>
          <w:color w:val="auto"/>
        </w:rPr>
        <w:t>Limitations on liability</w:t>
      </w:r>
      <w:r>
        <w:rPr>
          <w:rFonts w:ascii="Arial" w:cs="Arial" w:eastAsia="Arial" w:hAnsi="Arial"/>
          <w:sz w:val="14"/>
          <w:szCs w:val="14"/>
          <w:color w:val="auto"/>
        </w:rPr>
        <w:t>) has been reached or exceeded (as the case may be) and the value of the relevant claim or any of the relevant claims is expressed in a currency other than sterling, the value of each such claim shall be translated into sterling at the Exchange Rate on the date of receipt by the Warrantors of written notification from the Purchaser in accordance with clause 14 (</w:t>
      </w:r>
      <w:r>
        <w:rPr>
          <w:rFonts w:ascii="Arial" w:cs="Arial" w:eastAsia="Arial" w:hAnsi="Arial"/>
          <w:sz w:val="14"/>
          <w:szCs w:val="14"/>
          <w:i w:val="1"/>
          <w:iCs w:val="1"/>
          <w:color w:val="auto"/>
        </w:rPr>
        <w:t>Limitations on liability</w:t>
      </w:r>
      <w:r>
        <w:rPr>
          <w:rFonts w:ascii="Arial" w:cs="Arial" w:eastAsia="Arial" w:hAnsi="Arial"/>
          <w:sz w:val="14"/>
          <w:szCs w:val="14"/>
          <w:color w:val="auto"/>
        </w:rPr>
        <w:t>) of the existence of such claim; and</w:t>
      </w:r>
    </w:p>
    <w:p>
      <w:pPr>
        <w:spacing w:after="0" w:line="38" w:lineRule="exact"/>
        <w:rPr>
          <w:rFonts w:ascii="Arial" w:cs="Arial" w:eastAsia="Arial" w:hAnsi="Arial"/>
          <w:sz w:val="14"/>
          <w:szCs w:val="14"/>
          <w:color w:val="auto"/>
        </w:rPr>
      </w:pPr>
    </w:p>
    <w:p>
      <w:pPr>
        <w:ind w:left="1160" w:right="40" w:hanging="578"/>
        <w:spacing w:after="0" w:line="235" w:lineRule="auto"/>
        <w:tabs>
          <w:tab w:leader="none" w:pos="1148" w:val="left"/>
        </w:tabs>
        <w:numPr>
          <w:ilvl w:val="1"/>
          <w:numId w:val="276"/>
        </w:numPr>
        <w:rPr>
          <w:rFonts w:ascii="Arial" w:cs="Arial" w:eastAsia="Arial" w:hAnsi="Arial"/>
          <w:sz w:val="16"/>
          <w:szCs w:val="16"/>
          <w:color w:val="auto"/>
        </w:rPr>
      </w:pPr>
      <w:r>
        <w:rPr>
          <w:rFonts w:ascii="Arial" w:cs="Arial" w:eastAsia="Arial" w:hAnsi="Arial"/>
          <w:sz w:val="16"/>
          <w:szCs w:val="16"/>
          <w:color w:val="auto"/>
        </w:rPr>
        <w:t>where any provision is qualified or phrased by reference to the ordinary course of business, such reference shall be construed as meaning the customary course of trading for the business of the Group in the country concerned.</w:t>
      </w:r>
    </w:p>
    <w:p>
      <w:pPr>
        <w:spacing w:after="0" w:line="45" w:lineRule="exact"/>
        <w:rPr>
          <w:rFonts w:ascii="Arial" w:cs="Arial" w:eastAsia="Arial" w:hAnsi="Arial"/>
          <w:sz w:val="16"/>
          <w:szCs w:val="16"/>
          <w:color w:val="auto"/>
        </w:rPr>
      </w:pPr>
    </w:p>
    <w:p>
      <w:pPr>
        <w:ind w:left="300" w:hanging="294"/>
        <w:spacing w:after="0"/>
        <w:tabs>
          <w:tab w:leader="none" w:pos="300"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Conditions precedent</w:t>
      </w:r>
    </w:p>
    <w:p>
      <w:pPr>
        <w:spacing w:after="0" w:line="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Except for the provisions of this clause 2 (Conditions precedent) and the following provisions:</w:t>
      </w:r>
    </w:p>
    <w:p>
      <w:pPr>
        <w:spacing w:after="0" w:line="68" w:lineRule="exact"/>
        <w:rPr>
          <w:sz w:val="20"/>
          <w:szCs w:val="20"/>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1.1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 xml:space="preserve"> );</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sub-clause 3.6 (</w:t>
      </w:r>
      <w:r>
        <w:rPr>
          <w:rFonts w:ascii="Arial" w:cs="Arial" w:eastAsia="Arial" w:hAnsi="Arial"/>
          <w:sz w:val="16"/>
          <w:szCs w:val="16"/>
          <w:i w:val="1"/>
          <w:iCs w:val="1"/>
          <w:color w:val="auto"/>
        </w:rPr>
        <w:t>Sale and purchase)</w:t>
      </w:r>
      <w:r>
        <w:rPr>
          <w:rFonts w:ascii="Arial" w:cs="Arial" w:eastAsia="Arial" w:hAnsi="Arial"/>
          <w:sz w:val="16"/>
          <w:szCs w:val="16"/>
          <w:color w:val="auto"/>
        </w:rPr>
        <w:t xml:space="preserve"> ;</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6 (</w:t>
      </w:r>
      <w:r>
        <w:rPr>
          <w:rFonts w:ascii="Arial" w:cs="Arial" w:eastAsia="Arial" w:hAnsi="Arial"/>
          <w:sz w:val="16"/>
          <w:szCs w:val="16"/>
          <w:i w:val="1"/>
          <w:iCs w:val="1"/>
          <w:color w:val="auto"/>
        </w:rPr>
        <w:t>Pre Completion obligations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sub-clause 7.5 (</w:t>
      </w:r>
      <w:r>
        <w:rPr>
          <w:rFonts w:ascii="Arial" w:cs="Arial" w:eastAsia="Arial" w:hAnsi="Arial"/>
          <w:sz w:val="16"/>
          <w:szCs w:val="16"/>
          <w:i w:val="1"/>
          <w:iCs w:val="1"/>
          <w:color w:val="auto"/>
        </w:rPr>
        <w:t>Completion</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10 (</w:t>
      </w:r>
      <w:r>
        <w:rPr>
          <w:rFonts w:ascii="Arial" w:cs="Arial" w:eastAsia="Arial" w:hAnsi="Arial"/>
          <w:sz w:val="16"/>
          <w:szCs w:val="16"/>
          <w:i w:val="1"/>
          <w:iCs w:val="1"/>
          <w:color w:val="auto"/>
        </w:rPr>
        <w:t>Warranties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19 (</w:t>
      </w:r>
      <w:r>
        <w:rPr>
          <w:rFonts w:ascii="Arial" w:cs="Arial" w:eastAsia="Arial" w:hAnsi="Arial"/>
          <w:sz w:val="16"/>
          <w:szCs w:val="16"/>
          <w:i w:val="1"/>
          <w:iCs w:val="1"/>
          <w:color w:val="auto"/>
        </w:rPr>
        <w:t>General</w:t>
      </w:r>
      <w:r>
        <w:rPr>
          <w:rFonts w:ascii="Arial" w:cs="Arial" w:eastAsia="Arial" w:hAnsi="Arial"/>
          <w:sz w:val="16"/>
          <w:szCs w:val="16"/>
          <w:color w:val="auto"/>
        </w:rPr>
        <w:t>) save for sub-clauses 19.5 (</w:t>
      </w:r>
      <w:r>
        <w:rPr>
          <w:rFonts w:ascii="Arial" w:cs="Arial" w:eastAsia="Arial" w:hAnsi="Arial"/>
          <w:sz w:val="16"/>
          <w:szCs w:val="16"/>
          <w:i w:val="1"/>
          <w:iCs w:val="1"/>
          <w:color w:val="auto"/>
        </w:rPr>
        <w:t>Effect of Completion</w:t>
      </w:r>
      <w:r>
        <w:rPr>
          <w:rFonts w:ascii="Arial" w:cs="Arial" w:eastAsia="Arial" w:hAnsi="Arial"/>
          <w:sz w:val="16"/>
          <w:szCs w:val="16"/>
          <w:color w:val="auto"/>
        </w:rPr>
        <w:t>) and 19.8 (</w:t>
      </w:r>
      <w:r>
        <w:rPr>
          <w:rFonts w:ascii="Arial" w:cs="Arial" w:eastAsia="Arial" w:hAnsi="Arial"/>
          <w:sz w:val="16"/>
          <w:szCs w:val="16"/>
          <w:i w:val="1"/>
          <w:iCs w:val="1"/>
          <w:color w:val="auto"/>
        </w:rPr>
        <w:t>Further assurance</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20 (</w:t>
      </w:r>
      <w:r>
        <w:rPr>
          <w:rFonts w:ascii="Arial" w:cs="Arial" w:eastAsia="Arial" w:hAnsi="Arial"/>
          <w:sz w:val="16"/>
          <w:szCs w:val="16"/>
          <w:i w:val="1"/>
          <w:iCs w:val="1"/>
          <w:color w:val="auto"/>
        </w:rPr>
        <w:t>Announcements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21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w:t>
      </w:r>
    </w:p>
    <w:p>
      <w:pPr>
        <w:spacing w:after="0" w:line="68" w:lineRule="exact"/>
        <w:rPr>
          <w:rFonts w:ascii="Arial" w:cs="Arial" w:eastAsia="Arial" w:hAnsi="Arial"/>
          <w:sz w:val="16"/>
          <w:szCs w:val="16"/>
          <w:color w:val="auto"/>
        </w:rPr>
      </w:pPr>
    </w:p>
    <w:p>
      <w:pPr>
        <w:ind w:left="1160" w:hanging="578"/>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23 (</w:t>
      </w:r>
      <w:r>
        <w:rPr>
          <w:rFonts w:ascii="Arial" w:cs="Arial" w:eastAsia="Arial" w:hAnsi="Arial"/>
          <w:sz w:val="16"/>
          <w:szCs w:val="16"/>
          <w:i w:val="1"/>
          <w:iCs w:val="1"/>
          <w:color w:val="auto"/>
        </w:rPr>
        <w:t>Payments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60" w:hanging="578"/>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24 (</w:t>
      </w:r>
      <w:r>
        <w:rPr>
          <w:rFonts w:ascii="Arial" w:cs="Arial" w:eastAsia="Arial" w:hAnsi="Arial"/>
          <w:sz w:val="16"/>
          <w:szCs w:val="16"/>
          <w:i w:val="1"/>
          <w:iCs w:val="1"/>
          <w:color w:val="auto"/>
        </w:rPr>
        <w:t>Notices</w:t>
      </w:r>
      <w:r>
        <w:rPr>
          <w:rFonts w:ascii="Arial" w:cs="Arial" w:eastAsia="Arial" w:hAnsi="Arial"/>
          <w:sz w:val="16"/>
          <w:szCs w:val="16"/>
          <w:color w:val="auto"/>
        </w:rPr>
        <w:t>);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clause 28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w:t>
      </w:r>
    </w:p>
    <w:p>
      <w:pPr>
        <w:spacing w:after="0" w:line="68" w:lineRule="exact"/>
        <w:rPr>
          <w:sz w:val="20"/>
          <w:szCs w:val="20"/>
          <w:color w:val="auto"/>
        </w:rPr>
      </w:pPr>
    </w:p>
    <w:p>
      <w:pPr>
        <w:jc w:val="both"/>
        <w:ind w:left="580"/>
        <w:spacing w:after="0" w:line="224" w:lineRule="auto"/>
        <w:rPr>
          <w:sz w:val="20"/>
          <w:szCs w:val="20"/>
          <w:color w:val="auto"/>
        </w:rPr>
      </w:pPr>
      <w:r>
        <w:rPr>
          <w:rFonts w:ascii="Arial" w:cs="Arial" w:eastAsia="Arial" w:hAnsi="Arial"/>
          <w:sz w:val="16"/>
          <w:szCs w:val="16"/>
          <w:color w:val="auto"/>
        </w:rPr>
        <w:t xml:space="preserve">which shall all be effective from the date of this Agreement notwithstanding this sub -clause 2.1 ( </w:t>
      </w:r>
      <w:r>
        <w:rPr>
          <w:rFonts w:ascii="Arial" w:cs="Arial" w:eastAsia="Arial" w:hAnsi="Arial"/>
          <w:sz w:val="16"/>
          <w:szCs w:val="16"/>
          <w:i w:val="1"/>
          <w:iCs w:val="1"/>
          <w:color w:val="auto"/>
        </w:rPr>
        <w:t>Conditions precedent</w:t>
      </w:r>
      <w:r>
        <w:rPr>
          <w:rFonts w:ascii="Arial" w:cs="Arial" w:eastAsia="Arial" w:hAnsi="Arial"/>
          <w:sz w:val="16"/>
          <w:szCs w:val="16"/>
          <w:color w:val="auto"/>
        </w:rPr>
        <w:t>), all other provisions of this Agreement and Completion are in all respects conditional upon satisfaction or waiver of the Conditions in accordance with this clause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4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The Conditions are that:</w:t>
      </w:r>
    </w:p>
    <w:p>
      <w:pPr>
        <w:spacing w:after="0" w:line="68" w:lineRule="exact"/>
        <w:rPr>
          <w:sz w:val="20"/>
          <w:szCs w:val="20"/>
          <w:color w:val="auto"/>
        </w:rPr>
      </w:pPr>
    </w:p>
    <w:p>
      <w:pPr>
        <w:jc w:val="both"/>
        <w:ind w:left="1160" w:right="40" w:hanging="578"/>
        <w:spacing w:after="0" w:line="228" w:lineRule="auto"/>
        <w:tabs>
          <w:tab w:leader="none" w:pos="114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to the extent that the Transaction amounts to a trigger event under section 5(1) of the UK National Security and Investment Act 2021 (</w:t>
      </w:r>
      <w:r>
        <w:rPr>
          <w:rFonts w:ascii="Arial" w:cs="Arial" w:eastAsia="Arial" w:hAnsi="Arial"/>
          <w:sz w:val="16"/>
          <w:szCs w:val="16"/>
          <w:b w:val="1"/>
          <w:bCs w:val="1"/>
          <w:color w:val="auto"/>
        </w:rPr>
        <w:t>"NSIA"</w:t>
      </w:r>
      <w:r>
        <w:rPr>
          <w:rFonts w:ascii="Arial" w:cs="Arial" w:eastAsia="Arial" w:hAnsi="Arial"/>
          <w:sz w:val="16"/>
          <w:szCs w:val="16"/>
          <w:color w:val="auto"/>
        </w:rPr>
        <w:t xml:space="preserve">), notification having been accepted by or on behalf of the Secretary of State for Business, Energy and Industrial Strategy (or a representative) (the </w:t>
      </w:r>
      <w:r>
        <w:rPr>
          <w:rFonts w:ascii="Arial" w:cs="Arial" w:eastAsia="Arial" w:hAnsi="Arial"/>
          <w:sz w:val="16"/>
          <w:szCs w:val="16"/>
          <w:b w:val="1"/>
          <w:bCs w:val="1"/>
          <w:color w:val="auto"/>
        </w:rPr>
        <w:t>"Secretary of State"</w:t>
      </w:r>
      <w:r>
        <w:rPr>
          <w:rFonts w:ascii="Arial" w:cs="Arial" w:eastAsia="Arial" w:hAnsi="Arial"/>
          <w:sz w:val="16"/>
          <w:szCs w:val="16"/>
          <w:color w:val="auto"/>
        </w:rPr>
        <w:t>), and the Secretary of State for the purposes of the NSIA either:</w:t>
      </w:r>
    </w:p>
    <w:p>
      <w:pPr>
        <w:spacing w:after="0" w:line="39" w:lineRule="exact"/>
        <w:rPr>
          <w:rFonts w:ascii="Arial" w:cs="Arial" w:eastAsia="Arial" w:hAnsi="Arial"/>
          <w:sz w:val="16"/>
          <w:szCs w:val="16"/>
          <w:color w:val="auto"/>
        </w:rPr>
      </w:pPr>
    </w:p>
    <w:p>
      <w:pPr>
        <w:ind w:left="1740" w:hanging="582"/>
        <w:spacing w:after="0"/>
        <w:tabs>
          <w:tab w:leader="none" w:pos="174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notifies the Purchaser that no further action will be taken by the Secretary of State in relation to the Transaction; or</w:t>
      </w:r>
    </w:p>
    <w:p>
      <w:pPr>
        <w:spacing w:after="0" w:line="68" w:lineRule="exact"/>
        <w:rPr>
          <w:rFonts w:ascii="Arial" w:cs="Arial" w:eastAsia="Arial" w:hAnsi="Arial"/>
          <w:sz w:val="16"/>
          <w:szCs w:val="16"/>
          <w:color w:val="auto"/>
        </w:rPr>
      </w:pPr>
    </w:p>
    <w:p>
      <w:pPr>
        <w:jc w:val="both"/>
        <w:ind w:left="1740" w:right="20" w:hanging="582"/>
        <w:spacing w:after="0" w:line="200" w:lineRule="auto"/>
        <w:tabs>
          <w:tab w:leader="none" w:pos="1740" w:val="left"/>
        </w:tabs>
        <w:numPr>
          <w:ilvl w:val="1"/>
          <w:numId w:val="279"/>
        </w:numPr>
        <w:rPr>
          <w:rFonts w:ascii="Arial" w:cs="Arial" w:eastAsia="Arial" w:hAnsi="Arial"/>
          <w:sz w:val="22"/>
          <w:szCs w:val="22"/>
          <w:color w:val="auto"/>
          <w:vertAlign w:val="superscript"/>
        </w:rPr>
      </w:pPr>
      <w:r>
        <w:rPr>
          <w:rFonts w:ascii="Arial" w:cs="Arial" w:eastAsia="Arial" w:hAnsi="Arial"/>
          <w:sz w:val="16"/>
          <w:szCs w:val="16"/>
          <w:color w:val="auto"/>
        </w:rPr>
        <w:t>makes a final order permitting the Transaction to proceed subject only to such remedies or requirements that are in all respects acceptable to the Purchaser and the Sellers (and to the extent relevant, all conditions, provisions or obligations contained in such final order which are necessary for completion of the Transaction having been satisfied or complied with), and such order is not revoked or varied before Completion;</w:t>
      </w:r>
    </w:p>
    <w:p>
      <w:pPr>
        <w:spacing w:after="0" w:line="49" w:lineRule="exact"/>
        <w:rPr>
          <w:rFonts w:ascii="Arial" w:cs="Arial" w:eastAsia="Arial" w:hAnsi="Arial"/>
          <w:sz w:val="22"/>
          <w:szCs w:val="22"/>
          <w:color w:val="auto"/>
          <w:vertAlign w:val="superscript"/>
        </w:rPr>
      </w:pPr>
    </w:p>
    <w:p>
      <w:pPr>
        <w:ind w:left="1160" w:right="40" w:hanging="578"/>
        <w:spacing w:after="0" w:line="235" w:lineRule="auto"/>
        <w:tabs>
          <w:tab w:leader="none" w:pos="114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to the extent that the Transaction requires a mandatory notification to the German Federal Cartel Office ( </w:t>
      </w:r>
      <w:r>
        <w:rPr>
          <w:rFonts w:ascii="Arial" w:cs="Arial" w:eastAsia="Arial" w:hAnsi="Arial"/>
          <w:sz w:val="16"/>
          <w:szCs w:val="16"/>
          <w:i w:val="1"/>
          <w:iCs w:val="1"/>
          <w:color w:val="auto"/>
        </w:rPr>
        <w:t>Bundeskartellamt</w:t>
      </w:r>
      <w:r>
        <w:rPr>
          <w:rFonts w:ascii="Arial" w:cs="Arial" w:eastAsia="Arial" w:hAnsi="Arial"/>
          <w:sz w:val="16"/>
          <w:szCs w:val="16"/>
          <w:color w:val="auto"/>
        </w:rPr>
        <w:t>), that the German Federal Cartel Office:</w:t>
      </w:r>
    </w:p>
    <w:p>
      <w:pPr>
        <w:spacing w:after="0" w:line="47" w:lineRule="exact"/>
        <w:rPr>
          <w:rFonts w:ascii="Arial" w:cs="Arial" w:eastAsia="Arial" w:hAnsi="Arial"/>
          <w:sz w:val="16"/>
          <w:szCs w:val="16"/>
          <w:color w:val="auto"/>
        </w:rPr>
      </w:pPr>
    </w:p>
    <w:p>
      <w:pPr>
        <w:ind w:left="1740" w:right="40" w:hanging="582"/>
        <w:spacing w:after="0" w:line="235" w:lineRule="auto"/>
        <w:tabs>
          <w:tab w:leader="none" w:pos="174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has not announced within the one month period a decision to open in-depth review proceedings in relation to the Transaction (</w:t>
      </w:r>
      <w:r>
        <w:rPr>
          <w:rFonts w:ascii="Arial" w:cs="Arial" w:eastAsia="Arial" w:hAnsi="Arial"/>
          <w:sz w:val="16"/>
          <w:szCs w:val="16"/>
          <w:i w:val="1"/>
          <w:iCs w:val="1"/>
          <w:color w:val="auto"/>
        </w:rPr>
        <w:t>Hauptprüfverfahren</w:t>
      </w:r>
      <w:r>
        <w:rPr>
          <w:rFonts w:ascii="Arial" w:cs="Arial" w:eastAsia="Arial" w:hAnsi="Arial"/>
          <w:sz w:val="16"/>
          <w:szCs w:val="16"/>
          <w:color w:val="auto"/>
        </w:rPr>
        <w:t>); or</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has explicitly stated to not oppose the Transaction;</w:t>
      </w:r>
    </w:p>
    <w:p>
      <w:pPr>
        <w:spacing w:after="0" w:line="68" w:lineRule="exact"/>
        <w:rPr>
          <w:rFonts w:ascii="Arial" w:cs="Arial" w:eastAsia="Arial" w:hAnsi="Arial"/>
          <w:sz w:val="16"/>
          <w:szCs w:val="16"/>
          <w:color w:val="auto"/>
        </w:rPr>
      </w:pPr>
    </w:p>
    <w:p>
      <w:pPr>
        <w:ind w:left="1160" w:right="40" w:hanging="578"/>
        <w:spacing w:after="0" w:line="241" w:lineRule="auto"/>
        <w:tabs>
          <w:tab w:leader="none" w:pos="114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to the extent that the Transaction requires a mandatory notification to the German Federal Ministry for Economic Affairs and Climate Action (</w:t>
      </w:r>
      <w:r>
        <w:rPr>
          <w:rFonts w:ascii="Arial" w:cs="Arial" w:eastAsia="Arial" w:hAnsi="Arial"/>
          <w:sz w:val="16"/>
          <w:szCs w:val="16"/>
          <w:i w:val="1"/>
          <w:iCs w:val="1"/>
          <w:color w:val="auto"/>
        </w:rPr>
        <w:t>Bundesministerium für Wirtschaft und Klimaschutz</w:t>
      </w:r>
      <w:r>
        <w:rPr>
          <w:rFonts w:ascii="Arial" w:cs="Arial" w:eastAsia="Arial" w:hAnsi="Arial"/>
          <w:sz w:val="16"/>
          <w:szCs w:val="16"/>
          <w:color w:val="auto"/>
        </w:rPr>
        <w:t xml:space="preserve"> , </w:t>
      </w:r>
      <w:r>
        <w:rPr>
          <w:rFonts w:ascii="Arial" w:cs="Arial" w:eastAsia="Arial" w:hAnsi="Arial"/>
          <w:sz w:val="16"/>
          <w:szCs w:val="16"/>
          <w:b w:val="1"/>
          <w:bCs w:val="1"/>
          <w:color w:val="auto"/>
        </w:rPr>
        <w:t>"BMWK"</w:t>
      </w:r>
      <w:r>
        <w:rPr>
          <w:rFonts w:ascii="Arial" w:cs="Arial" w:eastAsia="Arial" w:hAnsi="Arial"/>
          <w:sz w:val="16"/>
          <w:szCs w:val="16"/>
          <w:color w:val="auto"/>
        </w:rPr>
        <w:t>), the Transaction having been approved, or</w:t>
      </w: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19</w:t>
      </w:r>
    </w:p>
    <w:p>
      <w:pPr>
        <w:sectPr>
          <w:pgSz w:w="11900" w:h="16840" w:orient="portrait"/>
          <w:cols w:equalWidth="0" w:num="1">
            <w:col w:w="10600"/>
          </w:cols>
          <w:pgMar w:left="660" w:top="1440" w:right="640" w:bottom="1440" w:gutter="0" w:footer="0" w:header="0"/>
        </w:sectPr>
      </w:pPr>
    </w:p>
    <w:bookmarkStart w:id="370" w:name="page371"/>
    <w:bookmarkEnd w:id="370"/>
    <w:p>
      <w:pPr>
        <w:spacing w:after="0" w:line="331" w:lineRule="exact"/>
        <w:rPr>
          <w:sz w:val="20"/>
          <w:szCs w:val="20"/>
          <w:color w:val="auto"/>
        </w:rPr>
      </w:pPr>
    </w:p>
    <w:p>
      <w:pPr>
        <w:ind w:left="1160" w:right="20"/>
        <w:spacing w:after="0" w:line="235" w:lineRule="auto"/>
        <w:rPr>
          <w:sz w:val="20"/>
          <w:szCs w:val="20"/>
          <w:color w:val="auto"/>
        </w:rPr>
      </w:pPr>
      <w:r>
        <w:rPr>
          <w:rFonts w:ascii="Arial" w:cs="Arial" w:eastAsia="Arial" w:hAnsi="Arial"/>
          <w:sz w:val="16"/>
          <w:szCs w:val="16"/>
          <w:color w:val="auto"/>
        </w:rPr>
        <w:t>being deemed to have been approved, by the BMWK, or any stand-still obligation or prohibition to complete the Transaction having otherwise fallen away;</w:t>
      </w:r>
    </w:p>
    <w:p>
      <w:pPr>
        <w:spacing w:after="0" w:line="48" w:lineRule="exact"/>
        <w:rPr>
          <w:sz w:val="20"/>
          <w:szCs w:val="20"/>
          <w:color w:val="auto"/>
        </w:rPr>
      </w:pPr>
    </w:p>
    <w:p>
      <w:pPr>
        <w:jc w:val="both"/>
        <w:ind w:left="1160" w:hanging="578"/>
        <w:spacing w:after="0" w:line="224" w:lineRule="auto"/>
        <w:tabs>
          <w:tab w:leader="none" w:pos="114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to the extent that the Transaction requires a mandatory notification to the French Minister for Economy ( </w:t>
      </w:r>
      <w:r>
        <w:rPr>
          <w:rFonts w:ascii="Arial" w:cs="Arial" w:eastAsia="Arial" w:hAnsi="Arial"/>
          <w:sz w:val="16"/>
          <w:szCs w:val="16"/>
          <w:i w:val="1"/>
          <w:iCs w:val="1"/>
          <w:color w:val="auto"/>
        </w:rPr>
        <w:t>Ministre de l'Economie, des</w:t>
      </w:r>
      <w:r>
        <w:rPr>
          <w:rFonts w:ascii="Arial" w:cs="Arial" w:eastAsia="Arial" w:hAnsi="Arial"/>
          <w:sz w:val="16"/>
          <w:szCs w:val="16"/>
          <w:color w:val="auto"/>
        </w:rPr>
        <w:t xml:space="preserve"> </w:t>
      </w:r>
      <w:r>
        <w:rPr>
          <w:rFonts w:ascii="Arial" w:cs="Arial" w:eastAsia="Arial" w:hAnsi="Arial"/>
          <w:sz w:val="16"/>
          <w:szCs w:val="16"/>
          <w:i w:val="1"/>
          <w:iCs w:val="1"/>
          <w:color w:val="auto"/>
        </w:rPr>
        <w:t>Finances et de la Souveraineté industrielle et numérique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"Minister for Economy"</w:t>
      </w:r>
      <w:r>
        <w:rPr>
          <w:rFonts w:ascii="Arial" w:cs="Arial" w:eastAsia="Arial" w:hAnsi="Arial"/>
          <w:sz w:val="16"/>
          <w:szCs w:val="16"/>
          <w:color w:val="auto"/>
        </w:rPr>
        <w:t>) under Articles L.151-3 et seq. and R. 151-3 et seq.</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French Monetary and Financial Code:</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Minister for Economy having concluded that prior approval of the Transaction is not required under foreign direct investment screening regulation as not all of the conditions for screening have been met, or</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Minister for Economy having concluded that the Transaction is authorised (with or without condition(s));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any stand-still obligation or prohibition to complete the Transaction having otherwise fallen away;</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to the extent that the Transaction requires a mandatory merger notification to the General Authority for Competition in Saudi Arabia (</w:t>
      </w:r>
      <w:r>
        <w:rPr>
          <w:rFonts w:ascii="Arial" w:cs="Arial" w:eastAsia="Arial" w:hAnsi="Arial"/>
          <w:sz w:val="16"/>
          <w:szCs w:val="16"/>
          <w:b w:val="1"/>
          <w:bCs w:val="1"/>
          <w:color w:val="auto"/>
        </w:rPr>
        <w:t>"GAC"</w:t>
      </w:r>
      <w:r>
        <w:rPr>
          <w:rFonts w:ascii="Arial" w:cs="Arial" w:eastAsia="Arial" w:hAnsi="Arial"/>
          <w:sz w:val="16"/>
          <w:szCs w:val="16"/>
          <w:color w:val="auto"/>
        </w:rPr>
        <w:t>), the Transaction having been approved, or being deemed to have been approved, by the GAC, or any stand-still obligation or prohibition to complete the Transaction having otherwise fallen away;</w:t>
      </w:r>
    </w:p>
    <w:p>
      <w:pPr>
        <w:spacing w:after="0" w:line="46" w:lineRule="exact"/>
        <w:rPr>
          <w:rFonts w:ascii="Arial" w:cs="Arial" w:eastAsia="Arial" w:hAnsi="Arial"/>
          <w:sz w:val="16"/>
          <w:szCs w:val="16"/>
          <w:color w:val="auto"/>
        </w:rPr>
      </w:pPr>
    </w:p>
    <w:p>
      <w:pPr>
        <w:jc w:val="both"/>
        <w:ind w:left="1160" w:hanging="578"/>
        <w:spacing w:after="0" w:line="225" w:lineRule="auto"/>
        <w:tabs>
          <w:tab w:leader="none" w:pos="114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to the extent that the Transaction requires a mandatory merger notification to the Taiwan Fair Trade Commission ( </w:t>
      </w:r>
      <w:r>
        <w:rPr>
          <w:rFonts w:ascii="Arial" w:cs="Arial" w:eastAsia="Arial" w:hAnsi="Arial"/>
          <w:sz w:val="16"/>
          <w:szCs w:val="16"/>
          <w:b w:val="1"/>
          <w:bCs w:val="1"/>
          <w:color w:val="auto"/>
        </w:rPr>
        <w:t>"TFTC"</w:t>
      </w:r>
      <w:r>
        <w:rPr>
          <w:rFonts w:ascii="Arial" w:cs="Arial" w:eastAsia="Arial" w:hAnsi="Arial"/>
          <w:sz w:val="16"/>
          <w:szCs w:val="16"/>
          <w:color w:val="auto"/>
        </w:rPr>
        <w:t>), the Transaction having been approved, or being deemed to have been approved, by the TFTC, or any stand-still obligation or prohibition to complete the Transaction having otherwise fallen away; and</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Central Bank of Tunisia having provided its authorisation(s), approval(s) or equivalent confirmation evidencing that the Central Bank of Tunisia has no objections to:</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exercise by the Tunisian Sellers of their options granted under the Stock Option Plan, in each case on or prior to Completion;</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sale by the Tunisian Sellers of their respective Shares on terms and conditions set out in this Agreement;</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receipt by the Tunisian Sellers of their respective Consideration ADSs on terms and conditions set out in this Agreement; and</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80"/>
        </w:numPr>
        <w:rPr>
          <w:rFonts w:ascii="Arial" w:cs="Arial" w:eastAsia="Arial" w:hAnsi="Arial"/>
          <w:sz w:val="16"/>
          <w:szCs w:val="16"/>
          <w:color w:val="auto"/>
        </w:rPr>
      </w:pPr>
      <w:r>
        <w:rPr>
          <w:rFonts w:ascii="Arial" w:cs="Arial" w:eastAsia="Arial" w:hAnsi="Arial"/>
          <w:sz w:val="16"/>
          <w:szCs w:val="16"/>
          <w:color w:val="auto"/>
        </w:rPr>
        <w:t>any other matters as may be submitted to it by the relevant Tunisian Sellers and that are necessary in order to proceed to Completion under this Agreement</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together, the </w:t>
      </w:r>
      <w:r>
        <w:rPr>
          <w:rFonts w:ascii="Arial" w:cs="Arial" w:eastAsia="Arial" w:hAnsi="Arial"/>
          <w:sz w:val="16"/>
          <w:szCs w:val="16"/>
          <w:b w:val="1"/>
          <w:bCs w:val="1"/>
          <w:color w:val="auto"/>
        </w:rPr>
        <w:t>"CBT Condition"</w:t>
      </w:r>
      <w:r>
        <w:rPr>
          <w:rFonts w:ascii="Arial" w:cs="Arial" w:eastAsia="Arial" w:hAnsi="Arial"/>
          <w:sz w:val="16"/>
          <w:szCs w:val="16"/>
          <w:color w:val="auto"/>
        </w:rPr>
        <w:t>.</w:t>
      </w:r>
    </w:p>
    <w:p>
      <w:pPr>
        <w:spacing w:after="0" w:line="70" w:lineRule="exact"/>
        <w:rPr>
          <w:sz w:val="20"/>
          <w:szCs w:val="20"/>
          <w:color w:val="auto"/>
        </w:rPr>
      </w:pPr>
    </w:p>
    <w:p>
      <w:pPr>
        <w:jc w:val="both"/>
        <w:ind w:left="480" w:hanging="575"/>
        <w:spacing w:after="0" w:line="212" w:lineRule="auto"/>
        <w:tabs>
          <w:tab w:leader="none" w:pos="4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The Purchaser shall (so far as it lies within its powers) use all reasonable endeavours to procure that the Conditions are satisfied as soon as practicable and, in any event, not later than 31 July 2023 (or such later date as the Purchaser and the Sellers may agree), including agreeing, accepting and implementing any commercially reasonable undertakings, commitments, measures and other steps (each a "Commitment") necessary to avoid or negate any action (including any order, decision, judgment or injunction) that would otherwise have the effect of preventing the Conditions from being satisfied. The Purchaser shall not accept or agree to any undertaking, commitment, divestment, condition, obligation, measure, modification or other step in connection with satisfying any of the Conditions that requires any amendment, variation or modification to the terms of this Agreement, without the prior written approval of the Sellers' Representatives.</w:t>
      </w:r>
    </w:p>
    <w:p>
      <w:pPr>
        <w:spacing w:after="0" w:line="5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color w:val="auto"/>
        </w:rPr>
        <w:t>The Purchaser shall for the purposes of clause 2.3 above:</w:t>
      </w:r>
    </w:p>
    <w:p>
      <w:pPr>
        <w:spacing w:after="0" w:line="68" w:lineRule="exact"/>
        <w:rPr>
          <w:sz w:val="20"/>
          <w:szCs w:val="20"/>
          <w:color w:val="auto"/>
        </w:rPr>
      </w:pPr>
    </w:p>
    <w:p>
      <w:pPr>
        <w:ind w:left="1160" w:right="20" w:hanging="578"/>
        <w:spacing w:after="0" w:line="235" w:lineRule="auto"/>
        <w:tabs>
          <w:tab w:leader="none" w:pos="114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prepare, or procure preparation of, in a form reasonably acceptable to the Sellers, the relevant notifications or filings required in order to fulfil the Conditions as soon as possible after the date of this Agreement;</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promptly deal with all requests and enquiries from any Relevant Authority and provide all information which is required by any of them in connection with satisfying the Conditions;</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promptly notify the Sellers and provide copies or, in the case of non-written communications, details, of any communications with a Relevant Authority relating to any such consent, approval or action to fulfil the Conditions;</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provide the Sellers with final drafts of all submissions, notifications, filings and other communications to any Relevant Authority at such time as will allow the Sellers a reasonable opportunity to provide comments and for the Purchaser, in its reasonable</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ectPr>
          <w:pgSz w:w="11900" w:h="16840" w:orient="portrait"/>
          <w:cols w:equalWidth="0" w:num="1">
            <w:col w:w="10580"/>
          </w:cols>
          <w:pgMar w:left="660" w:top="1440" w:right="660" w:bottom="1440" w:gutter="0" w:footer="0" w:header="0"/>
        </w:sectPr>
      </w:pPr>
    </w:p>
    <w:bookmarkStart w:id="371" w:name="page372"/>
    <w:bookmarkEnd w:id="371"/>
    <w:p>
      <w:pPr>
        <w:spacing w:after="0" w:line="33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discretion, to take account of any comments of the Sellers on such drafts prior to their submission;</w:t>
      </w:r>
    </w:p>
    <w:p>
      <w:pPr>
        <w:spacing w:after="0" w:line="68" w:lineRule="exact"/>
        <w:rPr>
          <w:sz w:val="20"/>
          <w:szCs w:val="20"/>
          <w:color w:val="auto"/>
        </w:rPr>
      </w:pPr>
    </w:p>
    <w:p>
      <w:pPr>
        <w:jc w:val="both"/>
        <w:ind w:left="1160" w:hanging="578"/>
        <w:spacing w:after="0" w:line="219" w:lineRule="auto"/>
        <w:tabs>
          <w:tab w:leader="none" w:pos="114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communicate with any Relevant Authority in respect of the Transaction to the extent reasonably possible only after prior consultation with the Sellers, taking into account any reasonable comments and requests of the Sellers and provide the Sellers with copies of submissions, notifications or filings in the form submitted or sent or, in the case of non-written communications, provide details of such communications;</w:t>
      </w:r>
    </w:p>
    <w:p>
      <w:pPr>
        <w:spacing w:after="0" w:line="48"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where permitted by the Relevant Authority and to the extent circumstances allow, give reasonable notice of, and allow persons nominated by the Sellers to attend, all meetings, and to participate in all material telephone or other conversations;</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regularly review with the Sellers the progress of the notifications or filings, including, where necessary, seeking to identify appropriate responses to address any concerns identified by any Relevant Authority and discuss with the Sellers the scope, timing and tactics of any proposed responses with a view to obtaining satisfaction of the Conditions at the earliest reasonable opportunity.</w:t>
      </w:r>
    </w:p>
    <w:p>
      <w:pPr>
        <w:spacing w:after="0" w:line="49" w:lineRule="exact"/>
        <w:rPr>
          <w:sz w:val="20"/>
          <w:szCs w:val="20"/>
          <w:color w:val="auto"/>
        </w:rPr>
      </w:pPr>
    </w:p>
    <w:p>
      <w:pPr>
        <w:jc w:val="both"/>
        <w:ind w:left="440" w:right="20" w:hanging="575"/>
        <w:spacing w:after="0" w:line="235" w:lineRule="auto"/>
        <w:tabs>
          <w:tab w:leader="none" w:pos="420" w:val="left"/>
        </w:tabs>
        <w:rPr>
          <w:sz w:val="20"/>
          <w:szCs w:val="20"/>
          <w:color w:val="auto"/>
        </w:rPr>
      </w:pPr>
      <w:r>
        <w:rPr>
          <w:rFonts w:ascii="Arial" w:cs="Arial" w:eastAsia="Arial" w:hAnsi="Arial"/>
          <w:sz w:val="16"/>
          <w:szCs w:val="16"/>
          <w:color w:val="auto"/>
        </w:rPr>
        <w:t>2.5</w:t>
        <w:tab/>
        <w:t>The Purchaser shall be responsible for paying any filing, administrative or other fees levied by any Relevant Authority and/or the Central Bank of Tunisia for the purpose of satisfying the Conditions.</w:t>
      </w:r>
    </w:p>
    <w:p>
      <w:pPr>
        <w:spacing w:after="0" w:line="48" w:lineRule="exact"/>
        <w:rPr>
          <w:sz w:val="20"/>
          <w:szCs w:val="20"/>
          <w:color w:val="auto"/>
        </w:rPr>
      </w:pPr>
    </w:p>
    <w:p>
      <w:pPr>
        <w:jc w:val="both"/>
        <w:ind w:left="420" w:hanging="575"/>
        <w:spacing w:after="0" w:line="235" w:lineRule="auto"/>
        <w:tabs>
          <w:tab w:leader="none" w:pos="400" w:val="left"/>
        </w:tabs>
        <w:rPr>
          <w:sz w:val="20"/>
          <w:szCs w:val="20"/>
          <w:color w:val="auto"/>
        </w:rPr>
      </w:pPr>
      <w:r>
        <w:rPr>
          <w:rFonts w:ascii="Arial" w:cs="Arial" w:eastAsia="Arial" w:hAnsi="Arial"/>
          <w:sz w:val="16"/>
          <w:szCs w:val="16"/>
          <w:color w:val="auto"/>
        </w:rPr>
        <w:t>2.6</w:t>
        <w:tab/>
        <w:t>Each of the Purchaser and the Sellers' Representatives shall notify the other in writing of any circumstance, event, fact or matter which will or may prevent fulfilment of the Conditions as soon as such circumstance, event, fact or matter comes to their attention.</w:t>
      </w:r>
    </w:p>
    <w:p>
      <w:pPr>
        <w:spacing w:after="0" w:line="48" w:lineRule="exact"/>
        <w:rPr>
          <w:sz w:val="20"/>
          <w:szCs w:val="20"/>
          <w:color w:val="auto"/>
        </w:rPr>
      </w:pPr>
    </w:p>
    <w:p>
      <w:pPr>
        <w:jc w:val="both"/>
        <w:ind w:left="440" w:right="20" w:hanging="575"/>
        <w:spacing w:after="0" w:line="219" w:lineRule="auto"/>
        <w:tabs>
          <w:tab w:leader="none" w:pos="420" w:val="left"/>
        </w:tabs>
        <w:rPr>
          <w:sz w:val="20"/>
          <w:szCs w:val="20"/>
          <w:color w:val="auto"/>
        </w:rPr>
      </w:pPr>
      <w:r>
        <w:rPr>
          <w:rFonts w:ascii="Arial" w:cs="Arial" w:eastAsia="Arial" w:hAnsi="Arial"/>
          <w:sz w:val="16"/>
          <w:szCs w:val="16"/>
          <w:color w:val="auto"/>
        </w:rPr>
        <w:t>2.7</w:t>
        <w:tab/>
        <w:t>The Sellers agree in connection with the Conditions that they will notify the Purchaser as soon as reasonably practicable of any material written communications they receive from any Relevant Authority in relation to such application, submission or information, promptly provide the Purchaser with a copy of any such communication and deal with any requests or enquiries from the relevant authority in consultation with the Purchaser.</w:t>
      </w:r>
    </w:p>
    <w:p>
      <w:pPr>
        <w:spacing w:after="0" w:line="49" w:lineRule="exact"/>
        <w:rPr>
          <w:sz w:val="20"/>
          <w:szCs w:val="20"/>
          <w:color w:val="auto"/>
        </w:rPr>
      </w:pPr>
    </w:p>
    <w:p>
      <w:pPr>
        <w:jc w:val="both"/>
        <w:ind w:left="420" w:right="20" w:hanging="575"/>
        <w:spacing w:after="0" w:line="224" w:lineRule="auto"/>
        <w:tabs>
          <w:tab w:leader="none" w:pos="400" w:val="left"/>
        </w:tabs>
        <w:rPr>
          <w:sz w:val="20"/>
          <w:szCs w:val="20"/>
          <w:color w:val="auto"/>
        </w:rPr>
      </w:pPr>
      <w:r>
        <w:rPr>
          <w:rFonts w:ascii="Arial" w:cs="Arial" w:eastAsia="Arial" w:hAnsi="Arial"/>
          <w:sz w:val="16"/>
          <w:szCs w:val="16"/>
          <w:color w:val="auto"/>
        </w:rPr>
        <w:t>2.8</w:t>
        <w:tab/>
        <w:t>The Sellers shall co-operate fully in all actions necessary to procure the satisfaction of the Conditions (excluding the CBT Condition) including (but not limited to) the provision by the Sellers of all information reasonably necessary to make any notification or filing in order to satisfy the Conditions.</w:t>
      </w:r>
    </w:p>
    <w:p>
      <w:pPr>
        <w:spacing w:after="0" w:line="4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color w:val="auto"/>
        </w:rPr>
        <w:t>Nothing in this Agreement shall require either party to disclose to or receive from the other any information:</w:t>
      </w:r>
    </w:p>
    <w:p>
      <w:pPr>
        <w:spacing w:after="0" w:line="68" w:lineRule="exact"/>
        <w:rPr>
          <w:sz w:val="20"/>
          <w:szCs w:val="20"/>
          <w:color w:val="auto"/>
        </w:rPr>
      </w:pPr>
    </w:p>
    <w:p>
      <w:pPr>
        <w:ind w:left="1140" w:hanging="558"/>
        <w:spacing w:after="0"/>
        <w:tabs>
          <w:tab w:leader="none" w:pos="11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which the disclosing party is prohibited from disclosing or the receiving party is prohibited from receiving by Applicable Law;</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where such disclosure would result in the loss of any privilege that subsists in relation to such information, including legal professional privilege; or</w:t>
      </w:r>
    </w:p>
    <w:p>
      <w:pPr>
        <w:spacing w:after="0" w:line="47" w:lineRule="exact"/>
        <w:rPr>
          <w:rFonts w:ascii="Arial" w:cs="Arial" w:eastAsia="Arial" w:hAnsi="Arial"/>
          <w:sz w:val="16"/>
          <w:szCs w:val="16"/>
          <w:color w:val="auto"/>
        </w:rPr>
      </w:pPr>
    </w:p>
    <w:p>
      <w:pPr>
        <w:jc w:val="both"/>
        <w:ind w:left="1160" w:hanging="578"/>
        <w:spacing w:after="0" w:line="216" w:lineRule="auto"/>
        <w:tabs>
          <w:tab w:leader="none" w:pos="114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which the disclosing party or its affiliated persons reasonably considers to be commercially or competitively sensitive or where disclosure to the other party would reasonably be expected to have a material adverse effect on the disclosing party's legitimate business interests, in which case the disclosing party shall, to the extent permitted by Applicable Law, disclose the relevant information to the other party on an outside counsel basis (acting reasonably in identifying such information) and provide a non-confidential version of such information to the other party.</w:t>
      </w:r>
    </w:p>
    <w:p>
      <w:pPr>
        <w:spacing w:after="0" w:line="48" w:lineRule="exact"/>
        <w:rPr>
          <w:sz w:val="20"/>
          <w:szCs w:val="20"/>
          <w:color w:val="auto"/>
        </w:rPr>
      </w:pPr>
    </w:p>
    <w:p>
      <w:pPr>
        <w:ind w:left="520" w:right="40" w:hanging="575"/>
        <w:spacing w:after="0" w:line="235" w:lineRule="auto"/>
        <w:tabs>
          <w:tab w:leader="none" w:pos="500" w:val="left"/>
        </w:tabs>
        <w:rPr>
          <w:sz w:val="20"/>
          <w:szCs w:val="20"/>
          <w:color w:val="auto"/>
        </w:rPr>
      </w:pPr>
      <w:r>
        <w:rPr>
          <w:rFonts w:ascii="Arial" w:cs="Arial" w:eastAsia="Arial" w:hAnsi="Arial"/>
          <w:sz w:val="16"/>
          <w:szCs w:val="16"/>
          <w:color w:val="auto"/>
        </w:rPr>
        <w:t>2.10</w:t>
        <w:tab/>
        <w:t>Subject to sub-clause 2.11 the Conditions are not satisfied in full by the date specified in clause 2.3 then the Purchaser, the Institutional Sellers and the Sellers Representatives (excluding the Institutional Sellers' Representative) may agree to:</w:t>
      </w:r>
    </w:p>
    <w:p>
      <w:pPr>
        <w:spacing w:after="0" w:line="48" w:lineRule="exact"/>
        <w:rPr>
          <w:sz w:val="20"/>
          <w:szCs w:val="20"/>
          <w:color w:val="auto"/>
        </w:rPr>
      </w:pPr>
    </w:p>
    <w:p>
      <w:pPr>
        <w:ind w:left="1160" w:right="20" w:hanging="578"/>
        <w:spacing w:after="0" w:line="235" w:lineRule="auto"/>
        <w:tabs>
          <w:tab w:leader="none" w:pos="114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waive any unsatisfied Condition (save that such waiver shall not act as a waiver of the Purchaser's or the Sellers' (as applicable) right to claim for breach of this Agreement);</w:t>
      </w:r>
    </w:p>
    <w:p>
      <w:pPr>
        <w:spacing w:after="0" w:line="47"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extend the period for satisfying any unsatisfied Condition to a date [***] days after that date (in which case the provisions of this sub-clause shall also apply as if the revised date were the date specified in sub-clause 2.3 (</w:t>
      </w:r>
      <w:r>
        <w:rPr>
          <w:rFonts w:ascii="Arial" w:cs="Arial" w:eastAsia="Arial" w:hAnsi="Arial"/>
          <w:sz w:val="16"/>
          <w:szCs w:val="16"/>
          <w:i w:val="1"/>
          <w:iCs w:val="1"/>
          <w:color w:val="auto"/>
        </w:rPr>
        <w:t>Conditions precedent</w:t>
      </w:r>
      <w:r>
        <w:rPr>
          <w:rFonts w:ascii="Arial" w:cs="Arial" w:eastAsia="Arial" w:hAnsi="Arial"/>
          <w:sz w:val="16"/>
          <w:szCs w:val="16"/>
          <w:color w:val="auto"/>
        </w:rPr>
        <w:t>)), provided that such period for satisfaction shall not extend beyond [***] of the date of this Agreement; or</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terminate this Agreement (other than the Surviving Provisions and the provisions of this sub-clause 2.10(c) ( </w:t>
      </w:r>
      <w:r>
        <w:rPr>
          <w:rFonts w:ascii="Arial" w:cs="Arial" w:eastAsia="Arial" w:hAnsi="Arial"/>
          <w:sz w:val="16"/>
          <w:szCs w:val="16"/>
          <w:i w:val="1"/>
          <w:iCs w:val="1"/>
          <w:color w:val="auto"/>
        </w:rPr>
        <w:t>Conditions precedent</w:t>
      </w:r>
      <w:r>
        <w:rPr>
          <w:rFonts w:ascii="Arial" w:cs="Arial" w:eastAsia="Arial" w:hAnsi="Arial"/>
          <w:sz w:val="16"/>
          <w:szCs w:val="16"/>
          <w:color w:val="auto"/>
        </w:rPr>
        <w:t>)) by notice in writing, in which event:</w:t>
      </w:r>
    </w:p>
    <w:p>
      <w:pPr>
        <w:spacing w:after="0" w:line="47" w:lineRule="exact"/>
        <w:rPr>
          <w:rFonts w:ascii="Arial" w:cs="Arial" w:eastAsia="Arial" w:hAnsi="Arial"/>
          <w:sz w:val="16"/>
          <w:szCs w:val="16"/>
          <w:color w:val="auto"/>
        </w:rPr>
      </w:pPr>
    </w:p>
    <w:p>
      <w:pPr>
        <w:ind w:left="1740" w:hanging="582"/>
        <w:spacing w:after="0"/>
        <w:tabs>
          <w:tab w:leader="none" w:pos="174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the Surviving Provisions and the provisions of this sub-clause 2.10(c) ( </w:t>
      </w:r>
      <w:r>
        <w:rPr>
          <w:rFonts w:ascii="Arial" w:cs="Arial" w:eastAsia="Arial" w:hAnsi="Arial"/>
          <w:sz w:val="16"/>
          <w:szCs w:val="16"/>
          <w:i w:val="1"/>
          <w:iCs w:val="1"/>
          <w:color w:val="auto"/>
        </w:rPr>
        <w:t>Conditions precedent</w:t>
      </w:r>
      <w:r>
        <w:rPr>
          <w:rFonts w:ascii="Arial" w:cs="Arial" w:eastAsia="Arial" w:hAnsi="Arial"/>
          <w:sz w:val="16"/>
          <w:szCs w:val="16"/>
          <w:color w:val="auto"/>
        </w:rPr>
        <w:t>) shall continue to apply;</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 party shall have any claim under this Agreement of any nature whatsoever against any other party except in respect of any rights, liabilities and</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ectPr>
          <w:pgSz w:w="11900" w:h="16840" w:orient="portrait"/>
          <w:cols w:equalWidth="0" w:num="1">
            <w:col w:w="10580"/>
          </w:cols>
          <w:pgMar w:left="660" w:top="1440" w:right="660" w:bottom="1440" w:gutter="0" w:footer="0" w:header="0"/>
        </w:sectPr>
      </w:pPr>
    </w:p>
    <w:bookmarkStart w:id="372" w:name="page373"/>
    <w:bookmarkEnd w:id="372"/>
    <w:p>
      <w:pPr>
        <w:spacing w:after="0" w:line="331" w:lineRule="exact"/>
        <w:rPr>
          <w:sz w:val="20"/>
          <w:szCs w:val="20"/>
          <w:color w:val="auto"/>
        </w:rPr>
      </w:pPr>
    </w:p>
    <w:p>
      <w:pPr>
        <w:ind w:left="1740" w:right="20"/>
        <w:spacing w:after="0" w:line="235" w:lineRule="auto"/>
        <w:rPr>
          <w:sz w:val="20"/>
          <w:szCs w:val="20"/>
          <w:color w:val="auto"/>
        </w:rPr>
      </w:pPr>
      <w:r>
        <w:rPr>
          <w:rFonts w:ascii="Arial" w:cs="Arial" w:eastAsia="Arial" w:hAnsi="Arial"/>
          <w:sz w:val="16"/>
          <w:szCs w:val="16"/>
          <w:color w:val="auto"/>
        </w:rPr>
        <w:t>obligations which have accrued before termination or which accrue under any of the Surviving Provisions or under this sub-clause 2.10(c) (</w:t>
      </w:r>
      <w:r>
        <w:rPr>
          <w:rFonts w:ascii="Arial" w:cs="Arial" w:eastAsia="Arial" w:hAnsi="Arial"/>
          <w:sz w:val="16"/>
          <w:szCs w:val="16"/>
          <w:i w:val="1"/>
          <w:iCs w:val="1"/>
          <w:color w:val="auto"/>
        </w:rPr>
        <w:t>Conditions precedent</w:t>
      </w:r>
      <w:r>
        <w:rPr>
          <w:rFonts w:ascii="Arial" w:cs="Arial" w:eastAsia="Arial" w:hAnsi="Arial"/>
          <w:sz w:val="16"/>
          <w:szCs w:val="16"/>
          <w:color w:val="auto"/>
        </w:rPr>
        <w:t>); and</w:t>
      </w:r>
    </w:p>
    <w:p>
      <w:pPr>
        <w:spacing w:after="0" w:line="48" w:lineRule="exact"/>
        <w:rPr>
          <w:sz w:val="20"/>
          <w:szCs w:val="20"/>
          <w:color w:val="auto"/>
        </w:rPr>
      </w:pPr>
    </w:p>
    <w:p>
      <w:pPr>
        <w:ind w:left="1740" w:right="20" w:hanging="582"/>
        <w:spacing w:after="0" w:line="235" w:lineRule="auto"/>
        <w:tabs>
          <w:tab w:leader="none" w:pos="172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except as referred to in this sub-clause 2.10(c) ( </w:t>
      </w:r>
      <w:r>
        <w:rPr>
          <w:rFonts w:ascii="Arial" w:cs="Arial" w:eastAsia="Arial" w:hAnsi="Arial"/>
          <w:sz w:val="16"/>
          <w:szCs w:val="16"/>
          <w:i w:val="1"/>
          <w:iCs w:val="1"/>
          <w:color w:val="auto"/>
        </w:rPr>
        <w:t>Conditions precedent</w:t>
      </w:r>
      <w:r>
        <w:rPr>
          <w:rFonts w:ascii="Arial" w:cs="Arial" w:eastAsia="Arial" w:hAnsi="Arial"/>
          <w:sz w:val="16"/>
          <w:szCs w:val="16"/>
          <w:color w:val="auto"/>
        </w:rPr>
        <w:t>), all rights, liabilities and obligations of the parties under this Agreement shall cease with immediate effect.</w:t>
      </w:r>
    </w:p>
    <w:p>
      <w:pPr>
        <w:spacing w:after="0" w:line="34"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If the Conditions (other than the CBT Condition) have been satisfied in full (or otherwise waived pursuant to sub-clause 2.10), the Purchaser, the</w:t>
      </w:r>
    </w:p>
    <w:p>
      <w:pPr>
        <w:ind w:left="580"/>
        <w:spacing w:after="0"/>
        <w:rPr>
          <w:sz w:val="20"/>
          <w:szCs w:val="20"/>
          <w:color w:val="auto"/>
        </w:rPr>
      </w:pPr>
      <w:r>
        <w:rPr>
          <w:rFonts w:ascii="Arial" w:cs="Arial" w:eastAsia="Arial" w:hAnsi="Arial"/>
          <w:sz w:val="16"/>
          <w:szCs w:val="16"/>
          <w:color w:val="auto"/>
        </w:rPr>
        <w:t>Institutional Sellers and the Sellers' Representatives (excluding the Institutional Sellers' Representative) may agree to:</w:t>
      </w:r>
    </w:p>
    <w:p>
      <w:pPr>
        <w:spacing w:after="0" w:line="54" w:lineRule="exact"/>
        <w:rPr>
          <w:sz w:val="20"/>
          <w:szCs w:val="20"/>
          <w:color w:val="auto"/>
        </w:rPr>
      </w:pPr>
    </w:p>
    <w:p>
      <w:pPr>
        <w:ind w:left="1160" w:right="20" w:hanging="578"/>
        <w:spacing w:after="0" w:line="235" w:lineRule="auto"/>
        <w:tabs>
          <w:tab w:leader="none" w:pos="114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proceed to Completion in accordance with the terms of this Agreement only in respect of those Sellers who are not Tunisian Sellers, notwithstanding that the CBT Condition has not been satisfied; and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286"/>
        </w:numPr>
        <w:rPr>
          <w:rFonts w:ascii="Arial" w:cs="Arial" w:eastAsia="Arial" w:hAnsi="Arial"/>
          <w:sz w:val="14"/>
          <w:szCs w:val="14"/>
          <w:color w:val="auto"/>
        </w:rPr>
      </w:pPr>
      <w:r>
        <w:rPr>
          <w:rFonts w:ascii="Arial" w:cs="Arial" w:eastAsia="Arial" w:hAnsi="Arial"/>
          <w:sz w:val="14"/>
          <w:szCs w:val="14"/>
          <w:color w:val="auto"/>
        </w:rPr>
        <w:t>extend the period for satisfying the CBT Condition to a date agreed between the Purchaser and the FME Shareholders' Representative,</w:t>
      </w:r>
    </w:p>
    <w:p>
      <w:pPr>
        <w:spacing w:after="0" w:line="89" w:lineRule="exact"/>
        <w:rPr>
          <w:sz w:val="20"/>
          <w:szCs w:val="20"/>
          <w:color w:val="auto"/>
        </w:rPr>
      </w:pPr>
    </w:p>
    <w:p>
      <w:pPr>
        <w:jc w:val="both"/>
        <w:ind w:left="580"/>
        <w:spacing w:after="0" w:line="209" w:lineRule="auto"/>
        <w:rPr>
          <w:sz w:val="20"/>
          <w:szCs w:val="20"/>
          <w:color w:val="auto"/>
        </w:rPr>
      </w:pPr>
      <w:r>
        <w:rPr>
          <w:rFonts w:ascii="Arial" w:cs="Arial" w:eastAsia="Arial" w:hAnsi="Arial"/>
          <w:sz w:val="16"/>
          <w:szCs w:val="16"/>
          <w:color w:val="auto"/>
        </w:rPr>
        <w:t xml:space="preserve">in which case the completion of the sale and purchase of the Completion Shares held by the Tunisian Sellers (the </w:t>
      </w:r>
      <w:r>
        <w:rPr>
          <w:rFonts w:ascii="Arial" w:cs="Arial" w:eastAsia="Arial" w:hAnsi="Arial"/>
          <w:sz w:val="16"/>
          <w:szCs w:val="16"/>
          <w:b w:val="1"/>
          <w:bCs w:val="1"/>
          <w:color w:val="auto"/>
        </w:rPr>
        <w:t>"Tunisia Completion"</w:t>
      </w:r>
      <w:r>
        <w:rPr>
          <w:rFonts w:ascii="Arial" w:cs="Arial" w:eastAsia="Arial" w:hAnsi="Arial"/>
          <w:sz w:val="16"/>
          <w:szCs w:val="16"/>
          <w:color w:val="auto"/>
        </w:rPr>
        <w:t>) will occur in respect of the Completion Shares held by Tunisian Sellers only once and on such date, falling no later than 10 Business Days after the CBT Condition has been satisfied in full, as the Purchaser will notify to the FME Shareholders’ Representative and the Investor Sellers’ Representative (the "</w:t>
      </w:r>
      <w:r>
        <w:rPr>
          <w:rFonts w:ascii="Arial" w:cs="Arial" w:eastAsia="Arial" w:hAnsi="Arial"/>
          <w:sz w:val="16"/>
          <w:szCs w:val="16"/>
          <w:b w:val="1"/>
          <w:bCs w:val="1"/>
          <w:color w:val="auto"/>
        </w:rPr>
        <w:t>Tunisia Completion Date</w:t>
      </w:r>
      <w:r>
        <w:rPr>
          <w:rFonts w:ascii="Arial" w:cs="Arial" w:eastAsia="Arial" w:hAnsi="Arial"/>
          <w:sz w:val="16"/>
          <w:szCs w:val="16"/>
          <w:color w:val="auto"/>
        </w:rPr>
        <w:t>") (and the provisions of this Agreement shall be deemed to have been amended, including that payment of the relevant Consideration shall only become due and payable by the Purchaser on the Tunisia Completion Date. In order to give effect to this sub-clause 2.11, the Purchaser shall transfer the relevant Upfront Consideration amount due to the Tunisian Sellers (which shall include, as applicable, their relevant proportion of: (i) [***] and (ii) the Holdback Amount plus or minus, if known at the relevant time, any applicable pro -rata Consideration Increase or Consideration Reduction finally determined in accordance with this Agreement) to the Sellers’ Bank Account at least 2 Business Days prior to the Tunisia Completion Date and, if applicable, [***] shall, in accordance with the Paying Agent Agreements, hold in escrow an amount equal to the relevant proportion of [***] and the Holdback Amount in respect of the Completion Shares held by the Tunisian Sellers until such time as this is due to be released in accordance with clause 5.2.</w:t>
      </w:r>
    </w:p>
    <w:p>
      <w:pPr>
        <w:spacing w:after="0" w:line="52"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In the event that the relevant parties agree to proceed to Completion and, if applicable, agree to extend the period for satisfying the CBT Condition, in each case pursuant to sub-clause 2.11, each Tunisian Seller irrevocably undertakes to the Purchaser that, for as long as such Tunisian Seller remains the registered holder of the Shares after Completion but before the Tunisia Completion, such Tunisian Seller shall:</w:t>
      </w:r>
    </w:p>
    <w:p>
      <w:pPr>
        <w:spacing w:after="0" w:line="49" w:lineRule="exact"/>
        <w:rPr>
          <w:sz w:val="20"/>
          <w:szCs w:val="20"/>
          <w:color w:val="auto"/>
        </w:rPr>
      </w:pPr>
    </w:p>
    <w:p>
      <w:pPr>
        <w:ind w:left="1160" w:right="20" w:hanging="578"/>
        <w:spacing w:after="0" w:line="235" w:lineRule="auto"/>
        <w:tabs>
          <w:tab w:leader="none" w:pos="114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hold the Shares and any dividends and other moneys or assets paid or distributed in respect of them and all rights arising out of or in connection with them from Completion in trust for the Purchaser;</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deal with the Shares and all such dividends, distributions and rights as the Purchaser may direct from Completion until the date on which the Purchaser or its nominee is entered in the register of members of the Company as the holder of the Shares;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unless otherwise agreed with the Purchaser, not exercise or otherwise deal with any Options held by them until the CBT Condition has been satisfied in full.</w:t>
      </w:r>
    </w:p>
    <w:p>
      <w:pPr>
        <w:spacing w:after="0" w:line="45" w:lineRule="exact"/>
        <w:rPr>
          <w:rFonts w:ascii="Arial" w:cs="Arial" w:eastAsia="Arial" w:hAnsi="Arial"/>
          <w:sz w:val="16"/>
          <w:szCs w:val="16"/>
          <w:color w:val="auto"/>
        </w:rPr>
      </w:pPr>
    </w:p>
    <w:p>
      <w:pPr>
        <w:ind w:left="300" w:hanging="294"/>
        <w:spacing w:after="0"/>
        <w:tabs>
          <w:tab w:leader="none" w:pos="300" w:val="left"/>
        </w:tabs>
        <w:numPr>
          <w:ilvl w:val="0"/>
          <w:numId w:val="288"/>
        </w:numPr>
        <w:rPr>
          <w:rFonts w:ascii="Arial" w:cs="Arial" w:eastAsia="Arial" w:hAnsi="Arial"/>
          <w:sz w:val="16"/>
          <w:szCs w:val="16"/>
          <w:color w:val="auto"/>
        </w:rPr>
      </w:pPr>
      <w:r>
        <w:rPr>
          <w:rFonts w:ascii="Arial" w:cs="Arial" w:eastAsia="Arial" w:hAnsi="Arial"/>
          <w:sz w:val="16"/>
          <w:szCs w:val="16"/>
          <w:b w:val="1"/>
          <w:bCs w:val="1"/>
          <w:color w:val="auto"/>
        </w:rPr>
        <w:t>Sale and purchase</w:t>
      </w:r>
    </w:p>
    <w:p>
      <w:pPr>
        <w:spacing w:after="0" w:line="70" w:lineRule="exact"/>
        <w:rPr>
          <w:sz w:val="20"/>
          <w:szCs w:val="20"/>
          <w:color w:val="auto"/>
        </w:rPr>
      </w:pPr>
    </w:p>
    <w:p>
      <w:pPr>
        <w:jc w:val="both"/>
        <w:ind w:left="480" w:right="20" w:hanging="575"/>
        <w:spacing w:after="0" w:line="235" w:lineRule="auto"/>
        <w:tabs>
          <w:tab w:leader="none" w:pos="4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Subject to the provisions of this Agreement, the Sellers shall sell, and the Purchaser shall purchase, the Completion Shares with effect from Completion.</w:t>
      </w:r>
    </w:p>
    <w:p>
      <w:pPr>
        <w:spacing w:after="0" w:line="48" w:lineRule="exact"/>
        <w:rPr>
          <w:sz w:val="20"/>
          <w:szCs w:val="20"/>
          <w:color w:val="auto"/>
        </w:rPr>
      </w:pPr>
    </w:p>
    <w:p>
      <w:pPr>
        <w:jc w:val="both"/>
        <w:ind w:left="480" w:hanging="575"/>
        <w:spacing w:after="0" w:line="235" w:lineRule="auto"/>
        <w:tabs>
          <w:tab w:leader="none" w:pos="4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Completion Shares shall be sold with the benefit of all rights attaching to or accruing to them as at the date of Completion, including all dividends or other distributions declared, paid or made by the Company on or after the date of Completion.</w:t>
      </w:r>
    </w:p>
    <w:p>
      <w:pPr>
        <w:spacing w:after="0" w:line="48" w:lineRule="exact"/>
        <w:rPr>
          <w:sz w:val="20"/>
          <w:szCs w:val="20"/>
          <w:color w:val="auto"/>
        </w:rPr>
      </w:pPr>
    </w:p>
    <w:p>
      <w:pPr>
        <w:ind w:left="400" w:right="20" w:hanging="575"/>
        <w:spacing w:after="0" w:line="235" w:lineRule="auto"/>
        <w:tabs>
          <w:tab w:leader="none" w:pos="380" w:val="left"/>
        </w:tabs>
        <w:rPr>
          <w:sz w:val="20"/>
          <w:szCs w:val="20"/>
          <w:color w:val="auto"/>
        </w:rPr>
      </w:pPr>
      <w:r>
        <w:rPr>
          <w:rFonts w:ascii="Arial" w:cs="Arial" w:eastAsia="Arial" w:hAnsi="Arial"/>
          <w:sz w:val="16"/>
          <w:szCs w:val="16"/>
          <w:color w:val="auto"/>
        </w:rPr>
        <w:t>3.3</w:t>
        <w:tab/>
        <w:t>Subject to sub-clause 2.11, the Purchaser shall not be obliged to complete the purchase of the Completion Shares unless the sale and purchase of all the Completion Shares is completed simultaneously.</w:t>
      </w:r>
    </w:p>
    <w:p>
      <w:pPr>
        <w:spacing w:after="0" w:line="48" w:lineRule="exact"/>
        <w:rPr>
          <w:sz w:val="20"/>
          <w:szCs w:val="20"/>
          <w:color w:val="auto"/>
        </w:rPr>
      </w:pPr>
    </w:p>
    <w:p>
      <w:pPr>
        <w:jc w:val="both"/>
        <w:ind w:left="460" w:right="20" w:hanging="575"/>
        <w:spacing w:after="0" w:line="298" w:lineRule="auto"/>
        <w:tabs>
          <w:tab w:leader="none" w:pos="4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color w:val="auto"/>
        </w:rPr>
        <w:t>Each of the Sellers hereby irrevocably and unconditionally waives all rights of pre-emption or similar rights over any of the Completion Shares conferred on him by either the articles of association of the Company or in any other way, in each case in connection with the Transaction only.</w:t>
      </w:r>
    </w:p>
    <w:p>
      <w:pPr>
        <w:spacing w:after="0" w:line="8" w:lineRule="exact"/>
        <w:rPr>
          <w:sz w:val="20"/>
          <w:szCs w:val="20"/>
          <w:color w:val="auto"/>
        </w:rPr>
      </w:pPr>
    </w:p>
    <w:p>
      <w:pPr>
        <w:jc w:val="both"/>
        <w:ind w:left="420" w:hanging="575"/>
        <w:spacing w:after="0" w:line="224" w:lineRule="auto"/>
        <w:tabs>
          <w:tab w:leader="none" w:pos="400" w:val="left"/>
        </w:tabs>
        <w:rPr>
          <w:sz w:val="20"/>
          <w:szCs w:val="20"/>
          <w:color w:val="auto"/>
        </w:rPr>
      </w:pPr>
      <w:r>
        <w:rPr>
          <w:rFonts w:ascii="Arial" w:cs="Arial" w:eastAsia="Arial" w:hAnsi="Arial"/>
          <w:sz w:val="16"/>
          <w:szCs w:val="16"/>
          <w:color w:val="auto"/>
        </w:rPr>
        <w:t>3.5</w:t>
        <w:tab/>
        <w:t>Each of the Sellers hereby irrevocably and unconditionally waives any and all claims they have (in their capacity as shareholders of the Company only) against any Group Company as at Completion. Each Seller, in respect of such Seller's commercial agreements with any Group Company only (if any, as applicable), confirms as at the date of this Agreement that it is not</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ectPr>
          <w:pgSz w:w="11900" w:h="16840" w:orient="portrait"/>
          <w:cols w:equalWidth="0" w:num="1">
            <w:col w:w="10580"/>
          </w:cols>
          <w:pgMar w:left="660" w:top="1440" w:right="660" w:bottom="1440" w:gutter="0" w:footer="0" w:header="0"/>
        </w:sectPr>
      </w:pPr>
    </w:p>
    <w:bookmarkStart w:id="373" w:name="page374"/>
    <w:bookmarkEnd w:id="373"/>
    <w:p>
      <w:pPr>
        <w:spacing w:after="0" w:line="331" w:lineRule="exact"/>
        <w:rPr>
          <w:sz w:val="20"/>
          <w:szCs w:val="20"/>
          <w:color w:val="auto"/>
        </w:rPr>
      </w:pPr>
    </w:p>
    <w:p>
      <w:pPr>
        <w:ind w:left="580" w:right="40"/>
        <w:spacing w:after="0" w:line="235" w:lineRule="auto"/>
        <w:rPr>
          <w:sz w:val="20"/>
          <w:szCs w:val="20"/>
          <w:color w:val="auto"/>
        </w:rPr>
      </w:pPr>
      <w:r>
        <w:rPr>
          <w:rFonts w:ascii="Arial" w:cs="Arial" w:eastAsia="Arial" w:hAnsi="Arial"/>
          <w:sz w:val="16"/>
          <w:szCs w:val="16"/>
          <w:color w:val="auto"/>
        </w:rPr>
        <w:t>aware of any claims existing, threatened or pending against any Group Company. For the purposes of this clause 3.5, "awareness" shall be deemed to refer to:</w:t>
      </w:r>
    </w:p>
    <w:p>
      <w:pPr>
        <w:spacing w:after="0" w:line="48" w:lineRule="exact"/>
        <w:rPr>
          <w:sz w:val="20"/>
          <w:szCs w:val="20"/>
          <w:color w:val="auto"/>
        </w:rPr>
      </w:pPr>
    </w:p>
    <w:p>
      <w:pPr>
        <w:ind w:left="1140" w:hanging="558"/>
        <w:spacing w:after="0"/>
        <w:tabs>
          <w:tab w:leader="none" w:pos="11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case of [***], the actual knowledge of [***]; and</w:t>
      </w:r>
    </w:p>
    <w:p>
      <w:pPr>
        <w:spacing w:after="0" w:line="68" w:lineRule="exact"/>
        <w:rPr>
          <w:rFonts w:ascii="Arial" w:cs="Arial" w:eastAsia="Arial" w:hAnsi="Arial"/>
          <w:sz w:val="16"/>
          <w:szCs w:val="16"/>
          <w:color w:val="auto"/>
        </w:rPr>
      </w:pPr>
    </w:p>
    <w:p>
      <w:pPr>
        <w:jc w:val="both"/>
        <w:ind w:left="1160" w:right="40" w:hanging="578"/>
        <w:spacing w:after="0" w:line="224" w:lineRule="auto"/>
        <w:tabs>
          <w:tab w:leader="none" w:pos="114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case of all other Sellers, the actual knowledge of that Seller (if the Seller is an individual) or, where the Seller is a body corporate, the actual knowledge of (i) the general counsel of that Seller; or (ii) if no general counsel is in place, the person heading or leading the legal function within the relevant Seller; or (iii) if no general counsel or legal role is in place, the directors of that Seller.</w:t>
      </w:r>
    </w:p>
    <w:p>
      <w:pPr>
        <w:spacing w:after="0" w:line="49" w:lineRule="exact"/>
        <w:rPr>
          <w:sz w:val="20"/>
          <w:szCs w:val="20"/>
          <w:color w:val="auto"/>
        </w:rPr>
      </w:pPr>
    </w:p>
    <w:p>
      <w:pPr>
        <w:jc w:val="both"/>
        <w:ind w:left="420" w:right="40" w:hanging="575"/>
        <w:spacing w:after="0" w:line="224" w:lineRule="auto"/>
        <w:tabs>
          <w:tab w:leader="none" w:pos="400" w:val="left"/>
        </w:tabs>
        <w:rPr>
          <w:sz w:val="20"/>
          <w:szCs w:val="20"/>
          <w:color w:val="auto"/>
        </w:rPr>
      </w:pPr>
      <w:r>
        <w:rPr>
          <w:rFonts w:ascii="Arial" w:cs="Arial" w:eastAsia="Arial" w:hAnsi="Arial"/>
          <w:sz w:val="16"/>
          <w:szCs w:val="16"/>
          <w:color w:val="auto"/>
        </w:rPr>
        <w:t>3.6</w:t>
        <w:tab/>
        <w:t>Each of the Sellers severally warrants to the Purchaser in respect of itself only both at the date of this Agreement and again at Completion (save that, in respect of any Completion Shares that are not also Exchange Shares, the FME Shareholders shall only warrant at Completion and save that [***] Ordinary Shares held by [***] are subject to the provisions of clauses 3.11 and 3.12) that:</w:t>
      </w:r>
    </w:p>
    <w:p>
      <w:pPr>
        <w:spacing w:after="0" w:line="49" w:lineRule="exact"/>
        <w:rPr>
          <w:sz w:val="20"/>
          <w:szCs w:val="20"/>
          <w:color w:val="auto"/>
        </w:rPr>
      </w:pPr>
    </w:p>
    <w:p>
      <w:pPr>
        <w:ind w:left="1140" w:hanging="558"/>
        <w:spacing w:after="0"/>
        <w:tabs>
          <w:tab w:leader="none" w:pos="11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the Completion Shares set out opposite that Seller's name in Schedule 1 ( </w:t>
      </w:r>
      <w:r>
        <w:rPr>
          <w:rFonts w:ascii="Arial" w:cs="Arial" w:eastAsia="Arial" w:hAnsi="Arial"/>
          <w:sz w:val="16"/>
          <w:szCs w:val="16"/>
          <w:i w:val="1"/>
          <w:iCs w:val="1"/>
          <w:color w:val="auto"/>
        </w:rPr>
        <w:t>The Sellers</w:t>
      </w:r>
      <w:r>
        <w:rPr>
          <w:rFonts w:ascii="Arial" w:cs="Arial" w:eastAsia="Arial" w:hAnsi="Arial"/>
          <w:sz w:val="16"/>
          <w:szCs w:val="16"/>
          <w:color w:val="auto"/>
        </w:rPr>
        <w:t>) are fully paid up (or credited as fully paid);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respect of the ownership of the Completion Shares:</w:t>
      </w:r>
    </w:p>
    <w:p>
      <w:pPr>
        <w:spacing w:after="0" w:line="68" w:lineRule="exact"/>
        <w:rPr>
          <w:rFonts w:ascii="Arial" w:cs="Arial" w:eastAsia="Arial" w:hAnsi="Arial"/>
          <w:sz w:val="16"/>
          <w:szCs w:val="16"/>
          <w:color w:val="auto"/>
        </w:rPr>
      </w:pPr>
    </w:p>
    <w:p>
      <w:pPr>
        <w:ind w:left="1740" w:right="40" w:hanging="582"/>
        <w:spacing w:after="0" w:line="235" w:lineRule="auto"/>
        <w:tabs>
          <w:tab w:leader="none" w:pos="174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save for the [***] Shares that are not registrable by the Company as at the date of this Agreement pending confirmation of stamping, it is the sole legal owner of the Completion Shares set out opposite its name in Schedule 1 (</w:t>
      </w:r>
      <w:r>
        <w:rPr>
          <w:rFonts w:ascii="Arial" w:cs="Arial" w:eastAsia="Arial" w:hAnsi="Arial"/>
          <w:sz w:val="16"/>
          <w:szCs w:val="16"/>
          <w:i w:val="1"/>
          <w:iCs w:val="1"/>
          <w:color w:val="auto"/>
        </w:rPr>
        <w:t>The Sellers</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it is the sole beneficial owner of such Completion Shares.</w:t>
      </w:r>
    </w:p>
    <w:p>
      <w:pPr>
        <w:spacing w:after="0" w:line="6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Each of the Sellers severally warrants to the Purchaser in respect of itself only both at the date of this Agreement and again at Completion that:</w:t>
      </w:r>
    </w:p>
    <w:p>
      <w:pPr>
        <w:spacing w:after="0" w:line="68" w:lineRule="exact"/>
        <w:rPr>
          <w:sz w:val="20"/>
          <w:szCs w:val="20"/>
          <w:color w:val="auto"/>
        </w:rPr>
      </w:pPr>
    </w:p>
    <w:p>
      <w:pPr>
        <w:jc w:val="both"/>
        <w:ind w:left="1160" w:hanging="578"/>
        <w:spacing w:after="0" w:line="219" w:lineRule="auto"/>
        <w:tabs>
          <w:tab w:leader="none" w:pos="114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subject to confirmation of stamping and completion of the registration of transfer by the Company in the Company's statutory books of the [***] Shares, it has and shall have pursuant to this Agreement the right to transfer the legal and beneficial title to the Completion Shares set out opposite its name in Schedule 1 (</w:t>
      </w:r>
      <w:r>
        <w:rPr>
          <w:rFonts w:ascii="Arial" w:cs="Arial" w:eastAsia="Arial" w:hAnsi="Arial"/>
          <w:sz w:val="16"/>
          <w:szCs w:val="16"/>
          <w:i w:val="1"/>
          <w:iCs w:val="1"/>
          <w:color w:val="auto"/>
        </w:rPr>
        <w:t>The Sellers</w:t>
      </w:r>
      <w:r>
        <w:rPr>
          <w:rFonts w:ascii="Arial" w:cs="Arial" w:eastAsia="Arial" w:hAnsi="Arial"/>
          <w:sz w:val="16"/>
          <w:szCs w:val="16"/>
          <w:color w:val="auto"/>
        </w:rPr>
        <w:t>) on the terms of this Agreement and without the consent of any third party and that they will be transferred free from any Encumbrance;</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it has the full power and authority to enter into and perform this Agreement and each of the documents to be executed by it and delivered pursuant to this Agreement, each of which shall constitute valid and binding obligations on it; and</w:t>
      </w:r>
    </w:p>
    <w:p>
      <w:pPr>
        <w:spacing w:after="0" w:line="47"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he is not bankrupt, has not proposed a voluntary arrangement nor has made or proposed any arrangement or composition with his creditors or any class of his creditors.</w:t>
      </w:r>
    </w:p>
    <w:p>
      <w:pPr>
        <w:spacing w:after="0" w:line="4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4"/>
          <w:szCs w:val="14"/>
          <w:color w:val="auto"/>
        </w:rPr>
        <w:t>The Purchaser warrants to the Sellers both at the date of this Agreement and again at Completion that:</w:t>
      </w:r>
    </w:p>
    <w:p>
      <w:pPr>
        <w:spacing w:after="0" w:line="68" w:lineRule="exact"/>
        <w:rPr>
          <w:sz w:val="20"/>
          <w:szCs w:val="20"/>
          <w:color w:val="auto"/>
        </w:rPr>
      </w:pPr>
    </w:p>
    <w:p>
      <w:pPr>
        <w:ind w:left="1160" w:right="20" w:hanging="578"/>
        <w:spacing w:after="0" w:line="235" w:lineRule="auto"/>
        <w:tabs>
          <w:tab w:leader="none" w:pos="11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It has the full power and authority to enter into and perform this Agreement and each of the documents to be executed by it and delivered pursuant to this Agreement, each of which shall constitute valid and binding obligations on it;</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otherwise than as contemplated in clause 2 above, it is not required to obtain any consent or approval of, or give any notice to or make any registration with, any governmental or other authority in respect of the Transaction which has not been obtained or made at the date of this Agreement;</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it is not bankrupt, has not proposed a voluntary arrangement nor has made or proposed any arrangement or composition with its creditors or any class of its creditors;</w:t>
      </w:r>
    </w:p>
    <w:p>
      <w:pPr>
        <w:spacing w:after="0" w:line="47"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execution and delivery by it of this Agreement and the performance of and compliance with their respective terms and provisions will not:</w:t>
      </w:r>
    </w:p>
    <w:p>
      <w:pPr>
        <w:spacing w:after="0" w:line="47" w:lineRule="exact"/>
        <w:rPr>
          <w:rFonts w:ascii="Arial" w:cs="Arial" w:eastAsia="Arial" w:hAnsi="Arial"/>
          <w:sz w:val="16"/>
          <w:szCs w:val="16"/>
          <w:color w:val="auto"/>
        </w:rPr>
      </w:pPr>
    </w:p>
    <w:p>
      <w:pPr>
        <w:ind w:left="1740" w:hanging="582"/>
        <w:spacing w:after="0"/>
        <w:tabs>
          <w:tab w:leader="none" w:pos="174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result in a breach of any provision of the constitutional documentation of the Purchaser; or</w:t>
      </w:r>
    </w:p>
    <w:p>
      <w:pPr>
        <w:spacing w:after="0" w:line="68" w:lineRule="exact"/>
        <w:rPr>
          <w:rFonts w:ascii="Arial" w:cs="Arial" w:eastAsia="Arial" w:hAnsi="Arial"/>
          <w:sz w:val="16"/>
          <w:szCs w:val="16"/>
          <w:color w:val="auto"/>
        </w:rPr>
      </w:pPr>
    </w:p>
    <w:p>
      <w:pPr>
        <w:ind w:left="1740" w:right="20" w:hanging="582"/>
        <w:spacing w:after="0" w:line="298" w:lineRule="auto"/>
        <w:tabs>
          <w:tab w:leader="none" w:pos="1728" w:val="left"/>
        </w:tabs>
        <w:numPr>
          <w:ilvl w:val="1"/>
          <w:numId w:val="292"/>
        </w:numPr>
        <w:rPr>
          <w:rFonts w:ascii="Arial" w:cs="Arial" w:eastAsia="Arial" w:hAnsi="Arial"/>
          <w:sz w:val="14"/>
          <w:szCs w:val="14"/>
          <w:color w:val="auto"/>
        </w:rPr>
      </w:pPr>
      <w:r>
        <w:rPr>
          <w:rFonts w:ascii="Arial" w:cs="Arial" w:eastAsia="Arial" w:hAnsi="Arial"/>
          <w:sz w:val="14"/>
          <w:szCs w:val="14"/>
          <w:color w:val="auto"/>
        </w:rPr>
        <w:t>conflict with or result in a breach of, or constitute a default under, any agreement or instrument to which it is a party or by which it is bound or any order, judgment or decree of any court, governmental agency or regulatory body by which it is bound; and</w:t>
      </w:r>
    </w:p>
    <w:p>
      <w:pPr>
        <w:spacing w:after="0" w:line="8" w:lineRule="exact"/>
        <w:rPr>
          <w:rFonts w:ascii="Arial" w:cs="Arial" w:eastAsia="Arial" w:hAnsi="Arial"/>
          <w:sz w:val="14"/>
          <w:szCs w:val="14"/>
          <w:color w:val="auto"/>
        </w:rPr>
      </w:pPr>
    </w:p>
    <w:p>
      <w:pPr>
        <w:ind w:left="1160" w:right="20" w:hanging="578"/>
        <w:spacing w:after="0" w:line="235" w:lineRule="auto"/>
        <w:tabs>
          <w:tab w:leader="none" w:pos="114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at Completion, it will have immediately available on an unconditional basis the necessary cash resources to meet its obligations under this Agreement.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Put and Call Arrangements</w:t>
      </w: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23</w:t>
      </w:r>
    </w:p>
    <w:p>
      <w:pPr>
        <w:sectPr>
          <w:pgSz w:w="11900" w:h="16840" w:orient="portrait"/>
          <w:cols w:equalWidth="0" w:num="1">
            <w:col w:w="10600"/>
          </w:cols>
          <w:pgMar w:left="660" w:top="1440" w:right="640" w:bottom="1440" w:gutter="0" w:footer="0" w:header="0"/>
        </w:sectPr>
      </w:pPr>
    </w:p>
    <w:bookmarkStart w:id="374" w:name="page375"/>
    <w:bookmarkEnd w:id="374"/>
    <w:p>
      <w:pPr>
        <w:spacing w:after="0" w:line="331"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color w:val="auto"/>
        </w:rPr>
        <w:t>In relation to the FME Retained French Shares held, or acquired, by an FME Shareholder:</w:t>
      </w:r>
    </w:p>
    <w:p>
      <w:pPr>
        <w:spacing w:after="0" w:line="68" w:lineRule="exact"/>
        <w:rPr>
          <w:sz w:val="20"/>
          <w:szCs w:val="20"/>
          <w:color w:val="auto"/>
        </w:rPr>
      </w:pPr>
    </w:p>
    <w:p>
      <w:pPr>
        <w:jc w:val="both"/>
        <w:ind w:left="1160" w:hanging="578"/>
        <w:spacing w:after="0" w:line="265" w:lineRule="auto"/>
        <w:tabs>
          <w:tab w:leader="none" w:pos="1148" w:val="left"/>
        </w:tabs>
        <w:numPr>
          <w:ilvl w:val="0"/>
          <w:numId w:val="293"/>
        </w:numPr>
        <w:rPr>
          <w:rFonts w:ascii="Arial" w:cs="Arial" w:eastAsia="Arial" w:hAnsi="Arial"/>
          <w:sz w:val="14"/>
          <w:szCs w:val="14"/>
          <w:color w:val="auto"/>
        </w:rPr>
      </w:pPr>
      <w:r>
        <w:rPr>
          <w:rFonts w:ascii="Arial" w:cs="Arial" w:eastAsia="Arial" w:hAnsi="Arial"/>
          <w:sz w:val="14"/>
          <w:szCs w:val="14"/>
          <w:color w:val="auto"/>
        </w:rPr>
        <w:t>At any time within the period of [***] commencing on the date set against that FME Shareholder's name in column E4 of the table set out in Part 1 of Schedule 1, the Purchaser shall have the right to purchase all (but not some only) of those FME Retained French Shares in accordance with the terms of paragraph (c). The Purchaser may exercise this right by serving a written notice on the FME Shareholder.</w:t>
      </w:r>
    </w:p>
    <w:p>
      <w:pPr>
        <w:spacing w:after="0" w:line="30" w:lineRule="exact"/>
        <w:rPr>
          <w:rFonts w:ascii="Arial" w:cs="Arial" w:eastAsia="Arial" w:hAnsi="Arial"/>
          <w:sz w:val="14"/>
          <w:szCs w:val="14"/>
          <w:color w:val="auto"/>
        </w:rPr>
      </w:pPr>
    </w:p>
    <w:p>
      <w:pPr>
        <w:jc w:val="both"/>
        <w:ind w:left="1160" w:hanging="578"/>
        <w:spacing w:after="0" w:line="216" w:lineRule="auto"/>
        <w:tabs>
          <w:tab w:leader="none" w:pos="114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the event that the Purchaser does not exercise the right to purchase the FME Retained French Shares within the [***] day period referred to in paragraph (a) then, at any time within the period of [***] days commencing one day after the end of the [***] day period referred to in paragraph (a), the FME Shareholder shall have the right to sell all (but not some only) of their FME Retained French Shares in accordance with the terms of paragraph (c). The FME Shareholder may exercise this right by serving a written notice on the Purchaser.</w:t>
      </w:r>
    </w:p>
    <w:p>
      <w:pPr>
        <w:spacing w:after="0" w:line="48" w:lineRule="exact"/>
        <w:rPr>
          <w:rFonts w:ascii="Arial" w:cs="Arial" w:eastAsia="Arial" w:hAnsi="Arial"/>
          <w:sz w:val="16"/>
          <w:szCs w:val="16"/>
          <w:color w:val="auto"/>
        </w:rPr>
      </w:pPr>
    </w:p>
    <w:p>
      <w:pPr>
        <w:jc w:val="both"/>
        <w:ind w:left="1160" w:hanging="578"/>
        <w:spacing w:after="0" w:line="216" w:lineRule="auto"/>
        <w:tabs>
          <w:tab w:leader="none" w:pos="114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Upon any service of a notice by the Purchaser on the FME Shareholder in accordance with paragraph (a), or by the FME Shareholder on the Purchaser in accordance with paragraph (b), a legally binding irrevocable and unconditional agreement shall immediately arise for the sale and purchase of the relevant FME Retained French Shares. Under the terms of that agreement, the FME Shareholder shall be bound to sell and the Purchaser shall be bound to purchase the FME Retained French Shares for the following Consideration per each FME Retained French Share (its pro rata share only of):</w:t>
      </w:r>
    </w:p>
    <w:p>
      <w:pPr>
        <w:spacing w:after="0" w:line="48" w:lineRule="exact"/>
        <w:rPr>
          <w:rFonts w:ascii="Arial" w:cs="Arial" w:eastAsia="Arial" w:hAnsi="Arial"/>
          <w:sz w:val="16"/>
          <w:szCs w:val="16"/>
          <w:color w:val="auto"/>
        </w:rPr>
      </w:pPr>
    </w:p>
    <w:p>
      <w:pPr>
        <w:ind w:left="1740" w:hanging="582"/>
        <w:spacing w:after="0"/>
        <w:tabs>
          <w:tab w:leader="none" w:pos="174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Upfront Consideration; and</w:t>
      </w:r>
    </w:p>
    <w:p>
      <w:pPr>
        <w:spacing w:after="0" w:line="68"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Contingent Consideration (calculated and payable in accordance with Schedule 10 and always subject to the rights of the Purchaser pursuant to sub-clause 19.12 (</w:t>
      </w:r>
      <w:r>
        <w:rPr>
          <w:rFonts w:ascii="Arial" w:cs="Arial" w:eastAsia="Arial" w:hAnsi="Arial"/>
          <w:sz w:val="16"/>
          <w:szCs w:val="16"/>
          <w:i w:val="1"/>
          <w:iCs w:val="1"/>
          <w:color w:val="auto"/>
        </w:rPr>
        <w:t>Set-off</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sale and purchase of the FME Retained French Shares shall complete on such date (and time) as is determined by the Purchaser, such date not to be more than [***] days after the service of the notice (as the case may be) by the Purchaser on the FME Shareholder in accordance with paragraph (a) or by the FME Shareholder on the Purchaser in accordance with paragraph (b). On the completion of the sale and purchase of the FME Retained French Shares:</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FME Shareholder shall deliver to the Purchaser a duly executed transfer of the FME Retained French Shares held by them in favour of the Purchaser; and</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Purchaser shall pay to the FME Shareholder the Consideration (as set out in paragraph (c)) for those FME Retained French Shares.</w:t>
      </w:r>
    </w:p>
    <w:p>
      <w:pPr>
        <w:spacing w:after="0" w:line="47" w:lineRule="exact"/>
        <w:rPr>
          <w:rFonts w:ascii="Arial" w:cs="Arial" w:eastAsia="Arial" w:hAnsi="Arial"/>
          <w:sz w:val="16"/>
          <w:szCs w:val="16"/>
          <w:color w:val="auto"/>
        </w:rPr>
      </w:pPr>
    </w:p>
    <w:p>
      <w:pPr>
        <w:jc w:val="both"/>
        <w:ind w:left="1160" w:right="20" w:hanging="578"/>
        <w:spacing w:after="0" w:line="216" w:lineRule="auto"/>
        <w:tabs>
          <w:tab w:leader="none" w:pos="114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 FME Shareholder fails to comply with paragraph (d), the Purchaser is hereby irrevocably authorised to execute, or to authorise and instruct such person as it thinks fit to execute, any necessary transfer, indemnity or certificate on behalf of the FME Shareholder and, against receipt by the Company of the Consideration payable for the FME Retained French Shares, to deliver any such transfer, indemnity or certificate to the Purchaser. The Company shall hold the Consideration on trust for the FME Shareholder without any obligation to pay interest.</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4"/>
          <w:szCs w:val="14"/>
          <w:color w:val="auto"/>
        </w:rPr>
        <w:t>In relation to any FME 2024 French Shares acquired by an FME Shareholder:</w:t>
      </w:r>
    </w:p>
    <w:p>
      <w:pPr>
        <w:spacing w:after="0" w:line="68" w:lineRule="exact"/>
        <w:rPr>
          <w:sz w:val="20"/>
          <w:szCs w:val="20"/>
          <w:color w:val="auto"/>
        </w:rPr>
      </w:pPr>
    </w:p>
    <w:p>
      <w:pPr>
        <w:jc w:val="both"/>
        <w:ind w:left="1160" w:right="20" w:hanging="578"/>
        <w:spacing w:after="0" w:line="224" w:lineRule="auto"/>
        <w:tabs>
          <w:tab w:leader="none" w:pos="114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At any time within the period of [***] days commencing on [***], the Purchaser shall have the right to purchase all (but not some only) of those FME 2024 French Shares in accordance with the terms of paragraph (c). The Purchaser may exercise this right by serving a written notice on the FME Shareholder.</w:t>
      </w:r>
    </w:p>
    <w:p>
      <w:pPr>
        <w:spacing w:after="0" w:line="48" w:lineRule="exact"/>
        <w:rPr>
          <w:rFonts w:ascii="Arial" w:cs="Arial" w:eastAsia="Arial" w:hAnsi="Arial"/>
          <w:sz w:val="16"/>
          <w:szCs w:val="16"/>
          <w:color w:val="auto"/>
        </w:rPr>
      </w:pPr>
    </w:p>
    <w:p>
      <w:pPr>
        <w:jc w:val="both"/>
        <w:ind w:left="1160" w:hanging="578"/>
        <w:spacing w:after="0" w:line="254" w:lineRule="auto"/>
        <w:tabs>
          <w:tab w:leader="none" w:pos="1148" w:val="left"/>
        </w:tabs>
        <w:numPr>
          <w:ilvl w:val="0"/>
          <w:numId w:val="294"/>
        </w:numPr>
        <w:rPr>
          <w:rFonts w:ascii="Arial" w:cs="Arial" w:eastAsia="Arial" w:hAnsi="Arial"/>
          <w:sz w:val="14"/>
          <w:szCs w:val="14"/>
          <w:color w:val="auto"/>
        </w:rPr>
      </w:pPr>
      <w:r>
        <w:rPr>
          <w:rFonts w:ascii="Arial" w:cs="Arial" w:eastAsia="Arial" w:hAnsi="Arial"/>
          <w:sz w:val="14"/>
          <w:szCs w:val="14"/>
          <w:color w:val="auto"/>
        </w:rPr>
        <w:t>In the event that the Purchaser does not exercise the right to purchase the FME 2024 French Shares within the [***] day period referred to in paragraph then, at any time within the period of [***] days commencing one day after the end of the [***] day period referred to in paragraph (a), the FME Shareholder shall have the right to sell all (but not some only) of their FME 2024 French Shares in accordance with the terms of paragraph (c). The FME Shareholder may exercise this right by serving a written notice on the Purchaser.</w:t>
      </w:r>
    </w:p>
    <w:p>
      <w:pPr>
        <w:spacing w:after="0" w:line="38" w:lineRule="exact"/>
        <w:rPr>
          <w:rFonts w:ascii="Arial" w:cs="Arial" w:eastAsia="Arial" w:hAnsi="Arial"/>
          <w:sz w:val="14"/>
          <w:szCs w:val="14"/>
          <w:color w:val="auto"/>
        </w:rPr>
      </w:pPr>
    </w:p>
    <w:p>
      <w:pPr>
        <w:jc w:val="both"/>
        <w:ind w:left="1160" w:hanging="578"/>
        <w:spacing w:after="0" w:line="237" w:lineRule="auto"/>
        <w:tabs>
          <w:tab w:leader="none" w:pos="1148" w:val="left"/>
        </w:tabs>
        <w:numPr>
          <w:ilvl w:val="0"/>
          <w:numId w:val="294"/>
        </w:numPr>
        <w:rPr>
          <w:rFonts w:ascii="Arial" w:cs="Arial" w:eastAsia="Arial" w:hAnsi="Arial"/>
          <w:sz w:val="14"/>
          <w:szCs w:val="14"/>
          <w:color w:val="auto"/>
        </w:rPr>
      </w:pPr>
      <w:r>
        <w:rPr>
          <w:rFonts w:ascii="Arial" w:cs="Arial" w:eastAsia="Arial" w:hAnsi="Arial"/>
          <w:sz w:val="14"/>
          <w:szCs w:val="14"/>
          <w:color w:val="auto"/>
        </w:rPr>
        <w:t>Upon any service of a notice by the Purchaser on the FME Shareholder in accordance with paragraph (a), or by the FME Shareholder on the Purchaser in accordance with paragraph (b), a legally binding, irrevocable and unconditional agreement shall immediately arise for the sale and purchase of the relevant FME 2024 French Shares. Under the terms of that agreement, the FME Shareholder shall be bound to sell and the Purchaser shall be bound to purchase the FME 2024 French Shares for the following Consideration per each FME</w:t>
      </w:r>
    </w:p>
    <w:p>
      <w:pPr>
        <w:spacing w:after="0" w:line="2"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6"/>
          <w:szCs w:val="16"/>
          <w:color w:val="auto"/>
        </w:rPr>
        <w:t>2024 French Shares (its pro rata share only of):</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24</w:t>
      </w:r>
    </w:p>
    <w:p>
      <w:pPr>
        <w:sectPr>
          <w:pgSz w:w="11900" w:h="16840" w:orient="portrait"/>
          <w:cols w:equalWidth="0" w:num="1">
            <w:col w:w="10580"/>
          </w:cols>
          <w:pgMar w:left="660" w:top="1440" w:right="660" w:bottom="1440" w:gutter="0" w:footer="0" w:header="0"/>
        </w:sectPr>
      </w:pPr>
    </w:p>
    <w:bookmarkStart w:id="375" w:name="page376"/>
    <w:bookmarkEnd w:id="375"/>
    <w:p>
      <w:pPr>
        <w:spacing w:after="0" w:line="331" w:lineRule="exact"/>
        <w:rPr>
          <w:sz w:val="20"/>
          <w:szCs w:val="20"/>
          <w:color w:val="auto"/>
        </w:rPr>
      </w:pPr>
    </w:p>
    <w:p>
      <w:pPr>
        <w:ind w:left="1740" w:hanging="582"/>
        <w:spacing w:after="0"/>
        <w:tabs>
          <w:tab w:leader="none" w:pos="17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Sellers' Upfront Consideration; and</w:t>
      </w:r>
    </w:p>
    <w:p>
      <w:pPr>
        <w:spacing w:after="0" w:line="68"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Contingent Consideration (calculated and payable in accordance with Schedule 10 and always subject to the rights of the Purchaser pursuant to sub-clause 19.12 (</w:t>
      </w:r>
      <w:r>
        <w:rPr>
          <w:rFonts w:ascii="Arial" w:cs="Arial" w:eastAsia="Arial" w:hAnsi="Arial"/>
          <w:sz w:val="16"/>
          <w:szCs w:val="16"/>
          <w:i w:val="1"/>
          <w:iCs w:val="1"/>
          <w:color w:val="auto"/>
        </w:rPr>
        <w:t>Set-off</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sale and purchase of the FME 2024 French Shares shall complete on such date (and time) as is determined by the Purchaser, such date not to be more than [***] days after the service of the notice (as the case may be) by the Purchaser on the FME Shareholder in accordance with paragraph (a) or by the FME Shareholder on the Purchaser in accordance with paragraph (b). On the completion of the sale and purchase of the FME 2024 French Shares:</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FME Shareholder shall deliver to the Purchaser a duly executed transfer of the FME 2024 French Shares held by them in favour of the Purchaser; and</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Purchaser shall pay to the FME Shareholder the Consideration (as set out in paragraph (c)) for those FME 2024 French Shares.</w:t>
      </w:r>
    </w:p>
    <w:p>
      <w:pPr>
        <w:spacing w:after="0" w:line="47" w:lineRule="exact"/>
        <w:rPr>
          <w:rFonts w:ascii="Arial" w:cs="Arial" w:eastAsia="Arial" w:hAnsi="Arial"/>
          <w:sz w:val="16"/>
          <w:szCs w:val="16"/>
          <w:color w:val="auto"/>
        </w:rPr>
      </w:pPr>
    </w:p>
    <w:p>
      <w:pPr>
        <w:jc w:val="both"/>
        <w:ind w:left="1160" w:right="20" w:hanging="578"/>
        <w:spacing w:after="0" w:line="216" w:lineRule="auto"/>
        <w:tabs>
          <w:tab w:leader="none" w:pos="114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If the FME Shareholder fails to comply with paragraph (d), the Purchaser is hereby irrevocably authorised to execute, or to authorise and instruct such person as it thinks fit to execute, any necessary transfer, indemnity or certificate on behalf of the FME Shareholder and, against receipt by the Company of the Consideration payable for the FME 2024 French Shares, to deliver any such transfer, indemnity or certificate to the Purchaser. The Company shall hold the Consideration on trust for the FME Shareholder without any obligation to pay interest.</w:t>
      </w:r>
    </w:p>
    <w:p>
      <w:pPr>
        <w:spacing w:after="0" w:line="4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any notice or other document which the Purchaser wishes to deliver to the FME Shareholders or any of them pursuant to this clause 3.10 may be delivered to them by being delivered to the FME Shareholders' Representative in accordance with the provisions set out in clause 24 (</w:t>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Purchase Options</w:t>
      </w:r>
    </w:p>
    <w:p>
      <w:pPr>
        <w:spacing w:after="0" w:line="68" w:lineRule="exact"/>
        <w:rPr>
          <w:sz w:val="20"/>
          <w:szCs w:val="20"/>
          <w:color w:val="auto"/>
        </w:rPr>
      </w:pPr>
    </w:p>
    <w:p>
      <w:pPr>
        <w:ind w:left="520" w:right="40" w:hanging="575"/>
        <w:spacing w:after="0" w:line="241" w:lineRule="auto"/>
        <w:tabs>
          <w:tab w:leader="none" w:pos="500" w:val="left"/>
        </w:tabs>
        <w:rPr>
          <w:sz w:val="20"/>
          <w:szCs w:val="20"/>
          <w:color w:val="auto"/>
        </w:rPr>
      </w:pPr>
      <w:r>
        <w:rPr>
          <w:rFonts w:ascii="Arial" w:cs="Arial" w:eastAsia="Arial" w:hAnsi="Arial"/>
          <w:sz w:val="16"/>
          <w:szCs w:val="16"/>
          <w:color w:val="auto"/>
        </w:rPr>
        <w:t>3.11</w:t>
        <w:tab/>
        <w:t xml:space="preserve">It is acknowledged that [***] has granted the Share Purchase Options over, in total, [***] of the Ordinary Shares registered in [***] name (out of which [***] Ordinary Shares have vested) (the </w:t>
      </w:r>
      <w:r>
        <w:rPr>
          <w:rFonts w:ascii="Arial" w:cs="Arial" w:eastAsia="Arial" w:hAnsi="Arial"/>
          <w:sz w:val="16"/>
          <w:szCs w:val="16"/>
          <w:b w:val="1"/>
          <w:bCs w:val="1"/>
          <w:color w:val="auto"/>
        </w:rPr>
        <w:t>"Applicable Ordinary Shares"</w:t>
      </w:r>
      <w:r>
        <w:rPr>
          <w:rFonts w:ascii="Arial" w:cs="Arial" w:eastAsia="Arial" w:hAnsi="Arial"/>
          <w:sz w:val="16"/>
          <w:szCs w:val="16"/>
          <w:color w:val="auto"/>
        </w:rPr>
        <w:t>). [***] hereby agrees that:</w:t>
      </w:r>
    </w:p>
    <w:p>
      <w:pPr>
        <w:spacing w:after="0" w:line="39" w:lineRule="exact"/>
        <w:rPr>
          <w:sz w:val="20"/>
          <w:szCs w:val="20"/>
          <w:color w:val="auto"/>
        </w:rPr>
      </w:pPr>
    </w:p>
    <w:p>
      <w:pPr>
        <w:ind w:left="1160" w:right="20" w:hanging="578"/>
        <w:spacing w:after="0" w:line="235" w:lineRule="auto"/>
        <w:tabs>
          <w:tab w:leader="none" w:pos="114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will procure that the vested Share Purchase Options are exercised in full on or before Completion (or, to the extent that they are not exercised, will procure that they lapse); and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will procure that, following the transfer of the Applicable Ordinary Shares to the holders of the Share Purchase Options, each such holder is entered as the legal owner of the Applicable Ordinary Shares in the Company's register of members no later than immediately before Completion.</w:t>
      </w:r>
    </w:p>
    <w:p>
      <w:pPr>
        <w:spacing w:after="0" w:line="49" w:lineRule="exact"/>
        <w:rPr>
          <w:sz w:val="20"/>
          <w:szCs w:val="20"/>
          <w:color w:val="auto"/>
        </w:rPr>
      </w:pPr>
    </w:p>
    <w:p>
      <w:pPr>
        <w:jc w:val="both"/>
        <w:ind w:left="560" w:right="20" w:hanging="575"/>
        <w:spacing w:after="0" w:line="219" w:lineRule="auto"/>
        <w:tabs>
          <w:tab w:leader="none" w:pos="54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The Purchaser and the Founders will procure that the exercise price owed to [***] in consideration for the transfer of the Applicable Ordinary Shares pursuant to the Share Purchase Options will be paid to [***] as part of the Completion funds flow, out of the consideration to be received by the holders of the Share Purchase Options from the Purchaser in respect of the sale of their respective Applicable Ordinary Shares as part of Completion.</w:t>
      </w:r>
    </w:p>
    <w:p>
      <w:pPr>
        <w:spacing w:after="0" w:line="49"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6"/>
          <w:szCs w:val="16"/>
          <w:color w:val="auto"/>
        </w:rPr>
        <w:t>Part 1, Law of Property (Miscellaneous Provisions) Act 1994 shall not apply to any disposition of the Shares made under or pursuant to this Agreement.</w:t>
      </w:r>
    </w:p>
    <w:p>
      <w:pPr>
        <w:spacing w:after="0" w:line="46" w:lineRule="exact"/>
        <w:rPr>
          <w:sz w:val="20"/>
          <w:szCs w:val="20"/>
          <w:color w:val="auto"/>
        </w:rPr>
      </w:pPr>
    </w:p>
    <w:p>
      <w:pPr>
        <w:ind w:left="300" w:hanging="294"/>
        <w:spacing w:after="0"/>
        <w:tabs>
          <w:tab w:leader="none" w:pos="300"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Consideration</w:t>
      </w:r>
    </w:p>
    <w:p>
      <w:pPr>
        <w:spacing w:after="0" w:line="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The Consideration payable for each Completion Share is:</w:t>
      </w:r>
    </w:p>
    <w:p>
      <w:pPr>
        <w:spacing w:after="0" w:line="68" w:lineRule="exact"/>
        <w:rPr>
          <w:sz w:val="20"/>
          <w:szCs w:val="20"/>
          <w:color w:val="auto"/>
        </w:rPr>
      </w:pPr>
    </w:p>
    <w:p>
      <w:pPr>
        <w:ind w:left="1140" w:hanging="558"/>
        <w:spacing w:after="0"/>
        <w:tabs>
          <w:tab w:leader="none" w:pos="11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Sellers' Upfront Consideration; plus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Contingent Consideration.</w:t>
      </w:r>
    </w:p>
    <w:p>
      <w:pPr>
        <w:spacing w:after="0" w:line="6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The Consideration for the Completion Shares shall be satisfied as follows:</w:t>
      </w:r>
    </w:p>
    <w:p>
      <w:pPr>
        <w:spacing w:after="0" w:line="68" w:lineRule="exact"/>
        <w:rPr>
          <w:sz w:val="20"/>
          <w:szCs w:val="20"/>
          <w:color w:val="auto"/>
        </w:rPr>
      </w:pPr>
    </w:p>
    <w:p>
      <w:pPr>
        <w:ind w:left="1140" w:hanging="558"/>
        <w:spacing w:after="0"/>
        <w:tabs>
          <w:tab w:leader="none" w:pos="11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as to the Upfront Consideration:</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by the payment to each Investor Seller of the Sellers' Upfront Consideration multiplied by the number of Completion Shares held by each Investor Seller;</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in respect of each Non-US FME Shareholder (other than the holders of FME 2024 French Shares in respect of such FME 2024 French Shares only):</w:t>
      </w:r>
    </w:p>
    <w:p>
      <w:pPr>
        <w:sectPr>
          <w:pgSz w:w="11900" w:h="16840" w:orient="portrait"/>
          <w:cols w:equalWidth="0" w:num="1">
            <w:col w:w="10580"/>
          </w:cols>
          <w:pgMar w:left="660" w:top="1440" w:right="660" w:bottom="1440" w:gutter="0" w:footer="0" w:header="0"/>
        </w:sectPr>
      </w:pPr>
    </w:p>
    <w:p>
      <w:pPr>
        <w:spacing w:after="0" w:line="48" w:lineRule="exact"/>
        <w:rPr>
          <w:sz w:val="20"/>
          <w:szCs w:val="20"/>
          <w:color w:val="auto"/>
        </w:rPr>
      </w:pPr>
    </w:p>
    <w:p>
      <w:pPr>
        <w:ind w:left="1740"/>
        <w:spacing w:after="0"/>
        <w:tabs>
          <w:tab w:leader="none" w:pos="2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by the payment of a cash sum comprising (i) [***]% of the Sellers' Upfront Consideration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multiplied 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number of</w:t>
      </w:r>
    </w:p>
    <w:p>
      <w:pPr>
        <w:spacing w:after="0" w:line="39" w:lineRule="exact"/>
        <w:rPr>
          <w:sz w:val="20"/>
          <w:szCs w:val="20"/>
          <w:color w:val="auto"/>
        </w:rPr>
      </w:pPr>
    </w:p>
    <w:p>
      <w:pPr>
        <w:sectPr>
          <w:pgSz w:w="11900" w:h="16840" w:orient="portrait"/>
          <w:cols w:equalWidth="0" w:num="3">
            <w:col w:w="8440" w:space="120"/>
            <w:col w:w="960" w:space="60"/>
            <w:col w:w="1000"/>
          </w:cols>
          <w:pgMar w:left="660" w:top="1440" w:right="660" w:bottom="1440" w:gutter="0" w:footer="0" w:header="0"/>
          <w:type w:val="continuous"/>
        </w:sectPr>
      </w:pPr>
    </w:p>
    <w:p>
      <w:pPr>
        <w:jc w:val="center"/>
        <w:ind w:right="40"/>
        <w:spacing w:after="0"/>
        <w:rPr>
          <w:sz w:val="20"/>
          <w:szCs w:val="20"/>
          <w:color w:val="auto"/>
        </w:rPr>
      </w:pPr>
      <w:r>
        <w:rPr>
          <w:rFonts w:ascii="Arial" w:cs="Arial" w:eastAsia="Arial" w:hAnsi="Arial"/>
          <w:sz w:val="14"/>
          <w:szCs w:val="14"/>
          <w:color w:val="auto"/>
        </w:rPr>
        <w:t>Completion Fully Diluted Shares held by the Non-US FME Shareholders; and (ii) such</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w:t>
      </w:r>
    </w:p>
    <w:p>
      <w:pPr>
        <w:sectPr>
          <w:pgSz w:w="11900" w:h="16840" w:orient="portrait"/>
          <w:cols w:equalWidth="0" w:num="1">
            <w:col w:w="10580"/>
          </w:cols>
          <w:pgMar w:left="660" w:top="1440" w:right="660" w:bottom="1440" w:gutter="0" w:footer="0" w:header="0"/>
          <w:type w:val="continuous"/>
        </w:sectPr>
      </w:pPr>
    </w:p>
    <w:bookmarkStart w:id="376" w:name="page377"/>
    <w:bookmarkEnd w:id="376"/>
    <w:p>
      <w:pPr>
        <w:spacing w:after="0" w:line="331" w:lineRule="exact"/>
        <w:rPr>
          <w:sz w:val="20"/>
          <w:szCs w:val="20"/>
          <w:color w:val="auto"/>
        </w:rPr>
      </w:pPr>
    </w:p>
    <w:p>
      <w:pPr>
        <w:ind w:left="2320"/>
        <w:spacing w:after="0" w:line="235" w:lineRule="auto"/>
        <w:rPr>
          <w:sz w:val="20"/>
          <w:szCs w:val="20"/>
          <w:color w:val="auto"/>
        </w:rPr>
      </w:pPr>
      <w:r>
        <w:rPr>
          <w:rFonts w:ascii="Arial" w:cs="Arial" w:eastAsia="Arial" w:hAnsi="Arial"/>
          <w:sz w:val="16"/>
          <w:szCs w:val="16"/>
          <w:color w:val="auto"/>
        </w:rPr>
        <w:t>amount as is agreed pursuant to sub-clauses 4.4 and 4.5 between the Purchaser and the FME Shareholders' Representative as being the FME Shareholders' Transaction Tax Liability,</w:t>
      </w:r>
    </w:p>
    <w:p>
      <w:pPr>
        <w:spacing w:after="0" w:line="48" w:lineRule="exact"/>
        <w:rPr>
          <w:sz w:val="20"/>
          <w:szCs w:val="20"/>
          <w:color w:val="auto"/>
        </w:rPr>
      </w:pPr>
    </w:p>
    <w:p>
      <w:pPr>
        <w:jc w:val="both"/>
        <w:ind w:left="2320" w:right="20" w:hanging="585"/>
        <w:spacing w:after="0" w:line="219" w:lineRule="auto"/>
        <w:tabs>
          <w:tab w:leader="none" w:pos="2308" w:val="left"/>
        </w:tabs>
        <w:numPr>
          <w:ilvl w:val="2"/>
          <w:numId w:val="301"/>
        </w:numPr>
        <w:rPr>
          <w:rFonts w:ascii="Arial" w:cs="Arial" w:eastAsia="Arial" w:hAnsi="Arial"/>
          <w:sz w:val="16"/>
          <w:szCs w:val="16"/>
          <w:color w:val="auto"/>
        </w:rPr>
      </w:pPr>
      <w:r>
        <w:rPr>
          <w:rFonts w:ascii="Arial" w:cs="Arial" w:eastAsia="Arial" w:hAnsi="Arial"/>
          <w:sz w:val="16"/>
          <w:szCs w:val="16"/>
          <w:color w:val="auto"/>
        </w:rPr>
        <w:t>subject to any further adjustments as required to account for any [***] in accordance with this Agreement, by the allotment by the Purchaser to the Depositary of the aggregate number of Consideration Shares and delivery by the Depositary to each Non-US FME Shareholder of such number of Consideration ADSs as is set out in the Completion Allocation Schedule and in accordance with the calculations in clause 7.3(d); and</w:t>
      </w:r>
    </w:p>
    <w:p>
      <w:pPr>
        <w:spacing w:after="0" w:line="48" w:lineRule="exact"/>
        <w:rPr>
          <w:rFonts w:ascii="Arial" w:cs="Arial" w:eastAsia="Arial" w:hAnsi="Arial"/>
          <w:sz w:val="16"/>
          <w:szCs w:val="16"/>
          <w:color w:val="auto"/>
        </w:rPr>
      </w:pPr>
    </w:p>
    <w:p>
      <w:pPr>
        <w:jc w:val="both"/>
        <w:ind w:left="1740" w:right="20" w:hanging="582"/>
        <w:spacing w:after="0" w:line="219" w:lineRule="auto"/>
        <w:tabs>
          <w:tab w:leader="none" w:pos="172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in respect of the US FME Shareholders and the holders of FME 2024 French Shares (in respect of such FME 2024 French Shares only), subject to any further adjustments as required to account for any [***] in accordance with this Agreement, by the payment to each such person of the Sellers' Upfront Consideration </w:t>
      </w:r>
      <w:r>
        <w:rPr>
          <w:rFonts w:ascii="Arial" w:cs="Arial" w:eastAsia="Arial" w:hAnsi="Arial"/>
          <w:sz w:val="16"/>
          <w:szCs w:val="16"/>
          <w:b w:val="1"/>
          <w:bCs w:val="1"/>
          <w:i w:val="1"/>
          <w:iCs w:val="1"/>
          <w:color w:val="auto"/>
        </w:rPr>
        <w:t>multiplied by</w:t>
      </w:r>
      <w:r>
        <w:rPr>
          <w:rFonts w:ascii="Arial" w:cs="Arial" w:eastAsia="Arial" w:hAnsi="Arial"/>
          <w:sz w:val="16"/>
          <w:szCs w:val="16"/>
          <w:color w:val="auto"/>
        </w:rPr>
        <w:t xml:space="preserve"> the number of Completion Fully Diluted Shares held by such person as set out in the Completion Allocation Schedule;</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to the Contingent Consideration:</w:t>
      </w:r>
    </w:p>
    <w:p>
      <w:pPr>
        <w:spacing w:after="0" w:line="68" w:lineRule="exact"/>
        <w:rPr>
          <w:rFonts w:ascii="Arial" w:cs="Arial" w:eastAsia="Arial" w:hAnsi="Arial"/>
          <w:sz w:val="16"/>
          <w:szCs w:val="16"/>
          <w:color w:val="auto"/>
        </w:rPr>
      </w:pPr>
    </w:p>
    <w:p>
      <w:pPr>
        <w:ind w:left="1740" w:hanging="582"/>
        <w:spacing w:after="0" w:line="235" w:lineRule="auto"/>
        <w:tabs>
          <w:tab w:leader="none" w:pos="174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subject to sub-clause 4.3, by the payment to the Investor Sellers of the Investor Sellers' Upfront Contingent Cash Consideration; and</w:t>
      </w:r>
    </w:p>
    <w:p>
      <w:pPr>
        <w:spacing w:after="0" w:line="48" w:lineRule="exact"/>
        <w:rPr>
          <w:sz w:val="20"/>
          <w:szCs w:val="20"/>
          <w:color w:val="auto"/>
        </w:rPr>
      </w:pPr>
    </w:p>
    <w:p>
      <w:pPr>
        <w:jc w:val="both"/>
        <w:ind w:left="1740" w:hanging="582"/>
        <w:spacing w:after="0" w:line="219" w:lineRule="auto"/>
        <w:tabs>
          <w:tab w:leader="none" w:pos="172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by the payment to each FME Shareholder of their respective pro rata proportion (as set opposite his or her name in the Completion Allocation Schedule) of the Earn-out Consideration on the Earn-out Consideration Completion Date, in each case, in accordance with clause 23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and subject to Schedule 10 </w:t>
      </w:r>
      <w:r>
        <w:rPr>
          <w:rFonts w:ascii="Arial" w:cs="Arial" w:eastAsia="Arial" w:hAnsi="Arial"/>
          <w:sz w:val="16"/>
          <w:szCs w:val="16"/>
          <w:i w:val="1"/>
          <w:iCs w:val="1"/>
          <w:color w:val="auto"/>
        </w:rPr>
        <w:t>(Calculation of Earn-out Consideration)</w:t>
      </w:r>
      <w:r>
        <w:rPr>
          <w:rFonts w:ascii="Arial" w:cs="Arial" w:eastAsia="Arial" w:hAnsi="Arial"/>
          <w:sz w:val="16"/>
          <w:szCs w:val="16"/>
          <w:color w:val="auto"/>
        </w:rPr>
        <w:t xml:space="preserve"> and subject always to the rights of the Purchaser pursuant to sub-clause 19.12 (</w:t>
      </w:r>
      <w:r>
        <w:rPr>
          <w:rFonts w:ascii="Arial" w:cs="Arial" w:eastAsia="Arial" w:hAnsi="Arial"/>
          <w:sz w:val="16"/>
          <w:szCs w:val="16"/>
          <w:i w:val="1"/>
          <w:iCs w:val="1"/>
          <w:color w:val="auto"/>
        </w:rPr>
        <w:t>Set-off</w:t>
      </w:r>
      <w:r>
        <w:rPr>
          <w:rFonts w:ascii="Arial" w:cs="Arial" w:eastAsia="Arial" w:hAnsi="Arial"/>
          <w:sz w:val="16"/>
          <w:szCs w:val="16"/>
          <w:color w:val="auto"/>
        </w:rPr>
        <w:t>).</w:t>
      </w:r>
    </w:p>
    <w:p>
      <w:pPr>
        <w:spacing w:after="0" w:line="49" w:lineRule="exact"/>
        <w:rPr>
          <w:sz w:val="20"/>
          <w:szCs w:val="20"/>
          <w:color w:val="auto"/>
        </w:rPr>
      </w:pPr>
    </w:p>
    <w:p>
      <w:pPr>
        <w:ind w:left="420" w:right="20" w:hanging="575"/>
        <w:spacing w:after="0" w:line="298" w:lineRule="auto"/>
        <w:tabs>
          <w:tab w:leader="none" w:pos="40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Each Seller who shall receive Investor Sellers' Upfront Contingent Cash Consideration pursuant to the terms of this Agreement hereby waives any and all entitlement to receive any Earn-out Consideration that may otherwise be payable to such Seller pursuant to the terms of this Agreement.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FME Shareholders' Transaction Tax Liability</w:t>
      </w:r>
    </w:p>
    <w:p>
      <w:pPr>
        <w:spacing w:after="0" w:line="68" w:lineRule="exact"/>
        <w:rPr>
          <w:sz w:val="20"/>
          <w:szCs w:val="20"/>
          <w:color w:val="auto"/>
        </w:rPr>
      </w:pPr>
    </w:p>
    <w:p>
      <w:pPr>
        <w:jc w:val="both"/>
        <w:ind w:left="420" w:hanging="575"/>
        <w:spacing w:after="0" w:line="211" w:lineRule="auto"/>
        <w:tabs>
          <w:tab w:leader="none" w:pos="400" w:val="left"/>
        </w:tabs>
        <w:rPr>
          <w:sz w:val="20"/>
          <w:szCs w:val="20"/>
          <w:color w:val="auto"/>
        </w:rPr>
      </w:pPr>
      <w:r>
        <w:rPr>
          <w:rFonts w:ascii="Arial" w:cs="Arial" w:eastAsia="Arial" w:hAnsi="Arial"/>
          <w:sz w:val="16"/>
          <w:szCs w:val="16"/>
          <w:color w:val="auto"/>
        </w:rPr>
        <w:t>4.4</w:t>
        <w:tab/>
        <w:t xml:space="preserve">As soon as practicable after the date of this Agreement, the FME Shareholders' Representative, having taken professional advice, shall deliver to the Purchaser its methodology for estimating the FME Shareholders' Transaction Tax Liability (the </w:t>
      </w:r>
      <w:r>
        <w:rPr>
          <w:rFonts w:ascii="Arial" w:cs="Arial" w:eastAsia="Arial" w:hAnsi="Arial"/>
          <w:sz w:val="16"/>
          <w:szCs w:val="16"/>
          <w:b w:val="1"/>
          <w:bCs w:val="1"/>
          <w:color w:val="auto"/>
        </w:rPr>
        <w:t>"Proposed Methodology"</w:t>
      </w:r>
      <w:r>
        <w:rPr>
          <w:rFonts w:ascii="Arial" w:cs="Arial" w:eastAsia="Arial" w:hAnsi="Arial"/>
          <w:sz w:val="16"/>
          <w:szCs w:val="16"/>
          <w:color w:val="auto"/>
        </w:rPr>
        <w:t xml:space="preserve">), providing supporting evidence and information so as to allow the Purchaser to undertake a review of the Proposed Methodology. The Purchaser shall review the Proposed Methodology and discuss with the FME Shareholders' Representative any proposed amendments. The FME Shareholders' Representative and the Purchaser shall use all reasonable endeavours to reach agreement on the Proposed Methodology. If agreement on the Proposed Methodology cannot be reached within [***] Business Days of the date of delivery to the FME Shareholders' Representative of the first draft, any matter still in dispute may upon the direction of the Purchaser or the FME Shareholders' Representative be referred to an Independent Expert for determination. Upon agreement or determination (as the case may be), the resulting methodology shall be the agreed methodology (the </w:t>
      </w:r>
      <w:r>
        <w:rPr>
          <w:rFonts w:ascii="Arial" w:cs="Arial" w:eastAsia="Arial" w:hAnsi="Arial"/>
          <w:sz w:val="16"/>
          <w:szCs w:val="16"/>
          <w:b w:val="1"/>
          <w:bCs w:val="1"/>
          <w:color w:val="auto"/>
        </w:rPr>
        <w:t>"Agreed Methodology"</w:t>
      </w:r>
      <w:r>
        <w:rPr>
          <w:rFonts w:ascii="Arial" w:cs="Arial" w:eastAsia="Arial" w:hAnsi="Arial"/>
          <w:sz w:val="16"/>
          <w:szCs w:val="16"/>
          <w:color w:val="auto"/>
        </w:rPr>
        <w:t>) for the purposes of this Agreement.</w:t>
      </w:r>
    </w:p>
    <w:p>
      <w:pPr>
        <w:spacing w:after="0" w:line="45" w:lineRule="exact"/>
        <w:rPr>
          <w:sz w:val="20"/>
          <w:szCs w:val="20"/>
          <w:color w:val="auto"/>
        </w:rPr>
      </w:pPr>
    </w:p>
    <w:p>
      <w:pPr>
        <w:jc w:val="both"/>
        <w:ind w:left="480" w:hanging="575"/>
        <w:spacing w:after="0" w:line="208" w:lineRule="auto"/>
        <w:tabs>
          <w:tab w:leader="none" w:pos="4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On the day that is no later than [***] Business Days prior to the Completion Date, the FME Shareholders' Representative shall deliver to the Purchaser the final Completion Allocation Schedule signed by the FME Shareholders' Representative on behalf of the FME Shareholders (prepared using the Agreed Methodology and including calculation of the FME Shareholders' Transaction Tax Liability, by reference to the FME Shareholders' Representative's reasonable estimate of the price of the Purchaser's shares listed on NASDAQ on or around the proposed Completion Date as well as the estimates and adjustment amounts contemplated by the Estimates Notice, updated with the most up- to-date information available at the relevant time, if required) and which shall be prepared in good faith and with due care and attention having undertaken such draft payroll runs as may be required (as applicable). The Purchaser shall have the right to review the Completion Allocation Schedule and the FME Shareholders' Representative shall provide reasonable access to supporting evidence and information as may reasonably be required by the Purchaser to enable the Purchaser to verify the accuracy of the Completion Allocation Schedule. The FME Shareholders' Representative and the Purchaser shall use all reasonable endeavours to reach agreement on the Proposed Completion Allocation Schedule, but to the extent that no agreement can be reached on any particular aspect, then, in respect of that matter only, the position as set out in the Completion Allocation Schedule delivered by the FME Shareholders Representative shall be deemed to be agreed for the purpose of proceedings to Completion.</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26</w:t>
      </w:r>
    </w:p>
    <w:p>
      <w:pPr>
        <w:sectPr>
          <w:pgSz w:w="11900" w:h="16840" w:orient="portrait"/>
          <w:cols w:equalWidth="0" w:num="1">
            <w:col w:w="10580"/>
          </w:cols>
          <w:pgMar w:left="660" w:top="1440" w:right="660" w:bottom="1440" w:gutter="0" w:footer="0" w:header="0"/>
        </w:sectPr>
      </w:pPr>
    </w:p>
    <w:bookmarkStart w:id="377" w:name="page378"/>
    <w:bookmarkEnd w:id="377"/>
    <w:p>
      <w:pPr>
        <w:spacing w:after="0" w:line="331" w:lineRule="exact"/>
        <w:rPr>
          <w:sz w:val="20"/>
          <w:szCs w:val="20"/>
          <w:color w:val="auto"/>
        </w:rPr>
      </w:pPr>
    </w:p>
    <w:p>
      <w:pPr>
        <w:ind w:left="65"/>
        <w:spacing w:after="0"/>
        <w:tabs>
          <w:tab w:leader="none" w:pos="445"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color w:val="auto"/>
        </w:rPr>
        <w:t>[***]</w:t>
      </w:r>
    </w:p>
    <w:p>
      <w:pPr>
        <w:spacing w:after="0" w:line="68" w:lineRule="exact"/>
        <w:rPr>
          <w:sz w:val="20"/>
          <w:szCs w:val="20"/>
          <w:color w:val="auto"/>
        </w:rPr>
      </w:pPr>
    </w:p>
    <w:p>
      <w:pPr>
        <w:ind w:left="65"/>
        <w:spacing w:after="0"/>
        <w:tabs>
          <w:tab w:leader="none" w:pos="445"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color w:val="auto"/>
        </w:rPr>
        <w:t>[***]</w:t>
      </w:r>
    </w:p>
    <w:p>
      <w:pPr>
        <w:spacing w:after="0" w:line="68" w:lineRule="exact"/>
        <w:rPr>
          <w:sz w:val="20"/>
          <w:szCs w:val="20"/>
          <w:color w:val="auto"/>
        </w:rPr>
      </w:pPr>
    </w:p>
    <w:p>
      <w:pPr>
        <w:ind w:left="65"/>
        <w:spacing w:after="0"/>
        <w:tabs>
          <w:tab w:leader="none" w:pos="445"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color w:val="auto"/>
        </w:rPr>
        <w:t>[***]</w:t>
      </w:r>
    </w:p>
    <w:p>
      <w:pPr>
        <w:spacing w:after="0" w:line="68" w:lineRule="exact"/>
        <w:rPr>
          <w:sz w:val="20"/>
          <w:szCs w:val="20"/>
          <w:color w:val="auto"/>
        </w:rPr>
      </w:pPr>
    </w:p>
    <w:p>
      <w:pPr>
        <w:ind w:left="65"/>
        <w:spacing w:after="0"/>
        <w:tabs>
          <w:tab w:leader="none" w:pos="445"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4"/>
          <w:szCs w:val="14"/>
          <w:color w:val="auto"/>
        </w:rPr>
        <w:t>[***]</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4.10</w:t>
        <w:tab/>
        <w:t>[***]</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4.11</w:t>
        <w:tab/>
        <w:t>[***]</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4.12</w:t>
        <w:tab/>
        <w:t>[***]</w:t>
      </w:r>
    </w:p>
    <w:p>
      <w:pPr>
        <w:spacing w:after="0" w:line="68" w:lineRule="exact"/>
        <w:rPr>
          <w:sz w:val="20"/>
          <w:szCs w:val="20"/>
          <w:color w:val="auto"/>
        </w:rPr>
      </w:pPr>
    </w:p>
    <w:p>
      <w:pPr>
        <w:ind w:left="645"/>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4.13</w:t>
        <w:tab/>
        <w:t>[***]</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4.14</w:t>
        <w:tab/>
        <w:t>[***]</w:t>
      </w:r>
    </w:p>
    <w:p>
      <w:pPr>
        <w:spacing w:after="0" w:line="68" w:lineRule="exact"/>
        <w:rPr>
          <w:sz w:val="20"/>
          <w:szCs w:val="20"/>
          <w:color w:val="auto"/>
        </w:rPr>
      </w:pPr>
    </w:p>
    <w:p>
      <w:pPr>
        <w:ind w:left="65"/>
        <w:spacing w:after="0"/>
        <w:rPr>
          <w:sz w:val="20"/>
          <w:szCs w:val="20"/>
          <w:color w:val="auto"/>
        </w:rPr>
      </w:pPr>
      <w:r>
        <w:rPr>
          <w:rFonts w:ascii="Arial" w:cs="Arial" w:eastAsia="Arial" w:hAnsi="Arial"/>
          <w:sz w:val="16"/>
          <w:szCs w:val="16"/>
          <w:b w:val="1"/>
          <w:bCs w:val="1"/>
          <w:i w:val="1"/>
          <w:iCs w:val="1"/>
          <w:color w:val="auto"/>
        </w:rPr>
        <w:t>Subscription monies and Option Tax Liability</w:t>
      </w:r>
    </w:p>
    <w:p>
      <w:pPr>
        <w:spacing w:after="0" w:line="68" w:lineRule="exact"/>
        <w:rPr>
          <w:sz w:val="20"/>
          <w:szCs w:val="20"/>
          <w:color w:val="auto"/>
        </w:rPr>
      </w:pPr>
    </w:p>
    <w:p>
      <w:pPr>
        <w:ind w:left="65"/>
        <w:spacing w:after="0"/>
        <w:tabs>
          <w:tab w:leader="none" w:pos="525" w:val="left"/>
        </w:tabs>
        <w:rPr>
          <w:sz w:val="20"/>
          <w:szCs w:val="20"/>
          <w:color w:val="auto"/>
        </w:rPr>
      </w:pPr>
      <w:r>
        <w:rPr>
          <w:rFonts w:ascii="Arial" w:cs="Arial" w:eastAsia="Arial" w:hAnsi="Arial"/>
          <w:sz w:val="16"/>
          <w:szCs w:val="16"/>
          <w:color w:val="auto"/>
        </w:rPr>
        <w:t>4.15</w:t>
      </w:r>
      <w:r>
        <w:rPr>
          <w:sz w:val="20"/>
          <w:szCs w:val="20"/>
          <w:color w:val="auto"/>
        </w:rPr>
        <w:tab/>
      </w:r>
      <w:r>
        <w:rPr>
          <w:rFonts w:ascii="Arial" w:cs="Arial" w:eastAsia="Arial" w:hAnsi="Arial"/>
          <w:sz w:val="14"/>
          <w:szCs w:val="14"/>
          <w:color w:val="auto"/>
        </w:rPr>
        <w:t>Each FME Shareholder:</w:t>
      </w:r>
    </w:p>
    <w:p>
      <w:pPr>
        <w:spacing w:after="0" w:line="68" w:lineRule="exact"/>
        <w:rPr>
          <w:sz w:val="20"/>
          <w:szCs w:val="20"/>
          <w:color w:val="auto"/>
        </w:rPr>
      </w:pPr>
    </w:p>
    <w:p>
      <w:pPr>
        <w:jc w:val="both"/>
        <w:ind w:left="1225" w:hanging="578"/>
        <w:spacing w:after="0" w:line="224" w:lineRule="auto"/>
        <w:tabs>
          <w:tab w:leader="none" w:pos="121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irrevocably agrees and confirms that they will have delivered to the Company (or, for the purpose of the Share Purchase Options, to [***]) a duly completed notice of exercise immediately prior to but conditional upon Completion agreeing to sell the Shares that they will acquire on the exercise of their Options (other than a New Award in the form of an RSU Award) pursuant to this Agreement;</w:t>
      </w:r>
    </w:p>
    <w:p>
      <w:pPr>
        <w:spacing w:after="0" w:line="48" w:lineRule="exact"/>
        <w:rPr>
          <w:rFonts w:ascii="Arial" w:cs="Arial" w:eastAsia="Arial" w:hAnsi="Arial"/>
          <w:sz w:val="16"/>
          <w:szCs w:val="16"/>
          <w:color w:val="auto"/>
        </w:rPr>
      </w:pPr>
    </w:p>
    <w:p>
      <w:pPr>
        <w:ind w:left="1225" w:right="40" w:hanging="578"/>
        <w:spacing w:after="0" w:line="235" w:lineRule="auto"/>
        <w:tabs>
          <w:tab w:leader="none" w:pos="121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acknowledges and affirms that any Options (or part thereof) that they hold (other than a New Award in the form of an RSU Award) and which are not exercised prior to Completion, shall not be exercised and shall lapse immediately on Completion; and</w:t>
      </w:r>
    </w:p>
    <w:p>
      <w:pPr>
        <w:spacing w:after="0" w:line="47" w:lineRule="exact"/>
        <w:rPr>
          <w:rFonts w:ascii="Arial" w:cs="Arial" w:eastAsia="Arial" w:hAnsi="Arial"/>
          <w:sz w:val="16"/>
          <w:szCs w:val="16"/>
          <w:color w:val="auto"/>
        </w:rPr>
      </w:pPr>
    </w:p>
    <w:p>
      <w:pPr>
        <w:ind w:left="1225" w:right="20" w:hanging="578"/>
        <w:spacing w:after="0" w:line="235" w:lineRule="auto"/>
        <w:tabs>
          <w:tab w:leader="none" w:pos="121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severally and irrevocably authorises, directs and instructs [***] to deduct from their FME Shareholders' Upfront Cash Consideration an amount equal to:</w:t>
      </w:r>
    </w:p>
    <w:p>
      <w:pPr>
        <w:spacing w:after="0" w:line="47" w:lineRule="exact"/>
        <w:rPr>
          <w:rFonts w:ascii="Arial" w:cs="Arial" w:eastAsia="Arial" w:hAnsi="Arial"/>
          <w:sz w:val="16"/>
          <w:szCs w:val="16"/>
          <w:color w:val="auto"/>
        </w:rPr>
      </w:pPr>
    </w:p>
    <w:p>
      <w:pPr>
        <w:ind w:left="1805" w:right="40" w:hanging="582"/>
        <w:spacing w:after="0" w:line="235" w:lineRule="auto"/>
        <w:tabs>
          <w:tab w:leader="none" w:pos="180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Option Exercise Monies or, in the case of an RSU Award, any subscription price payable upon the vesting of the RSU Award; and</w:t>
      </w:r>
    </w:p>
    <w:p>
      <w:pPr>
        <w:spacing w:after="0" w:line="47" w:lineRule="exact"/>
        <w:rPr>
          <w:rFonts w:ascii="Arial" w:cs="Arial" w:eastAsia="Arial" w:hAnsi="Arial"/>
          <w:sz w:val="16"/>
          <w:szCs w:val="16"/>
          <w:color w:val="auto"/>
        </w:rPr>
      </w:pPr>
    </w:p>
    <w:p>
      <w:pPr>
        <w:ind w:left="1785" w:hanging="562"/>
        <w:spacing w:after="0"/>
        <w:tabs>
          <w:tab w:leader="none" w:pos="178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if applicable, the Estimated Tax Withholding,</w:t>
      </w:r>
    </w:p>
    <w:p>
      <w:pPr>
        <w:spacing w:after="0" w:line="68" w:lineRule="exact"/>
        <w:rPr>
          <w:sz w:val="20"/>
          <w:szCs w:val="20"/>
          <w:color w:val="auto"/>
        </w:rPr>
      </w:pPr>
    </w:p>
    <w:p>
      <w:pPr>
        <w:ind w:left="1225" w:right="20"/>
        <w:spacing w:after="0" w:line="235" w:lineRule="auto"/>
        <w:rPr>
          <w:sz w:val="20"/>
          <w:szCs w:val="20"/>
          <w:color w:val="auto"/>
        </w:rPr>
      </w:pPr>
      <w:r>
        <w:rPr>
          <w:rFonts w:ascii="Arial" w:cs="Arial" w:eastAsia="Arial" w:hAnsi="Arial"/>
          <w:sz w:val="16"/>
          <w:szCs w:val="16"/>
          <w:color w:val="auto"/>
        </w:rPr>
        <w:t>and to pay those sums (i) to the Company (such sums to be applied in accordance with the provisions of clause 4.16) in respect of all Options other than the Share Purchase Options and (ii) to [***] in respect of the Share Purchase Options.</w:t>
      </w:r>
    </w:p>
    <w:p>
      <w:pPr>
        <w:spacing w:after="0" w:line="48" w:lineRule="exact"/>
        <w:rPr>
          <w:sz w:val="20"/>
          <w:szCs w:val="20"/>
          <w:color w:val="auto"/>
        </w:rPr>
      </w:pPr>
    </w:p>
    <w:p>
      <w:pPr>
        <w:ind w:left="265" w:hanging="265"/>
        <w:spacing w:after="0"/>
        <w:tabs>
          <w:tab w:leader="none" w:pos="26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FME Shareholder directs, and the Purchaser will procure, that the Company:</w:t>
      </w:r>
    </w:p>
    <w:p>
      <w:pPr>
        <w:spacing w:after="0" w:line="68" w:lineRule="exact"/>
        <w:rPr>
          <w:rFonts w:ascii="Arial" w:cs="Arial" w:eastAsia="Arial" w:hAnsi="Arial"/>
          <w:sz w:val="16"/>
          <w:szCs w:val="16"/>
          <w:color w:val="auto"/>
        </w:rPr>
      </w:pPr>
    </w:p>
    <w:p>
      <w:pPr>
        <w:ind w:left="1225" w:right="20" w:hanging="578"/>
        <w:spacing w:after="0" w:line="235" w:lineRule="auto"/>
        <w:tabs>
          <w:tab w:leader="none" w:pos="1213" w:val="left"/>
        </w:tabs>
        <w:numPr>
          <w:ilvl w:val="2"/>
          <w:numId w:val="306"/>
        </w:numPr>
        <w:rPr>
          <w:rFonts w:ascii="Arial" w:cs="Arial" w:eastAsia="Arial" w:hAnsi="Arial"/>
          <w:sz w:val="16"/>
          <w:szCs w:val="16"/>
          <w:color w:val="auto"/>
        </w:rPr>
      </w:pPr>
      <w:r>
        <w:rPr>
          <w:rFonts w:ascii="Arial" w:cs="Arial" w:eastAsia="Arial" w:hAnsi="Arial"/>
          <w:sz w:val="16"/>
          <w:szCs w:val="16"/>
          <w:color w:val="auto"/>
        </w:rPr>
        <w:t>accepts, in settlement of any obligation of the FME Shareholder to pay such sums to the Company, any amount paid to it in accordance with clause 4.154c)(i); and</w:t>
      </w:r>
    </w:p>
    <w:p>
      <w:pPr>
        <w:spacing w:after="0" w:line="47" w:lineRule="exact"/>
        <w:rPr>
          <w:rFonts w:ascii="Arial" w:cs="Arial" w:eastAsia="Arial" w:hAnsi="Arial"/>
          <w:sz w:val="16"/>
          <w:szCs w:val="16"/>
          <w:color w:val="auto"/>
        </w:rPr>
      </w:pPr>
    </w:p>
    <w:p>
      <w:pPr>
        <w:jc w:val="both"/>
        <w:ind w:left="1225" w:hanging="578"/>
        <w:spacing w:after="0" w:line="265" w:lineRule="auto"/>
        <w:tabs>
          <w:tab w:leader="none" w:pos="1213" w:val="left"/>
        </w:tabs>
        <w:numPr>
          <w:ilvl w:val="2"/>
          <w:numId w:val="306"/>
        </w:numPr>
        <w:rPr>
          <w:rFonts w:ascii="Arial" w:cs="Arial" w:eastAsia="Arial" w:hAnsi="Arial"/>
          <w:sz w:val="14"/>
          <w:szCs w:val="14"/>
          <w:color w:val="auto"/>
        </w:rPr>
      </w:pPr>
      <w:r>
        <w:rPr>
          <w:rFonts w:ascii="Arial" w:cs="Arial" w:eastAsia="Arial" w:hAnsi="Arial"/>
          <w:sz w:val="14"/>
          <w:szCs w:val="14"/>
          <w:color w:val="auto"/>
        </w:rPr>
        <w:t>as soon as reasonably practicable after Completion (and, in any event, within [***] days), withholds from the Estimated Tax Withholding paid to it in accordance with clause 4.15 4c)(ii)in respect of that FME Shareholder an amount equal to the Option Tax Liability payable by that FME Shareholder and then pays the balance of the Estimated Tax Withholding (if any) to the FME Shareholder.</w:t>
      </w:r>
    </w:p>
    <w:p>
      <w:pPr>
        <w:spacing w:after="0" w:line="28" w:lineRule="exact"/>
        <w:rPr>
          <w:rFonts w:ascii="Arial" w:cs="Arial" w:eastAsia="Arial" w:hAnsi="Arial"/>
          <w:sz w:val="14"/>
          <w:szCs w:val="14"/>
          <w:color w:val="auto"/>
        </w:rPr>
      </w:pPr>
    </w:p>
    <w:p>
      <w:pPr>
        <w:ind w:left="365" w:hanging="294"/>
        <w:spacing w:after="0"/>
        <w:tabs>
          <w:tab w:leader="none" w:pos="365" w:val="left"/>
        </w:tabs>
        <w:numPr>
          <w:ilvl w:val="1"/>
          <w:numId w:val="307"/>
        </w:numPr>
        <w:rPr>
          <w:rFonts w:ascii="Arial" w:cs="Arial" w:eastAsia="Arial" w:hAnsi="Arial"/>
          <w:sz w:val="16"/>
          <w:szCs w:val="16"/>
          <w:color w:val="auto"/>
        </w:rPr>
      </w:pPr>
      <w:r>
        <w:rPr>
          <w:rFonts w:ascii="Arial" w:cs="Arial" w:eastAsia="Arial" w:hAnsi="Arial"/>
          <w:sz w:val="16"/>
          <w:szCs w:val="16"/>
          <w:b w:val="1"/>
          <w:bCs w:val="1"/>
          <w:color w:val="auto"/>
        </w:rPr>
        <w:t>Consideration adjustment</w:t>
      </w:r>
    </w:p>
    <w:p>
      <w:pPr>
        <w:spacing w:after="0" w:line="70" w:lineRule="exact"/>
        <w:rPr>
          <w:sz w:val="20"/>
          <w:szCs w:val="20"/>
          <w:color w:val="auto"/>
        </w:rPr>
      </w:pPr>
    </w:p>
    <w:p>
      <w:pPr>
        <w:ind w:left="485" w:right="40" w:hanging="575"/>
        <w:spacing w:after="0" w:line="235" w:lineRule="auto"/>
        <w:tabs>
          <w:tab w:leader="none" w:pos="465" w:val="left"/>
        </w:tabs>
        <w:rPr>
          <w:sz w:val="20"/>
          <w:szCs w:val="20"/>
          <w:color w:val="auto"/>
        </w:rPr>
      </w:pPr>
      <w:r>
        <w:rPr>
          <w:rFonts w:ascii="Arial" w:cs="Arial" w:eastAsia="Arial" w:hAnsi="Arial"/>
          <w:sz w:val="16"/>
          <w:szCs w:val="16"/>
          <w:color w:val="auto"/>
        </w:rPr>
        <w:t>5.1</w:t>
        <w:tab/>
        <w:t>After Completion the parties shall use their respective best endeavours to procure the preparation of the Completion Accounts in accordance with Schedule 9 (</w:t>
      </w:r>
      <w:r>
        <w:rPr>
          <w:rFonts w:ascii="Arial" w:cs="Arial" w:eastAsia="Arial" w:hAnsi="Arial"/>
          <w:sz w:val="16"/>
          <w:szCs w:val="16"/>
          <w:i w:val="1"/>
          <w:iCs w:val="1"/>
          <w:color w:val="auto"/>
        </w:rPr>
        <w:t>Completion Accounts</w:t>
      </w:r>
      <w:r>
        <w:rPr>
          <w:rFonts w:ascii="Arial" w:cs="Arial" w:eastAsia="Arial" w:hAnsi="Arial"/>
          <w:sz w:val="16"/>
          <w:szCs w:val="16"/>
          <w:color w:val="auto"/>
        </w:rPr>
        <w:t>).</w:t>
      </w:r>
    </w:p>
    <w:p>
      <w:pPr>
        <w:spacing w:after="0" w:line="48" w:lineRule="exact"/>
        <w:rPr>
          <w:sz w:val="20"/>
          <w:szCs w:val="20"/>
          <w:color w:val="auto"/>
        </w:rPr>
      </w:pPr>
    </w:p>
    <w:p>
      <w:pPr>
        <w:ind w:left="65"/>
        <w:spacing w:after="0"/>
        <w:tabs>
          <w:tab w:leader="none" w:pos="445"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 xml:space="preserve">If, following agreement or determination of the Completion Accounts in accordance with Schedule 9 ( </w:t>
      </w:r>
      <w:r>
        <w:rPr>
          <w:rFonts w:ascii="Arial" w:cs="Arial" w:eastAsia="Arial" w:hAnsi="Arial"/>
          <w:sz w:val="14"/>
          <w:szCs w:val="14"/>
          <w:i w:val="1"/>
          <w:iCs w:val="1"/>
          <w:color w:val="auto"/>
        </w:rPr>
        <w:t>Completion Accounts</w:t>
      </w:r>
      <w:r>
        <w:rPr>
          <w:rFonts w:ascii="Arial" w:cs="Arial" w:eastAsia="Arial" w:hAnsi="Arial"/>
          <w:sz w:val="14"/>
          <w:szCs w:val="14"/>
          <w:color w:val="auto"/>
        </w:rPr>
        <w:t>):</w:t>
      </w:r>
    </w:p>
    <w:p>
      <w:pPr>
        <w:spacing w:after="0" w:line="68" w:lineRule="exact"/>
        <w:rPr>
          <w:sz w:val="20"/>
          <w:szCs w:val="20"/>
          <w:color w:val="auto"/>
        </w:rPr>
      </w:pPr>
    </w:p>
    <w:p>
      <w:pPr>
        <w:jc w:val="both"/>
        <w:ind w:left="1225" w:right="60" w:hanging="578"/>
        <w:spacing w:after="0" w:line="228" w:lineRule="auto"/>
        <w:tabs>
          <w:tab w:leader="none" w:pos="1213"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the Estimated Adjustment Amount exceeds the Actual Adjustment Amount then, subject to sub-clause 5.3, the amount by which the Estimated Adjustment Amount exceeds the Actual Adjustment Amount shall be treated as a reduction from the Consideration (the </w:t>
      </w:r>
      <w:r>
        <w:rPr>
          <w:rFonts w:ascii="Arial" w:cs="Arial" w:eastAsia="Arial" w:hAnsi="Arial"/>
          <w:sz w:val="16"/>
          <w:szCs w:val="16"/>
          <w:b w:val="1"/>
          <w:bCs w:val="1"/>
          <w:color w:val="auto"/>
        </w:rPr>
        <w:t>"Consideration Reduction"</w:t>
      </w:r>
      <w:r>
        <w:rPr>
          <w:rFonts w:ascii="Arial" w:cs="Arial" w:eastAsia="Arial" w:hAnsi="Arial"/>
          <w:sz w:val="16"/>
          <w:szCs w:val="16"/>
          <w:color w:val="auto"/>
        </w:rPr>
        <w:t>) and:</w:t>
      </w:r>
    </w:p>
    <w:p>
      <w:pPr>
        <w:spacing w:after="0" w:line="39" w:lineRule="exact"/>
        <w:rPr>
          <w:rFonts w:ascii="Arial" w:cs="Arial" w:eastAsia="Arial" w:hAnsi="Arial"/>
          <w:sz w:val="16"/>
          <w:szCs w:val="16"/>
          <w:color w:val="auto"/>
        </w:rPr>
      </w:pPr>
    </w:p>
    <w:p>
      <w:pPr>
        <w:ind w:left="1805" w:hanging="582"/>
        <w:spacing w:after="0"/>
        <w:tabs>
          <w:tab w:leader="none" w:pos="1805" w:val="left"/>
        </w:tabs>
        <w:numPr>
          <w:ilvl w:val="1"/>
          <w:numId w:val="308"/>
        </w:numPr>
        <w:rPr>
          <w:rFonts w:ascii="Arial" w:cs="Arial" w:eastAsia="Arial" w:hAnsi="Arial"/>
          <w:sz w:val="16"/>
          <w:szCs w:val="16"/>
          <w:color w:val="auto"/>
        </w:rPr>
      </w:pPr>
      <w:r>
        <w:rPr>
          <w:rFonts w:ascii="Arial" w:cs="Arial" w:eastAsia="Arial" w:hAnsi="Arial"/>
          <w:sz w:val="16"/>
          <w:szCs w:val="16"/>
          <w:color w:val="auto"/>
        </w:rPr>
        <w:t>if the Holdback Amount is less than the Consideration Reduction,</w:t>
      </w:r>
    </w:p>
    <w:p>
      <w:pPr>
        <w:spacing w:after="0" w:line="68" w:lineRule="exact"/>
        <w:rPr>
          <w:rFonts w:ascii="Arial" w:cs="Arial" w:eastAsia="Arial" w:hAnsi="Arial"/>
          <w:sz w:val="16"/>
          <w:szCs w:val="16"/>
          <w:color w:val="auto"/>
        </w:rPr>
      </w:pPr>
    </w:p>
    <w:p>
      <w:pPr>
        <w:ind w:left="2385" w:right="20" w:hanging="585"/>
        <w:spacing w:after="0" w:line="235" w:lineRule="auto"/>
        <w:tabs>
          <w:tab w:leader="none" w:pos="2373" w:val="left"/>
        </w:tabs>
        <w:numPr>
          <w:ilvl w:val="2"/>
          <w:numId w:val="308"/>
        </w:numPr>
        <w:rPr>
          <w:rFonts w:ascii="Arial" w:cs="Arial" w:eastAsia="Arial" w:hAnsi="Arial"/>
          <w:sz w:val="16"/>
          <w:szCs w:val="16"/>
          <w:color w:val="auto"/>
        </w:rPr>
      </w:pPr>
      <w:r>
        <w:rPr>
          <w:rFonts w:ascii="Arial" w:cs="Arial" w:eastAsia="Arial" w:hAnsi="Arial"/>
          <w:sz w:val="16"/>
          <w:szCs w:val="16"/>
          <w:color w:val="auto"/>
        </w:rPr>
        <w:t>the Purchaser and the Sellers irrevocably agree that the Holdback Amount is payable, and shall be paid to, the Purchaser; and</w:t>
      </w:r>
    </w:p>
    <w:p>
      <w:pPr>
        <w:spacing w:after="0" w:line="47" w:lineRule="exact"/>
        <w:rPr>
          <w:rFonts w:ascii="Arial" w:cs="Arial" w:eastAsia="Arial" w:hAnsi="Arial"/>
          <w:sz w:val="16"/>
          <w:szCs w:val="16"/>
          <w:color w:val="auto"/>
        </w:rPr>
      </w:pPr>
    </w:p>
    <w:p>
      <w:pPr>
        <w:jc w:val="both"/>
        <w:ind w:left="2385" w:hanging="585"/>
        <w:spacing w:after="0" w:line="224" w:lineRule="auto"/>
        <w:tabs>
          <w:tab w:leader="none" w:pos="2373" w:val="left"/>
        </w:tabs>
        <w:numPr>
          <w:ilvl w:val="2"/>
          <w:numId w:val="308"/>
        </w:numPr>
        <w:rPr>
          <w:rFonts w:ascii="Arial" w:cs="Arial" w:eastAsia="Arial" w:hAnsi="Arial"/>
          <w:sz w:val="16"/>
          <w:szCs w:val="16"/>
          <w:color w:val="auto"/>
        </w:rPr>
      </w:pPr>
      <w:r>
        <w:rPr>
          <w:rFonts w:ascii="Arial" w:cs="Arial" w:eastAsia="Arial" w:hAnsi="Arial"/>
          <w:sz w:val="16"/>
          <w:szCs w:val="16"/>
          <w:color w:val="auto"/>
        </w:rPr>
        <w:t>the Sellers shall pay to the Purchaser the amount then outstanding following the release to the Purchaser of the Holdback Amount at sub-clause 5.2(a)(i)(A) in cash within [***] Business Days of the Determination Date and if no such payment is made by the FME</w:t>
      </w:r>
    </w:p>
    <w:p>
      <w:pPr>
        <w:spacing w:after="0" w:line="200" w:lineRule="exact"/>
        <w:rPr>
          <w:sz w:val="20"/>
          <w:szCs w:val="20"/>
          <w:color w:val="auto"/>
        </w:rPr>
      </w:pPr>
    </w:p>
    <w:p>
      <w:pPr>
        <w:spacing w:after="0" w:line="329" w:lineRule="exact"/>
        <w:rPr>
          <w:sz w:val="20"/>
          <w:szCs w:val="20"/>
          <w:color w:val="auto"/>
        </w:rPr>
      </w:pPr>
    </w:p>
    <w:p>
      <w:pPr>
        <w:jc w:val="center"/>
        <w:ind w:right="-44"/>
        <w:spacing w:after="0"/>
        <w:rPr>
          <w:sz w:val="20"/>
          <w:szCs w:val="20"/>
          <w:color w:val="auto"/>
        </w:rPr>
      </w:pPr>
      <w:r>
        <w:rPr>
          <w:rFonts w:ascii="Arial" w:cs="Arial" w:eastAsia="Arial" w:hAnsi="Arial"/>
          <w:sz w:val="13"/>
          <w:szCs w:val="13"/>
          <w:color w:val="auto"/>
        </w:rPr>
        <w:t>27</w:t>
      </w:r>
    </w:p>
    <w:p>
      <w:pPr>
        <w:sectPr>
          <w:pgSz w:w="11900" w:h="16840" w:orient="portrait"/>
          <w:cols w:equalWidth="0" w:num="1">
            <w:col w:w="10645"/>
          </w:cols>
          <w:pgMar w:left="595" w:top="1440" w:right="660" w:bottom="1440" w:gutter="0" w:footer="0" w:header="0"/>
        </w:sectPr>
      </w:pPr>
    </w:p>
    <w:bookmarkStart w:id="378" w:name="page379"/>
    <w:bookmarkEnd w:id="378"/>
    <w:p>
      <w:pPr>
        <w:spacing w:after="0" w:line="331" w:lineRule="exact"/>
        <w:rPr>
          <w:sz w:val="20"/>
          <w:szCs w:val="20"/>
          <w:color w:val="auto"/>
        </w:rPr>
      </w:pPr>
    </w:p>
    <w:p>
      <w:pPr>
        <w:jc w:val="both"/>
        <w:ind w:left="2320" w:right="20"/>
        <w:spacing w:after="0" w:line="224" w:lineRule="auto"/>
        <w:rPr>
          <w:sz w:val="20"/>
          <w:szCs w:val="20"/>
          <w:color w:val="auto"/>
        </w:rPr>
      </w:pPr>
      <w:r>
        <w:rPr>
          <w:rFonts w:ascii="Arial" w:cs="Arial" w:eastAsia="Arial" w:hAnsi="Arial"/>
          <w:sz w:val="16"/>
          <w:szCs w:val="16"/>
          <w:color w:val="auto"/>
        </w:rPr>
        <w:t>Shareholders, then the Purchaser and the Sellers agree that the outstanding amount due by the FME Shareholders shall be released to the Purchaser from the [***] in settlement of the FME Shareholders obligation to pay pursuant to this clause; or</w:t>
      </w:r>
    </w:p>
    <w:p>
      <w:pPr>
        <w:spacing w:after="0" w:line="49" w:lineRule="exact"/>
        <w:rPr>
          <w:sz w:val="20"/>
          <w:szCs w:val="20"/>
          <w:color w:val="auto"/>
        </w:rPr>
      </w:pPr>
    </w:p>
    <w:p>
      <w:pPr>
        <w:ind w:left="1720" w:hanging="562"/>
        <w:spacing w:after="0"/>
        <w:tabs>
          <w:tab w:leader="none" w:pos="17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if the Holdback Amount is more than the Consideration Reduction:</w:t>
      </w:r>
    </w:p>
    <w:p>
      <w:pPr>
        <w:spacing w:after="0" w:line="68" w:lineRule="exact"/>
        <w:rPr>
          <w:rFonts w:ascii="Arial" w:cs="Arial" w:eastAsia="Arial" w:hAnsi="Arial"/>
          <w:sz w:val="16"/>
          <w:szCs w:val="16"/>
          <w:color w:val="auto"/>
        </w:rPr>
      </w:pPr>
    </w:p>
    <w:p>
      <w:pPr>
        <w:ind w:left="2320" w:right="40" w:hanging="585"/>
        <w:spacing w:after="0" w:line="235" w:lineRule="auto"/>
        <w:tabs>
          <w:tab w:leader="none" w:pos="2308"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an amount equal to the Consideration Reduction is to be deducted from the Holdback Amount and the parties irrevocably agree that such amount is payable, and shall be paid to, the Purchaser; and</w:t>
      </w:r>
    </w:p>
    <w:p>
      <w:pPr>
        <w:spacing w:after="0" w:line="47" w:lineRule="exact"/>
        <w:rPr>
          <w:rFonts w:ascii="Arial" w:cs="Arial" w:eastAsia="Arial" w:hAnsi="Arial"/>
          <w:sz w:val="16"/>
          <w:szCs w:val="16"/>
          <w:color w:val="auto"/>
        </w:rPr>
      </w:pPr>
    </w:p>
    <w:p>
      <w:pPr>
        <w:ind w:left="2320" w:right="20" w:hanging="585"/>
        <w:spacing w:after="0" w:line="235" w:lineRule="auto"/>
        <w:tabs>
          <w:tab w:leader="none" w:pos="2308"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balance of the amount then outstanding following the payment at sub-clause 5.2(a)(ii)(A) is payable to the Sellers from the Holdback Amount in cash within [***] Business Days of the Determination Date,</w:t>
      </w:r>
    </w:p>
    <w:p>
      <w:pPr>
        <w:spacing w:after="0" w:line="48" w:lineRule="exact"/>
        <w:rPr>
          <w:sz w:val="20"/>
          <w:szCs w:val="20"/>
          <w:color w:val="auto"/>
        </w:rPr>
      </w:pPr>
    </w:p>
    <w:p>
      <w:pPr>
        <w:ind w:left="1740" w:right="40"/>
        <w:spacing w:after="0" w:line="235" w:lineRule="auto"/>
        <w:rPr>
          <w:sz w:val="20"/>
          <w:szCs w:val="20"/>
          <w:color w:val="auto"/>
        </w:rPr>
      </w:pPr>
      <w:r>
        <w:rPr>
          <w:rFonts w:ascii="Arial" w:cs="Arial" w:eastAsia="Arial" w:hAnsi="Arial"/>
          <w:sz w:val="16"/>
          <w:szCs w:val="16"/>
          <w:color w:val="auto"/>
        </w:rPr>
        <w:t xml:space="preserve">in each case in accordance with clause 23 ( </w:t>
      </w:r>
      <w:r>
        <w:rPr>
          <w:rFonts w:ascii="Arial" w:cs="Arial" w:eastAsia="Arial" w:hAnsi="Arial"/>
          <w:sz w:val="16"/>
          <w:szCs w:val="16"/>
          <w:i w:val="1"/>
          <w:iCs w:val="1"/>
          <w:color w:val="auto"/>
        </w:rPr>
        <w:t>Payments</w:t>
      </w:r>
      <w:r>
        <w:rPr>
          <w:rFonts w:ascii="Arial" w:cs="Arial" w:eastAsia="Arial" w:hAnsi="Arial"/>
          <w:sz w:val="16"/>
          <w:szCs w:val="16"/>
          <w:color w:val="auto"/>
        </w:rPr>
        <w:t>), and such set-off payment shall be apportioned between the Sellers as set out in the Completion Allocation Schedule; or</w:t>
      </w:r>
    </w:p>
    <w:p>
      <w:pPr>
        <w:spacing w:after="0" w:line="48" w:lineRule="exact"/>
        <w:rPr>
          <w:sz w:val="20"/>
          <w:szCs w:val="20"/>
          <w:color w:val="auto"/>
        </w:rPr>
      </w:pPr>
    </w:p>
    <w:p>
      <w:pPr>
        <w:jc w:val="both"/>
        <w:ind w:left="1160" w:right="40" w:hanging="578"/>
        <w:spacing w:after="0" w:line="265" w:lineRule="auto"/>
        <w:tabs>
          <w:tab w:leader="none" w:pos="1148" w:val="left"/>
        </w:tabs>
        <w:numPr>
          <w:ilvl w:val="0"/>
          <w:numId w:val="310"/>
        </w:numPr>
        <w:rPr>
          <w:rFonts w:ascii="Arial" w:cs="Arial" w:eastAsia="Arial" w:hAnsi="Arial"/>
          <w:sz w:val="14"/>
          <w:szCs w:val="14"/>
          <w:color w:val="auto"/>
        </w:rPr>
      </w:pPr>
      <w:r>
        <w:rPr>
          <w:rFonts w:ascii="Arial" w:cs="Arial" w:eastAsia="Arial" w:hAnsi="Arial"/>
          <w:sz w:val="14"/>
          <w:szCs w:val="14"/>
          <w:color w:val="auto"/>
        </w:rPr>
        <w:t xml:space="preserve">the Estimated Adjustment Amount is equal to the Actual Adjustment Amount, then there will be no adjustment to the Consideration and the Holdback Amount shall be payable to the Sellers within [***] Business Days of the Determination Date in accordance with clause 23 </w:t>
      </w:r>
      <w:r>
        <w:rPr>
          <w:rFonts w:ascii="Arial" w:cs="Arial" w:eastAsia="Arial" w:hAnsi="Arial"/>
          <w:sz w:val="14"/>
          <w:szCs w:val="14"/>
          <w:i w:val="1"/>
          <w:iCs w:val="1"/>
          <w:color w:val="auto"/>
        </w:rPr>
        <w:t xml:space="preserve">(Payments) </w:t>
      </w:r>
      <w:r>
        <w:rPr>
          <w:rFonts w:ascii="Arial" w:cs="Arial" w:eastAsia="Arial" w:hAnsi="Arial"/>
          <w:sz w:val="14"/>
          <w:szCs w:val="14"/>
          <w:color w:val="auto"/>
        </w:rPr>
        <w:t>and such payment(s) shall be apportioned between the Sellers as set out in the Completion Allocation Schedule; or</w:t>
      </w:r>
    </w:p>
    <w:p>
      <w:pPr>
        <w:spacing w:after="0" w:line="30" w:lineRule="exact"/>
        <w:rPr>
          <w:rFonts w:ascii="Arial" w:cs="Arial" w:eastAsia="Arial" w:hAnsi="Arial"/>
          <w:sz w:val="14"/>
          <w:szCs w:val="14"/>
          <w:color w:val="auto"/>
        </w:rPr>
      </w:pPr>
    </w:p>
    <w:p>
      <w:pPr>
        <w:ind w:left="1160" w:hanging="578"/>
        <w:spacing w:after="0" w:line="216" w:lineRule="auto"/>
        <w:tabs>
          <w:tab w:leader="none" w:pos="114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the Estimated Adjustment Amount is less than the Actual Adjustment Amount then, subject to sub-clause 5.3, the Consideration shall be treated as increased by the amount by which the Estimated Adjustment Amount is less than the Actual Adjustment Amount (the </w:t>
      </w:r>
      <w:r>
        <w:rPr>
          <w:rFonts w:ascii="Arial" w:cs="Arial" w:eastAsia="Arial" w:hAnsi="Arial"/>
          <w:sz w:val="16"/>
          <w:szCs w:val="16"/>
          <w:b w:val="1"/>
          <w:bCs w:val="1"/>
          <w:color w:val="auto"/>
        </w:rPr>
        <w:t>"Consideration Increase"</w:t>
      </w:r>
      <w:r>
        <w:rPr>
          <w:rFonts w:ascii="Arial" w:cs="Arial" w:eastAsia="Arial" w:hAnsi="Arial"/>
          <w:sz w:val="16"/>
          <w:szCs w:val="16"/>
          <w:color w:val="auto"/>
        </w:rPr>
        <w:t>). The Holdback Amount plus any additional Consideration required to satisfy the Consideration Increase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by the Purchaser to the Sellers in cash within [***] Business Days of the Determination Date. Such additional Consideration shall be apportioned between the Sellers as set out in the Completion Allocation Schedule.</w:t>
      </w:r>
    </w:p>
    <w:p>
      <w:pPr>
        <w:spacing w:after="0" w:line="48"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color w:val="auto"/>
        </w:rPr>
        <w:t>If the:</w:t>
      </w:r>
    </w:p>
    <w:p>
      <w:pPr>
        <w:spacing w:after="0" w:line="68" w:lineRule="exact"/>
        <w:rPr>
          <w:sz w:val="20"/>
          <w:szCs w:val="20"/>
          <w:color w:val="auto"/>
        </w:rPr>
      </w:pPr>
    </w:p>
    <w:p>
      <w:pPr>
        <w:jc w:val="both"/>
        <w:ind w:left="1160" w:right="40" w:hanging="578"/>
        <w:spacing w:after="0" w:line="224" w:lineRule="auto"/>
        <w:tabs>
          <w:tab w:leader="none" w:pos="114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Consideration Reduction is £[***] or less, then, for the purposes of sub-clause 5.2(a), the Consideration Reduction shall be deemed to be [***]. If the Consideration Reduction is more than £[***] then for the purposes of sub-clause 5.2(a) the Consideration Reduction shall be the whole of the Consideration Reduction and not just the amount that exceeds £[***]; and</w:t>
      </w:r>
    </w:p>
    <w:p>
      <w:pPr>
        <w:spacing w:after="0" w:line="48" w:lineRule="exact"/>
        <w:rPr>
          <w:rFonts w:ascii="Arial" w:cs="Arial" w:eastAsia="Arial" w:hAnsi="Arial"/>
          <w:sz w:val="16"/>
          <w:szCs w:val="16"/>
          <w:color w:val="auto"/>
        </w:rPr>
      </w:pPr>
    </w:p>
    <w:p>
      <w:pPr>
        <w:jc w:val="both"/>
        <w:ind w:left="1160" w:right="40" w:hanging="578"/>
        <w:spacing w:after="0" w:line="224" w:lineRule="auto"/>
        <w:tabs>
          <w:tab w:leader="none" w:pos="114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the Consideration Increase is £[***] or less, then, for the purposes of sub-clause 5.2(c), the Consideration Increase shall be deemed to be [***]. If the Consideration Increase is more than £[***] then, for the purposes of sub-clause 5.2(c) the Consideration Increase shall be the whole of the Consideration Increase and not just the amount that exceeds £[***].</w:t>
      </w:r>
    </w:p>
    <w:p>
      <w:pPr>
        <w:spacing w:after="0" w:line="49" w:lineRule="exact"/>
        <w:rPr>
          <w:sz w:val="20"/>
          <w:szCs w:val="20"/>
          <w:color w:val="auto"/>
        </w:rPr>
      </w:pPr>
    </w:p>
    <w:p>
      <w:pPr>
        <w:jc w:val="both"/>
        <w:ind w:left="400" w:right="40" w:hanging="575"/>
        <w:spacing w:after="0" w:line="224" w:lineRule="auto"/>
        <w:tabs>
          <w:tab w:leader="none" w:pos="380" w:val="left"/>
        </w:tabs>
        <w:rPr>
          <w:sz w:val="20"/>
          <w:szCs w:val="20"/>
          <w:color w:val="auto"/>
        </w:rPr>
      </w:pPr>
      <w:r>
        <w:rPr>
          <w:rFonts w:ascii="Arial" w:cs="Arial" w:eastAsia="Arial" w:hAnsi="Arial"/>
          <w:sz w:val="16"/>
          <w:szCs w:val="16"/>
          <w:color w:val="auto"/>
        </w:rPr>
        <w:t>5.4</w:t>
        <w:tab/>
        <w:t>Save where the contrary is expressly stated, the agreement or determination of the Completion Accounts does not constitute or operate as a waiver of any other rights, powers or remedies of the Purchaser or of any other provision of this Agreement and does not preclude the exercise of any other right, power or remedy of the Purchaser arising under this Agreement or otherwise.</w:t>
      </w:r>
    </w:p>
    <w:p>
      <w:pPr>
        <w:spacing w:after="0" w:line="47" w:lineRule="exact"/>
        <w:rPr>
          <w:sz w:val="20"/>
          <w:szCs w:val="20"/>
          <w:color w:val="auto"/>
        </w:rPr>
      </w:pPr>
    </w:p>
    <w:p>
      <w:pPr>
        <w:ind w:left="300" w:hanging="294"/>
        <w:spacing w:after="0"/>
        <w:tabs>
          <w:tab w:leader="none" w:pos="300" w:val="left"/>
        </w:tabs>
        <w:numPr>
          <w:ilvl w:val="0"/>
          <w:numId w:val="312"/>
        </w:numPr>
        <w:rPr>
          <w:rFonts w:ascii="Arial" w:cs="Arial" w:eastAsia="Arial" w:hAnsi="Arial"/>
          <w:sz w:val="16"/>
          <w:szCs w:val="16"/>
          <w:color w:val="auto"/>
        </w:rPr>
      </w:pPr>
      <w:r>
        <w:rPr>
          <w:rFonts w:ascii="Arial" w:cs="Arial" w:eastAsia="Arial" w:hAnsi="Arial"/>
          <w:sz w:val="16"/>
          <w:szCs w:val="16"/>
          <w:b w:val="1"/>
          <w:bCs w:val="1"/>
          <w:color w:val="auto"/>
        </w:rPr>
        <w:t>Pre-Completion obligations</w:t>
      </w:r>
    </w:p>
    <w:p>
      <w:pPr>
        <w:spacing w:after="0" w:line="70" w:lineRule="exact"/>
        <w:rPr>
          <w:sz w:val="20"/>
          <w:szCs w:val="20"/>
          <w:color w:val="auto"/>
        </w:rPr>
      </w:pPr>
    </w:p>
    <w:p>
      <w:pPr>
        <w:ind w:left="440" w:right="60" w:hanging="575"/>
        <w:spacing w:after="0" w:line="235" w:lineRule="auto"/>
        <w:tabs>
          <w:tab w:leader="none" w:pos="420" w:val="left"/>
        </w:tabs>
        <w:rPr>
          <w:sz w:val="20"/>
          <w:szCs w:val="20"/>
          <w:color w:val="auto"/>
        </w:rPr>
      </w:pPr>
      <w:r>
        <w:rPr>
          <w:rFonts w:ascii="Arial" w:cs="Arial" w:eastAsia="Arial" w:hAnsi="Arial"/>
          <w:sz w:val="16"/>
          <w:szCs w:val="16"/>
          <w:color w:val="auto"/>
        </w:rPr>
        <w:t>6.1</w:t>
        <w:tab/>
        <w:t>In so far as it is in its power to do so as a shareholder of the Company, each Seller shall, between the date of this Agreement and Completion, comply with its obligations in Schedule 8 (</w:t>
      </w:r>
      <w:r>
        <w:rPr>
          <w:rFonts w:ascii="Arial" w:cs="Arial" w:eastAsia="Arial" w:hAnsi="Arial"/>
          <w:sz w:val="16"/>
          <w:szCs w:val="16"/>
          <w:i w:val="1"/>
          <w:iCs w:val="1"/>
          <w:color w:val="auto"/>
        </w:rPr>
        <w:t>Pre Completion obligations</w:t>
      </w:r>
      <w:r>
        <w:rPr>
          <w:rFonts w:ascii="Arial" w:cs="Arial" w:eastAsia="Arial" w:hAnsi="Arial"/>
          <w:sz w:val="16"/>
          <w:szCs w:val="16"/>
          <w:color w:val="auto"/>
        </w:rPr>
        <w:t>).</w:t>
      </w:r>
    </w:p>
    <w:p>
      <w:pPr>
        <w:spacing w:after="0" w:line="48" w:lineRule="exact"/>
        <w:rPr>
          <w:sz w:val="20"/>
          <w:szCs w:val="20"/>
          <w:color w:val="auto"/>
        </w:rPr>
      </w:pPr>
    </w:p>
    <w:p>
      <w:pPr>
        <w:ind w:left="420" w:right="40" w:hanging="575"/>
        <w:spacing w:after="0" w:line="235" w:lineRule="auto"/>
        <w:tabs>
          <w:tab w:leader="none" w:pos="400" w:val="left"/>
        </w:tabs>
        <w:rPr>
          <w:sz w:val="20"/>
          <w:szCs w:val="20"/>
          <w:color w:val="auto"/>
        </w:rPr>
      </w:pPr>
      <w:r>
        <w:rPr>
          <w:rFonts w:ascii="Arial" w:cs="Arial" w:eastAsia="Arial" w:hAnsi="Arial"/>
          <w:sz w:val="16"/>
          <w:szCs w:val="16"/>
          <w:color w:val="auto"/>
        </w:rPr>
        <w:t>6.2</w:t>
        <w:tab/>
        <w:t>In so far as it is in their power to do so as shareholders and/or directors (as applicable) of the Company, each Seller further undertakes, between the date of this Agreement and Completion:</w:t>
      </w:r>
    </w:p>
    <w:p>
      <w:pPr>
        <w:spacing w:after="0" w:line="48" w:lineRule="exact"/>
        <w:rPr>
          <w:sz w:val="20"/>
          <w:szCs w:val="20"/>
          <w:color w:val="auto"/>
        </w:rPr>
      </w:pPr>
    </w:p>
    <w:p>
      <w:pPr>
        <w:ind w:left="1160" w:right="40" w:hanging="578"/>
        <w:spacing w:after="0" w:line="298" w:lineRule="auto"/>
        <w:tabs>
          <w:tab w:leader="none" w:pos="1148" w:val="left"/>
        </w:tabs>
        <w:numPr>
          <w:ilvl w:val="0"/>
          <w:numId w:val="313"/>
        </w:numPr>
        <w:rPr>
          <w:rFonts w:ascii="Arial" w:cs="Arial" w:eastAsia="Arial" w:hAnsi="Arial"/>
          <w:sz w:val="14"/>
          <w:szCs w:val="14"/>
          <w:color w:val="auto"/>
        </w:rPr>
      </w:pPr>
      <w:r>
        <w:rPr>
          <w:rFonts w:ascii="Arial" w:cs="Arial" w:eastAsia="Arial" w:hAnsi="Arial"/>
          <w:sz w:val="14"/>
          <w:szCs w:val="14"/>
          <w:color w:val="auto"/>
        </w:rPr>
        <w:t>upon the written request of the Purchaser, to provide (or procure that a Group Company provides) to the Purchaser such information concerning the Business as the Purchaser may reasonably require from time to time (including for the purposes of the W&amp;I Policy); and</w:t>
      </w:r>
    </w:p>
    <w:p>
      <w:pPr>
        <w:spacing w:after="0" w:line="8" w:lineRule="exact"/>
        <w:rPr>
          <w:rFonts w:ascii="Arial" w:cs="Arial" w:eastAsia="Arial" w:hAnsi="Arial"/>
          <w:sz w:val="14"/>
          <w:szCs w:val="14"/>
          <w:color w:val="auto"/>
        </w:rPr>
      </w:pPr>
    </w:p>
    <w:p>
      <w:pPr>
        <w:jc w:val="both"/>
        <w:ind w:left="1160" w:right="40" w:hanging="578"/>
        <w:spacing w:after="0" w:line="224" w:lineRule="auto"/>
        <w:tabs>
          <w:tab w:leader="none" w:pos="114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inform the Purchaser promptly in writing if it becomes aware of any new matter or circumstance arising after the date of this Agreement which constitutes or is reasonably likely to constitute a breach of any of the Warranties or the covenants set out in sub-clause 3.6 (</w:t>
      </w:r>
      <w:r>
        <w:rPr>
          <w:rFonts w:ascii="Arial" w:cs="Arial" w:eastAsia="Arial" w:hAnsi="Arial"/>
          <w:sz w:val="16"/>
          <w:szCs w:val="16"/>
          <w:i w:val="1"/>
          <w:iCs w:val="1"/>
          <w:color w:val="auto"/>
        </w:rPr>
        <w:t>Sale and purchase</w:t>
      </w:r>
      <w:r>
        <w:rPr>
          <w:rFonts w:ascii="Arial" w:cs="Arial" w:eastAsia="Arial" w:hAnsi="Arial"/>
          <w:sz w:val="16"/>
          <w:szCs w:val="16"/>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28</w:t>
      </w:r>
    </w:p>
    <w:p>
      <w:pPr>
        <w:sectPr>
          <w:pgSz w:w="11900" w:h="16840" w:orient="portrait"/>
          <w:cols w:equalWidth="0" w:num="1">
            <w:col w:w="10600"/>
          </w:cols>
          <w:pgMar w:left="660" w:top="1440" w:right="640" w:bottom="1440" w:gutter="0" w:footer="0" w:header="0"/>
        </w:sectPr>
      </w:pPr>
    </w:p>
    <w:bookmarkStart w:id="379" w:name="page380"/>
    <w:bookmarkEnd w:id="379"/>
    <w:p>
      <w:pPr>
        <w:spacing w:after="0" w:line="331" w:lineRule="exact"/>
        <w:rPr>
          <w:sz w:val="20"/>
          <w:szCs w:val="20"/>
          <w:color w:val="auto"/>
        </w:rPr>
      </w:pPr>
    </w:p>
    <w:p>
      <w:pPr>
        <w:ind w:left="400" w:right="20" w:hanging="575"/>
        <w:spacing w:after="0" w:line="241" w:lineRule="auto"/>
        <w:tabs>
          <w:tab w:leader="none" w:pos="380" w:val="left"/>
        </w:tabs>
        <w:rPr>
          <w:sz w:val="20"/>
          <w:szCs w:val="20"/>
          <w:color w:val="auto"/>
        </w:rPr>
      </w:pPr>
      <w:r>
        <w:rPr>
          <w:rFonts w:ascii="Arial" w:cs="Arial" w:eastAsia="Arial" w:hAnsi="Arial"/>
          <w:sz w:val="16"/>
          <w:szCs w:val="16"/>
          <w:color w:val="auto"/>
        </w:rPr>
        <w:t>6.3</w:t>
        <w:tab/>
        <w:t>No later than [***] Business Days prior to Completion, FME Shareholders Representative will deliver to the Purchaser and the Institutional Sellers a written notice (</w:t>
      </w:r>
      <w:r>
        <w:rPr>
          <w:rFonts w:ascii="Arial" w:cs="Arial" w:eastAsia="Arial" w:hAnsi="Arial"/>
          <w:sz w:val="16"/>
          <w:szCs w:val="16"/>
          <w:b w:val="1"/>
          <w:bCs w:val="1"/>
          <w:color w:val="auto"/>
        </w:rPr>
        <w:t>"Estimates Notice"</w:t>
      </w:r>
      <w:r>
        <w:rPr>
          <w:rFonts w:ascii="Arial" w:cs="Arial" w:eastAsia="Arial" w:hAnsi="Arial"/>
          <w:sz w:val="16"/>
          <w:szCs w:val="16"/>
          <w:color w:val="auto"/>
        </w:rPr>
        <w:t>) setting out the amount of each of:</w:t>
      </w:r>
    </w:p>
    <w:p>
      <w:pPr>
        <w:spacing w:after="0" w:line="39" w:lineRule="exact"/>
        <w:rPr>
          <w:sz w:val="20"/>
          <w:szCs w:val="20"/>
          <w:color w:val="auto"/>
        </w:rPr>
      </w:pPr>
    </w:p>
    <w:p>
      <w:pPr>
        <w:ind w:left="1140" w:hanging="558"/>
        <w:spacing w:after="0"/>
        <w:tabs>
          <w:tab w:leader="none" w:pos="11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Estimated Cash;</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Estimated Debt;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Estimated Working Capital;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Estimated Adjustment Amount,</w:t>
      </w:r>
    </w:p>
    <w:p>
      <w:pPr>
        <w:spacing w:after="0" w:line="68" w:lineRule="exact"/>
        <w:rPr>
          <w:sz w:val="20"/>
          <w:szCs w:val="20"/>
          <w:color w:val="auto"/>
        </w:rPr>
      </w:pPr>
    </w:p>
    <w:p>
      <w:pPr>
        <w:ind w:left="580" w:right="120"/>
        <w:spacing w:after="0" w:line="235" w:lineRule="auto"/>
        <w:rPr>
          <w:sz w:val="20"/>
          <w:szCs w:val="20"/>
          <w:color w:val="auto"/>
        </w:rPr>
      </w:pPr>
      <w:r>
        <w:rPr>
          <w:rFonts w:ascii="Arial" w:cs="Arial" w:eastAsia="Arial" w:hAnsi="Arial"/>
          <w:sz w:val="16"/>
          <w:szCs w:val="16"/>
          <w:color w:val="auto"/>
        </w:rPr>
        <w:t xml:space="preserve">prepared on the basis set out in paragraph 1 of Part 2 of Schedule 9 </w:t>
      </w:r>
      <w:r>
        <w:rPr>
          <w:rFonts w:ascii="Arial" w:cs="Arial" w:eastAsia="Arial" w:hAnsi="Arial"/>
          <w:sz w:val="16"/>
          <w:szCs w:val="16"/>
          <w:i w:val="1"/>
          <w:iCs w:val="1"/>
          <w:color w:val="auto"/>
        </w:rPr>
        <w:t>(Completion Accounts)</w:t>
      </w:r>
      <w:r>
        <w:rPr>
          <w:rFonts w:ascii="Arial" w:cs="Arial" w:eastAsia="Arial" w:hAnsi="Arial"/>
          <w:sz w:val="16"/>
          <w:szCs w:val="16"/>
          <w:color w:val="auto"/>
        </w:rPr>
        <w:t xml:space="preserve"> as well as a first draft of the Completion Allocation Schedule based on those estimates.</w:t>
      </w:r>
    </w:p>
    <w:p>
      <w:pPr>
        <w:spacing w:after="0" w:line="48" w:lineRule="exact"/>
        <w:rPr>
          <w:sz w:val="20"/>
          <w:szCs w:val="20"/>
          <w:color w:val="auto"/>
        </w:rPr>
      </w:pPr>
    </w:p>
    <w:p>
      <w:pPr>
        <w:jc w:val="both"/>
        <w:ind w:left="500" w:right="20" w:hanging="575"/>
        <w:spacing w:after="0" w:line="211" w:lineRule="auto"/>
        <w:tabs>
          <w:tab w:leader="none" w:pos="48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The FME Shareholders' Representative and the Purchaser shall engage in good faith to address any questions or comments (including the provision of documents to the Purchaser) that the Purchaser may have in connection therewith. If the Purchaser disagrees with any estimate contained within that draft Estimates Notice or anything in the draft Completion Allocation Schedule it may notify the FME Shareholders' Representatives in writing of such disagreement, in which case the Purchaser and the FME Shareholders' Representative shall attempt in good faith to resolve those matters in dispute. To the extent that no agreement can be reached on any particular aspect, then, in respect of that matter only, the position as set out in the Estimates Notice delivered by the FME Shareholders Representative (as may be updated in accordance with clause 4.5 as part of the Completion Allocation Schedule, based on the latest information available) shall be deemed to be agreed for the purpose of proceedings to Completion.</w:t>
      </w:r>
    </w:p>
    <w:p>
      <w:pPr>
        <w:spacing w:after="0" w:line="50" w:lineRule="exact"/>
        <w:rPr>
          <w:sz w:val="20"/>
          <w:szCs w:val="20"/>
          <w:color w:val="auto"/>
        </w:rPr>
      </w:pPr>
    </w:p>
    <w:p>
      <w:pPr>
        <w:jc w:val="both"/>
        <w:ind w:left="520" w:hanging="575"/>
        <w:spacing w:after="0" w:line="235" w:lineRule="auto"/>
        <w:tabs>
          <w:tab w:leader="none" w:pos="50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The Institutional Sellers Representative and the Institutional Sellers shall also engage in good faith to address any questions or comments (including the provision of documents to the Institutional Sellers) that the Institutional Sellers may have in connection therewith.</w:t>
      </w:r>
    </w:p>
    <w:p>
      <w:pPr>
        <w:spacing w:after="0" w:line="48" w:lineRule="exact"/>
        <w:rPr>
          <w:sz w:val="20"/>
          <w:szCs w:val="20"/>
          <w:color w:val="auto"/>
        </w:rPr>
      </w:pPr>
    </w:p>
    <w:p>
      <w:pPr>
        <w:jc w:val="both"/>
        <w:ind w:left="440" w:hanging="575"/>
        <w:spacing w:after="0" w:line="216" w:lineRule="auto"/>
        <w:tabs>
          <w:tab w:leader="none" w:pos="420" w:val="left"/>
        </w:tabs>
        <w:rPr>
          <w:sz w:val="20"/>
          <w:szCs w:val="20"/>
          <w:color w:val="auto"/>
        </w:rPr>
      </w:pPr>
      <w:r>
        <w:rPr>
          <w:rFonts w:ascii="Arial" w:cs="Arial" w:eastAsia="Arial" w:hAnsi="Arial"/>
          <w:sz w:val="16"/>
          <w:szCs w:val="16"/>
          <w:color w:val="auto"/>
        </w:rPr>
        <w:t>6.6</w:t>
        <w:tab/>
        <w:t>Each Founder Seller undertakes to procure (so far as is it is in their power to do so in accordance with Applicable Law) that (save with the prior written consent of the Purchaser) each employee of the Group shall, save in respect of employees of InstaDeep SAS, by no later than [***], use all accrued holiday entitlement in respect of the period prior to the date of this Agreement. In the event that any accrued holiday entitlement is not used by a relevant employee in accordance with this clause 6.3, the Founder Sellers shall procure that such employee's outstanding holiday entitlement in respect of the period prior to the date of this Agreement shall, so far as is permitted by Applicable Law, lapse.</w:t>
      </w:r>
    </w:p>
    <w:p>
      <w:pPr>
        <w:spacing w:after="0" w:line="48" w:lineRule="exact"/>
        <w:rPr>
          <w:sz w:val="20"/>
          <w:szCs w:val="20"/>
          <w:color w:val="auto"/>
        </w:rPr>
      </w:pPr>
    </w:p>
    <w:p>
      <w:pPr>
        <w:jc w:val="both"/>
        <w:ind w:left="500" w:right="20" w:hanging="575"/>
        <w:spacing w:after="0" w:line="235" w:lineRule="auto"/>
        <w:tabs>
          <w:tab w:leader="none" w:pos="480"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6"/>
          <w:szCs w:val="16"/>
          <w:color w:val="auto"/>
        </w:rPr>
        <w:t>Each Founder Seller shall, between the date of this Agreement and Completion, procure that each Minority Share Transfer is completed in accordance with all Applicable Law.</w:t>
      </w:r>
    </w:p>
    <w:p>
      <w:pPr>
        <w:spacing w:after="0" w:line="48" w:lineRule="exact"/>
        <w:rPr>
          <w:sz w:val="20"/>
          <w:szCs w:val="20"/>
          <w:color w:val="auto"/>
        </w:rPr>
      </w:pPr>
    </w:p>
    <w:p>
      <w:pPr>
        <w:jc w:val="both"/>
        <w:ind w:left="400" w:right="20" w:hanging="575"/>
        <w:spacing w:after="0" w:line="224" w:lineRule="auto"/>
        <w:tabs>
          <w:tab w:leader="none" w:pos="380" w:val="left"/>
        </w:tabs>
        <w:rPr>
          <w:sz w:val="20"/>
          <w:szCs w:val="20"/>
          <w:color w:val="auto"/>
        </w:rPr>
      </w:pPr>
      <w:r>
        <w:rPr>
          <w:rFonts w:ascii="Arial" w:cs="Arial" w:eastAsia="Arial" w:hAnsi="Arial"/>
          <w:sz w:val="16"/>
          <w:szCs w:val="16"/>
          <w:color w:val="auto"/>
        </w:rPr>
        <w:t>6.8</w:t>
        <w:tab/>
        <w:t>Each party to the Paying Agent Agreements undertakes to enter into the Paying Agent Agreements as soon as reasonably practicable following the date of this Agreement (and in any event, at least than [***] Business Days prior to Completion) and otherwise to take any actions necessary thereunder to duly appoint [***] for the purposes of this Agreement.</w:t>
      </w:r>
    </w:p>
    <w:p>
      <w:pPr>
        <w:spacing w:after="0" w:line="49" w:lineRule="exact"/>
        <w:rPr>
          <w:sz w:val="20"/>
          <w:szCs w:val="20"/>
          <w:color w:val="auto"/>
        </w:rPr>
      </w:pPr>
    </w:p>
    <w:p>
      <w:pPr>
        <w:jc w:val="both"/>
        <w:ind w:left="400" w:hanging="575"/>
        <w:spacing w:after="0" w:line="219" w:lineRule="auto"/>
        <w:tabs>
          <w:tab w:leader="none" w:pos="380" w:val="left"/>
        </w:tabs>
        <w:rPr>
          <w:sz w:val="20"/>
          <w:szCs w:val="20"/>
          <w:color w:val="auto"/>
        </w:rPr>
      </w:pPr>
      <w:r>
        <w:rPr>
          <w:rFonts w:ascii="Arial" w:cs="Arial" w:eastAsia="Arial" w:hAnsi="Arial"/>
          <w:sz w:val="16"/>
          <w:szCs w:val="16"/>
          <w:color w:val="auto"/>
        </w:rPr>
        <w:t>6.9</w:t>
        <w:tab/>
        <w:t>The Founder Sellers shall, subject to and to the extent permissible by Applicable Laws, and subject to reasonable advance notice being provided by the Purchaser to the Founder Sellers and/or the Company, permit the Purchaser and/or its professional advisors a right of access to the Company's premises and to inspect any Company documentation (other than any competition sensitive information in respect of the Group and the Group's business activities).</w:t>
      </w:r>
    </w:p>
    <w:p>
      <w:pPr>
        <w:spacing w:after="0" w:line="47" w:lineRule="exact"/>
        <w:rPr>
          <w:sz w:val="20"/>
          <w:szCs w:val="20"/>
          <w:color w:val="auto"/>
        </w:rPr>
      </w:pPr>
    </w:p>
    <w:p>
      <w:pPr>
        <w:ind w:left="300" w:hanging="294"/>
        <w:spacing w:after="0"/>
        <w:tabs>
          <w:tab w:leader="none" w:pos="300"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Completion</w:t>
      </w:r>
    </w:p>
    <w:p>
      <w:pPr>
        <w:spacing w:after="0" w:line="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color w:val="auto"/>
        </w:rPr>
        <w:t>Completion shall take place:</w:t>
      </w:r>
    </w:p>
    <w:p>
      <w:pPr>
        <w:spacing w:after="0" w:line="68" w:lineRule="exact"/>
        <w:rPr>
          <w:sz w:val="20"/>
          <w:szCs w:val="20"/>
          <w:color w:val="auto"/>
        </w:rPr>
      </w:pPr>
    </w:p>
    <w:p>
      <w:pPr>
        <w:jc w:val="both"/>
        <w:ind w:left="1160" w:hanging="578"/>
        <w:spacing w:after="0" w:line="224" w:lineRule="auto"/>
        <w:tabs>
          <w:tab w:leader="none" w:pos="114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on the [***] calendar day (or, if not a Business Day, on the nearest Business Day prior to such [***] calendar day) of the [***] during which notification of the satisfaction or waiver of the Conditions in accordance with sub-clause 2.3 or sub-clause 2.10 (</w:t>
      </w:r>
      <w:r>
        <w:rPr>
          <w:rFonts w:ascii="Arial" w:cs="Arial" w:eastAsia="Arial" w:hAnsi="Arial"/>
          <w:sz w:val="16"/>
          <w:szCs w:val="16"/>
          <w:i w:val="1"/>
          <w:iCs w:val="1"/>
          <w:color w:val="auto"/>
        </w:rPr>
        <w:t>Conditions precedent</w:t>
      </w:r>
      <w:r>
        <w:rPr>
          <w:rFonts w:ascii="Arial" w:cs="Arial" w:eastAsia="Arial" w:hAnsi="Arial"/>
          <w:sz w:val="16"/>
          <w:szCs w:val="16"/>
          <w:color w:val="auto"/>
        </w:rPr>
        <w:t>) (as applicable) is received; or</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if notification of the satisfaction or waiver of the Conditions in accordance with sub-clause 2.3 or sub-clause 2.10 ( </w:t>
      </w:r>
      <w:r>
        <w:rPr>
          <w:rFonts w:ascii="Arial" w:cs="Arial" w:eastAsia="Arial" w:hAnsi="Arial"/>
          <w:sz w:val="16"/>
          <w:szCs w:val="16"/>
          <w:i w:val="1"/>
          <w:iCs w:val="1"/>
          <w:color w:val="auto"/>
        </w:rPr>
        <w:t>Conditions precedent</w:t>
      </w:r>
      <w:r>
        <w:rPr>
          <w:rFonts w:ascii="Arial" w:cs="Arial" w:eastAsia="Arial" w:hAnsi="Arial"/>
          <w:sz w:val="16"/>
          <w:szCs w:val="16"/>
          <w:color w:val="auto"/>
        </w:rPr>
        <w:t>) (as applicable) occurs within the period of [***] Business Days before the [***], on the [***] of the [***] (or, if not a Business Day, on the nearest Business Day prior to such last calendar day),</w:t>
      </w:r>
    </w:p>
    <w:p>
      <w:pPr>
        <w:spacing w:after="0" w:line="49"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(or on such other date, time and place as the Purchaser, the Institutional Sellers and the Sellers' Representatives (excluding the Institutional Sellers' Representative) may agree, but, in any event, no later than the [***] of the date of this Agreement).</w:t>
      </w:r>
    </w:p>
    <w:p>
      <w:pPr>
        <w:spacing w:after="0" w:line="48" w:lineRule="exact"/>
        <w:rPr>
          <w:sz w:val="20"/>
          <w:szCs w:val="20"/>
          <w:color w:val="auto"/>
        </w:rPr>
      </w:pPr>
    </w:p>
    <w:p>
      <w:pPr>
        <w:ind w:left="400" w:hanging="575"/>
        <w:spacing w:after="0" w:line="235" w:lineRule="auto"/>
        <w:tabs>
          <w:tab w:leader="none" w:pos="380" w:val="left"/>
        </w:tabs>
        <w:rPr>
          <w:sz w:val="20"/>
          <w:szCs w:val="20"/>
          <w:color w:val="auto"/>
        </w:rPr>
      </w:pPr>
      <w:r>
        <w:rPr>
          <w:rFonts w:ascii="Arial" w:cs="Arial" w:eastAsia="Arial" w:hAnsi="Arial"/>
          <w:sz w:val="16"/>
          <w:szCs w:val="16"/>
          <w:color w:val="auto"/>
        </w:rPr>
        <w:t>7.2</w:t>
        <w:tab/>
        <w:t xml:space="preserve">At Completion, the Sellers shall comply with their relevant obligations under Schedule 7 ( </w:t>
      </w:r>
      <w:r>
        <w:rPr>
          <w:rFonts w:ascii="Arial" w:cs="Arial" w:eastAsia="Arial" w:hAnsi="Arial"/>
          <w:sz w:val="16"/>
          <w:szCs w:val="16"/>
          <w:i w:val="1"/>
          <w:iCs w:val="1"/>
          <w:color w:val="auto"/>
        </w:rPr>
        <w:t>Completion obligations</w:t>
      </w:r>
      <w:r>
        <w:rPr>
          <w:rFonts w:ascii="Arial" w:cs="Arial" w:eastAsia="Arial" w:hAnsi="Arial"/>
          <w:sz w:val="16"/>
          <w:szCs w:val="16"/>
          <w:color w:val="auto"/>
        </w:rPr>
        <w:t>), provided that the Sellers shall not be required to release to the Purchaser the signed stock transfer forms contemplated by paragraph 1.1(a) of Schedule 7</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ectPr>
          <w:pgSz w:w="11900" w:h="16840" w:orient="portrait"/>
          <w:cols w:equalWidth="0" w:num="1">
            <w:col w:w="10580"/>
          </w:cols>
          <w:pgMar w:left="660" w:top="1440" w:right="660" w:bottom="1440" w:gutter="0" w:footer="0" w:header="0"/>
        </w:sectPr>
      </w:pPr>
    </w:p>
    <w:bookmarkStart w:id="380" w:name="page381"/>
    <w:bookmarkEnd w:id="380"/>
    <w:p>
      <w:pPr>
        <w:spacing w:after="0" w:line="331" w:lineRule="exact"/>
        <w:rPr>
          <w:sz w:val="20"/>
          <w:szCs w:val="20"/>
          <w:color w:val="auto"/>
        </w:rPr>
      </w:pPr>
    </w:p>
    <w:p>
      <w:pPr>
        <w:jc w:val="both"/>
        <w:ind w:left="580" w:right="20"/>
        <w:spacing w:after="0" w:line="21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obligations</w:t>
      </w:r>
      <w:r>
        <w:rPr>
          <w:rFonts w:ascii="Arial" w:cs="Arial" w:eastAsia="Arial" w:hAnsi="Arial"/>
          <w:sz w:val="16"/>
          <w:szCs w:val="16"/>
          <w:color w:val="auto"/>
        </w:rPr>
        <w:t>) nor the Companies House webfiling authentication code until the Purchaser has complied with its obligations under sub-clause 7.3. The signed stock transfer forms and authentication code will be held in escrow by the Sellers' Solicitors until such time as the Purchaser has satisfied its obligations under sub- clause 7.3, and the same shall be released immediately without any further authority, on satisfaction of that sub-clause. The Purchaser shall not be required to deliver Consideration Shares or Consideration ADSs to any Non-US FME Shareholder unless such Non-US FME Shareholder has satisfied the relevant completion obligations under Schedule 7.</w:t>
      </w:r>
    </w:p>
    <w:p>
      <w:pPr>
        <w:spacing w:after="0" w:line="48" w:lineRule="exact"/>
        <w:rPr>
          <w:sz w:val="20"/>
          <w:szCs w:val="20"/>
          <w:color w:val="auto"/>
        </w:rPr>
      </w:pPr>
    </w:p>
    <w:p>
      <w:pPr>
        <w:ind w:left="420" w:right="20" w:hanging="575"/>
        <w:spacing w:after="0" w:line="235" w:lineRule="auto"/>
        <w:tabs>
          <w:tab w:leader="none" w:pos="400" w:val="left"/>
        </w:tabs>
        <w:rPr>
          <w:sz w:val="20"/>
          <w:szCs w:val="20"/>
          <w:color w:val="auto"/>
        </w:rPr>
      </w:pPr>
      <w:r>
        <w:rPr>
          <w:rFonts w:ascii="Arial" w:cs="Arial" w:eastAsia="Arial" w:hAnsi="Arial"/>
          <w:sz w:val="16"/>
          <w:szCs w:val="16"/>
          <w:color w:val="auto"/>
        </w:rPr>
        <w:t>7.3</w:t>
        <w:tab/>
        <w:t xml:space="preserve">When the Sellers have complied with the provisions of sub-clause 7.2 ( </w:t>
      </w:r>
      <w:r>
        <w:rPr>
          <w:rFonts w:ascii="Arial" w:cs="Arial" w:eastAsia="Arial" w:hAnsi="Arial"/>
          <w:sz w:val="16"/>
          <w:szCs w:val="16"/>
          <w:i w:val="1"/>
          <w:iCs w:val="1"/>
          <w:color w:val="auto"/>
        </w:rPr>
        <w:t>Completion</w:t>
      </w:r>
      <w:r>
        <w:rPr>
          <w:rFonts w:ascii="Arial" w:cs="Arial" w:eastAsia="Arial" w:hAnsi="Arial"/>
          <w:sz w:val="16"/>
          <w:szCs w:val="16"/>
          <w:color w:val="auto"/>
        </w:rPr>
        <w:t>), the Purchaser shall, in addition to complying with its relevant obligations under Schedule 7:</w:t>
      </w:r>
    </w:p>
    <w:p>
      <w:pPr>
        <w:spacing w:after="0" w:line="48" w:lineRule="exact"/>
        <w:rPr>
          <w:sz w:val="20"/>
          <w:szCs w:val="20"/>
          <w:color w:val="auto"/>
        </w:rPr>
      </w:pPr>
    </w:p>
    <w:p>
      <w:pPr>
        <w:ind w:left="1160" w:hanging="578"/>
        <w:spacing w:after="0" w:line="235" w:lineRule="auto"/>
        <w:tabs>
          <w:tab w:leader="none" w:pos="114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provide the Warrantors with a copy of the W&amp;I Policy Excerpt and evidence satisfactory to the Warrantors that the W&amp;I Policy has been put on risk;</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deliver to [***] a duly signed counterpart of the Payment Notice in respect of the Initial Disbursement Amount (as each term is defined in the Paying Agent Agreement for paying agency services);</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pay in accordance with clause 23 ( </w:t>
      </w:r>
      <w:r>
        <w:rPr>
          <w:rFonts w:ascii="Arial" w:cs="Arial" w:eastAsia="Arial" w:hAnsi="Arial"/>
          <w:sz w:val="16"/>
          <w:szCs w:val="16"/>
          <w:i w:val="1"/>
          <w:iCs w:val="1"/>
          <w:color w:val="auto"/>
        </w:rPr>
        <w:t>Payments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Estimated Sellers' Upfront Payment to the Investor Sellers for each Investor Completion Share held by them;</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Investor Sellers' Upfront Contingent Cash Consideration to the Investor Sellers for each Completion Share held by them;</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FME Shareholders' Upfront Cash Completion Payment to the Non-US FME Shareholders in respect of the Completion Shares being sold by them;</w:t>
      </w:r>
    </w:p>
    <w:p>
      <w:pPr>
        <w:spacing w:after="0" w:line="47"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US FME Shareholders Upfront Cash Completion Payment to the US FME Shareholders in respect of the Completion Shares being sold by them; and</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Holdback Amount,</w:t>
      </w:r>
    </w:p>
    <w:p>
      <w:pPr>
        <w:spacing w:after="0" w:line="68" w:lineRule="exact"/>
        <w:rPr>
          <w:sz w:val="20"/>
          <w:szCs w:val="20"/>
          <w:color w:val="auto"/>
        </w:rPr>
      </w:pPr>
    </w:p>
    <w:p>
      <w:pPr>
        <w:jc w:val="both"/>
        <w:ind w:left="1160" w:right="20"/>
        <w:spacing w:after="0" w:line="224" w:lineRule="auto"/>
        <w:rPr>
          <w:sz w:val="20"/>
          <w:szCs w:val="20"/>
          <w:color w:val="auto"/>
        </w:rPr>
      </w:pPr>
      <w:r>
        <w:rPr>
          <w:rFonts w:ascii="Arial" w:cs="Arial" w:eastAsia="Arial" w:hAnsi="Arial"/>
          <w:sz w:val="16"/>
          <w:szCs w:val="16"/>
          <w:color w:val="auto"/>
        </w:rPr>
        <w:t>provided that [***] shall, in accordance with the Paying Agent Agreements, hold in escrow an amount equal to the Investors Holdback Amount in respect of the Investors Sellers' Shares and the FME Holdback Amount in respect of the FME Completion Shares until such time as they are due to be released in accordance with clause 5.2;</w:t>
      </w:r>
    </w:p>
    <w:p>
      <w:pPr>
        <w:spacing w:after="0" w:line="49" w:lineRule="exact"/>
        <w:rPr>
          <w:sz w:val="20"/>
          <w:szCs w:val="20"/>
          <w:color w:val="auto"/>
        </w:rPr>
      </w:pPr>
    </w:p>
    <w:p>
      <w:pPr>
        <w:ind w:left="1140" w:hanging="558"/>
        <w:spacing w:after="0"/>
        <w:tabs>
          <w:tab w:leader="none" w:pos="11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allot such total number of Consideration Shares as is set out in the Completion Allocation Schedule and which shall be calculated by:</w:t>
      </w:r>
    </w:p>
    <w:p>
      <w:pPr>
        <w:spacing w:after="0" w:line="68" w:lineRule="exact"/>
        <w:rPr>
          <w:rFonts w:ascii="Arial" w:cs="Arial" w:eastAsia="Arial" w:hAnsi="Arial"/>
          <w:sz w:val="16"/>
          <w:szCs w:val="16"/>
          <w:color w:val="auto"/>
        </w:rPr>
      </w:pPr>
    </w:p>
    <w:p>
      <w:pPr>
        <w:jc w:val="both"/>
        <w:ind w:left="1740" w:hanging="582"/>
        <w:spacing w:after="0" w:line="224" w:lineRule="auto"/>
        <w:tabs>
          <w:tab w:leader="none" w:pos="1740" w:val="left"/>
        </w:tabs>
        <w:numPr>
          <w:ilvl w:val="1"/>
          <w:numId w:val="3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deducting </w:t>
      </w:r>
      <w:r>
        <w:rPr>
          <w:rFonts w:ascii="Arial" w:cs="Arial" w:eastAsia="Arial" w:hAnsi="Arial"/>
          <w:sz w:val="16"/>
          <w:szCs w:val="16"/>
          <w:color w:val="auto"/>
        </w:rPr>
        <w:t>from the Estimated FME Shareholders' Upfront Consideration multiplied by the number of FME Completion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by the FME Shareholders the FME Shareholders' Upfront Cash Completion Payment multiplied by the same number of FME Completion Shares; and</w:t>
      </w:r>
    </w:p>
    <w:p>
      <w:pPr>
        <w:spacing w:after="0" w:line="48" w:lineRule="exact"/>
        <w:rPr>
          <w:rFonts w:ascii="Arial" w:cs="Arial" w:eastAsia="Arial" w:hAnsi="Arial"/>
          <w:sz w:val="16"/>
          <w:szCs w:val="16"/>
          <w:color w:val="auto"/>
        </w:rPr>
      </w:pPr>
    </w:p>
    <w:p>
      <w:pPr>
        <w:ind w:left="1720" w:hanging="562"/>
        <w:spacing w:after="0"/>
        <w:tabs>
          <w:tab w:leader="none" w:pos="1720" w:val="left"/>
        </w:tabs>
        <w:numPr>
          <w:ilvl w:val="1"/>
          <w:numId w:val="3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dividing </w:t>
      </w:r>
      <w:r>
        <w:rPr>
          <w:rFonts w:ascii="Arial" w:cs="Arial" w:eastAsia="Arial" w:hAnsi="Arial"/>
          <w:sz w:val="16"/>
          <w:szCs w:val="16"/>
          <w:color w:val="auto"/>
        </w:rPr>
        <w:t>the sum resulting from (i) above</w:t>
      </w:r>
      <w:r>
        <w:rPr>
          <w:rFonts w:ascii="Arial" w:cs="Arial" w:eastAsia="Arial" w:hAnsi="Arial"/>
          <w:sz w:val="16"/>
          <w:szCs w:val="16"/>
          <w:b w:val="1"/>
          <w:bCs w:val="1"/>
          <w:i w:val="1"/>
          <w:iCs w:val="1"/>
          <w:color w:val="auto"/>
        </w:rPr>
        <w:t xml:space="preserve"> by </w:t>
      </w:r>
      <w:r>
        <w:rPr>
          <w:rFonts w:ascii="Arial" w:cs="Arial" w:eastAsia="Arial" w:hAnsi="Arial"/>
          <w:sz w:val="16"/>
          <w:szCs w:val="16"/>
          <w:color w:val="auto"/>
        </w:rPr>
        <w:t>the Consideration ADS Price to the Depositary;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give unconditional and irrevocable instructions to the Depositary to, and procure that the Depositary shall:</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18"/>
        </w:numPr>
        <w:rPr>
          <w:rFonts w:ascii="Arial" w:cs="Arial" w:eastAsia="Arial" w:hAnsi="Arial"/>
          <w:sz w:val="16"/>
          <w:szCs w:val="16"/>
          <w:color w:val="auto"/>
        </w:rPr>
      </w:pPr>
      <w:r>
        <w:rPr>
          <w:rFonts w:ascii="Arial" w:cs="Arial" w:eastAsia="Arial" w:hAnsi="Arial"/>
          <w:sz w:val="16"/>
          <w:szCs w:val="16"/>
          <w:color w:val="auto"/>
        </w:rPr>
        <w:t>open depositary accounts for each individual Non-US FME Shareholder; and</w:t>
      </w:r>
    </w:p>
    <w:p>
      <w:pPr>
        <w:spacing w:after="0" w:line="68" w:lineRule="exact"/>
        <w:rPr>
          <w:rFonts w:ascii="Arial" w:cs="Arial" w:eastAsia="Arial" w:hAnsi="Arial"/>
          <w:sz w:val="16"/>
          <w:szCs w:val="16"/>
          <w:color w:val="auto"/>
        </w:rPr>
      </w:pPr>
    </w:p>
    <w:p>
      <w:pPr>
        <w:jc w:val="both"/>
        <w:ind w:left="1740" w:right="20" w:hanging="582"/>
        <w:spacing w:after="0" w:line="224" w:lineRule="auto"/>
        <w:tabs>
          <w:tab w:leader="none" w:pos="172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deliver such number of Consideration ADSs as is set out in the Completion Allocation Schedule against each FME Shareholder's name to the Non-US FME Shareholders on these depositary accounts with the intention that it shall be no later than 5 Business Days after the Completion Date.</w:t>
      </w:r>
    </w:p>
    <w:p>
      <w:pPr>
        <w:spacing w:after="0" w:line="4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color w:val="auto"/>
        </w:rPr>
        <w:t>If:</w:t>
      </w:r>
    </w:p>
    <w:p>
      <w:pPr>
        <w:spacing w:after="0" w:line="68" w:lineRule="exact"/>
        <w:rPr>
          <w:sz w:val="20"/>
          <w:szCs w:val="20"/>
          <w:color w:val="auto"/>
        </w:rPr>
      </w:pPr>
    </w:p>
    <w:p>
      <w:pPr>
        <w:jc w:val="both"/>
        <w:ind w:left="1160" w:right="20" w:hanging="578"/>
        <w:spacing w:after="0" w:line="214" w:lineRule="auto"/>
        <w:tabs>
          <w:tab w:leader="none" w:pos="114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of the requirements (or, for the purposes of the right to terminate as set out in sub-clause 7.4(d)(iii), any of the material requirements) of sub-clauses 7.2 or 7.3 (</w:t>
      </w:r>
      <w:r>
        <w:rPr>
          <w:rFonts w:ascii="Arial" w:cs="Arial" w:eastAsia="Arial" w:hAnsi="Arial"/>
          <w:sz w:val="16"/>
          <w:szCs w:val="16"/>
          <w:i w:val="1"/>
          <w:iCs w:val="1"/>
          <w:color w:val="auto"/>
        </w:rPr>
        <w:t>Completion</w:t>
      </w:r>
      <w:r>
        <w:rPr>
          <w:rFonts w:ascii="Arial" w:cs="Arial" w:eastAsia="Arial" w:hAnsi="Arial"/>
          <w:sz w:val="16"/>
          <w:szCs w:val="16"/>
          <w:color w:val="auto"/>
        </w:rPr>
        <w:t>) (excluding the delivery of the Consideration ADSs by the Depositary pursuant to sub-clause 7.3(e)(ii), which, the FME Shareholders acknowledge, shall not be within the control of the Purchaser, provided that the Purchaser has given the Depositary all relevant instructions and otherwise has done all that is within its control to do in order to procure delivery of the Consideration ADSs by the Depositary within the agreed timescale) are not complied with on the date set for Completion under sub-clause 7.1 (</w:t>
      </w:r>
      <w:r>
        <w:rPr>
          <w:rFonts w:ascii="Arial" w:cs="Arial" w:eastAsia="Arial" w:hAnsi="Arial"/>
          <w:sz w:val="16"/>
          <w:szCs w:val="16"/>
          <w:i w:val="1"/>
          <w:iCs w:val="1"/>
          <w:color w:val="auto"/>
        </w:rPr>
        <w:t>Completion</w:t>
      </w:r>
      <w:r>
        <w:rPr>
          <w:rFonts w:ascii="Arial" w:cs="Arial" w:eastAsia="Arial" w:hAnsi="Arial"/>
          <w:sz w:val="16"/>
          <w:szCs w:val="16"/>
          <w:color w:val="auto"/>
        </w:rPr>
        <w:t>); or</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event occurs which would constitute (i) a breach of any of the Warranties when repeated at Completion; or (ii) a right to claim under the Tax Covenant following Completion, and such event would, if the Purchaser was to acquire the Completion</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30</w:t>
      </w:r>
    </w:p>
    <w:p>
      <w:pPr>
        <w:sectPr>
          <w:pgSz w:w="11900" w:h="16840" w:orient="portrait"/>
          <w:cols w:equalWidth="0" w:num="1">
            <w:col w:w="10580"/>
          </w:cols>
          <w:pgMar w:left="660" w:top="1440" w:right="660" w:bottom="1440" w:gutter="0" w:footer="0" w:header="0"/>
        </w:sectPr>
      </w:pPr>
    </w:p>
    <w:bookmarkStart w:id="381" w:name="page382"/>
    <w:bookmarkEnd w:id="381"/>
    <w:p>
      <w:pPr>
        <w:spacing w:after="0" w:line="331" w:lineRule="exact"/>
        <w:rPr>
          <w:sz w:val="20"/>
          <w:szCs w:val="20"/>
          <w:color w:val="auto"/>
        </w:rPr>
      </w:pPr>
    </w:p>
    <w:p>
      <w:pPr>
        <w:ind w:left="1160" w:right="40"/>
        <w:spacing w:after="0" w:line="235" w:lineRule="auto"/>
        <w:rPr>
          <w:sz w:val="20"/>
          <w:szCs w:val="20"/>
          <w:color w:val="auto"/>
        </w:rPr>
      </w:pPr>
      <w:r>
        <w:rPr>
          <w:rFonts w:ascii="Arial" w:cs="Arial" w:eastAsia="Arial" w:hAnsi="Arial"/>
          <w:sz w:val="16"/>
          <w:szCs w:val="16"/>
          <w:color w:val="auto"/>
        </w:rPr>
        <w:t>Shares in accordance with this Agreement, give rise to a liability of the Sellers towards the Purchaser under this Agreement in excess of £[***]; or</w:t>
      </w:r>
    </w:p>
    <w:p>
      <w:pPr>
        <w:spacing w:after="0" w:line="48" w:lineRule="exact"/>
        <w:rPr>
          <w:sz w:val="20"/>
          <w:szCs w:val="20"/>
          <w:color w:val="auto"/>
        </w:rPr>
      </w:pPr>
    </w:p>
    <w:p>
      <w:pPr>
        <w:jc w:val="both"/>
        <w:ind w:left="1160" w:right="20" w:hanging="578"/>
        <w:spacing w:after="0" w:line="224" w:lineRule="auto"/>
        <w:tabs>
          <w:tab w:leader="none" w:pos="114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there has been a material breach by the Sellers of this Agreement in the period between the date of this Agreement and Completion and, if the Purchaser was to acquire the Completion Shares in accordance with this Agreement, such material breach would give rise to a liability of the Sellers towards the Purchaser under this Agreement in excess of £[***]; or</w:t>
      </w:r>
    </w:p>
    <w:p>
      <w:pPr>
        <w:spacing w:after="0" w:line="48" w:lineRule="exact"/>
        <w:rPr>
          <w:rFonts w:ascii="Arial" w:cs="Arial" w:eastAsia="Arial" w:hAnsi="Arial"/>
          <w:sz w:val="16"/>
          <w:szCs w:val="16"/>
          <w:color w:val="auto"/>
        </w:rPr>
      </w:pPr>
    </w:p>
    <w:p>
      <w:pPr>
        <w:ind w:left="1160" w:right="1560" w:hanging="578"/>
        <w:spacing w:after="0" w:line="328" w:lineRule="auto"/>
        <w:tabs>
          <w:tab w:leader="none" w:pos="114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there has been a Material Adverse Change during the period between the date of this Agreement and Completion, then the party not in breach may:</w:t>
      </w:r>
    </w:p>
    <w:p>
      <w:pPr>
        <w:spacing w:after="0" w:line="1" w:lineRule="exact"/>
        <w:rPr>
          <w:rFonts w:ascii="Arial" w:cs="Arial" w:eastAsia="Arial" w:hAnsi="Arial"/>
          <w:sz w:val="16"/>
          <w:szCs w:val="16"/>
          <w:color w:val="auto"/>
        </w:rPr>
      </w:pPr>
    </w:p>
    <w:p>
      <w:pPr>
        <w:jc w:val="both"/>
        <w:ind w:left="1740" w:hanging="582"/>
        <w:spacing w:after="0" w:line="224" w:lineRule="auto"/>
        <w:tabs>
          <w:tab w:leader="none" w:pos="174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defer Completion (including, at that party's option, with respect to some Completion Shares only, provided that such Shares are held by the party (parties) in breach) to a date [***] days after that date (in which case the provisions of this sub-clause shall also apply to Completion as so deferred); or</w:t>
      </w:r>
    </w:p>
    <w:p>
      <w:pPr>
        <w:spacing w:after="0" w:line="48" w:lineRule="exact"/>
        <w:rPr>
          <w:rFonts w:ascii="Arial" w:cs="Arial" w:eastAsia="Arial" w:hAnsi="Arial"/>
          <w:sz w:val="16"/>
          <w:szCs w:val="16"/>
          <w:color w:val="auto"/>
        </w:rPr>
      </w:pPr>
    </w:p>
    <w:p>
      <w:pPr>
        <w:jc w:val="both"/>
        <w:ind w:left="1740" w:right="20" w:hanging="582"/>
        <w:spacing w:after="0" w:line="219" w:lineRule="auto"/>
        <w:tabs>
          <w:tab w:leader="none" w:pos="1728" w:val="left"/>
        </w:tabs>
        <w:numPr>
          <w:ilvl w:val="1"/>
          <w:numId w:val="320"/>
        </w:numPr>
        <w:rPr>
          <w:rFonts w:ascii="Arial" w:cs="Arial" w:eastAsia="Arial" w:hAnsi="Arial"/>
          <w:sz w:val="16"/>
          <w:szCs w:val="16"/>
          <w:color w:val="auto"/>
        </w:rPr>
      </w:pPr>
      <w:r>
        <w:rPr>
          <w:rFonts w:ascii="Arial" w:cs="Arial" w:eastAsia="Arial" w:hAnsi="Arial"/>
          <w:sz w:val="16"/>
          <w:szCs w:val="16"/>
          <w:color w:val="auto"/>
        </w:rPr>
        <w:t>proceed to Completion so far as practicable (including, at that party's option, completion of the purchase of some Completion Shares only, provided that such Completion Shares must include all Completion Shares held by the party (parties) not in breach) but without prejudice to any other rights which it may have under this Agreement and without waiving any right to sue for breach of this Agreement or the Warranties or claim under the Tax Covenant; or</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20"/>
        </w:numPr>
        <w:rPr>
          <w:rFonts w:ascii="Arial" w:cs="Arial" w:eastAsia="Arial" w:hAnsi="Arial"/>
          <w:sz w:val="16"/>
          <w:szCs w:val="16"/>
          <w:color w:val="auto"/>
        </w:rPr>
      </w:pPr>
      <w:r>
        <w:rPr>
          <w:rFonts w:ascii="Arial" w:cs="Arial" w:eastAsia="Arial" w:hAnsi="Arial"/>
          <w:sz w:val="16"/>
          <w:szCs w:val="16"/>
          <w:color w:val="auto"/>
        </w:rPr>
        <w:t xml:space="preserve">terminate this Agreement (other than the Surviving Provisions and the provisions of this sub-clause 7.4(iii) ( </w:t>
      </w:r>
      <w:r>
        <w:rPr>
          <w:rFonts w:ascii="Arial" w:cs="Arial" w:eastAsia="Arial" w:hAnsi="Arial"/>
          <w:sz w:val="16"/>
          <w:szCs w:val="16"/>
          <w:i w:val="1"/>
          <w:iCs w:val="1"/>
          <w:color w:val="auto"/>
        </w:rPr>
        <w:t>Completion</w:t>
      </w:r>
      <w:r>
        <w:rPr>
          <w:rFonts w:ascii="Arial" w:cs="Arial" w:eastAsia="Arial" w:hAnsi="Arial"/>
          <w:sz w:val="16"/>
          <w:szCs w:val="16"/>
          <w:color w:val="auto"/>
        </w:rPr>
        <w:t>)) by notice in writing, in which event:</w:t>
      </w:r>
    </w:p>
    <w:p>
      <w:pPr>
        <w:spacing w:after="0" w:line="47" w:lineRule="exact"/>
        <w:rPr>
          <w:rFonts w:ascii="Arial" w:cs="Arial" w:eastAsia="Arial" w:hAnsi="Arial"/>
          <w:sz w:val="16"/>
          <w:szCs w:val="16"/>
          <w:color w:val="auto"/>
        </w:rPr>
      </w:pPr>
    </w:p>
    <w:p>
      <w:pPr>
        <w:ind w:left="2300" w:hanging="565"/>
        <w:spacing w:after="0"/>
        <w:tabs>
          <w:tab w:leader="none" w:pos="2300" w:val="left"/>
        </w:tabs>
        <w:numPr>
          <w:ilvl w:val="2"/>
          <w:numId w:val="320"/>
        </w:numPr>
        <w:rPr>
          <w:rFonts w:ascii="Arial" w:cs="Arial" w:eastAsia="Arial" w:hAnsi="Arial"/>
          <w:sz w:val="16"/>
          <w:szCs w:val="16"/>
          <w:color w:val="auto"/>
        </w:rPr>
      </w:pPr>
      <w:r>
        <w:rPr>
          <w:rFonts w:ascii="Arial" w:cs="Arial" w:eastAsia="Arial" w:hAnsi="Arial"/>
          <w:sz w:val="16"/>
          <w:szCs w:val="16"/>
          <w:color w:val="auto"/>
        </w:rPr>
        <w:t xml:space="preserve">the Surviving Provisions and the provisions of this sub-clause 7.4(iii) ( </w:t>
      </w:r>
      <w:r>
        <w:rPr>
          <w:rFonts w:ascii="Arial" w:cs="Arial" w:eastAsia="Arial" w:hAnsi="Arial"/>
          <w:sz w:val="16"/>
          <w:szCs w:val="16"/>
          <w:i w:val="1"/>
          <w:iCs w:val="1"/>
          <w:color w:val="auto"/>
        </w:rPr>
        <w:t>Completion</w:t>
      </w:r>
      <w:r>
        <w:rPr>
          <w:rFonts w:ascii="Arial" w:cs="Arial" w:eastAsia="Arial" w:hAnsi="Arial"/>
          <w:sz w:val="16"/>
          <w:szCs w:val="16"/>
          <w:color w:val="auto"/>
        </w:rPr>
        <w:t>) shall continue to apply;</w:t>
      </w:r>
    </w:p>
    <w:p>
      <w:pPr>
        <w:spacing w:after="0" w:line="68" w:lineRule="exact"/>
        <w:rPr>
          <w:rFonts w:ascii="Arial" w:cs="Arial" w:eastAsia="Arial" w:hAnsi="Arial"/>
          <w:sz w:val="16"/>
          <w:szCs w:val="16"/>
          <w:color w:val="auto"/>
        </w:rPr>
      </w:pPr>
    </w:p>
    <w:p>
      <w:pPr>
        <w:jc w:val="both"/>
        <w:ind w:left="2320" w:right="20" w:hanging="585"/>
        <w:spacing w:after="0" w:line="224" w:lineRule="auto"/>
        <w:tabs>
          <w:tab w:leader="none" w:pos="2308" w:val="left"/>
        </w:tabs>
        <w:numPr>
          <w:ilvl w:val="2"/>
          <w:numId w:val="320"/>
        </w:numPr>
        <w:rPr>
          <w:rFonts w:ascii="Arial" w:cs="Arial" w:eastAsia="Arial" w:hAnsi="Arial"/>
          <w:sz w:val="16"/>
          <w:szCs w:val="16"/>
          <w:color w:val="auto"/>
        </w:rPr>
      </w:pPr>
      <w:r>
        <w:rPr>
          <w:rFonts w:ascii="Arial" w:cs="Arial" w:eastAsia="Arial" w:hAnsi="Arial"/>
          <w:sz w:val="16"/>
          <w:szCs w:val="16"/>
          <w:color w:val="auto"/>
        </w:rPr>
        <w:t>no party shall have any claim under this Agreement of any nature whatsoever against any other party except in respect of any rights, liabilities and obligations which have accrued before termination or which accrue under any of the Surviving Provisions or under this sub-clause 7.4(iii) (</w:t>
      </w:r>
      <w:r>
        <w:rPr>
          <w:rFonts w:ascii="Arial" w:cs="Arial" w:eastAsia="Arial" w:hAnsi="Arial"/>
          <w:sz w:val="16"/>
          <w:szCs w:val="16"/>
          <w:i w:val="1"/>
          <w:iCs w:val="1"/>
          <w:color w:val="auto"/>
        </w:rPr>
        <w:t>Completion</w:t>
      </w:r>
      <w:r>
        <w:rPr>
          <w:rFonts w:ascii="Arial" w:cs="Arial" w:eastAsia="Arial" w:hAnsi="Arial"/>
          <w:sz w:val="16"/>
          <w:szCs w:val="16"/>
          <w:color w:val="auto"/>
        </w:rPr>
        <w:t>); and</w:t>
      </w:r>
    </w:p>
    <w:p>
      <w:pPr>
        <w:spacing w:after="0" w:line="48" w:lineRule="exact"/>
        <w:rPr>
          <w:rFonts w:ascii="Arial" w:cs="Arial" w:eastAsia="Arial" w:hAnsi="Arial"/>
          <w:sz w:val="16"/>
          <w:szCs w:val="16"/>
          <w:color w:val="auto"/>
        </w:rPr>
      </w:pPr>
    </w:p>
    <w:p>
      <w:pPr>
        <w:ind w:left="2320" w:hanging="585"/>
        <w:spacing w:after="0" w:line="235" w:lineRule="auto"/>
        <w:tabs>
          <w:tab w:leader="none" w:pos="2308" w:val="left"/>
        </w:tabs>
        <w:numPr>
          <w:ilvl w:val="2"/>
          <w:numId w:val="320"/>
        </w:numPr>
        <w:rPr>
          <w:rFonts w:ascii="Arial" w:cs="Arial" w:eastAsia="Arial" w:hAnsi="Arial"/>
          <w:sz w:val="16"/>
          <w:szCs w:val="16"/>
          <w:color w:val="auto"/>
        </w:rPr>
      </w:pPr>
      <w:r>
        <w:rPr>
          <w:rFonts w:ascii="Arial" w:cs="Arial" w:eastAsia="Arial" w:hAnsi="Arial"/>
          <w:sz w:val="16"/>
          <w:szCs w:val="16"/>
          <w:color w:val="auto"/>
        </w:rPr>
        <w:t>except as referred to in this sub-clause 7.4(iii) (</w:t>
      </w:r>
      <w:r>
        <w:rPr>
          <w:rFonts w:ascii="Arial" w:cs="Arial" w:eastAsia="Arial" w:hAnsi="Arial"/>
          <w:sz w:val="16"/>
          <w:szCs w:val="16"/>
          <w:i w:val="1"/>
          <w:iCs w:val="1"/>
          <w:color w:val="auto"/>
        </w:rPr>
        <w:t>Completion</w:t>
      </w:r>
      <w:r>
        <w:rPr>
          <w:rFonts w:ascii="Arial" w:cs="Arial" w:eastAsia="Arial" w:hAnsi="Arial"/>
          <w:sz w:val="16"/>
          <w:szCs w:val="16"/>
          <w:color w:val="auto"/>
        </w:rPr>
        <w:t>), all rights, liabilities and obligations of the parties under this Agreement shall cease with immediate effect.</w:t>
      </w:r>
    </w:p>
    <w:p>
      <w:pPr>
        <w:spacing w:after="0" w:line="48" w:lineRule="exact"/>
        <w:rPr>
          <w:sz w:val="20"/>
          <w:szCs w:val="20"/>
          <w:color w:val="auto"/>
        </w:rPr>
      </w:pPr>
    </w:p>
    <w:p>
      <w:pPr>
        <w:jc w:val="both"/>
        <w:ind w:left="420" w:hanging="575"/>
        <w:spacing w:after="0" w:line="219" w:lineRule="auto"/>
        <w:tabs>
          <w:tab w:leader="none" w:pos="400" w:val="left"/>
        </w:tabs>
        <w:rPr>
          <w:sz w:val="20"/>
          <w:szCs w:val="20"/>
          <w:color w:val="auto"/>
        </w:rPr>
      </w:pPr>
      <w:r>
        <w:rPr>
          <w:rFonts w:ascii="Arial" w:cs="Arial" w:eastAsia="Arial" w:hAnsi="Arial"/>
          <w:sz w:val="16"/>
          <w:szCs w:val="16"/>
          <w:color w:val="auto"/>
        </w:rPr>
        <w:t>7.5</w:t>
        <w:tab/>
        <w:t>Each Seller undertakes to promptly notify the Purchaser in writing of any breach, matter, event, condition, circumstance, fact or omission of which they become aware that may give rise to a right of termination under sub-clause 7.4 (</w:t>
      </w:r>
      <w:r>
        <w:rPr>
          <w:rFonts w:ascii="Arial" w:cs="Arial" w:eastAsia="Arial" w:hAnsi="Arial"/>
          <w:sz w:val="16"/>
          <w:szCs w:val="16"/>
          <w:i w:val="1"/>
          <w:iCs w:val="1"/>
          <w:color w:val="auto"/>
        </w:rPr>
        <w:t>Completion</w:t>
      </w:r>
      <w:r>
        <w:rPr>
          <w:rFonts w:ascii="Arial" w:cs="Arial" w:eastAsia="Arial" w:hAnsi="Arial"/>
          <w:sz w:val="16"/>
          <w:szCs w:val="16"/>
          <w:color w:val="auto"/>
        </w:rPr>
        <w:t xml:space="preserve">) save that a separate notification is not required under this sub- clause 7.5 ( </w:t>
      </w:r>
      <w:r>
        <w:rPr>
          <w:rFonts w:ascii="Arial" w:cs="Arial" w:eastAsia="Arial" w:hAnsi="Arial"/>
          <w:sz w:val="16"/>
          <w:szCs w:val="16"/>
          <w:i w:val="1"/>
          <w:iCs w:val="1"/>
          <w:color w:val="auto"/>
        </w:rPr>
        <w:t>Completion</w:t>
      </w:r>
      <w:r>
        <w:rPr>
          <w:rFonts w:ascii="Arial" w:cs="Arial" w:eastAsia="Arial" w:hAnsi="Arial"/>
          <w:sz w:val="16"/>
          <w:szCs w:val="16"/>
          <w:color w:val="auto"/>
        </w:rPr>
        <w:t>) where a disclosure has been made by a Seller or any Warrantor to the Purchaser pursuant to sub-clause 6.2 (</w:t>
      </w:r>
      <w:r>
        <w:rPr>
          <w:rFonts w:ascii="Arial" w:cs="Arial" w:eastAsia="Arial" w:hAnsi="Arial"/>
          <w:sz w:val="16"/>
          <w:szCs w:val="16"/>
          <w:i w:val="1"/>
          <w:iCs w:val="1"/>
          <w:color w:val="auto"/>
        </w:rPr>
        <w:t>Pre Completion obligations</w:t>
      </w:r>
      <w:r>
        <w:rPr>
          <w:rFonts w:ascii="Arial" w:cs="Arial" w:eastAsia="Arial" w:hAnsi="Arial"/>
          <w:sz w:val="16"/>
          <w:szCs w:val="16"/>
          <w:color w:val="auto"/>
        </w:rPr>
        <w:t>).</w:t>
      </w:r>
    </w:p>
    <w:p>
      <w:pPr>
        <w:spacing w:after="0" w:line="4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4"/>
          <w:szCs w:val="14"/>
          <w:color w:val="auto"/>
        </w:rPr>
        <w:t>Subject to and with effect from Completion, each party and InstaDeep acknowledges and agrees that:</w:t>
      </w:r>
    </w:p>
    <w:p>
      <w:pPr>
        <w:spacing w:after="0" w:line="68" w:lineRule="exact"/>
        <w:rPr>
          <w:sz w:val="20"/>
          <w:szCs w:val="20"/>
          <w:color w:val="auto"/>
        </w:rPr>
      </w:pPr>
    </w:p>
    <w:p>
      <w:pPr>
        <w:ind w:left="1140" w:hanging="558"/>
        <w:spacing w:after="0"/>
        <w:tabs>
          <w:tab w:leader="none" w:pos="114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each of the Shareholder Documents shall terminate and cease to have effect;</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each of them shall with effect from such termination stand released and discharged from all obligations (past, present and future) arising under or resulting from the Shareholder Documents; and</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none of them shall be entitled to exercise any rights or make any claims against any of the others under or in relation to the Shareholder Documents or their respective termination.</w:t>
      </w:r>
    </w:p>
    <w:p>
      <w:pPr>
        <w:spacing w:after="0" w:line="45" w:lineRule="exact"/>
        <w:rPr>
          <w:rFonts w:ascii="Arial" w:cs="Arial" w:eastAsia="Arial" w:hAnsi="Arial"/>
          <w:sz w:val="16"/>
          <w:szCs w:val="16"/>
          <w:color w:val="auto"/>
        </w:rPr>
      </w:pPr>
    </w:p>
    <w:p>
      <w:pPr>
        <w:ind w:left="320" w:hanging="314"/>
        <w:spacing w:after="0"/>
        <w:tabs>
          <w:tab w:leader="none" w:pos="320"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Post Completion matters</w:t>
      </w:r>
    </w:p>
    <w:p>
      <w:pPr>
        <w:spacing w:after="0" w:line="70" w:lineRule="exact"/>
        <w:rPr>
          <w:sz w:val="20"/>
          <w:szCs w:val="20"/>
          <w:color w:val="auto"/>
        </w:rPr>
      </w:pPr>
    </w:p>
    <w:p>
      <w:pPr>
        <w:ind w:left="440" w:right="20" w:hanging="575"/>
        <w:spacing w:after="0" w:line="235" w:lineRule="auto"/>
        <w:tabs>
          <w:tab w:leader="none" w:pos="420" w:val="left"/>
        </w:tabs>
        <w:rPr>
          <w:sz w:val="20"/>
          <w:szCs w:val="20"/>
          <w:color w:val="auto"/>
        </w:rPr>
      </w:pPr>
      <w:r>
        <w:rPr>
          <w:rFonts w:ascii="Arial" w:cs="Arial" w:eastAsia="Arial" w:hAnsi="Arial"/>
          <w:sz w:val="16"/>
          <w:szCs w:val="16"/>
          <w:color w:val="auto"/>
        </w:rPr>
        <w:t>8.1</w:t>
        <w:tab/>
        <w:t>Each Seller irrevocably undertakes to the Purchaser that, for as long as they remain the registered holders of the Shares after Completion, they shall:</w:t>
      </w:r>
    </w:p>
    <w:p>
      <w:pPr>
        <w:spacing w:after="0" w:line="48" w:lineRule="exact"/>
        <w:rPr>
          <w:sz w:val="20"/>
          <w:szCs w:val="20"/>
          <w:color w:val="auto"/>
        </w:rPr>
      </w:pPr>
    </w:p>
    <w:p>
      <w:pPr>
        <w:ind w:left="1160" w:right="20" w:hanging="578"/>
        <w:spacing w:after="0" w:line="235" w:lineRule="auto"/>
        <w:tabs>
          <w:tab w:leader="none" w:pos="114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hold the Shares and any dividends and other moneys or assets paid or distributed in respect of them and all rights arising out of or in connection with them from Completion in trust for the Purchaser;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deal with the Shares and all such dividends, distributions and rights as the Purchaser may direct from Completion until the date on which the Purchaser or its nominee is entered in the register of members of the Company as the holder of the Shares.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ectPr>
          <w:pgSz w:w="11900" w:h="16840" w:orient="portrait"/>
          <w:cols w:equalWidth="0" w:num="1">
            <w:col w:w="10580"/>
          </w:cols>
          <w:pgMar w:left="660" w:top="1440" w:right="660" w:bottom="1440" w:gutter="0" w:footer="0" w:header="0"/>
        </w:sectPr>
      </w:pPr>
    </w:p>
    <w:bookmarkStart w:id="382" w:name="page383"/>
    <w:bookmarkEnd w:id="382"/>
    <w:p>
      <w:pPr>
        <w:spacing w:after="0" w:line="331" w:lineRule="exact"/>
        <w:rPr>
          <w:sz w:val="20"/>
          <w:szCs w:val="20"/>
          <w:color w:val="auto"/>
        </w:rPr>
      </w:pPr>
    </w:p>
    <w:p>
      <w:pPr>
        <w:jc w:val="both"/>
        <w:ind w:left="500" w:hanging="575"/>
        <w:spacing w:after="0" w:line="216" w:lineRule="auto"/>
        <w:tabs>
          <w:tab w:leader="none" w:pos="4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Each Seller irrevocably (by way of security to secure the proprietary interest of the Purchaser as purchaser of the Completion Shares) and unconditionally appoints the Purchaser as its attorney to do and perform any acts and things which the Purchaser in its absolute discretion considers necessary or desirable in connection with the Completion Shares from Completion until the date on which the Purchaser or its nominee is entered in the register of members of the Company as the holder of the Completion Shares, including (without prejudice to the generality of the foregoing):</w:t>
      </w:r>
    </w:p>
    <w:p>
      <w:pPr>
        <w:spacing w:after="0" w:line="48" w:lineRule="exact"/>
        <w:rPr>
          <w:sz w:val="20"/>
          <w:szCs w:val="20"/>
          <w:color w:val="auto"/>
        </w:rPr>
      </w:pPr>
    </w:p>
    <w:p>
      <w:pPr>
        <w:jc w:val="both"/>
        <w:ind w:left="1160" w:hanging="578"/>
        <w:spacing w:after="0" w:line="224" w:lineRule="auto"/>
        <w:tabs>
          <w:tab w:leader="none" w:pos="114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exercising any rights, privileges or duties attaching to the Completion Shares including, without limitation, receiving notices of, and attending and voting at, all meetings of the shareholders of the Company and meetings of the members of any particular class of the Completion Shares and all or any adjournment of such meetings; and</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completing and delivering any consents, proxies or resolution and any other documents required to be signed by a Seller as a member of the Company from Completion until the date on which the Purchaser or its nominee is entered in the register of members of the Company as the holder of the Completion Shares.</w:t>
      </w:r>
    </w:p>
    <w:p>
      <w:pPr>
        <w:spacing w:after="0" w:line="49" w:lineRule="exact"/>
        <w:rPr>
          <w:sz w:val="20"/>
          <w:szCs w:val="20"/>
          <w:color w:val="auto"/>
        </w:rPr>
      </w:pPr>
    </w:p>
    <w:p>
      <w:pPr>
        <w:jc w:val="both"/>
        <w:ind w:left="400" w:right="20" w:hanging="575"/>
        <w:spacing w:after="0" w:line="224" w:lineRule="auto"/>
        <w:tabs>
          <w:tab w:leader="none" w:pos="380" w:val="left"/>
        </w:tabs>
        <w:rPr>
          <w:sz w:val="20"/>
          <w:szCs w:val="20"/>
          <w:color w:val="auto"/>
        </w:rPr>
      </w:pPr>
      <w:r>
        <w:rPr>
          <w:rFonts w:ascii="Arial" w:cs="Arial" w:eastAsia="Arial" w:hAnsi="Arial"/>
          <w:sz w:val="16"/>
          <w:szCs w:val="16"/>
          <w:color w:val="auto"/>
        </w:rPr>
        <w:t>8.3</w:t>
        <w:tab/>
        <w:t xml:space="preserve">For the purpose of sub- clause 8.2 ( </w:t>
      </w:r>
      <w:r>
        <w:rPr>
          <w:rFonts w:ascii="Arial" w:cs="Arial" w:eastAsia="Arial" w:hAnsi="Arial"/>
          <w:sz w:val="16"/>
          <w:szCs w:val="16"/>
          <w:i w:val="1"/>
          <w:iCs w:val="1"/>
          <w:color w:val="auto"/>
        </w:rPr>
        <w:t>Post Completion matters</w:t>
      </w:r>
      <w:r>
        <w:rPr>
          <w:rFonts w:ascii="Arial" w:cs="Arial" w:eastAsia="Arial" w:hAnsi="Arial"/>
          <w:sz w:val="16"/>
          <w:szCs w:val="16"/>
          <w:color w:val="auto"/>
        </w:rPr>
        <w:t>), each Seller irrevocably and unconditionally authorises the Company from Completion to send any notices in respect of its shareholding to the Purchaser and the Company shall not be required also to send such notices to the relevant Seller.</w:t>
      </w:r>
    </w:p>
    <w:p>
      <w:pPr>
        <w:spacing w:after="0" w:line="49"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color w:val="auto"/>
        </w:rPr>
        <w:t>The Purchaser undertakes to:</w:t>
      </w:r>
    </w:p>
    <w:p>
      <w:pPr>
        <w:spacing w:after="0" w:line="68" w:lineRule="exact"/>
        <w:rPr>
          <w:sz w:val="20"/>
          <w:szCs w:val="20"/>
          <w:color w:val="auto"/>
        </w:rPr>
      </w:pPr>
    </w:p>
    <w:p>
      <w:pPr>
        <w:ind w:left="1160" w:right="20" w:hanging="578"/>
        <w:spacing w:after="0" w:line="235" w:lineRule="auto"/>
        <w:tabs>
          <w:tab w:leader="none" w:pos="114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without unreasonable delay, and in any event no later than [***] Business Days following the date of Completion, apply to HM Revenue &amp; Customs for stamping on the transfer of the Completion Shares it has acquired;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notify the Company without delay after confirmation of stamping of the transfer of the Completion Shares it has acquired is received (and in any event no later than [***] Business Days thereafter), by providing a copy of the relevant confirmation received from HM Revenue &amp; Customs; and</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325"/>
        </w:numPr>
        <w:rPr>
          <w:rFonts w:ascii="Arial" w:cs="Arial" w:eastAsia="Arial" w:hAnsi="Arial"/>
          <w:sz w:val="16"/>
          <w:szCs w:val="16"/>
          <w:color w:val="auto"/>
        </w:rPr>
      </w:pPr>
      <w:r>
        <w:rPr>
          <w:rFonts w:ascii="Arial" w:cs="Arial" w:eastAsia="Arial" w:hAnsi="Arial"/>
          <w:sz w:val="16"/>
          <w:szCs w:val="16"/>
          <w:color w:val="auto"/>
        </w:rPr>
        <w:t>procure that the Company updates its register of members without delay and in any event no later than [***] Business days after being presented by the Purchaser with a copy of the relevant confirmation received from HM Revenue &amp; Customs.</w:t>
      </w:r>
    </w:p>
    <w:p>
      <w:pPr>
        <w:spacing w:after="0" w:line="45" w:lineRule="exact"/>
        <w:rPr>
          <w:rFonts w:ascii="Arial" w:cs="Arial" w:eastAsia="Arial" w:hAnsi="Arial"/>
          <w:sz w:val="16"/>
          <w:szCs w:val="16"/>
          <w:color w:val="auto"/>
        </w:rPr>
      </w:pPr>
    </w:p>
    <w:p>
      <w:pPr>
        <w:ind w:left="320" w:hanging="314"/>
        <w:spacing w:after="0"/>
        <w:tabs>
          <w:tab w:leader="none" w:pos="320" w:val="left"/>
        </w:tabs>
        <w:numPr>
          <w:ilvl w:val="0"/>
          <w:numId w:val="326"/>
        </w:numPr>
        <w:rPr>
          <w:rFonts w:ascii="Arial" w:cs="Arial" w:eastAsia="Arial" w:hAnsi="Arial"/>
          <w:sz w:val="16"/>
          <w:szCs w:val="16"/>
          <w:color w:val="auto"/>
        </w:rPr>
      </w:pPr>
      <w:r>
        <w:rPr>
          <w:rFonts w:ascii="Arial" w:cs="Arial" w:eastAsia="Arial" w:hAnsi="Arial"/>
          <w:sz w:val="16"/>
          <w:szCs w:val="16"/>
          <w:b w:val="1"/>
          <w:bCs w:val="1"/>
          <w:color w:val="auto"/>
        </w:rPr>
        <w:t>Purchaser's Employee Incentive Plan</w:t>
      </w:r>
    </w:p>
    <w:p>
      <w:pPr>
        <w:spacing w:after="0" w:line="70"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The Purchaser shall:</w:t>
      </w:r>
    </w:p>
    <w:p>
      <w:pPr>
        <w:spacing w:after="0" w:line="68" w:lineRule="exact"/>
        <w:rPr>
          <w:sz w:val="20"/>
          <w:szCs w:val="20"/>
          <w:color w:val="auto"/>
        </w:rPr>
      </w:pPr>
    </w:p>
    <w:p>
      <w:pPr>
        <w:ind w:left="1160" w:right="20" w:hanging="578"/>
        <w:spacing w:after="0" w:line="235" w:lineRule="auto"/>
        <w:tabs>
          <w:tab w:leader="none" w:pos="114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within [***] following Completion, approve and adopt the Purchaser’s Employee Incentive Plan by resolution of its management board and supervisory board;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as soon as practicable following Completion, procure the submission of the application to the Central Bank of Tunisia and South African Reserve Bank (as applicable) in respect of the EIP Conditions.</w:t>
      </w:r>
    </w:p>
    <w:p>
      <w:pPr>
        <w:spacing w:after="0" w:line="48" w:lineRule="exact"/>
        <w:rPr>
          <w:sz w:val="20"/>
          <w:szCs w:val="20"/>
          <w:color w:val="auto"/>
        </w:rPr>
      </w:pPr>
    </w:p>
    <w:p>
      <w:pPr>
        <w:ind w:left="420" w:hanging="575"/>
        <w:spacing w:after="0" w:line="235" w:lineRule="auto"/>
        <w:tabs>
          <w:tab w:leader="none" w:pos="400" w:val="left"/>
        </w:tabs>
        <w:rPr>
          <w:sz w:val="20"/>
          <w:szCs w:val="20"/>
          <w:color w:val="auto"/>
        </w:rPr>
      </w:pPr>
      <w:r>
        <w:rPr>
          <w:rFonts w:ascii="Arial" w:cs="Arial" w:eastAsia="Arial" w:hAnsi="Arial"/>
          <w:sz w:val="16"/>
          <w:szCs w:val="16"/>
          <w:color w:val="auto"/>
        </w:rPr>
        <w:t>9.2</w:t>
        <w:tab/>
        <w:t>The implementation, payment and awards issued (as appropriate) by the Purchaser pursuant to the Purchaser's Employee Incentive Plan shall, at all times, be subject to, and made in accordance with, the Purchaser's Employee Incentive Plan.</w:t>
      </w:r>
    </w:p>
    <w:p>
      <w:pPr>
        <w:spacing w:after="0" w:line="46" w:lineRule="exact"/>
        <w:rPr>
          <w:sz w:val="20"/>
          <w:szCs w:val="20"/>
          <w:color w:val="auto"/>
        </w:rPr>
      </w:pPr>
    </w:p>
    <w:p>
      <w:pPr>
        <w:ind w:left="400" w:hanging="394"/>
        <w:spacing w:after="0"/>
        <w:tabs>
          <w:tab w:leader="none" w:pos="400" w:val="left"/>
        </w:tabs>
        <w:numPr>
          <w:ilvl w:val="0"/>
          <w:numId w:val="328"/>
        </w:numPr>
        <w:rPr>
          <w:rFonts w:ascii="Arial" w:cs="Arial" w:eastAsia="Arial" w:hAnsi="Arial"/>
          <w:sz w:val="16"/>
          <w:szCs w:val="16"/>
          <w:color w:val="auto"/>
        </w:rPr>
      </w:pPr>
      <w:r>
        <w:rPr>
          <w:rFonts w:ascii="Arial" w:cs="Arial" w:eastAsia="Arial" w:hAnsi="Arial"/>
          <w:sz w:val="16"/>
          <w:szCs w:val="16"/>
          <w:b w:val="1"/>
          <w:bCs w:val="1"/>
          <w:color w:val="auto"/>
        </w:rPr>
        <w:t>Warranties</w:t>
      </w:r>
    </w:p>
    <w:p>
      <w:pPr>
        <w:spacing w:after="0" w:line="70" w:lineRule="exact"/>
        <w:rPr>
          <w:sz w:val="20"/>
          <w:szCs w:val="20"/>
          <w:color w:val="auto"/>
        </w:rPr>
      </w:pPr>
    </w:p>
    <w:p>
      <w:pPr>
        <w:jc w:val="both"/>
        <w:ind w:left="500" w:right="20" w:hanging="575"/>
        <w:spacing w:after="0" w:line="235" w:lineRule="auto"/>
        <w:tabs>
          <w:tab w:leader="none" w:pos="480" w:val="left"/>
        </w:tabs>
        <w:rPr>
          <w:sz w:val="20"/>
          <w:szCs w:val="20"/>
          <w:color w:val="auto"/>
        </w:rPr>
      </w:pPr>
      <w:r>
        <w:rPr>
          <w:rFonts w:ascii="Arial" w:cs="Arial" w:eastAsia="Arial" w:hAnsi="Arial"/>
          <w:sz w:val="16"/>
          <w:szCs w:val="16"/>
          <w:color w:val="auto"/>
        </w:rPr>
        <w:t>10.1</w:t>
        <w:tab/>
        <w:t>The Warrantors severally warrant to the Purchaser in the terms of the Warranties, save as Disclosed, as at the date of this Agreement and again as at the Completion Date, by reference to the facts and circumstances existing at that time.</w:t>
      </w:r>
    </w:p>
    <w:p>
      <w:pPr>
        <w:spacing w:after="0" w:line="48" w:lineRule="exact"/>
        <w:rPr>
          <w:sz w:val="20"/>
          <w:szCs w:val="20"/>
          <w:color w:val="auto"/>
        </w:rPr>
      </w:pPr>
    </w:p>
    <w:p>
      <w:pPr>
        <w:jc w:val="both"/>
        <w:ind w:left="540" w:hanging="575"/>
        <w:spacing w:after="0" w:line="235" w:lineRule="auto"/>
        <w:tabs>
          <w:tab w:leader="none" w:pos="520" w:val="left"/>
        </w:tabs>
        <w:rPr>
          <w:sz w:val="20"/>
          <w:szCs w:val="20"/>
          <w:color w:val="auto"/>
        </w:rPr>
      </w:pPr>
      <w:r>
        <w:rPr>
          <w:rFonts w:ascii="Arial" w:cs="Arial" w:eastAsia="Arial" w:hAnsi="Arial"/>
          <w:sz w:val="16"/>
          <w:szCs w:val="16"/>
          <w:color w:val="auto"/>
        </w:rPr>
        <w:t>10.2</w:t>
        <w:tab/>
        <w:t>Each of the Warranties is a separate and independent Warranty and shall not be limited by reference to any other Warranty or anything in this Agreement (save to the extent expressly provided to the contrary in Schedule 5 (</w:t>
      </w:r>
      <w:r>
        <w:rPr>
          <w:rFonts w:ascii="Arial" w:cs="Arial" w:eastAsia="Arial" w:hAnsi="Arial"/>
          <w:sz w:val="16"/>
          <w:szCs w:val="16"/>
          <w:i w:val="1"/>
          <w:iCs w:val="1"/>
          <w:color w:val="auto"/>
        </w:rPr>
        <w:t>Limitations on liability</w:t>
      </w:r>
      <w:r>
        <w:rPr>
          <w:rFonts w:ascii="Arial" w:cs="Arial" w:eastAsia="Arial" w:hAnsi="Arial"/>
          <w:sz w:val="16"/>
          <w:szCs w:val="16"/>
          <w:color w:val="auto"/>
        </w:rPr>
        <w:t>) or paragraph 3 of the Tax Schedule).</w:t>
      </w:r>
    </w:p>
    <w:p>
      <w:pPr>
        <w:spacing w:after="0" w:line="48" w:lineRule="exact"/>
        <w:rPr>
          <w:sz w:val="20"/>
          <w:szCs w:val="20"/>
          <w:color w:val="auto"/>
        </w:rPr>
      </w:pPr>
    </w:p>
    <w:p>
      <w:pPr>
        <w:jc w:val="both"/>
        <w:ind w:left="500" w:hanging="575"/>
        <w:spacing w:after="0" w:line="224" w:lineRule="auto"/>
        <w:tabs>
          <w:tab w:leader="none" w:pos="480" w:val="left"/>
        </w:tabs>
        <w:rPr>
          <w:sz w:val="20"/>
          <w:szCs w:val="20"/>
          <w:color w:val="auto"/>
        </w:rPr>
      </w:pPr>
      <w:r>
        <w:rPr>
          <w:rFonts w:ascii="Arial" w:cs="Arial" w:eastAsia="Arial" w:hAnsi="Arial"/>
          <w:sz w:val="16"/>
          <w:szCs w:val="16"/>
          <w:color w:val="auto"/>
        </w:rPr>
        <w:t>10.3</w:t>
        <w:tab/>
        <w:t>Unless the context otherwise requires, each of the Warranties given by or relating to the Company shall be deemed to be given by or relate to all Group Companies (or each or any of them as the context requires) and any reference to the Company in a Warranty shall be deemed to be a reference to all Group Companies (or each or any of them as the context requires).</w:t>
      </w:r>
    </w:p>
    <w:p>
      <w:pPr>
        <w:spacing w:after="0" w:line="47" w:lineRule="exact"/>
        <w:rPr>
          <w:sz w:val="20"/>
          <w:szCs w:val="20"/>
          <w:color w:val="auto"/>
        </w:rPr>
      </w:pPr>
    </w:p>
    <w:p>
      <w:pPr>
        <w:ind w:left="400" w:hanging="394"/>
        <w:spacing w:after="0"/>
        <w:tabs>
          <w:tab w:leader="none" w:pos="400" w:val="left"/>
        </w:tabs>
        <w:numPr>
          <w:ilvl w:val="0"/>
          <w:numId w:val="329"/>
        </w:numPr>
        <w:rPr>
          <w:rFonts w:ascii="Arial" w:cs="Arial" w:eastAsia="Arial" w:hAnsi="Arial"/>
          <w:sz w:val="16"/>
          <w:szCs w:val="16"/>
          <w:color w:val="auto"/>
        </w:rPr>
      </w:pPr>
      <w:r>
        <w:rPr>
          <w:rFonts w:ascii="Arial" w:cs="Arial" w:eastAsia="Arial" w:hAnsi="Arial"/>
          <w:sz w:val="16"/>
          <w:szCs w:val="16"/>
          <w:b w:val="1"/>
          <w:bCs w:val="1"/>
          <w:color w:val="auto"/>
        </w:rPr>
        <w:t>Tax Covenant</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Warrantors covenant to the Purchaser in the terms of the Tax Covenant.</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ectPr>
          <w:pgSz w:w="11900" w:h="16840" w:orient="portrait"/>
          <w:cols w:equalWidth="0" w:num="1">
            <w:col w:w="10580"/>
          </w:cols>
          <w:pgMar w:left="660" w:top="1440" w:right="660" w:bottom="1440" w:gutter="0" w:footer="0" w:header="0"/>
        </w:sectPr>
      </w:pPr>
    </w:p>
    <w:bookmarkStart w:id="383" w:name="page384"/>
    <w:bookmarkEnd w:id="383"/>
    <w:p>
      <w:pPr>
        <w:spacing w:after="0" w:line="331" w:lineRule="exact"/>
        <w:rPr>
          <w:sz w:val="20"/>
          <w:szCs w:val="20"/>
          <w:color w:val="auto"/>
        </w:rPr>
      </w:pPr>
    </w:p>
    <w:p>
      <w:pPr>
        <w:ind w:left="400" w:hanging="394"/>
        <w:spacing w:after="0"/>
        <w:tabs>
          <w:tab w:leader="none" w:pos="4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00" w:hanging="394"/>
        <w:spacing w:after="0"/>
        <w:tabs>
          <w:tab w:leader="none" w:pos="400" w:val="left"/>
        </w:tabs>
        <w:numPr>
          <w:ilvl w:val="0"/>
          <w:numId w:val="330"/>
        </w:numPr>
        <w:rPr>
          <w:rFonts w:ascii="Arial" w:cs="Arial" w:eastAsia="Arial" w:hAnsi="Arial"/>
          <w:sz w:val="16"/>
          <w:szCs w:val="16"/>
          <w:color w:val="auto"/>
        </w:rPr>
      </w:pPr>
      <w:r>
        <w:rPr>
          <w:rFonts w:ascii="Arial" w:cs="Arial" w:eastAsia="Arial" w:hAnsi="Arial"/>
          <w:sz w:val="16"/>
          <w:szCs w:val="16"/>
          <w:b w:val="1"/>
          <w:bCs w:val="1"/>
          <w:color w:val="auto"/>
        </w:rPr>
        <w:t>Purchaser's remedies</w:t>
      </w:r>
    </w:p>
    <w:p>
      <w:pPr>
        <w:spacing w:after="0" w:line="70" w:lineRule="exact"/>
        <w:rPr>
          <w:sz w:val="20"/>
          <w:szCs w:val="20"/>
          <w:color w:val="auto"/>
        </w:rPr>
      </w:pPr>
    </w:p>
    <w:p>
      <w:pPr>
        <w:jc w:val="both"/>
        <w:ind w:left="500" w:right="20" w:hanging="575"/>
        <w:spacing w:after="0" w:line="235" w:lineRule="auto"/>
        <w:tabs>
          <w:tab w:leader="none" w:pos="480" w:val="left"/>
        </w:tabs>
        <w:rPr>
          <w:sz w:val="20"/>
          <w:szCs w:val="20"/>
          <w:color w:val="auto"/>
        </w:rPr>
      </w:pPr>
      <w:r>
        <w:rPr>
          <w:rFonts w:ascii="Arial" w:cs="Arial" w:eastAsia="Arial" w:hAnsi="Arial"/>
          <w:sz w:val="16"/>
          <w:szCs w:val="16"/>
          <w:color w:val="auto"/>
        </w:rPr>
        <w:t>13.1</w:t>
        <w:tab/>
        <w:t>The rights and remedies of the Purchaser in respect of any breach of the Warranties, the [***] or the Tax Covenant or any other provision of this Agreement shall not be affected by Completion.</w:t>
      </w:r>
    </w:p>
    <w:p>
      <w:pPr>
        <w:spacing w:after="0" w:line="48" w:lineRule="exact"/>
        <w:rPr>
          <w:sz w:val="20"/>
          <w:szCs w:val="20"/>
          <w:color w:val="auto"/>
        </w:rPr>
      </w:pPr>
    </w:p>
    <w:p>
      <w:pPr>
        <w:jc w:val="both"/>
        <w:ind w:left="540" w:right="20" w:hanging="575"/>
        <w:spacing w:after="0" w:line="265" w:lineRule="auto"/>
        <w:tabs>
          <w:tab w:leader="none" w:pos="52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4"/>
          <w:szCs w:val="14"/>
          <w:color w:val="auto"/>
        </w:rPr>
        <w:t xml:space="preserve">If any Claim [***] under any other provision of this Agreement is made, save in the event of fraud, no Seller shall make any claim against any Group Company or any director or employee of any Group Company (each a </w:t>
      </w:r>
      <w:r>
        <w:rPr>
          <w:rFonts w:ascii="Arial" w:cs="Arial" w:eastAsia="Arial" w:hAnsi="Arial"/>
          <w:sz w:val="14"/>
          <w:szCs w:val="14"/>
          <w:b w:val="1"/>
          <w:bCs w:val="1"/>
          <w:color w:val="auto"/>
        </w:rPr>
        <w:t>"Relevant Person"</w:t>
      </w:r>
      <w:r>
        <w:rPr>
          <w:rFonts w:ascii="Arial" w:cs="Arial" w:eastAsia="Arial" w:hAnsi="Arial"/>
          <w:sz w:val="14"/>
          <w:szCs w:val="14"/>
          <w:color w:val="auto"/>
        </w:rPr>
        <w:t>) on whom it may have relied before agreeing to any provisions of this Agreement or authorising any statement in the Signing Disclosure Letter and/or the Completion Disclosure Letter.</w:t>
      </w:r>
    </w:p>
    <w:p>
      <w:pPr>
        <w:spacing w:after="0" w:line="31" w:lineRule="exact"/>
        <w:rPr>
          <w:sz w:val="20"/>
          <w:szCs w:val="20"/>
          <w:color w:val="auto"/>
        </w:rPr>
      </w:pPr>
    </w:p>
    <w:p>
      <w:pPr>
        <w:ind w:left="480" w:right="40" w:hanging="575"/>
        <w:spacing w:after="0" w:line="235" w:lineRule="auto"/>
        <w:tabs>
          <w:tab w:leader="none" w:pos="460" w:val="left"/>
        </w:tabs>
        <w:rPr>
          <w:sz w:val="20"/>
          <w:szCs w:val="20"/>
          <w:color w:val="auto"/>
        </w:rPr>
      </w:pPr>
      <w:r>
        <w:rPr>
          <w:rFonts w:ascii="Arial" w:cs="Arial" w:eastAsia="Arial" w:hAnsi="Arial"/>
          <w:sz w:val="16"/>
          <w:szCs w:val="16"/>
          <w:color w:val="auto"/>
        </w:rPr>
        <w:t>13.3</w:t>
        <w:tab/>
        <w:t>Any amount paid by the Sellers to the Purchaser in respect of any of the provisions of this Agreement shall be treated as paid to the Purchaser by way of pro rata reduction in the Consideration (as such may be adjusted pursuant to clause 5 (</w:t>
      </w:r>
      <w:r>
        <w:rPr>
          <w:rFonts w:ascii="Arial" w:cs="Arial" w:eastAsia="Arial" w:hAnsi="Arial"/>
          <w:sz w:val="16"/>
          <w:szCs w:val="16"/>
          <w:i w:val="1"/>
          <w:iCs w:val="1"/>
          <w:color w:val="auto"/>
        </w:rPr>
        <w:t>Purchase price adjustment</w:t>
      </w:r>
      <w:r>
        <w:rPr>
          <w:rFonts w:ascii="Arial" w:cs="Arial" w:eastAsia="Arial" w:hAnsi="Arial"/>
          <w:sz w:val="16"/>
          <w:szCs w:val="16"/>
          <w:color w:val="auto"/>
        </w:rPr>
        <w:t>)).</w:t>
      </w:r>
    </w:p>
    <w:p>
      <w:pPr>
        <w:spacing w:after="0" w:line="48" w:lineRule="exact"/>
        <w:rPr>
          <w:sz w:val="20"/>
          <w:szCs w:val="20"/>
          <w:color w:val="auto"/>
        </w:rPr>
      </w:pPr>
    </w:p>
    <w:p>
      <w:pPr>
        <w:jc w:val="both"/>
        <w:ind w:left="560" w:right="20" w:hanging="575"/>
        <w:spacing w:after="0" w:line="219" w:lineRule="auto"/>
        <w:tabs>
          <w:tab w:leader="none" w:pos="5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Subject to clause 13.5, if in respect of or in connection with any Warranty Claim, any amount payable to the Purchaser by the Warrantors is subject to Taxation, the amount to be paid to the Purchaser by the Warrantors shall be such as to ensure that the net amount retained by the Purchaser after such Taxation has been taken into account is equal to the full amount which would be payable to the Purchaser had the amount not been subject to Taxation.</w:t>
      </w:r>
    </w:p>
    <w:p>
      <w:pPr>
        <w:spacing w:after="0" w:line="4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4"/>
          <w:szCs w:val="14"/>
          <w:color w:val="auto"/>
        </w:rPr>
        <w:t>The provisions of clause 13.4 shall not apply if and to the extent that:</w:t>
      </w:r>
    </w:p>
    <w:p>
      <w:pPr>
        <w:spacing w:after="0" w:line="68" w:lineRule="exact"/>
        <w:rPr>
          <w:sz w:val="20"/>
          <w:szCs w:val="20"/>
          <w:color w:val="auto"/>
        </w:rPr>
      </w:pPr>
    </w:p>
    <w:p>
      <w:pPr>
        <w:ind w:left="1160" w:right="20" w:hanging="578"/>
        <w:spacing w:after="0" w:line="235" w:lineRule="auto"/>
        <w:tabs>
          <w:tab w:leader="none" w:pos="114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amount payable in respect of or in connection with the Warranty Claim has included an amount for, or otherwise taken into account, such Taxation;</w:t>
      </w:r>
    </w:p>
    <w:p>
      <w:pPr>
        <w:spacing w:after="0" w:line="47"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Purchaser (including any other recipient of the payment) is at any time resident for Tax purposes in a jurisdiction other than Germany and the amount payable (if any) pursuant to or in consequence of clause 13.4 would have been less had the Purchaser (or other recipient) been at all times so resident only in Germany.</w:t>
      </w:r>
    </w:p>
    <w:p>
      <w:pPr>
        <w:spacing w:after="0" w:line="46" w:lineRule="exact"/>
        <w:rPr>
          <w:rFonts w:ascii="Arial" w:cs="Arial" w:eastAsia="Arial" w:hAnsi="Arial"/>
          <w:sz w:val="16"/>
          <w:szCs w:val="16"/>
          <w:color w:val="auto"/>
        </w:rPr>
      </w:pPr>
    </w:p>
    <w:p>
      <w:pPr>
        <w:ind w:left="400" w:hanging="394"/>
        <w:spacing w:after="0"/>
        <w:tabs>
          <w:tab w:leader="none" w:pos="400" w:val="left"/>
        </w:tabs>
        <w:numPr>
          <w:ilvl w:val="0"/>
          <w:numId w:val="332"/>
        </w:numPr>
        <w:rPr>
          <w:rFonts w:ascii="Arial" w:cs="Arial" w:eastAsia="Arial" w:hAnsi="Arial"/>
          <w:sz w:val="16"/>
          <w:szCs w:val="16"/>
          <w:color w:val="auto"/>
        </w:rPr>
      </w:pPr>
      <w:r>
        <w:rPr>
          <w:rFonts w:ascii="Arial" w:cs="Arial" w:eastAsia="Arial" w:hAnsi="Arial"/>
          <w:sz w:val="16"/>
          <w:szCs w:val="16"/>
          <w:b w:val="1"/>
          <w:bCs w:val="1"/>
          <w:color w:val="auto"/>
        </w:rPr>
        <w:t>Limitations on liability</w:t>
      </w:r>
    </w:p>
    <w:p>
      <w:pPr>
        <w:spacing w:after="0" w:line="70" w:lineRule="exact"/>
        <w:rPr>
          <w:sz w:val="20"/>
          <w:szCs w:val="20"/>
          <w:color w:val="auto"/>
        </w:rPr>
      </w:pPr>
    </w:p>
    <w:p>
      <w:pPr>
        <w:jc w:val="both"/>
        <w:ind w:left="420" w:right="20" w:hanging="575"/>
        <w:spacing w:after="0" w:line="216" w:lineRule="auto"/>
        <w:tabs>
          <w:tab w:leader="none" w:pos="400" w:val="left"/>
        </w:tabs>
        <w:rPr>
          <w:sz w:val="20"/>
          <w:szCs w:val="20"/>
          <w:color w:val="auto"/>
        </w:rPr>
      </w:pPr>
      <w:r>
        <w:rPr>
          <w:rFonts w:ascii="Arial" w:cs="Arial" w:eastAsia="Arial" w:hAnsi="Arial"/>
          <w:sz w:val="16"/>
          <w:szCs w:val="16"/>
          <w:color w:val="auto"/>
        </w:rPr>
        <w:t>14.</w:t>
        <w:tab/>
        <w:t xml:space="preserve">The liability of the Warrantors in respect of any Claim shall be limited as provided in Schedule 5 (Limitations </w:t>
      </w:r>
      <w:r>
        <w:rPr>
          <w:rFonts w:ascii="Arial" w:cs="Arial" w:eastAsia="Arial" w:hAnsi="Arial"/>
          <w:sz w:val="16"/>
          <w:szCs w:val="16"/>
          <w:i w:val="1"/>
          <w:iCs w:val="1"/>
          <w:color w:val="auto"/>
        </w:rPr>
        <w:t>on liability</w:t>
      </w:r>
      <w:r>
        <w:rPr>
          <w:rFonts w:ascii="Arial" w:cs="Arial" w:eastAsia="Arial" w:hAnsi="Arial"/>
          <w:sz w:val="16"/>
          <w:szCs w:val="16"/>
          <w:color w:val="auto"/>
        </w:rPr>
        <w:t>) but provided always that notwithstanding any other provision in this Agreement, the provisions of this clause 14 (</w:t>
      </w:r>
      <w:r>
        <w:rPr>
          <w:rFonts w:ascii="Arial" w:cs="Arial" w:eastAsia="Arial" w:hAnsi="Arial"/>
          <w:sz w:val="16"/>
          <w:szCs w:val="16"/>
          <w:i w:val="1"/>
          <w:iCs w:val="1"/>
          <w:color w:val="auto"/>
        </w:rPr>
        <w:t>Limitations on liability</w:t>
      </w:r>
      <w:r>
        <w:rPr>
          <w:rFonts w:ascii="Arial" w:cs="Arial" w:eastAsia="Arial" w:hAnsi="Arial"/>
          <w:sz w:val="16"/>
          <w:szCs w:val="16"/>
          <w:color w:val="auto"/>
        </w:rPr>
        <w:t xml:space="preserve"> ) and Schedule 5 (</w:t>
      </w:r>
      <w:r>
        <w:rPr>
          <w:rFonts w:ascii="Arial" w:cs="Arial" w:eastAsia="Arial" w:hAnsi="Arial"/>
          <w:sz w:val="16"/>
          <w:szCs w:val="16"/>
          <w:i w:val="1"/>
          <w:iCs w:val="1"/>
          <w:color w:val="auto"/>
        </w:rPr>
        <w:t>Limitations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w:t>
      </w:r>
      <w:r>
        <w:rPr>
          <w:rFonts w:ascii="Arial" w:cs="Arial" w:eastAsia="Arial" w:hAnsi="Arial"/>
          <w:sz w:val="16"/>
          <w:szCs w:val="16"/>
          <w:color w:val="auto"/>
        </w:rPr>
        <w:t>) and Part 4 of the Tax Schedule shall not apply to any Claim made against the Warrantors to the extent that the Claim (or the delay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discovery of it) is the consequence of or is increased as a consequence of any fraud or dishonesty or any wilful misstatement, concealment or omission on the part of any of the Warrantors or their advisers.</w:t>
      </w:r>
    </w:p>
    <w:p>
      <w:pPr>
        <w:spacing w:after="0" w:line="48" w:lineRule="exact"/>
        <w:rPr>
          <w:sz w:val="20"/>
          <w:szCs w:val="20"/>
          <w:color w:val="auto"/>
        </w:rPr>
      </w:pPr>
    </w:p>
    <w:p>
      <w:pPr>
        <w:jc w:val="both"/>
        <w:ind w:left="520" w:right="20" w:hanging="575"/>
        <w:spacing w:after="0" w:line="216" w:lineRule="auto"/>
        <w:tabs>
          <w:tab w:leader="none" w:pos="500" w:val="left"/>
        </w:tabs>
        <w:rPr>
          <w:sz w:val="20"/>
          <w:szCs w:val="20"/>
          <w:color w:val="auto"/>
        </w:rPr>
      </w:pPr>
      <w:r>
        <w:rPr>
          <w:rFonts w:ascii="Arial" w:cs="Arial" w:eastAsia="Arial" w:hAnsi="Arial"/>
          <w:sz w:val="16"/>
          <w:szCs w:val="16"/>
          <w:color w:val="auto"/>
        </w:rPr>
        <w:t>14.2</w:t>
        <w:tab/>
        <w:t>The total aggregate liability of a Seller to the Purchaser in respect of any and all claims under this Agreement (including any liability for interest, Tax and legal, professional and other costs and expenses incurred by the Purchaser or a Group Company in relation to such claim) shall not exceed the amount of Consideration actually received by that Seller (calculated on the same basis as such Consideration is paid to the relevant Seller). The liability of a Seller to the Purchaser in connection with any claim for breach of sub-clauses 3.6 and 3.7 of this Agreement shall be limited to [***], save in the event of fraud or dishonesty or wilful misconduct on the part of the relevant Seller.</w:t>
      </w:r>
    </w:p>
    <w:p>
      <w:pPr>
        <w:spacing w:after="0" w:line="48" w:lineRule="exact"/>
        <w:rPr>
          <w:sz w:val="20"/>
          <w:szCs w:val="20"/>
          <w:color w:val="auto"/>
        </w:rPr>
      </w:pPr>
    </w:p>
    <w:p>
      <w:pPr>
        <w:jc w:val="both"/>
        <w:ind w:left="540" w:hanging="575"/>
        <w:spacing w:after="0" w:line="224" w:lineRule="auto"/>
        <w:tabs>
          <w:tab w:leader="none" w:pos="520" w:val="left"/>
        </w:tabs>
        <w:rPr>
          <w:sz w:val="20"/>
          <w:szCs w:val="20"/>
          <w:color w:val="auto"/>
        </w:rPr>
      </w:pPr>
      <w:r>
        <w:rPr>
          <w:rFonts w:ascii="Arial" w:cs="Arial" w:eastAsia="Arial" w:hAnsi="Arial"/>
          <w:sz w:val="16"/>
          <w:szCs w:val="16"/>
          <w:color w:val="auto"/>
        </w:rPr>
        <w:t>14.3</w:t>
        <w:tab/>
        <w:t xml:space="preserve">Except as otherwise provided in respect of Claims under Schedule 5 ( </w:t>
      </w:r>
      <w:r>
        <w:rPr>
          <w:rFonts w:ascii="Arial" w:cs="Arial" w:eastAsia="Arial" w:hAnsi="Arial"/>
          <w:sz w:val="16"/>
          <w:szCs w:val="16"/>
          <w:i w:val="1"/>
          <w:iCs w:val="1"/>
          <w:color w:val="auto"/>
        </w:rPr>
        <w:t>Limitations on liability</w:t>
      </w:r>
      <w:r>
        <w:rPr>
          <w:rFonts w:ascii="Arial" w:cs="Arial" w:eastAsia="Arial" w:hAnsi="Arial"/>
          <w:sz w:val="16"/>
          <w:szCs w:val="16"/>
          <w:color w:val="auto"/>
        </w:rPr>
        <w:t>), no Seller shall be liable for any claim under this Agreement unless the Purchaser has served written notice to the Sellers' Representatives, containing a reasonable details of the nature of the claim as far as it is known to the Purchaser, on or prior to the expiration of:</w:t>
      </w:r>
    </w:p>
    <w:p>
      <w:pPr>
        <w:spacing w:after="0" w:line="49" w:lineRule="exact"/>
        <w:rPr>
          <w:sz w:val="20"/>
          <w:szCs w:val="20"/>
          <w:color w:val="auto"/>
        </w:rPr>
      </w:pPr>
    </w:p>
    <w:p>
      <w:pPr>
        <w:ind w:left="1140" w:hanging="558"/>
        <w:spacing w:after="0"/>
        <w:tabs>
          <w:tab w:leader="none" w:pos="11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 from the expiry of the Restricted Period in respect of a claim under clause 17 ( </w:t>
      </w:r>
      <w:r>
        <w:rPr>
          <w:rFonts w:ascii="Arial" w:cs="Arial" w:eastAsia="Arial" w:hAnsi="Arial"/>
          <w:sz w:val="16"/>
          <w:szCs w:val="16"/>
          <w:i w:val="1"/>
          <w:iCs w:val="1"/>
          <w:color w:val="auto"/>
        </w:rPr>
        <w:t>Protection of goodwill</w:t>
      </w:r>
      <w:r>
        <w:rPr>
          <w:rFonts w:ascii="Arial" w:cs="Arial" w:eastAsia="Arial" w:hAnsi="Arial"/>
          <w:sz w:val="16"/>
          <w:szCs w:val="16"/>
          <w:color w:val="auto"/>
        </w:rPr>
        <w:t>);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from Completion in respect of all other claims.</w:t>
      </w:r>
    </w:p>
    <w:p>
      <w:pPr>
        <w:spacing w:after="0" w:line="68" w:lineRule="exact"/>
        <w:rPr>
          <w:sz w:val="20"/>
          <w:szCs w:val="20"/>
          <w:color w:val="auto"/>
        </w:rPr>
      </w:pPr>
    </w:p>
    <w:p>
      <w:pPr>
        <w:ind w:left="500" w:right="40" w:hanging="575"/>
        <w:spacing w:after="0" w:line="235" w:lineRule="auto"/>
        <w:tabs>
          <w:tab w:leader="none" w:pos="480" w:val="left"/>
        </w:tabs>
        <w:rPr>
          <w:sz w:val="20"/>
          <w:szCs w:val="20"/>
          <w:color w:val="auto"/>
        </w:rPr>
      </w:pPr>
      <w:r>
        <w:rPr>
          <w:rFonts w:ascii="Arial" w:cs="Arial" w:eastAsia="Arial" w:hAnsi="Arial"/>
          <w:sz w:val="16"/>
          <w:szCs w:val="16"/>
          <w:color w:val="auto"/>
        </w:rPr>
        <w:t>14.4</w:t>
        <w:tab/>
        <w:t>Except as otherwise expressly provided in this Agreement, no Seller shall be liable in respect of all or any portion of a claim under this Agreement to the extent that the matter giving rise to it results from:</w:t>
      </w:r>
    </w:p>
    <w:p>
      <w:pPr>
        <w:spacing w:after="0" w:line="48" w:lineRule="exact"/>
        <w:rPr>
          <w:sz w:val="20"/>
          <w:szCs w:val="20"/>
          <w:color w:val="auto"/>
        </w:rPr>
      </w:pPr>
    </w:p>
    <w:p>
      <w:pPr>
        <w:ind w:left="1160" w:right="20" w:hanging="578"/>
        <w:spacing w:after="0" w:line="235" w:lineRule="auto"/>
        <w:tabs>
          <w:tab w:leader="none" w:pos="114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act done or omitted to be done at the written request of or with the written approval of the Purchaser or another member of the Purchaser's Group; or</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act done or omitted to be done on or after Completion by or on behalf of the Purchaser or any member of the Purchaser's Group or the Purchaser's successors in title to the Completion Shares;</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any breach by the Purchaser of its obligations under this Agreement or any other document entered into in connection with it; or</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ectPr>
          <w:pgSz w:w="11900" w:h="16840" w:orient="portrait"/>
          <w:cols w:equalWidth="0" w:num="1">
            <w:col w:w="10580"/>
          </w:cols>
          <w:pgMar w:left="660" w:top="1440" w:right="660" w:bottom="1440" w:gutter="0" w:footer="0" w:header="0"/>
        </w:sectPr>
      </w:pPr>
    </w:p>
    <w:bookmarkStart w:id="384" w:name="page385"/>
    <w:bookmarkEnd w:id="384"/>
    <w:p>
      <w:pPr>
        <w:spacing w:after="0" w:line="331" w:lineRule="exact"/>
        <w:rPr>
          <w:sz w:val="20"/>
          <w:szCs w:val="20"/>
          <w:color w:val="auto"/>
        </w:rPr>
      </w:pPr>
    </w:p>
    <w:p>
      <w:pPr>
        <w:jc w:val="both"/>
        <w:ind w:left="1160" w:right="20" w:hanging="578"/>
        <w:spacing w:after="0" w:line="224" w:lineRule="auto"/>
        <w:tabs>
          <w:tab w:leader="none" w:pos="114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change after Completion in the accounting policies or practices used in preparing any Group Company's accounts or in the accounting reference date of any Group Company, save for any changes required to comply with generally accepted accounting practice.</w:t>
      </w:r>
    </w:p>
    <w:p>
      <w:pPr>
        <w:spacing w:after="0" w:line="49" w:lineRule="exact"/>
        <w:rPr>
          <w:sz w:val="20"/>
          <w:szCs w:val="20"/>
          <w:color w:val="auto"/>
        </w:rPr>
      </w:pPr>
    </w:p>
    <w:p>
      <w:pPr>
        <w:ind w:left="540" w:right="20" w:hanging="575"/>
        <w:spacing w:after="0" w:line="235" w:lineRule="auto"/>
        <w:tabs>
          <w:tab w:leader="none" w:pos="520" w:val="left"/>
        </w:tabs>
        <w:rPr>
          <w:sz w:val="20"/>
          <w:szCs w:val="20"/>
          <w:color w:val="auto"/>
        </w:rPr>
      </w:pPr>
      <w:r>
        <w:rPr>
          <w:rFonts w:ascii="Arial" w:cs="Arial" w:eastAsia="Arial" w:hAnsi="Arial"/>
          <w:sz w:val="16"/>
          <w:szCs w:val="16"/>
          <w:color w:val="auto"/>
        </w:rPr>
        <w:t>14.5</w:t>
        <w:tab/>
        <w:t xml:space="preserve">Paragraphs 3(b)(i), 7(c), 7(d), 9, 11 to 13 (inclusive) of Schedule 5 (Limitations </w:t>
      </w:r>
      <w:r>
        <w:rPr>
          <w:rFonts w:ascii="Arial" w:cs="Arial" w:eastAsia="Arial" w:hAnsi="Arial"/>
          <w:sz w:val="16"/>
          <w:szCs w:val="16"/>
          <w:i w:val="1"/>
          <w:iCs w:val="1"/>
          <w:color w:val="auto"/>
        </w:rPr>
        <w:t>on liability</w:t>
      </w:r>
      <w:r>
        <w:rPr>
          <w:rFonts w:ascii="Arial" w:cs="Arial" w:eastAsia="Arial" w:hAnsi="Arial"/>
          <w:sz w:val="16"/>
          <w:szCs w:val="16"/>
          <w:color w:val="auto"/>
        </w:rPr>
        <w:t xml:space="preserve">) shall apply to also limit the liability of each Seller,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46" w:lineRule="exact"/>
        <w:rPr>
          <w:sz w:val="20"/>
          <w:szCs w:val="20"/>
          <w:color w:val="auto"/>
        </w:rPr>
      </w:pPr>
    </w:p>
    <w:p>
      <w:pPr>
        <w:ind w:left="400" w:hanging="394"/>
        <w:spacing w:after="0"/>
        <w:tabs>
          <w:tab w:leader="none" w:pos="40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Purchaser's conduct of Third Party Claims</w:t>
      </w:r>
    </w:p>
    <w:p>
      <w:pPr>
        <w:spacing w:after="0" w:line="7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4"/>
          <w:szCs w:val="14"/>
          <w:color w:val="auto"/>
        </w:rPr>
        <w:t>The Purchaser shall notify the Warrantors in writing of:</w:t>
      </w:r>
    </w:p>
    <w:p>
      <w:pPr>
        <w:spacing w:after="0" w:line="68" w:lineRule="exact"/>
        <w:rPr>
          <w:sz w:val="20"/>
          <w:szCs w:val="20"/>
          <w:color w:val="auto"/>
        </w:rPr>
      </w:pPr>
    </w:p>
    <w:p>
      <w:pPr>
        <w:ind w:left="1140" w:hanging="558"/>
        <w:spacing w:after="0"/>
        <w:tabs>
          <w:tab w:leader="none" w:pos="11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claim made against it by a third party which may give rise to a Non-Tax Claim; and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claim any Group Company is entitled to bring against a third party which claim is based on circumstances which may give rise to a Non-Tax Claim,</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each such claim being a </w:t>
      </w:r>
      <w:r>
        <w:rPr>
          <w:rFonts w:ascii="Arial" w:cs="Arial" w:eastAsia="Arial" w:hAnsi="Arial"/>
          <w:sz w:val="16"/>
          <w:szCs w:val="16"/>
          <w:b w:val="1"/>
          <w:bCs w:val="1"/>
          <w:color w:val="auto"/>
        </w:rPr>
        <w:t>"Third Party Claim"</w:t>
      </w:r>
      <w:r>
        <w:rPr>
          <w:rFonts w:ascii="Arial" w:cs="Arial" w:eastAsia="Arial" w:hAnsi="Arial"/>
          <w:sz w:val="16"/>
          <w:szCs w:val="16"/>
          <w:color w:val="auto"/>
        </w:rPr>
        <w:t>.</w:t>
      </w:r>
    </w:p>
    <w:p>
      <w:pPr>
        <w:spacing w:after="0" w:line="70" w:lineRule="exact"/>
        <w:rPr>
          <w:sz w:val="20"/>
          <w:szCs w:val="20"/>
          <w:color w:val="auto"/>
        </w:rPr>
      </w:pPr>
    </w:p>
    <w:p>
      <w:pPr>
        <w:jc w:val="both"/>
        <w:ind w:left="500" w:hanging="575"/>
        <w:spacing w:after="0" w:line="219" w:lineRule="auto"/>
        <w:tabs>
          <w:tab w:leader="none" w:pos="480" w:val="left"/>
        </w:tabs>
        <w:rPr>
          <w:sz w:val="20"/>
          <w:szCs w:val="20"/>
          <w:color w:val="auto"/>
        </w:rPr>
      </w:pPr>
      <w:r>
        <w:rPr>
          <w:rFonts w:ascii="Arial" w:cs="Arial" w:eastAsia="Arial" w:hAnsi="Arial"/>
          <w:sz w:val="16"/>
          <w:szCs w:val="16"/>
          <w:color w:val="auto"/>
        </w:rPr>
        <w:t>15.2</w:t>
        <w:tab/>
        <w:t>The Purchaser shall procure that the conduct, negotiation, settlement or litigation of such Third Party Claim is, so far as is reasonably practicable, carried out in accordance with the wishes of the Warrantors and/or the W&amp;I Insurer and at their cost subject to their giving timely instructions to the Purchaser and providing reasonable security for any costs and expenses which might be incurred by the Purchaser or any Group Company and provided that:</w:t>
      </w:r>
    </w:p>
    <w:p>
      <w:pPr>
        <w:spacing w:after="0" w:line="49" w:lineRule="exact"/>
        <w:rPr>
          <w:sz w:val="20"/>
          <w:szCs w:val="20"/>
          <w:color w:val="auto"/>
        </w:rPr>
      </w:pPr>
    </w:p>
    <w:p>
      <w:pPr>
        <w:ind w:left="1160" w:right="20" w:hanging="578"/>
        <w:spacing w:after="0" w:line="235" w:lineRule="auto"/>
        <w:tabs>
          <w:tab w:leader="none" w:pos="1148" w:val="left"/>
        </w:tabs>
        <w:numPr>
          <w:ilvl w:val="0"/>
          <w:numId w:val="338"/>
        </w:numPr>
        <w:rPr>
          <w:rFonts w:ascii="Arial" w:cs="Arial" w:eastAsia="Arial" w:hAnsi="Arial"/>
          <w:sz w:val="16"/>
          <w:szCs w:val="16"/>
          <w:color w:val="auto"/>
        </w:rPr>
      </w:pPr>
      <w:r>
        <w:rPr>
          <w:rFonts w:ascii="Arial" w:cs="Arial" w:eastAsia="Arial" w:hAnsi="Arial"/>
          <w:sz w:val="16"/>
          <w:szCs w:val="16"/>
          <w:color w:val="auto"/>
        </w:rPr>
        <w:t>nothing in this clause 15 shall oblige the Purchaser to take any action which it considers to be detrimental to the business, trading relationships or reputation of any Group; and</w:t>
      </w:r>
    </w:p>
    <w:p>
      <w:pPr>
        <w:spacing w:after="0" w:line="47" w:lineRule="exact"/>
        <w:rPr>
          <w:rFonts w:ascii="Arial" w:cs="Arial" w:eastAsia="Arial" w:hAnsi="Arial"/>
          <w:sz w:val="16"/>
          <w:szCs w:val="16"/>
          <w:color w:val="auto"/>
        </w:rPr>
      </w:pPr>
    </w:p>
    <w:p>
      <w:pPr>
        <w:jc w:val="both"/>
        <w:ind w:left="1160" w:right="20" w:hanging="578"/>
        <w:spacing w:after="0" w:line="219" w:lineRule="auto"/>
        <w:tabs>
          <w:tab w:leader="none" w:pos="1148"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provisions of this clause 15 shall not apply in relation to the relevant Third Party Claim if they could render any policy of insurance (including the W&amp;I Policy) maintained by or available to the Purchaser or any other member of the Purchaser's Group void or voidable, or entitle the relevant insurer (including any W&amp;I Insurer) to repudiate or rescind any such policy in whole or in part, or in the event that a relevant insurer (including any W&amp;I Insurer) exercises its right to take over conduct of such Third Party Claim.</w:t>
      </w:r>
    </w:p>
    <w:p>
      <w:pPr>
        <w:spacing w:after="0" w:line="49" w:lineRule="exact"/>
        <w:rPr>
          <w:sz w:val="20"/>
          <w:szCs w:val="20"/>
          <w:color w:val="auto"/>
        </w:rPr>
      </w:pPr>
    </w:p>
    <w:p>
      <w:pPr>
        <w:jc w:val="both"/>
        <w:ind w:left="520" w:hanging="575"/>
        <w:spacing w:after="0" w:line="214" w:lineRule="auto"/>
        <w:tabs>
          <w:tab w:leader="none" w:pos="500" w:val="left"/>
        </w:tabs>
        <w:rPr>
          <w:sz w:val="20"/>
          <w:szCs w:val="20"/>
          <w:color w:val="auto"/>
        </w:rPr>
      </w:pPr>
      <w:r>
        <w:rPr>
          <w:rFonts w:ascii="Arial" w:cs="Arial" w:eastAsia="Arial" w:hAnsi="Arial"/>
          <w:sz w:val="16"/>
          <w:szCs w:val="16"/>
          <w:color w:val="auto"/>
        </w:rPr>
        <w:t>15.3</w:t>
        <w:tab/>
        <w:t xml:space="preserve">The rights of the Warrantors under this clause 15 ( </w:t>
      </w:r>
      <w:r>
        <w:rPr>
          <w:rFonts w:ascii="Arial" w:cs="Arial" w:eastAsia="Arial" w:hAnsi="Arial"/>
          <w:sz w:val="16"/>
          <w:szCs w:val="16"/>
          <w:i w:val="1"/>
          <w:iCs w:val="1"/>
          <w:color w:val="auto"/>
        </w:rPr>
        <w:t>Purchaser's conduct of Third Party Claims</w:t>
      </w:r>
      <w:r>
        <w:rPr>
          <w:rFonts w:ascii="Arial" w:cs="Arial" w:eastAsia="Arial" w:hAnsi="Arial"/>
          <w:sz w:val="16"/>
          <w:szCs w:val="16"/>
          <w:color w:val="auto"/>
        </w:rPr>
        <w:t xml:space="preserve"> ) shall only apply to such Third Party Claim if the Warrantors jointly give notice to the Purchaser in writing of their intention to exercise their rights within [***] Business Days of the Purchaser giving notice of such Third Party Claim. If the Warrantors do not give notice during that period the Purchaser shall be entitled in its absolute discretion to settle, compromise, or take or resist any action, proceedings or claim in respect of such Third Party Claim. Until such time as the time period expires or the Warrantors do give notice of their intention to take conduct of the Third Party Claim, the Purchaser shall, or as the case may be shall procure that the Company shall:</w:t>
      </w:r>
    </w:p>
    <w:p>
      <w:pPr>
        <w:spacing w:after="0" w:line="48" w:lineRule="exact"/>
        <w:rPr>
          <w:sz w:val="20"/>
          <w:szCs w:val="20"/>
          <w:color w:val="auto"/>
        </w:rPr>
      </w:pPr>
    </w:p>
    <w:p>
      <w:pPr>
        <w:ind w:left="1140" w:hanging="558"/>
        <w:spacing w:after="0"/>
        <w:tabs>
          <w:tab w:leader="none" w:pos="11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consult with the Warrantors as soon as reasonably practicable with regard to the Third Party Claim in question;</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provide the Warrantors on request with copies of all documents in relation to the relevant Third Party Claim, save where to do so would result in a breach of any obligation of confidentiality or the loss of legal professional privilege;</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take reasonable account of the views of the Warrantors with regard to the Third Party Claim in question; and</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not admit liability in respect of or settle or compromise the relevant Third Party Claim without the prior written consent of the Warrantors, such consent not to be unreasonably withheld or delayed.</w:t>
      </w:r>
    </w:p>
    <w:p>
      <w:pPr>
        <w:spacing w:after="0" w:line="48" w:lineRule="exact"/>
        <w:rPr>
          <w:sz w:val="20"/>
          <w:szCs w:val="20"/>
          <w:color w:val="auto"/>
        </w:rPr>
      </w:pPr>
    </w:p>
    <w:p>
      <w:pPr>
        <w:jc w:val="both"/>
        <w:ind w:left="500" w:right="20" w:hanging="575"/>
        <w:spacing w:after="0" w:line="216" w:lineRule="auto"/>
        <w:tabs>
          <w:tab w:leader="none" w:pos="480" w:val="left"/>
        </w:tabs>
        <w:rPr>
          <w:sz w:val="20"/>
          <w:szCs w:val="20"/>
          <w:color w:val="auto"/>
        </w:rPr>
      </w:pPr>
      <w:r>
        <w:rPr>
          <w:rFonts w:ascii="Arial" w:cs="Arial" w:eastAsia="Arial" w:hAnsi="Arial"/>
          <w:sz w:val="16"/>
          <w:szCs w:val="16"/>
          <w:color w:val="auto"/>
        </w:rPr>
        <w:t>15.4</w:t>
        <w:tab/>
        <w:t>The Purchaser shall provide and shall procure that the Company provides to the W&amp;I Insurer, the Warrantors and the W&amp;I Insurer's professional advisers reasonable access to premises and personnel and to any relevant assets, documents and records within their power, possession or control for the purpose of investigating any Non-Tax Claim and/or enabling the Warrantors and/or the W&amp;I Insurer to take the action referred to in sub-clause 15.2 and shall allow the Warrantors and/or the W&amp;I Insurer and their professional advisers to take copies of any relevant documents or records at their expense.</w:t>
      </w:r>
    </w:p>
    <w:p>
      <w:pPr>
        <w:spacing w:after="0" w:line="48" w:lineRule="exact"/>
        <w:rPr>
          <w:sz w:val="20"/>
          <w:szCs w:val="20"/>
          <w:color w:val="auto"/>
        </w:rPr>
      </w:pPr>
    </w:p>
    <w:p>
      <w:pPr>
        <w:jc w:val="both"/>
        <w:ind w:left="520" w:right="20" w:hanging="575"/>
        <w:spacing w:after="0" w:line="219" w:lineRule="auto"/>
        <w:tabs>
          <w:tab w:leader="none" w:pos="500" w:val="left"/>
        </w:tabs>
        <w:rPr>
          <w:sz w:val="20"/>
          <w:szCs w:val="20"/>
          <w:color w:val="auto"/>
        </w:rPr>
      </w:pPr>
      <w:r>
        <w:rPr>
          <w:rFonts w:ascii="Arial" w:cs="Arial" w:eastAsia="Arial" w:hAnsi="Arial"/>
          <w:sz w:val="16"/>
          <w:szCs w:val="16"/>
          <w:color w:val="auto"/>
        </w:rPr>
        <w:t>15.5</w:t>
        <w:tab/>
        <w:t>Subject to the prior entering into of reasonable confidentiality obligations by the Warrantors and their professional advisers, the Purchaser shall provide and shall procure that the Group provides to the Warrantors and their professional advisers reasonable access to premises and personnel and to any relevant assets, documents and records within their power, possession or control for the purpose of investigating any Third Party Claim and enabling the Warrantors to take the action referred to in sub-clause 15.2 (</w:t>
      </w:r>
      <w:r>
        <w:rPr>
          <w:rFonts w:ascii="Arial" w:cs="Arial" w:eastAsia="Arial" w:hAnsi="Arial"/>
          <w:sz w:val="16"/>
          <w:szCs w:val="16"/>
          <w:i w:val="1"/>
          <w:iCs w:val="1"/>
          <w:color w:val="auto"/>
        </w:rPr>
        <w:t>Purchaser's conduct of Third Party Claims</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ectPr>
          <w:pgSz w:w="11900" w:h="16840" w:orient="portrait"/>
          <w:cols w:equalWidth="0" w:num="1">
            <w:col w:w="10580"/>
          </w:cols>
          <w:pgMar w:left="660" w:top="1440" w:right="660" w:bottom="1440" w:gutter="0" w:footer="0" w:header="0"/>
        </w:sectPr>
      </w:pPr>
    </w:p>
    <w:bookmarkStart w:id="385" w:name="page386"/>
    <w:bookmarkEnd w:id="385"/>
    <w:p>
      <w:pPr>
        <w:spacing w:after="0" w:line="3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shall allow the Warrantors and their professional advisers to take copies of any relevant documents or records at its sole expense.</w:t>
      </w:r>
    </w:p>
    <w:p>
      <w:pPr>
        <w:spacing w:after="0" w:line="66" w:lineRule="exact"/>
        <w:rPr>
          <w:sz w:val="20"/>
          <w:szCs w:val="20"/>
          <w:color w:val="auto"/>
        </w:rPr>
      </w:pPr>
    </w:p>
    <w:p>
      <w:pPr>
        <w:ind w:left="400" w:hanging="394"/>
        <w:spacing w:after="0"/>
        <w:tabs>
          <w:tab w:leader="none" w:pos="400"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The W&amp;I Policy</w:t>
      </w:r>
    </w:p>
    <w:p>
      <w:pPr>
        <w:spacing w:after="0" w:line="70" w:lineRule="exact"/>
        <w:rPr>
          <w:sz w:val="20"/>
          <w:szCs w:val="20"/>
          <w:color w:val="auto"/>
        </w:rPr>
      </w:pPr>
    </w:p>
    <w:p>
      <w:pPr>
        <w:jc w:val="both"/>
        <w:ind w:left="540" w:right="20" w:hanging="575"/>
        <w:spacing w:after="0" w:line="224" w:lineRule="auto"/>
        <w:tabs>
          <w:tab w:leader="none" w:pos="520" w:val="left"/>
        </w:tabs>
        <w:rPr>
          <w:sz w:val="20"/>
          <w:szCs w:val="20"/>
          <w:color w:val="auto"/>
        </w:rPr>
      </w:pPr>
      <w:r>
        <w:rPr>
          <w:rFonts w:ascii="Arial" w:cs="Arial" w:eastAsia="Arial" w:hAnsi="Arial"/>
          <w:sz w:val="16"/>
          <w:szCs w:val="16"/>
          <w:color w:val="auto"/>
        </w:rPr>
        <w:t>16.1</w:t>
        <w:tab/>
        <w:t>The Purchaser shall not, without the prior written consent of the Warrantors, agree to any material amendment, variation or waiver of the W&amp;I Policy with the W&amp;I Insurer, the effect of which would, or could reasonably be expected to, increase the liability of the Warrantors in respect of a Claim.</w:t>
      </w:r>
    </w:p>
    <w:p>
      <w:pPr>
        <w:spacing w:after="0" w:line="49" w:lineRule="exact"/>
        <w:rPr>
          <w:sz w:val="20"/>
          <w:szCs w:val="20"/>
          <w:color w:val="auto"/>
        </w:rPr>
      </w:pPr>
    </w:p>
    <w:p>
      <w:pPr>
        <w:jc w:val="both"/>
        <w:ind w:left="520" w:right="20" w:hanging="575"/>
        <w:spacing w:after="0" w:line="224" w:lineRule="auto"/>
        <w:tabs>
          <w:tab w:leader="none" w:pos="500" w:val="left"/>
        </w:tabs>
        <w:rPr>
          <w:sz w:val="20"/>
          <w:szCs w:val="20"/>
          <w:color w:val="auto"/>
        </w:rPr>
      </w:pPr>
      <w:r>
        <w:rPr>
          <w:rFonts w:ascii="Arial" w:cs="Arial" w:eastAsia="Arial" w:hAnsi="Arial"/>
          <w:sz w:val="16"/>
          <w:szCs w:val="16"/>
          <w:color w:val="auto"/>
        </w:rPr>
        <w:t>16.2</w:t>
        <w:tab/>
        <w:t>The Warrantors acknowledge and agree with the Purchaser that the Warrantors shall not have any interest in the W&amp;I Policy and shall not have any right or entitlement to receive any payment made by the W&amp;I Insurer under the W&amp;I Policy or to receive any payment, benefit or relief which is derived from or which is otherwise attributable to any payment under the W&amp;I Policy.</w:t>
      </w:r>
    </w:p>
    <w:p>
      <w:pPr>
        <w:spacing w:after="0" w:line="47" w:lineRule="exact"/>
        <w:rPr>
          <w:sz w:val="20"/>
          <w:szCs w:val="20"/>
          <w:color w:val="auto"/>
        </w:rPr>
      </w:pPr>
    </w:p>
    <w:p>
      <w:pPr>
        <w:ind w:left="400" w:hanging="394"/>
        <w:spacing w:after="0"/>
        <w:tabs>
          <w:tab w:leader="none" w:pos="400"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Protection of goodwill</w:t>
      </w:r>
    </w:p>
    <w:p>
      <w:pPr>
        <w:spacing w:after="0" w:line="70" w:lineRule="exact"/>
        <w:rPr>
          <w:sz w:val="20"/>
          <w:szCs w:val="20"/>
          <w:color w:val="auto"/>
        </w:rPr>
      </w:pPr>
    </w:p>
    <w:p>
      <w:pPr>
        <w:jc w:val="both"/>
        <w:ind w:left="540" w:right="20" w:hanging="575"/>
        <w:spacing w:after="0" w:line="219" w:lineRule="auto"/>
        <w:tabs>
          <w:tab w:leader="none" w:pos="520" w:val="left"/>
        </w:tabs>
        <w:rPr>
          <w:sz w:val="20"/>
          <w:szCs w:val="20"/>
          <w:color w:val="auto"/>
        </w:rPr>
      </w:pPr>
      <w:r>
        <w:rPr>
          <w:rFonts w:ascii="Arial" w:cs="Arial" w:eastAsia="Arial" w:hAnsi="Arial"/>
          <w:sz w:val="16"/>
          <w:szCs w:val="16"/>
          <w:color w:val="auto"/>
        </w:rPr>
        <w:t>17.1</w:t>
        <w:tab/>
        <w:t>In order to assure to the Purchaser the full benefit of the business and goodwill of the Group, each Restricted Person severally undertakes on his/her own behalf that (save as may be bona fide in fulfilling his/her duties as an employee of any Group Company thereafter) they shall not directly or indirectly (whether as principal, shareholder, partner, employee, agent or otherwise), whether on its own account or in conjunction with or on behalf of any other person, do any of the following things:</w:t>
      </w:r>
    </w:p>
    <w:p>
      <w:pPr>
        <w:spacing w:after="0" w:line="49" w:lineRule="exact"/>
        <w:rPr>
          <w:sz w:val="20"/>
          <w:szCs w:val="20"/>
          <w:color w:val="auto"/>
        </w:rPr>
      </w:pPr>
    </w:p>
    <w:p>
      <w:pPr>
        <w:jc w:val="both"/>
        <w:ind w:left="1160" w:right="20" w:hanging="578"/>
        <w:spacing w:after="0" w:line="219" w:lineRule="auto"/>
        <w:tabs>
          <w:tab w:leader="none" w:pos="11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during the Restricted Period carry on or be engaged, concerned or interested in (except as the holder of shares in a company whose shares are listed on a recognised investment exchange or overseas investment exchange (as such terms are defined in Sections 285 and 313, Financial Services and Markets Act 2000) which confer not more than [***]% of the votes which could normally be cast at a general meeting of that company) any business which competes with any part of the Restricted Business; or</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during the Restricted Period canvass or solicit or seek to entice away the custom of any Client or Prospective Client for the purposes of providing Restricted Business; or</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during the Restricted Period employ or otherwise engage any Key Employee; or</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during the Restricted Period endeavour to entice away from any Group Company or encourage to terminate his employment with any Group Company (whether or not such termination would be a breach of his contract of employment) any person who is or was a Senior Employee during the [***] period prior to Completion; or</w:t>
      </w:r>
    </w:p>
    <w:p>
      <w:pPr>
        <w:spacing w:after="0" w:line="48" w:lineRule="exact"/>
        <w:rPr>
          <w:rFonts w:ascii="Arial" w:cs="Arial" w:eastAsia="Arial" w:hAnsi="Arial"/>
          <w:sz w:val="16"/>
          <w:szCs w:val="16"/>
          <w:color w:val="auto"/>
        </w:rPr>
      </w:pPr>
    </w:p>
    <w:p>
      <w:pPr>
        <w:jc w:val="both"/>
        <w:ind w:left="1160" w:right="20" w:hanging="578"/>
        <w:spacing w:after="0" w:line="265" w:lineRule="auto"/>
        <w:tabs>
          <w:tab w:leader="none" w:pos="1148" w:val="left"/>
        </w:tabs>
        <w:numPr>
          <w:ilvl w:val="0"/>
          <w:numId w:val="342"/>
        </w:numPr>
        <w:rPr>
          <w:rFonts w:ascii="Arial" w:cs="Arial" w:eastAsia="Arial" w:hAnsi="Arial"/>
          <w:sz w:val="14"/>
          <w:szCs w:val="14"/>
          <w:color w:val="auto"/>
        </w:rPr>
      </w:pPr>
      <w:r>
        <w:rPr>
          <w:rFonts w:ascii="Arial" w:cs="Arial" w:eastAsia="Arial" w:hAnsi="Arial"/>
          <w:sz w:val="14"/>
          <w:szCs w:val="14"/>
          <w:color w:val="auto"/>
        </w:rPr>
        <w:t>save as required by law, during the Restricted Period do or say anything likely or calculated to lead any person to withdraw from or cease to continue offering to any Group Company any rights (whether of purchase, sale, import, distribution, agency or otherwise) then enjoyed by it or in any other way to cease to do business or reduce the amount of business it transacts with any Group Company; or</w:t>
      </w:r>
    </w:p>
    <w:p>
      <w:pPr>
        <w:spacing w:after="0" w:line="30" w:lineRule="exact"/>
        <w:rPr>
          <w:rFonts w:ascii="Arial" w:cs="Arial" w:eastAsia="Arial" w:hAnsi="Arial"/>
          <w:sz w:val="14"/>
          <w:szCs w:val="14"/>
          <w:color w:val="auto"/>
        </w:rPr>
      </w:pPr>
    </w:p>
    <w:p>
      <w:pPr>
        <w:jc w:val="both"/>
        <w:ind w:left="1160" w:right="20" w:hanging="578"/>
        <w:spacing w:after="0" w:line="219" w:lineRule="auto"/>
        <w:tabs>
          <w:tab w:leader="none" w:pos="11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save in the circumstances referred to in sub-clause 19.10(b) ( </w:t>
      </w:r>
      <w:r>
        <w:rPr>
          <w:rFonts w:ascii="Arial" w:cs="Arial" w:eastAsia="Arial" w:hAnsi="Arial"/>
          <w:sz w:val="16"/>
          <w:szCs w:val="16"/>
          <w:i w:val="1"/>
          <w:iCs w:val="1"/>
          <w:color w:val="auto"/>
        </w:rPr>
        <w:t>Confidentiality</w:t>
      </w:r>
      <w:r>
        <w:rPr>
          <w:rFonts w:ascii="Arial" w:cs="Arial" w:eastAsia="Arial" w:hAnsi="Arial"/>
          <w:sz w:val="16"/>
          <w:szCs w:val="16"/>
          <w:color w:val="auto"/>
        </w:rPr>
        <w:t>), disclose to any other person any information which is secret or confidential to the business or affairs of the Group or any Purchaser Group Company or use any such information to the detriment of the business of the Group or any Purchaser Group Company for so long as that information remains secret or confidential; or</w:t>
      </w:r>
    </w:p>
    <w:p>
      <w:pPr>
        <w:spacing w:after="0" w:line="48" w:lineRule="exact"/>
        <w:rPr>
          <w:rFonts w:ascii="Arial" w:cs="Arial" w:eastAsia="Arial" w:hAnsi="Arial"/>
          <w:sz w:val="16"/>
          <w:szCs w:val="16"/>
          <w:color w:val="auto"/>
        </w:rPr>
      </w:pPr>
    </w:p>
    <w:p>
      <w:pPr>
        <w:jc w:val="both"/>
        <w:ind w:left="1160" w:right="40" w:hanging="578"/>
        <w:spacing w:after="0" w:line="224" w:lineRule="auto"/>
        <w:tabs>
          <w:tab w:leader="none" w:pos="114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relation to a business which is competitive or likely to be competitive with the Restricted Business, use any trade or business name or distinctive mark, style or logo used by or in the business of any Group Company at Completion or anything intended or likely to be confused with it.</w:t>
      </w:r>
    </w:p>
    <w:p>
      <w:pPr>
        <w:spacing w:after="0" w:line="49" w:lineRule="exact"/>
        <w:rPr>
          <w:sz w:val="20"/>
          <w:szCs w:val="20"/>
          <w:color w:val="auto"/>
        </w:rPr>
      </w:pPr>
    </w:p>
    <w:p>
      <w:pPr>
        <w:jc w:val="both"/>
        <w:ind w:left="480" w:hanging="575"/>
        <w:spacing w:after="0" w:line="245" w:lineRule="auto"/>
        <w:tabs>
          <w:tab w:leader="none" w:pos="46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4"/>
          <w:szCs w:val="14"/>
          <w:color w:val="auto"/>
        </w:rPr>
        <w:t xml:space="preserve">Each undertaking contained in this clause 17 ( </w:t>
      </w:r>
      <w:r>
        <w:rPr>
          <w:rFonts w:ascii="Arial" w:cs="Arial" w:eastAsia="Arial" w:hAnsi="Arial"/>
          <w:sz w:val="14"/>
          <w:szCs w:val="14"/>
          <w:i w:val="1"/>
          <w:iCs w:val="1"/>
          <w:color w:val="auto"/>
        </w:rPr>
        <w:t>Protection of goodwill</w:t>
      </w:r>
      <w:r>
        <w:rPr>
          <w:rFonts w:ascii="Arial" w:cs="Arial" w:eastAsia="Arial" w:hAnsi="Arial"/>
          <w:sz w:val="14"/>
          <w:szCs w:val="14"/>
          <w:color w:val="auto"/>
        </w:rPr>
        <w:t>) shall be construed as a separate and independent undertaking and, while the restrictions set out in this clause are considered by the parties to be reasonable in all the circumstances, it is agreed that if any one or more of such restrictions shall, either taken by itself or themselves together, be adjudged to go beyond what is reasonable in all the circumstances for the protection of the Purchaser's legitimate interests but would be adjudged reasonable if any particular restriction or restrictions were deleted or any part or parts of the wording thereof were deleted, restricted or limited in any particular manner (including without limitation any reduction in their duration or geographical scope) then the said restrictions shall apply with such deletions, restrictions or limitation as the case may be.</w:t>
      </w:r>
    </w:p>
    <w:p>
      <w:pPr>
        <w:spacing w:after="0" w:line="46" w:lineRule="exact"/>
        <w:rPr>
          <w:sz w:val="20"/>
          <w:szCs w:val="20"/>
          <w:color w:val="auto"/>
        </w:rPr>
      </w:pPr>
    </w:p>
    <w:p>
      <w:pPr>
        <w:jc w:val="both"/>
        <w:ind w:left="500" w:right="40" w:hanging="575"/>
        <w:spacing w:after="0" w:line="224" w:lineRule="auto"/>
        <w:tabs>
          <w:tab w:leader="none" w:pos="480" w:val="left"/>
        </w:tabs>
        <w:rPr>
          <w:sz w:val="20"/>
          <w:szCs w:val="20"/>
          <w:color w:val="auto"/>
        </w:rPr>
      </w:pPr>
      <w:r>
        <w:rPr>
          <w:rFonts w:ascii="Arial" w:cs="Arial" w:eastAsia="Arial" w:hAnsi="Arial"/>
          <w:sz w:val="16"/>
          <w:szCs w:val="16"/>
          <w:color w:val="auto"/>
        </w:rPr>
        <w:t>17.3</w:t>
        <w:tab/>
        <w:t>Each of the Founder Sellers severally agrees that, having regard to the facts and matters set out above and having taken professional advice, the restrictions contained in this clause 17 (</w:t>
      </w:r>
      <w:r>
        <w:rPr>
          <w:rFonts w:ascii="Arial" w:cs="Arial" w:eastAsia="Arial" w:hAnsi="Arial"/>
          <w:sz w:val="16"/>
          <w:szCs w:val="16"/>
          <w:i w:val="1"/>
          <w:iCs w:val="1"/>
          <w:color w:val="auto"/>
        </w:rPr>
        <w:t>Protection of goodwill</w:t>
      </w:r>
      <w:r>
        <w:rPr>
          <w:rFonts w:ascii="Arial" w:cs="Arial" w:eastAsia="Arial" w:hAnsi="Arial"/>
          <w:sz w:val="16"/>
          <w:szCs w:val="16"/>
          <w:color w:val="auto"/>
        </w:rPr>
        <w:t>) are reasonable and necessary for the protection of the legitimate business interests of the Purchaser.</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35</w:t>
      </w:r>
    </w:p>
    <w:p>
      <w:pPr>
        <w:sectPr>
          <w:pgSz w:w="11900" w:h="16840" w:orient="portrait"/>
          <w:cols w:equalWidth="0" w:num="1">
            <w:col w:w="10600"/>
          </w:cols>
          <w:pgMar w:left="660" w:top="1440" w:right="640" w:bottom="1440" w:gutter="0" w:footer="0" w:header="0"/>
        </w:sectPr>
      </w:pPr>
    </w:p>
    <w:bookmarkStart w:id="386" w:name="page387"/>
    <w:bookmarkEnd w:id="386"/>
    <w:p>
      <w:pPr>
        <w:spacing w:after="0" w:line="329" w:lineRule="exact"/>
        <w:rPr>
          <w:sz w:val="20"/>
          <w:szCs w:val="20"/>
          <w:color w:val="auto"/>
        </w:rPr>
      </w:pPr>
    </w:p>
    <w:p>
      <w:pPr>
        <w:ind w:left="400" w:hanging="394"/>
        <w:spacing w:after="0"/>
        <w:tabs>
          <w:tab w:leader="none" w:pos="400" w:val="left"/>
        </w:tabs>
        <w:numPr>
          <w:ilvl w:val="0"/>
          <w:numId w:val="343"/>
        </w:numPr>
        <w:rPr>
          <w:rFonts w:ascii="Arial" w:cs="Arial" w:eastAsia="Arial" w:hAnsi="Arial"/>
          <w:sz w:val="16"/>
          <w:szCs w:val="16"/>
          <w:color w:val="auto"/>
        </w:rPr>
      </w:pPr>
      <w:r>
        <w:rPr>
          <w:rFonts w:ascii="Arial" w:cs="Arial" w:eastAsia="Arial" w:hAnsi="Arial"/>
          <w:sz w:val="16"/>
          <w:szCs w:val="16"/>
          <w:b w:val="1"/>
          <w:bCs w:val="1"/>
          <w:color w:val="auto"/>
        </w:rPr>
        <w:t>Consideration Shares</w:t>
      </w:r>
    </w:p>
    <w:p>
      <w:pPr>
        <w:spacing w:after="0" w:line="70" w:lineRule="exact"/>
        <w:rPr>
          <w:sz w:val="20"/>
          <w:szCs w:val="20"/>
          <w:color w:val="auto"/>
        </w:rPr>
      </w:pPr>
    </w:p>
    <w:p>
      <w:pPr>
        <w:jc w:val="both"/>
        <w:ind w:left="500" w:hanging="575"/>
        <w:spacing w:after="0" w:line="228" w:lineRule="auto"/>
        <w:tabs>
          <w:tab w:leader="none" w:pos="480" w:val="left"/>
        </w:tabs>
        <w:rPr>
          <w:sz w:val="20"/>
          <w:szCs w:val="20"/>
          <w:color w:val="auto"/>
        </w:rPr>
      </w:pPr>
      <w:r>
        <w:rPr>
          <w:rFonts w:ascii="Arial" w:cs="Arial" w:eastAsia="Arial" w:hAnsi="Arial"/>
          <w:sz w:val="16"/>
          <w:szCs w:val="16"/>
          <w:color w:val="auto"/>
        </w:rPr>
        <w:t>18.1</w:t>
        <w:tab/>
        <w:t xml:space="preserve">Subject to the remainder of this clause 18, each of the Non-US FME Shareholders severally covenants with and undertakes to the Purchaser that they will not make any Disposal during the period commencing on the date of Completion and ending on the [***] of the Completion Date (the </w:t>
      </w:r>
      <w:r>
        <w:rPr>
          <w:rFonts w:ascii="Arial" w:cs="Arial" w:eastAsia="Arial" w:hAnsi="Arial"/>
          <w:sz w:val="16"/>
          <w:szCs w:val="16"/>
          <w:b w:val="1"/>
          <w:bCs w:val="1"/>
          <w:color w:val="auto"/>
        </w:rPr>
        <w:t>"Lock-up Period"</w:t>
      </w:r>
      <w:r>
        <w:rPr>
          <w:rFonts w:ascii="Arial" w:cs="Arial" w:eastAsia="Arial" w:hAnsi="Arial"/>
          <w:sz w:val="16"/>
          <w:szCs w:val="16"/>
          <w:color w:val="auto"/>
        </w:rPr>
        <w:t>).</w:t>
      </w:r>
    </w:p>
    <w:p>
      <w:pPr>
        <w:spacing w:after="0" w:line="40" w:lineRule="exact"/>
        <w:rPr>
          <w:sz w:val="20"/>
          <w:szCs w:val="20"/>
          <w:color w:val="auto"/>
        </w:rPr>
      </w:pPr>
    </w:p>
    <w:p>
      <w:pPr>
        <w:jc w:val="both"/>
        <w:ind w:left="520" w:right="20" w:hanging="575"/>
        <w:spacing w:after="0" w:line="235" w:lineRule="auto"/>
        <w:tabs>
          <w:tab w:leader="none" w:pos="500" w:val="left"/>
        </w:tabs>
        <w:rPr>
          <w:sz w:val="20"/>
          <w:szCs w:val="20"/>
          <w:color w:val="auto"/>
        </w:rPr>
      </w:pPr>
      <w:r>
        <w:rPr>
          <w:rFonts w:ascii="Arial" w:cs="Arial" w:eastAsia="Arial" w:hAnsi="Arial"/>
          <w:sz w:val="16"/>
          <w:szCs w:val="16"/>
          <w:color w:val="auto"/>
        </w:rPr>
        <w:t>18.2</w:t>
        <w:tab/>
        <w:t>The number of Consideration Shares or Consideration ADSs that are the subject of the restriction in sub-clause 18.1 shall be reduced and shall cease to be subject to the restriction in sub-clause 18.1 as follows:</w:t>
      </w:r>
    </w:p>
    <w:p>
      <w:pPr>
        <w:spacing w:after="0" w:line="48" w:lineRule="exact"/>
        <w:rPr>
          <w:sz w:val="20"/>
          <w:szCs w:val="20"/>
          <w:color w:val="auto"/>
        </w:rPr>
      </w:pPr>
    </w:p>
    <w:p>
      <w:pPr>
        <w:ind w:left="1160" w:right="20" w:hanging="578"/>
        <w:spacing w:after="0" w:line="235" w:lineRule="auto"/>
        <w:tabs>
          <w:tab w:leader="none" w:pos="114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on the date that is [***] after the Completion Date, [***]% of the Consideration ADSs issued to each Non-US FME Shareholder and the Consideration Shares represented thereby;</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addition to the number of Consideration ADSs and the Consideration Shares represented thereby released pursuant to sub-clause 18.2(a), on the [***] of the Completion Date, [***]% of the Consideration ADSs issued to each Non-US FME Shareholder; and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addition to the number of Consideration ADSs and the Consideration Shares represented thereby released pursuant to sub-clause 18.2(a) and 18.2(b), on the [***] of the Completion Date, the balance of the Consideration ADSs issued to each Non-US FME Shareholder and the Consideration Shares represented thereby,</w:t>
      </w:r>
    </w:p>
    <w:p>
      <w:pPr>
        <w:spacing w:after="0" w:line="49"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such release schedule in respect of each Non-US FME Shareholder being set out opposite his or her name in the Completion Allocation Schedule.</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4"/>
          <w:szCs w:val="14"/>
          <w:color w:val="auto"/>
        </w:rPr>
        <w:t>Each Non-US FME Shareholder and the Purchaser hereby acknowledges and agrees that the Consideration Shares and Consideration ADSs:</w:t>
      </w:r>
    </w:p>
    <w:p>
      <w:pPr>
        <w:spacing w:after="0" w:line="68" w:lineRule="exact"/>
        <w:rPr>
          <w:sz w:val="20"/>
          <w:szCs w:val="20"/>
          <w:color w:val="auto"/>
        </w:rPr>
      </w:pPr>
    </w:p>
    <w:p>
      <w:pPr>
        <w:ind w:left="1140" w:hanging="558"/>
        <w:spacing w:after="0"/>
        <w:tabs>
          <w:tab w:leader="none" w:pos="11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are being issued and sold outside the United States in reliance on Regulation 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have not been and will not be registered under the Securities Act or any other securities laws;</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45"/>
        </w:numPr>
        <w:rPr>
          <w:rFonts w:ascii="Arial" w:cs="Arial" w:eastAsia="Arial" w:hAnsi="Arial"/>
          <w:sz w:val="16"/>
          <w:szCs w:val="16"/>
          <w:color w:val="auto"/>
        </w:rPr>
      </w:pPr>
      <w:r>
        <w:rPr>
          <w:rFonts w:ascii="Arial" w:cs="Arial" w:eastAsia="Arial" w:hAnsi="Arial"/>
          <w:sz w:val="16"/>
          <w:szCs w:val="16"/>
          <w:color w:val="auto"/>
        </w:rPr>
        <w:t>may not be offered or sold within the United States (as defined in Regulation S) except pursuant to an available exemption from the registration requirements of the Securities Act; and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may bear the following or a similar restrictive legend:</w:t>
      </w:r>
    </w:p>
    <w:p>
      <w:pPr>
        <w:spacing w:after="0" w:line="68" w:lineRule="exact"/>
        <w:rPr>
          <w:rFonts w:ascii="Arial" w:cs="Arial" w:eastAsia="Arial" w:hAnsi="Arial"/>
          <w:sz w:val="16"/>
          <w:szCs w:val="16"/>
          <w:color w:val="auto"/>
        </w:rPr>
      </w:pPr>
    </w:p>
    <w:p>
      <w:pPr>
        <w:jc w:val="both"/>
        <w:ind w:left="1160"/>
        <w:spacing w:after="0" w:line="224" w:lineRule="auto"/>
        <w:rPr>
          <w:rFonts w:ascii="Arial" w:cs="Arial" w:eastAsia="Arial" w:hAnsi="Arial"/>
          <w:sz w:val="16"/>
          <w:szCs w:val="16"/>
          <w:color w:val="auto"/>
        </w:rPr>
      </w:pPr>
      <w:r>
        <w:rPr>
          <w:rFonts w:ascii="Arial" w:cs="Arial" w:eastAsia="Arial" w:hAnsi="Arial"/>
          <w:sz w:val="16"/>
          <w:szCs w:val="16"/>
          <w:i w:val="1"/>
          <w:iCs w:val="1"/>
          <w:color w:val="auto"/>
        </w:rPr>
        <w:t>"These shares have not been registered under the Securities Act of 1933 ("the Act"). These shares may not be offered for sale, sold, transferred, assigned, pledged or hypothecated except (i) pursuant to an effective registration statement under the Act, or (ii) pursuant to an available exemption from registration under the Act."</w:t>
      </w:r>
    </w:p>
    <w:p>
      <w:pPr>
        <w:spacing w:after="0" w:line="4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4"/>
          <w:szCs w:val="14"/>
          <w:color w:val="auto"/>
        </w:rPr>
        <w:t>The Purchaser warrants to the Non-US FME Shareholders both at the date of this Agreement and again at Completion that:</w:t>
      </w:r>
    </w:p>
    <w:p>
      <w:pPr>
        <w:spacing w:after="0" w:line="68" w:lineRule="exact"/>
        <w:rPr>
          <w:sz w:val="20"/>
          <w:szCs w:val="20"/>
          <w:color w:val="auto"/>
        </w:rPr>
      </w:pPr>
    </w:p>
    <w:p>
      <w:pPr>
        <w:jc w:val="both"/>
        <w:ind w:left="1160" w:right="20" w:hanging="578"/>
        <w:spacing w:after="0" w:line="224" w:lineRule="auto"/>
        <w:tabs>
          <w:tab w:leader="none" w:pos="114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none of the Purchaser, any Purchaser Group Company or any person acting on its or their behalf has, directly or indirectly, made offers or sales of, or has solicited offers to buy, or otherwise has negotiated in respect of, any security under circumstances that would require the Consideration Shares or the Consideration ADSs to be registered under the Securities Act;</w:t>
      </w:r>
    </w:p>
    <w:p>
      <w:pPr>
        <w:spacing w:after="0" w:line="4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none of the Purchaser, any Purchaser Group Company or any person acting on its or their behalf has engaged in any directed selling efforts (as defined in Regulation S) with respect to the Consideration Shares and the Consideration ADSs, and it and they have complied and will comply with the offering restrictions of Regulation S;</w:t>
      </w:r>
    </w:p>
    <w:p>
      <w:pPr>
        <w:spacing w:after="0" w:line="4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Purchaser is a "foreign issuer" (as such term is defined in Regulation S) and there is no "substantial US market interest" (as such term is defined in Regulation S) in the Consideration Shares or the Consideration ADSs or any securities of the same class as the Consideration Shares or the Consideration ADSs; and</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none of the Purchaser, any Purchaser Group Company or any person acting on its or their behalf, directly or indirectly, has entered into any contractual arrangement with a distributor (as defined in Regulation S) with respect to the Consideration Shares or the Consideration ADSs.</w:t>
      </w:r>
    </w:p>
    <w:p>
      <w:pPr>
        <w:spacing w:after="0" w:line="49" w:lineRule="exact"/>
        <w:rPr>
          <w:sz w:val="20"/>
          <w:szCs w:val="20"/>
          <w:color w:val="auto"/>
        </w:rPr>
      </w:pPr>
    </w:p>
    <w:p>
      <w:pPr>
        <w:jc w:val="both"/>
        <w:ind w:left="540" w:right="20" w:hanging="575"/>
        <w:spacing w:after="0" w:line="219" w:lineRule="auto"/>
        <w:tabs>
          <w:tab w:leader="none" w:pos="520" w:val="left"/>
        </w:tabs>
        <w:rPr>
          <w:sz w:val="20"/>
          <w:szCs w:val="20"/>
          <w:color w:val="auto"/>
        </w:rPr>
      </w:pPr>
      <w:r>
        <w:rPr>
          <w:rFonts w:ascii="Arial" w:cs="Arial" w:eastAsia="Arial" w:hAnsi="Arial"/>
          <w:sz w:val="16"/>
          <w:szCs w:val="16"/>
          <w:color w:val="auto"/>
        </w:rPr>
        <w:t>18.5</w:t>
        <w:tab/>
        <w:t>The Purchaser irrevocably undertakes to and covenants with each of the Non -US FME Shareholders that it will, following the expiration of any applicable 40 day compliance period (as such term is used in Regulation S) in respect of any issuance of Consideration Shares or Consideration ADSs, take all necessary steps for the removal of the restrictive legend provided under sub-clause 18.3(d) from the face of the applicable Consideration Shares or</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1900" w:h="16840" w:orient="portrait"/>
          <w:cols w:equalWidth="0" w:num="1">
            <w:col w:w="10580"/>
          </w:cols>
          <w:pgMar w:left="660" w:top="1440" w:right="660" w:bottom="1440" w:gutter="0" w:footer="0" w:header="0"/>
        </w:sectPr>
      </w:pPr>
    </w:p>
    <w:bookmarkStart w:id="387" w:name="page388"/>
    <w:bookmarkEnd w:id="387"/>
    <w:p>
      <w:pPr>
        <w:spacing w:after="0" w:line="331"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Consideration ADSs, including if required by the Depositary, obtaining an opinion of counsel in respect of the applicable Consideration Shares or Consideration ADSs.</w:t>
      </w:r>
    </w:p>
    <w:p>
      <w:pPr>
        <w:spacing w:after="0" w:line="46" w:lineRule="exact"/>
        <w:rPr>
          <w:sz w:val="20"/>
          <w:szCs w:val="20"/>
          <w:color w:val="auto"/>
        </w:rPr>
      </w:pPr>
    </w:p>
    <w:p>
      <w:pPr>
        <w:ind w:left="400" w:hanging="394"/>
        <w:spacing w:after="0"/>
        <w:tabs>
          <w:tab w:leader="none" w:pos="400" w:val="left"/>
        </w:tabs>
        <w:numPr>
          <w:ilvl w:val="0"/>
          <w:numId w:val="347"/>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7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4"/>
          <w:szCs w:val="14"/>
          <w:b w:val="1"/>
          <w:bCs w:val="1"/>
          <w:i w:val="1"/>
          <w:iCs w:val="1"/>
          <w:color w:val="auto"/>
        </w:rPr>
        <w:t>Entire agreement</w:t>
      </w:r>
    </w:p>
    <w:p>
      <w:pPr>
        <w:spacing w:after="0" w:line="68" w:lineRule="exact"/>
        <w:rPr>
          <w:sz w:val="20"/>
          <w:szCs w:val="20"/>
          <w:color w:val="auto"/>
        </w:rPr>
      </w:pPr>
    </w:p>
    <w:p>
      <w:pPr>
        <w:jc w:val="both"/>
        <w:ind w:left="1160" w:hanging="578"/>
        <w:spacing w:after="0" w:line="224" w:lineRule="auto"/>
        <w:tabs>
          <w:tab w:leader="none" w:pos="114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This Agreement and all of the documents in the agreed form sets out the entire agreement and understanding between the parties and supersedes all prior agreements, understandings or arrangements (whether oral or written) in respect of the subject matter of this Agreement.</w:t>
      </w:r>
    </w:p>
    <w:p>
      <w:pPr>
        <w:spacing w:after="0" w:line="48" w:lineRule="exact"/>
        <w:rPr>
          <w:rFonts w:ascii="Arial" w:cs="Arial" w:eastAsia="Arial" w:hAnsi="Arial"/>
          <w:sz w:val="16"/>
          <w:szCs w:val="16"/>
          <w:color w:val="auto"/>
        </w:rPr>
      </w:pPr>
    </w:p>
    <w:p>
      <w:pPr>
        <w:jc w:val="both"/>
        <w:ind w:left="1160" w:hanging="578"/>
        <w:spacing w:after="0" w:line="265" w:lineRule="auto"/>
        <w:tabs>
          <w:tab w:leader="none" w:pos="1148" w:val="left"/>
        </w:tabs>
        <w:numPr>
          <w:ilvl w:val="0"/>
          <w:numId w:val="348"/>
        </w:numPr>
        <w:rPr>
          <w:rFonts w:ascii="Arial" w:cs="Arial" w:eastAsia="Arial" w:hAnsi="Arial"/>
          <w:sz w:val="14"/>
          <w:szCs w:val="14"/>
          <w:color w:val="auto"/>
        </w:rPr>
      </w:pPr>
      <w:r>
        <w:rPr>
          <w:rFonts w:ascii="Arial" w:cs="Arial" w:eastAsia="Arial" w:hAnsi="Arial"/>
          <w:sz w:val="14"/>
          <w:szCs w:val="14"/>
          <w:color w:val="auto"/>
        </w:rPr>
        <w:t>Each party acknowledges that it has entered into this Agreement in reliance only upon the warranties, promises and terms specifically contained or expressly referred to in this Agreement and, save as expressly set out in this Agreement, no party shall have any liability in respect of any other warranty or promise made prior to the date of this Agreement, unless it was made fraudulently.</w:t>
      </w:r>
    </w:p>
    <w:p>
      <w:pPr>
        <w:spacing w:after="0" w:line="3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4"/>
          <w:szCs w:val="14"/>
          <w:b w:val="1"/>
          <w:bCs w:val="1"/>
          <w:i w:val="1"/>
          <w:iCs w:val="1"/>
          <w:color w:val="auto"/>
        </w:rPr>
        <w:t>Contracts (Rights of Third Parties) Act 1999</w:t>
      </w:r>
    </w:p>
    <w:p>
      <w:pPr>
        <w:spacing w:after="0" w:line="68" w:lineRule="exact"/>
        <w:rPr>
          <w:sz w:val="20"/>
          <w:szCs w:val="20"/>
          <w:color w:val="auto"/>
        </w:rPr>
      </w:pPr>
    </w:p>
    <w:p>
      <w:pPr>
        <w:jc w:val="both"/>
        <w:ind w:left="1160" w:hanging="578"/>
        <w:spacing w:after="0" w:line="224" w:lineRule="auto"/>
        <w:tabs>
          <w:tab w:leader="none" w:pos="114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Save as expressly provided in sub-clause 19.2(b), no term of this Agreement (whether express or implied) is enforceable pursuant to the Contracts (Rights of Third Parties) Act 1999 or otherwise by any person who is not a party to it. For the avoidance of doubt, the terms of this Agreement may be enforced by each New FME Shareholder duly executing and delivering a Deed of Adherence.</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Subject to sub-clause 19.4(b) (</w:t>
      </w:r>
      <w:r>
        <w:rPr>
          <w:rFonts w:ascii="Arial" w:cs="Arial" w:eastAsia="Arial" w:hAnsi="Arial"/>
          <w:sz w:val="16"/>
          <w:szCs w:val="16"/>
          <w:i w:val="1"/>
          <w:iCs w:val="1"/>
          <w:color w:val="auto"/>
        </w:rPr>
        <w:t>Variation</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the Company may enforce sub-clause 8.3 ( </w:t>
      </w:r>
      <w:r>
        <w:rPr>
          <w:rFonts w:ascii="Arial" w:cs="Arial" w:eastAsia="Arial" w:hAnsi="Arial"/>
          <w:sz w:val="16"/>
          <w:szCs w:val="16"/>
          <w:i w:val="1"/>
          <w:iCs w:val="1"/>
          <w:color w:val="auto"/>
        </w:rPr>
        <w:t>Post completion matters)</w:t>
      </w:r>
      <w:r>
        <w:rPr>
          <w:rFonts w:ascii="Arial" w:cs="Arial" w:eastAsia="Arial" w:hAnsi="Arial"/>
          <w:sz w:val="16"/>
          <w:szCs w:val="16"/>
          <w:color w:val="auto"/>
        </w:rPr>
        <w:t xml:space="preserve"> ;</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each Group Company may enforce clause 3 ( </w:t>
      </w:r>
      <w:r>
        <w:rPr>
          <w:rFonts w:ascii="Arial" w:cs="Arial" w:eastAsia="Arial" w:hAnsi="Arial"/>
          <w:sz w:val="16"/>
          <w:szCs w:val="16"/>
          <w:i w:val="1"/>
          <w:iCs w:val="1"/>
          <w:color w:val="auto"/>
        </w:rPr>
        <w:t>Sale and Purchase</w:t>
      </w:r>
      <w:r>
        <w:rPr>
          <w:rFonts w:ascii="Arial" w:cs="Arial" w:eastAsia="Arial" w:hAnsi="Arial"/>
          <w:sz w:val="16"/>
          <w:szCs w:val="16"/>
          <w:color w:val="auto"/>
        </w:rPr>
        <w:t>); and</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each Relevant Person (as such is defined) may enforce sub-clause 13.1 ( </w:t>
      </w:r>
      <w:r>
        <w:rPr>
          <w:rFonts w:ascii="Arial" w:cs="Arial" w:eastAsia="Arial" w:hAnsi="Arial"/>
          <w:sz w:val="16"/>
          <w:szCs w:val="16"/>
          <w:i w:val="1"/>
          <w:iCs w:val="1"/>
          <w:color w:val="auto"/>
        </w:rPr>
        <w:t>Purchaser's remedies</w:t>
      </w:r>
      <w:r>
        <w:rPr>
          <w:rFonts w:ascii="Arial" w:cs="Arial" w:eastAsia="Arial" w:hAnsi="Arial"/>
          <w:sz w:val="16"/>
          <w:szCs w:val="16"/>
          <w:color w:val="auto"/>
        </w:rPr>
        <w:t>).</w:t>
      </w:r>
    </w:p>
    <w:p>
      <w:pPr>
        <w:spacing w:after="0" w:line="6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4"/>
          <w:szCs w:val="14"/>
          <w:b w:val="1"/>
          <w:bCs w:val="1"/>
          <w:i w:val="1"/>
          <w:iCs w:val="1"/>
          <w:color w:val="auto"/>
        </w:rPr>
        <w:t>Assignment</w:t>
      </w:r>
    </w:p>
    <w:p>
      <w:pPr>
        <w:spacing w:after="0" w:line="68" w:lineRule="exact"/>
        <w:rPr>
          <w:sz w:val="20"/>
          <w:szCs w:val="20"/>
          <w:color w:val="auto"/>
        </w:rPr>
      </w:pPr>
    </w:p>
    <w:p>
      <w:pPr>
        <w:ind w:left="1160" w:hanging="578"/>
        <w:spacing w:after="0" w:line="235" w:lineRule="auto"/>
        <w:tabs>
          <w:tab w:leader="none" w:pos="114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This Agreement shall be binding on and enure for the benefit of the successors in title of the parties but, except as set out in sub-clause 19.3(b), shall not be assignable by any party without the prior written consent of the other.</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Purchaser may assign the benefit of this Agreement (including, without limitation, the Warranties) to:</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any Purchaser Group Company;</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any successor in title or any subsequent purchaser of the Completion Shares;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by way of security to any bank or financial institution,</w:t>
      </w:r>
    </w:p>
    <w:p>
      <w:pPr>
        <w:spacing w:after="0" w:line="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and, in the event of any such assignment, all references in this Agreement to the Purchaser shall be deemed to include its assigns.</w:t>
      </w:r>
    </w:p>
    <w:p>
      <w:pPr>
        <w:spacing w:after="0" w:line="6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4"/>
          <w:szCs w:val="14"/>
          <w:b w:val="1"/>
          <w:bCs w:val="1"/>
          <w:i w:val="1"/>
          <w:iCs w:val="1"/>
          <w:color w:val="auto"/>
        </w:rPr>
        <w:t>Variation</w:t>
      </w:r>
    </w:p>
    <w:p>
      <w:pPr>
        <w:spacing w:after="0" w:line="68" w:lineRule="exact"/>
        <w:rPr>
          <w:sz w:val="20"/>
          <w:szCs w:val="20"/>
          <w:color w:val="auto"/>
        </w:rPr>
      </w:pPr>
    </w:p>
    <w:p>
      <w:pPr>
        <w:ind w:left="1160" w:hanging="578"/>
        <w:spacing w:after="0" w:line="235" w:lineRule="auto"/>
        <w:tabs>
          <w:tab w:leader="none" w:pos="114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Subject to sub-clause 19.4(b), no purported variation of this Agreement shall be effective unless it is in writing and signed by or on behalf of each of:</w:t>
      </w:r>
    </w:p>
    <w:p>
      <w:pPr>
        <w:spacing w:after="0" w:line="47" w:lineRule="exact"/>
        <w:rPr>
          <w:rFonts w:ascii="Arial" w:cs="Arial" w:eastAsia="Arial" w:hAnsi="Arial"/>
          <w:sz w:val="16"/>
          <w:szCs w:val="16"/>
          <w:color w:val="auto"/>
        </w:rPr>
      </w:pPr>
    </w:p>
    <w:p>
      <w:pPr>
        <w:ind w:left="1740" w:hanging="582"/>
        <w:spacing w:after="0"/>
        <w:tabs>
          <w:tab w:leader="none" w:pos="174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Purchaser;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only to the extent the purported variation affects any rights of the Institutional Sellers, each Institutional Seller; and</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Sellers' Representatives (excluding the Institutional Sellers' Representative).</w:t>
      </w:r>
    </w:p>
    <w:p>
      <w:pPr>
        <w:spacing w:after="0" w:line="68"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Pursuant to Section 2(3)(a), Contracts (Rights of Third Parties) Act 1999, the Purchaser, the Institutional Sellers and the Sellers' Representatives, in accordance with sub-clause 19.4(a), may without limit or restriction vary this Agreement or any provision of it which may be enforced by a third party or otherwise amend this Agreement in such a way as to extinguish or alter such third party's entitlement under any such provision without the consent of that third party.</w:t>
      </w:r>
    </w:p>
    <w:p>
      <w:pPr>
        <w:spacing w:after="0" w:line="4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19.5</w:t>
      </w:r>
      <w:r>
        <w:rPr>
          <w:sz w:val="20"/>
          <w:szCs w:val="20"/>
          <w:color w:val="auto"/>
        </w:rPr>
        <w:tab/>
      </w:r>
      <w:r>
        <w:rPr>
          <w:rFonts w:ascii="Arial" w:cs="Arial" w:eastAsia="Arial" w:hAnsi="Arial"/>
          <w:sz w:val="14"/>
          <w:szCs w:val="14"/>
          <w:b w:val="1"/>
          <w:bCs w:val="1"/>
          <w:i w:val="1"/>
          <w:iCs w:val="1"/>
          <w:color w:val="auto"/>
        </w:rPr>
        <w:t>Effect of Completion</w:t>
      </w:r>
    </w:p>
    <w:p>
      <w:pPr>
        <w:spacing w:after="0" w:line="68" w:lineRule="exact"/>
        <w:rPr>
          <w:sz w:val="20"/>
          <w:szCs w:val="20"/>
          <w:color w:val="auto"/>
        </w:rPr>
      </w:pPr>
    </w:p>
    <w:p>
      <w:pPr>
        <w:ind w:left="580"/>
        <w:spacing w:after="0" w:line="235" w:lineRule="auto"/>
        <w:rPr>
          <w:sz w:val="20"/>
          <w:szCs w:val="20"/>
          <w:color w:val="auto"/>
        </w:rPr>
      </w:pPr>
      <w:r>
        <w:rPr>
          <w:rFonts w:ascii="Arial" w:cs="Arial" w:eastAsia="Arial" w:hAnsi="Arial"/>
          <w:sz w:val="16"/>
          <w:szCs w:val="16"/>
          <w:color w:val="auto"/>
        </w:rPr>
        <w:t>Except to the extent already performed, all the provisions of this Agreement shall, so far as they are capable of being performed or observed, continue in full force and effect notwithstanding Completion.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40" w:orient="portrait"/>
          <w:cols w:equalWidth="0" w:num="1">
            <w:col w:w="10560"/>
          </w:cols>
          <w:pgMar w:left="660" w:top="1440" w:right="680" w:bottom="1440" w:gutter="0" w:footer="0" w:header="0"/>
        </w:sectPr>
      </w:pPr>
    </w:p>
    <w:bookmarkStart w:id="388" w:name="page389"/>
    <w:bookmarkEnd w:id="388"/>
    <w:p>
      <w:pPr>
        <w:spacing w:after="0" w:line="33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19.6</w:t>
      </w:r>
      <w:r>
        <w:rPr>
          <w:sz w:val="20"/>
          <w:szCs w:val="20"/>
          <w:color w:val="auto"/>
        </w:rPr>
        <w:tab/>
      </w:r>
      <w:r>
        <w:rPr>
          <w:rFonts w:ascii="Arial" w:cs="Arial" w:eastAsia="Arial" w:hAnsi="Arial"/>
          <w:sz w:val="14"/>
          <w:szCs w:val="14"/>
          <w:b w:val="1"/>
          <w:bCs w:val="1"/>
          <w:i w:val="1"/>
          <w:iCs w:val="1"/>
          <w:color w:val="auto"/>
        </w:rPr>
        <w:t>Invalidity</w:t>
      </w:r>
    </w:p>
    <w:p>
      <w:pPr>
        <w:spacing w:after="0" w:line="68" w:lineRule="exact"/>
        <w:rPr>
          <w:sz w:val="20"/>
          <w:szCs w:val="20"/>
          <w:color w:val="auto"/>
        </w:rPr>
      </w:pPr>
    </w:p>
    <w:p>
      <w:pPr>
        <w:ind w:left="580" w:right="40"/>
        <w:spacing w:after="0" w:line="235" w:lineRule="auto"/>
        <w:rPr>
          <w:sz w:val="20"/>
          <w:szCs w:val="20"/>
          <w:color w:val="auto"/>
        </w:rPr>
      </w:pPr>
      <w:r>
        <w:rPr>
          <w:rFonts w:ascii="Arial" w:cs="Arial" w:eastAsia="Arial" w:hAnsi="Arial"/>
          <w:sz w:val="16"/>
          <w:szCs w:val="16"/>
          <w:color w:val="auto"/>
        </w:rPr>
        <w:t>To the extent that any provision of this Agreement is found by any court or competent authority to be invalid, unlawful or unenforceable in any jurisdiction, that provision shall:</w:t>
      </w:r>
    </w:p>
    <w:p>
      <w:pPr>
        <w:spacing w:after="0" w:line="48" w:lineRule="exact"/>
        <w:rPr>
          <w:sz w:val="20"/>
          <w:szCs w:val="20"/>
          <w:color w:val="auto"/>
        </w:rPr>
      </w:pPr>
    </w:p>
    <w:p>
      <w:pPr>
        <w:ind w:left="1140" w:hanging="558"/>
        <w:spacing w:after="0"/>
        <w:tabs>
          <w:tab w:leader="none" w:pos="11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be deemed not to be a part of this Agreement;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not affect the enforceability of the remainder of this Agreement; and</w:t>
      </w:r>
    </w:p>
    <w:p>
      <w:pPr>
        <w:spacing w:after="0" w:line="68" w:lineRule="exact"/>
        <w:rPr>
          <w:rFonts w:ascii="Arial" w:cs="Arial" w:eastAsia="Arial" w:hAnsi="Arial"/>
          <w:sz w:val="16"/>
          <w:szCs w:val="16"/>
          <w:color w:val="auto"/>
        </w:rPr>
      </w:pPr>
    </w:p>
    <w:p>
      <w:pPr>
        <w:ind w:right="3240" w:firstLine="582"/>
        <w:spacing w:after="0" w:line="328" w:lineRule="auto"/>
        <w:tabs>
          <w:tab w:leader="none" w:pos="11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not affect the validity, lawfulness or enforceability of that provision in any other jurisdiction. 19.7 </w:t>
      </w:r>
      <w:r>
        <w:rPr>
          <w:rFonts w:ascii="Arial" w:cs="Arial" w:eastAsia="Arial" w:hAnsi="Arial"/>
          <w:sz w:val="16"/>
          <w:szCs w:val="16"/>
          <w:b w:val="1"/>
          <w:bCs w:val="1"/>
          <w:i w:val="1"/>
          <w:iCs w:val="1"/>
          <w:color w:val="auto"/>
        </w:rPr>
        <w:t>Releases and waivers</w:t>
      </w:r>
    </w:p>
    <w:p>
      <w:pPr>
        <w:spacing w:after="0" w:line="1" w:lineRule="exact"/>
        <w:rPr>
          <w:sz w:val="20"/>
          <w:szCs w:val="20"/>
          <w:color w:val="auto"/>
        </w:rPr>
      </w:pPr>
    </w:p>
    <w:p>
      <w:pPr>
        <w:ind w:left="1160" w:right="20" w:hanging="578"/>
        <w:spacing w:after="0" w:line="235" w:lineRule="auto"/>
        <w:tabs>
          <w:tab w:leader="none" w:pos="114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rights, powers and remedies conferred on any party by this Agreement and the remedies available to any party are cumulative and are additional to any right, power or remedy which it may have under general law or otherwise.</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party may, in whole or in part, release, compound, compromise, waive or postpone, in its absolute discretion, any liability owed to it or right granted to it in this Agreement by any other party or parties without in any way prejudicing or affecting its rights in respect of that or any other liability or right not so released, compounded, compromised, waived or postponed.</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No single or partial exercise, or failure or delay in exercising any right, power or remedy by any party shall constitute a waiver by that party of, or impair or preclude any further exercise of, that or any right, power or remedy arising under this Agreement or otherwise.</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19.8</w:t>
      </w:r>
      <w:r>
        <w:rPr>
          <w:sz w:val="20"/>
          <w:szCs w:val="20"/>
          <w:color w:val="auto"/>
        </w:rPr>
        <w:tab/>
      </w:r>
      <w:r>
        <w:rPr>
          <w:rFonts w:ascii="Arial" w:cs="Arial" w:eastAsia="Arial" w:hAnsi="Arial"/>
          <w:sz w:val="14"/>
          <w:szCs w:val="14"/>
          <w:b w:val="1"/>
          <w:bCs w:val="1"/>
          <w:i w:val="1"/>
          <w:iCs w:val="1"/>
          <w:color w:val="auto"/>
        </w:rPr>
        <w:t>Further assurance</w:t>
      </w:r>
    </w:p>
    <w:p>
      <w:pPr>
        <w:spacing w:after="0" w:line="68" w:lineRule="exact"/>
        <w:rPr>
          <w:sz w:val="20"/>
          <w:szCs w:val="20"/>
          <w:color w:val="auto"/>
        </w:rPr>
      </w:pPr>
    </w:p>
    <w:p>
      <w:pPr>
        <w:ind w:left="580" w:right="20"/>
        <w:spacing w:after="0" w:line="298" w:lineRule="auto"/>
        <w:rPr>
          <w:sz w:val="20"/>
          <w:szCs w:val="20"/>
          <w:color w:val="auto"/>
        </w:rPr>
      </w:pPr>
      <w:r>
        <w:rPr>
          <w:rFonts w:ascii="Arial" w:cs="Arial" w:eastAsia="Arial" w:hAnsi="Arial"/>
          <w:sz w:val="14"/>
          <w:szCs w:val="14"/>
          <w:color w:val="auto"/>
        </w:rPr>
        <w:t>After Completion, the Sellers shall execute such documents and take such steps as the Purchaser may reasonably require to vest the full title to the Completion Shares in the Purchaser, to fulfil the provisions of this Agreement and to give the Purchaser the full benefit of this Agreement.</w:t>
      </w:r>
    </w:p>
    <w:p>
      <w:pPr>
        <w:spacing w:after="0" w:line="6"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b w:val="1"/>
          <w:bCs w:val="1"/>
          <w:color w:val="auto"/>
        </w:rPr>
        <w:t>19.9</w:t>
      </w:r>
      <w:r>
        <w:rPr>
          <w:sz w:val="20"/>
          <w:szCs w:val="20"/>
          <w:color w:val="auto"/>
        </w:rPr>
        <w:tab/>
      </w:r>
      <w:r>
        <w:rPr>
          <w:rFonts w:ascii="Arial" w:cs="Arial" w:eastAsia="Arial" w:hAnsi="Arial"/>
          <w:sz w:val="14"/>
          <w:szCs w:val="14"/>
          <w:b w:val="1"/>
          <w:bCs w:val="1"/>
          <w:i w:val="1"/>
          <w:iCs w:val="1"/>
          <w:color w:val="auto"/>
        </w:rPr>
        <w:t>Counterparts</w:t>
      </w:r>
    </w:p>
    <w:p>
      <w:pPr>
        <w:spacing w:after="0" w:line="70" w:lineRule="exact"/>
        <w:rPr>
          <w:sz w:val="20"/>
          <w:szCs w:val="20"/>
          <w:color w:val="auto"/>
        </w:rPr>
      </w:pPr>
    </w:p>
    <w:p>
      <w:pPr>
        <w:ind w:left="1160" w:right="20" w:hanging="578"/>
        <w:spacing w:after="0" w:line="235" w:lineRule="auto"/>
        <w:tabs>
          <w:tab w:leader="none" w:pos="1148"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the parties on separate counterparts, but shall not be effective until each party has executed at least one counterpart.</w:t>
      </w:r>
    </w:p>
    <w:p>
      <w:pPr>
        <w:spacing w:after="0" w:line="47" w:lineRule="exact"/>
        <w:rPr>
          <w:rFonts w:ascii="Arial" w:cs="Arial" w:eastAsia="Arial" w:hAnsi="Arial"/>
          <w:sz w:val="16"/>
          <w:szCs w:val="16"/>
          <w:color w:val="auto"/>
        </w:rPr>
      </w:pPr>
    </w:p>
    <w:p>
      <w:pPr>
        <w:ind w:right="240" w:firstLine="582"/>
        <w:spacing w:after="0" w:line="328" w:lineRule="auto"/>
        <w:tabs>
          <w:tab w:leader="none" w:pos="11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Each counterpart, when executed, shall be an original of this Agreement and all counterparts shall together constitute one instrument. 19.10 </w:t>
      </w:r>
      <w:r>
        <w:rPr>
          <w:rFonts w:ascii="Arial" w:cs="Arial" w:eastAsia="Arial" w:hAnsi="Arial"/>
          <w:sz w:val="16"/>
          <w:szCs w:val="16"/>
          <w:b w:val="1"/>
          <w:bCs w:val="1"/>
          <w:i w:val="1"/>
          <w:iCs w:val="1"/>
          <w:color w:val="auto"/>
        </w:rPr>
        <w:t>Confidentiality</w:t>
      </w:r>
    </w:p>
    <w:p>
      <w:pPr>
        <w:spacing w:after="0" w:line="1" w:lineRule="exact"/>
        <w:rPr>
          <w:sz w:val="20"/>
          <w:szCs w:val="20"/>
          <w:color w:val="auto"/>
        </w:rPr>
      </w:pPr>
    </w:p>
    <w:p>
      <w:pPr>
        <w:jc w:val="both"/>
        <w:ind w:left="1160" w:right="20" w:hanging="578"/>
        <w:spacing w:after="0" w:line="224" w:lineRule="auto"/>
        <w:tabs>
          <w:tab w:leader="none" w:pos="114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Except as referred to in sub-clause 19.10(b), each party shall treat as strictly confidential all information received or obtained as a result of entering into or performing this Agreement which relates to the provisions or subject matter of this Agreement, to any other party or to the negotiations relating to this Agreement.</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party may disclose information which would otherwise be confidential if and to the extent:</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it is required to do so by law or any securities exchange or regulatory or governmental body to which it is subject wherever situated;</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it considers it necessary to disclose the information to its professional advisers, auditors and bankers provided that it does so on a confidential basis;</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information has come into the public domain through no fault of that party;</w:t>
      </w:r>
    </w:p>
    <w:p>
      <w:pPr>
        <w:spacing w:after="0" w:line="68"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information is required to be disclosed to the W&amp;I Insurer or any broker advising on the W&amp;I Policy in connection with the arrangement or administration of, or any claim to be made under, the W&amp;I Policy;</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information was previously disclosed to it without any obligation of confidence;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each party to whom it relates has given its consent in writing.</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19.11</w:t>
      </w:r>
      <w:r>
        <w:rPr>
          <w:sz w:val="20"/>
          <w:szCs w:val="20"/>
          <w:color w:val="auto"/>
        </w:rPr>
        <w:tab/>
      </w:r>
      <w:r>
        <w:rPr>
          <w:rFonts w:ascii="Arial" w:cs="Arial" w:eastAsia="Arial" w:hAnsi="Arial"/>
          <w:sz w:val="14"/>
          <w:szCs w:val="14"/>
          <w:b w:val="1"/>
          <w:bCs w:val="1"/>
          <w:i w:val="1"/>
          <w:iCs w:val="1"/>
          <w:color w:val="auto"/>
        </w:rPr>
        <w:t>Independent Expert</w:t>
      </w:r>
    </w:p>
    <w:p>
      <w:pPr>
        <w:spacing w:after="0" w:line="68" w:lineRule="exact"/>
        <w:rPr>
          <w:sz w:val="20"/>
          <w:szCs w:val="20"/>
          <w:color w:val="auto"/>
        </w:rPr>
      </w:pPr>
    </w:p>
    <w:p>
      <w:pPr>
        <w:ind w:left="1160" w:right="20" w:hanging="578"/>
        <w:spacing w:after="0" w:line="235" w:lineRule="auto"/>
        <w:tabs>
          <w:tab w:leader="none" w:pos="1148" w:val="left"/>
        </w:tabs>
        <w:numPr>
          <w:ilvl w:val="0"/>
          <w:numId w:val="356"/>
        </w:numPr>
        <w:rPr>
          <w:rFonts w:ascii="Arial" w:cs="Arial" w:eastAsia="Arial" w:hAnsi="Arial"/>
          <w:sz w:val="16"/>
          <w:szCs w:val="16"/>
          <w:color w:val="auto"/>
        </w:rPr>
      </w:pPr>
      <w:r>
        <w:rPr>
          <w:rFonts w:ascii="Arial" w:cs="Arial" w:eastAsia="Arial" w:hAnsi="Arial"/>
          <w:sz w:val="16"/>
          <w:szCs w:val="16"/>
          <w:color w:val="auto"/>
        </w:rPr>
        <w:t>Where any matter in this Agreement is to be referred to the decision of an Independent Expert including pursuant to Schedule 9 (</w:t>
      </w:r>
      <w:r>
        <w:rPr>
          <w:rFonts w:ascii="Arial" w:cs="Arial" w:eastAsia="Arial" w:hAnsi="Arial"/>
          <w:sz w:val="16"/>
          <w:szCs w:val="16"/>
          <w:i w:val="1"/>
          <w:iCs w:val="1"/>
          <w:color w:val="auto"/>
        </w:rPr>
        <w:t>Completion Accounts</w:t>
      </w:r>
      <w:r>
        <w:rPr>
          <w:rFonts w:ascii="Arial" w:cs="Arial" w:eastAsia="Arial" w:hAnsi="Arial"/>
          <w:sz w:val="16"/>
          <w:szCs w:val="16"/>
          <w:color w:val="auto"/>
        </w:rPr>
        <w:t>) and clause 4.4 (</w:t>
      </w:r>
      <w:r>
        <w:rPr>
          <w:rFonts w:ascii="Arial" w:cs="Arial" w:eastAsia="Arial" w:hAnsi="Arial"/>
          <w:sz w:val="16"/>
          <w:szCs w:val="16"/>
          <w:i w:val="1"/>
          <w:iCs w:val="1"/>
          <w:color w:val="auto"/>
        </w:rPr>
        <w:t>FME Shareholders' Transaction Tax Liability</w:t>
      </w:r>
      <w:r>
        <w:rPr>
          <w:rFonts w:ascii="Arial" w:cs="Arial" w:eastAsia="Arial" w:hAnsi="Arial"/>
          <w:sz w:val="16"/>
          <w:szCs w:val="16"/>
          <w:color w:val="auto"/>
        </w:rPr>
        <w:t xml:space="preserve"> ), the provisions of this sub-</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ectPr>
          <w:pgSz w:w="11900" w:h="16840" w:orient="portrait"/>
          <w:cols w:equalWidth="0" w:num="1">
            <w:col w:w="10580"/>
          </w:cols>
          <w:pgMar w:left="660" w:top="1440" w:right="660" w:bottom="1440" w:gutter="0" w:footer="0" w:header="0"/>
        </w:sectPr>
      </w:pPr>
    </w:p>
    <w:bookmarkStart w:id="389" w:name="page390"/>
    <w:bookmarkEnd w:id="389"/>
    <w:p>
      <w:pPr>
        <w:spacing w:after="0" w:line="331" w:lineRule="exact"/>
        <w:rPr>
          <w:sz w:val="20"/>
          <w:szCs w:val="20"/>
          <w:color w:val="auto"/>
        </w:rPr>
      </w:pPr>
    </w:p>
    <w:p>
      <w:pPr>
        <w:ind w:left="578"/>
        <w:spacing w:after="0"/>
        <w:rPr>
          <w:sz w:val="20"/>
          <w:szCs w:val="20"/>
          <w:color w:val="auto"/>
        </w:rPr>
      </w:pPr>
      <w:r>
        <w:rPr>
          <w:rFonts w:ascii="Arial" w:cs="Arial" w:eastAsia="Arial" w:hAnsi="Arial"/>
          <w:sz w:val="16"/>
          <w:szCs w:val="16"/>
          <w:color w:val="auto"/>
        </w:rPr>
        <w:t>clause 19.11 will apply to the Independent Expert's appointment and terms of reference.</w:t>
      </w:r>
    </w:p>
    <w:p>
      <w:pPr>
        <w:spacing w:after="0" w:line="68" w:lineRule="exact"/>
        <w:rPr>
          <w:sz w:val="20"/>
          <w:szCs w:val="20"/>
          <w:color w:val="auto"/>
        </w:rPr>
      </w:pPr>
    </w:p>
    <w:p>
      <w:pPr>
        <w:ind w:left="558" w:hanging="558"/>
        <w:spacing w:after="0"/>
        <w:tabs>
          <w:tab w:leader="none" w:pos="55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Independent Expert shall be Deloitte, Klynveld Peat Marwick Goerdeler (KPMG), Grant Thornton or BDO as either:</w:t>
      </w:r>
    </w:p>
    <w:p>
      <w:pPr>
        <w:spacing w:after="0" w:line="68" w:lineRule="exact"/>
        <w:rPr>
          <w:rFonts w:ascii="Arial" w:cs="Arial" w:eastAsia="Arial" w:hAnsi="Arial"/>
          <w:sz w:val="16"/>
          <w:szCs w:val="16"/>
          <w:color w:val="auto"/>
        </w:rPr>
      </w:pPr>
    </w:p>
    <w:p>
      <w:pPr>
        <w:ind w:left="1158" w:right="20" w:hanging="582"/>
        <w:spacing w:after="0" w:line="235" w:lineRule="auto"/>
        <w:tabs>
          <w:tab w:leader="none" w:pos="1158" w:val="left"/>
        </w:tabs>
        <w:numPr>
          <w:ilvl w:val="1"/>
          <w:numId w:val="357"/>
        </w:numPr>
        <w:rPr>
          <w:rFonts w:ascii="Arial" w:cs="Arial" w:eastAsia="Arial" w:hAnsi="Arial"/>
          <w:sz w:val="16"/>
          <w:szCs w:val="16"/>
          <w:color w:val="auto"/>
        </w:rPr>
      </w:pPr>
      <w:r>
        <w:rPr>
          <w:rFonts w:ascii="Arial" w:cs="Arial" w:eastAsia="Arial" w:hAnsi="Arial"/>
          <w:sz w:val="16"/>
          <w:szCs w:val="16"/>
          <w:color w:val="auto"/>
        </w:rPr>
        <w:t>jointly agreed between the Sellers' Representatives (or, if the decision is in relation to the Earn-Out Consideration, the FME Shareholders' Representative) and the Purchaser within [***] days of the referral referred to in sub-clause 19.11(a); or</w:t>
      </w:r>
    </w:p>
    <w:p>
      <w:pPr>
        <w:spacing w:after="0" w:line="47" w:lineRule="exact"/>
        <w:rPr>
          <w:rFonts w:ascii="Arial" w:cs="Arial" w:eastAsia="Arial" w:hAnsi="Arial"/>
          <w:sz w:val="16"/>
          <w:szCs w:val="16"/>
          <w:color w:val="auto"/>
        </w:rPr>
      </w:pPr>
    </w:p>
    <w:p>
      <w:pPr>
        <w:ind w:left="1138" w:hanging="562"/>
        <w:spacing w:after="0"/>
        <w:tabs>
          <w:tab w:leader="none" w:pos="1138" w:val="left"/>
        </w:tabs>
        <w:numPr>
          <w:ilvl w:val="1"/>
          <w:numId w:val="357"/>
        </w:numPr>
        <w:rPr>
          <w:rFonts w:ascii="Arial" w:cs="Arial" w:eastAsia="Arial" w:hAnsi="Arial"/>
          <w:sz w:val="16"/>
          <w:szCs w:val="16"/>
          <w:color w:val="auto"/>
        </w:rPr>
      </w:pPr>
      <w:r>
        <w:rPr>
          <w:rFonts w:ascii="Arial" w:cs="Arial" w:eastAsia="Arial" w:hAnsi="Arial"/>
          <w:sz w:val="16"/>
          <w:szCs w:val="16"/>
          <w:color w:val="auto"/>
        </w:rPr>
        <w:t>failing such agreement within such [***]-day period, to be nominated by either:</w:t>
      </w:r>
    </w:p>
    <w:p>
      <w:pPr>
        <w:spacing w:after="0" w:line="66" w:lineRule="exact"/>
        <w:rPr>
          <w:rFonts w:ascii="Arial" w:cs="Arial" w:eastAsia="Arial" w:hAnsi="Arial"/>
          <w:sz w:val="16"/>
          <w:szCs w:val="16"/>
          <w:color w:val="auto"/>
        </w:rPr>
      </w:pPr>
    </w:p>
    <w:p>
      <w:pPr>
        <w:jc w:val="both"/>
        <w:ind w:left="1738" w:hanging="585"/>
        <w:spacing w:after="0" w:line="214" w:lineRule="auto"/>
        <w:tabs>
          <w:tab w:leader="none" w:pos="1726" w:val="left"/>
        </w:tabs>
        <w:numPr>
          <w:ilvl w:val="2"/>
          <w:numId w:val="357"/>
        </w:numPr>
        <w:rPr>
          <w:rFonts w:ascii="Arial" w:cs="Arial" w:eastAsia="Arial" w:hAnsi="Arial"/>
          <w:sz w:val="16"/>
          <w:szCs w:val="16"/>
          <w:color w:val="auto"/>
        </w:rPr>
      </w:pPr>
      <w:r>
        <w:rPr>
          <w:rFonts w:ascii="Arial" w:cs="Arial" w:eastAsia="Arial" w:hAnsi="Arial"/>
          <w:sz w:val="16"/>
          <w:szCs w:val="16"/>
          <w:color w:val="auto"/>
        </w:rPr>
        <w:t xml:space="preserve">the President for the time being of the Institute of Chartered Accountants in England and Wales ( </w:t>
      </w:r>
      <w:r>
        <w:rPr>
          <w:rFonts w:ascii="Arial" w:cs="Arial" w:eastAsia="Arial" w:hAnsi="Arial"/>
          <w:sz w:val="16"/>
          <w:szCs w:val="16"/>
          <w:b w:val="1"/>
          <w:bCs w:val="1"/>
          <w:color w:val="auto"/>
        </w:rPr>
        <w:t>"ICAEW President"</w:t>
      </w:r>
      <w:r>
        <w:rPr>
          <w:rFonts w:ascii="Arial" w:cs="Arial" w:eastAsia="Arial" w:hAnsi="Arial"/>
          <w:sz w:val="16"/>
          <w:szCs w:val="16"/>
          <w:color w:val="auto"/>
        </w:rPr>
        <w:t>) (or the next most senior officer available) upon the joint written application of the Sellers' Representatives (or, if the decision is in relation to the Earn-Out Consideration, the FME Shareholders' Representative) and the Purchaser (together with the applicable application fee (which shall be paid as to one half by the Purchaser and as to one half by the Sellers (or, if the decision is in relation to the Earn-Out Consideration, the FME Shareholders)) and required forms), or</w:t>
      </w:r>
    </w:p>
    <w:p>
      <w:pPr>
        <w:spacing w:after="0" w:line="49" w:lineRule="exact"/>
        <w:rPr>
          <w:rFonts w:ascii="Arial" w:cs="Arial" w:eastAsia="Arial" w:hAnsi="Arial"/>
          <w:sz w:val="16"/>
          <w:szCs w:val="16"/>
          <w:color w:val="auto"/>
        </w:rPr>
      </w:pPr>
    </w:p>
    <w:p>
      <w:pPr>
        <w:jc w:val="both"/>
        <w:ind w:left="1738" w:hanging="585"/>
        <w:spacing w:after="0" w:line="249" w:lineRule="auto"/>
        <w:tabs>
          <w:tab w:leader="none" w:pos="1726" w:val="left"/>
        </w:tabs>
        <w:numPr>
          <w:ilvl w:val="2"/>
          <w:numId w:val="357"/>
        </w:numPr>
        <w:rPr>
          <w:rFonts w:ascii="Arial" w:cs="Arial" w:eastAsia="Arial" w:hAnsi="Arial"/>
          <w:sz w:val="14"/>
          <w:szCs w:val="14"/>
          <w:color w:val="auto"/>
        </w:rPr>
      </w:pPr>
      <w:r>
        <w:rPr>
          <w:rFonts w:ascii="Arial" w:cs="Arial" w:eastAsia="Arial" w:hAnsi="Arial"/>
          <w:sz w:val="14"/>
          <w:szCs w:val="14"/>
          <w:color w:val="auto"/>
        </w:rPr>
        <w:t>where the relevant Sellers' Representatives and the Purchaser fail to make a joint application to the ICAEW President within [***] days after the failure of the Sellers' Representatives and the Purchaser to agree upon the Independent Expert, the London Court of International Arbitration upon the written application of either the Sellers' Representatives (or, if the decision is in relation to the Earn-Out Consideration, the FME Shareholders' Representative) or the Purchaser (together with the applicable application fee (which shall be paid by the party making the application)).</w:t>
      </w:r>
    </w:p>
    <w:p>
      <w:pPr>
        <w:spacing w:after="0" w:line="41" w:lineRule="exact"/>
        <w:rPr>
          <w:rFonts w:ascii="Arial" w:cs="Arial" w:eastAsia="Arial" w:hAnsi="Arial"/>
          <w:sz w:val="14"/>
          <w:szCs w:val="14"/>
          <w:color w:val="auto"/>
        </w:rPr>
      </w:pPr>
    </w:p>
    <w:p>
      <w:pPr>
        <w:jc w:val="both"/>
        <w:ind w:left="578" w:hanging="578"/>
        <w:spacing w:after="0" w:line="219" w:lineRule="auto"/>
        <w:tabs>
          <w:tab w:leader="none" w:pos="56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Purchaser and the relevant Sellers' Representatives shall use all reasonable endeavours to reach agreement regarding the identity of the person to be appointed as the Independent Expert (who shall be required to have experience in M&amp;A transactions) and to agree terms of appointment with the Independent Expert and neither party shall unreasonably withhold its agreement to the terms of appointment proposed by the Independent Expert or the other party.</w:t>
      </w:r>
    </w:p>
    <w:p>
      <w:pPr>
        <w:spacing w:after="0" w:line="48" w:lineRule="exact"/>
        <w:rPr>
          <w:rFonts w:ascii="Arial" w:cs="Arial" w:eastAsia="Arial" w:hAnsi="Arial"/>
          <w:sz w:val="16"/>
          <w:szCs w:val="16"/>
          <w:color w:val="auto"/>
        </w:rPr>
      </w:pPr>
    </w:p>
    <w:p>
      <w:pPr>
        <w:ind w:left="578" w:right="20" w:hanging="578"/>
        <w:spacing w:after="0" w:line="235" w:lineRule="auto"/>
        <w:tabs>
          <w:tab w:leader="none" w:pos="56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If a nominating body is called upon to nominate an Independent Expert pursuant to sub-clause 19.11(b), such nominating body shall also agree the Independent Expert's terms of appointment on behalf of the Purchaser and the relevant Sellers' Representatives.</w:t>
      </w:r>
    </w:p>
    <w:p>
      <w:pPr>
        <w:spacing w:after="0" w:line="47" w:lineRule="exact"/>
        <w:rPr>
          <w:rFonts w:ascii="Arial" w:cs="Arial" w:eastAsia="Arial" w:hAnsi="Arial"/>
          <w:sz w:val="16"/>
          <w:szCs w:val="16"/>
          <w:color w:val="auto"/>
        </w:rPr>
      </w:pPr>
    </w:p>
    <w:p>
      <w:pPr>
        <w:jc w:val="both"/>
        <w:ind w:left="578" w:hanging="578"/>
        <w:spacing w:after="0" w:line="219" w:lineRule="auto"/>
        <w:tabs>
          <w:tab w:leader="none" w:pos="56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Each of the Purchaser and the relevant Sellers' Representatives shall co-operate with the Independent Expert and promptly on request supply to the Independent Expert such documents and information as the Independent Expert may require for the purpose of the reference and in order to enable the determination to be reached as soon as reasonably practicable and in any event within any time period set by this Agreement.</w:t>
      </w:r>
    </w:p>
    <w:p>
      <w:pPr>
        <w:spacing w:after="0" w:line="48" w:lineRule="exact"/>
        <w:rPr>
          <w:rFonts w:ascii="Arial" w:cs="Arial" w:eastAsia="Arial" w:hAnsi="Arial"/>
          <w:sz w:val="16"/>
          <w:szCs w:val="16"/>
          <w:color w:val="auto"/>
        </w:rPr>
      </w:pPr>
    </w:p>
    <w:p>
      <w:pPr>
        <w:jc w:val="both"/>
        <w:ind w:left="578" w:right="20" w:hanging="578"/>
        <w:spacing w:after="0" w:line="219" w:lineRule="auto"/>
        <w:tabs>
          <w:tab w:leader="none" w:pos="56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Purchaser and the relevant Sellers' Representatives shall be entitled to make submissions to the Independent Expert and each such party shall, with reasonable promptness, supply the other party with all such information and access to its documents, books and records as the other party may reasonably require in order to make a submission to the Independent Expert in accordance with this clause.</w:t>
      </w:r>
    </w:p>
    <w:p>
      <w:pPr>
        <w:spacing w:after="0" w:line="48" w:lineRule="exact"/>
        <w:rPr>
          <w:rFonts w:ascii="Arial" w:cs="Arial" w:eastAsia="Arial" w:hAnsi="Arial"/>
          <w:sz w:val="16"/>
          <w:szCs w:val="16"/>
          <w:color w:val="auto"/>
        </w:rPr>
      </w:pPr>
    </w:p>
    <w:p>
      <w:pPr>
        <w:ind w:left="578" w:right="40" w:hanging="578"/>
        <w:spacing w:after="0" w:line="235" w:lineRule="auto"/>
        <w:tabs>
          <w:tab w:leader="none" w:pos="56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To the extent not provided for in this sub-clause 19.11, the Independent Expert may in its reasonable discretion determine such other procedures to assist with the conduct of its determination as it considers just or appropriate.</w:t>
      </w:r>
    </w:p>
    <w:p>
      <w:pPr>
        <w:spacing w:after="0" w:line="47" w:lineRule="exact"/>
        <w:rPr>
          <w:rFonts w:ascii="Arial" w:cs="Arial" w:eastAsia="Arial" w:hAnsi="Arial"/>
          <w:sz w:val="16"/>
          <w:szCs w:val="16"/>
          <w:color w:val="auto"/>
        </w:rPr>
      </w:pPr>
    </w:p>
    <w:p>
      <w:pPr>
        <w:ind w:left="558" w:hanging="558"/>
        <w:spacing w:after="0"/>
        <w:tabs>
          <w:tab w:leader="none" w:pos="55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Unless otherwise agreed by the parties or as otherwise expressly provided in this Agreement, the Independent Expert shall:</w:t>
      </w:r>
    </w:p>
    <w:p>
      <w:pPr>
        <w:spacing w:after="0" w:line="68" w:lineRule="exact"/>
        <w:rPr>
          <w:rFonts w:ascii="Arial" w:cs="Arial" w:eastAsia="Arial" w:hAnsi="Arial"/>
          <w:sz w:val="16"/>
          <w:szCs w:val="16"/>
          <w:color w:val="auto"/>
        </w:rPr>
      </w:pPr>
    </w:p>
    <w:p>
      <w:pPr>
        <w:jc w:val="both"/>
        <w:ind w:left="1158" w:right="20" w:hanging="582"/>
        <w:spacing w:after="0" w:line="224" w:lineRule="auto"/>
        <w:tabs>
          <w:tab w:leader="none" w:pos="1158" w:val="left"/>
        </w:tabs>
        <w:numPr>
          <w:ilvl w:val="1"/>
          <w:numId w:val="357"/>
        </w:numPr>
        <w:rPr>
          <w:rFonts w:ascii="Arial" w:cs="Arial" w:eastAsia="Arial" w:hAnsi="Arial"/>
          <w:sz w:val="16"/>
          <w:szCs w:val="16"/>
          <w:color w:val="auto"/>
        </w:rPr>
      </w:pPr>
      <w:r>
        <w:rPr>
          <w:rFonts w:ascii="Arial" w:cs="Arial" w:eastAsia="Arial" w:hAnsi="Arial"/>
          <w:sz w:val="16"/>
          <w:szCs w:val="16"/>
          <w:color w:val="auto"/>
        </w:rPr>
        <w:t>be required to make its determination in writing (including reasons for its determination) within the range proposed by each party and to provide a copy to each party as soon as reasonably practicable and in any event within [***] Business Days of its appointment (unless the Independent Expert otherwise determines);</w:t>
      </w:r>
    </w:p>
    <w:p>
      <w:pPr>
        <w:spacing w:after="0" w:line="48" w:lineRule="exact"/>
        <w:rPr>
          <w:rFonts w:ascii="Arial" w:cs="Arial" w:eastAsia="Arial" w:hAnsi="Arial"/>
          <w:sz w:val="16"/>
          <w:szCs w:val="16"/>
          <w:color w:val="auto"/>
        </w:rPr>
      </w:pPr>
    </w:p>
    <w:p>
      <w:pPr>
        <w:ind w:left="1158" w:right="20" w:hanging="582"/>
        <w:spacing w:after="0" w:line="235" w:lineRule="auto"/>
        <w:tabs>
          <w:tab w:leader="none" w:pos="1146" w:val="left"/>
        </w:tabs>
        <w:numPr>
          <w:ilvl w:val="1"/>
          <w:numId w:val="357"/>
        </w:numPr>
        <w:rPr>
          <w:rFonts w:ascii="Arial" w:cs="Arial" w:eastAsia="Arial" w:hAnsi="Arial"/>
          <w:sz w:val="16"/>
          <w:szCs w:val="16"/>
          <w:color w:val="auto"/>
        </w:rPr>
      </w:pPr>
      <w:r>
        <w:rPr>
          <w:rFonts w:ascii="Arial" w:cs="Arial" w:eastAsia="Arial" w:hAnsi="Arial"/>
          <w:sz w:val="16"/>
          <w:szCs w:val="16"/>
          <w:color w:val="auto"/>
        </w:rPr>
        <w:t>be entitled to make any determination as to the interpretation of this Agreement as is necessary in the reasonable opinion of the Independent Expert to enable a determination of the matters so referred to be made; and</w:t>
      </w:r>
    </w:p>
    <w:p>
      <w:pPr>
        <w:spacing w:after="0" w:line="200" w:lineRule="exact"/>
        <w:rPr>
          <w:sz w:val="20"/>
          <w:szCs w:val="20"/>
          <w:color w:val="auto"/>
        </w:rPr>
      </w:pPr>
    </w:p>
    <w:p>
      <w:pPr>
        <w:spacing w:after="0" w:line="328" w:lineRule="exact"/>
        <w:rPr>
          <w:sz w:val="20"/>
          <w:szCs w:val="20"/>
          <w:color w:val="auto"/>
        </w:rPr>
      </w:pPr>
    </w:p>
    <w:p>
      <w:pPr>
        <w:ind w:left="4618"/>
        <w:spacing w:after="0"/>
        <w:rPr>
          <w:sz w:val="20"/>
          <w:szCs w:val="20"/>
          <w:color w:val="auto"/>
        </w:rPr>
      </w:pPr>
      <w:r>
        <w:rPr>
          <w:rFonts w:ascii="Arial" w:cs="Arial" w:eastAsia="Arial" w:hAnsi="Arial"/>
          <w:sz w:val="13"/>
          <w:szCs w:val="13"/>
          <w:color w:val="auto"/>
        </w:rPr>
        <w:t>39</w:t>
      </w:r>
    </w:p>
    <w:p>
      <w:pPr>
        <w:sectPr>
          <w:pgSz w:w="11900" w:h="16840" w:orient="portrait"/>
          <w:cols w:equalWidth="0" w:num="1">
            <w:col w:w="9998"/>
          </w:cols>
          <w:pgMar w:left="1242" w:top="1440" w:right="660" w:bottom="1440" w:gutter="0" w:footer="0" w:header="0"/>
        </w:sectPr>
      </w:pPr>
    </w:p>
    <w:bookmarkStart w:id="390" w:name="page391"/>
    <w:bookmarkEnd w:id="390"/>
    <w:p>
      <w:pPr>
        <w:spacing w:after="0" w:line="331" w:lineRule="exact"/>
        <w:rPr>
          <w:sz w:val="20"/>
          <w:szCs w:val="20"/>
          <w:color w:val="auto"/>
        </w:rPr>
      </w:pPr>
    </w:p>
    <w:p>
      <w:pPr>
        <w:ind w:left="1720" w:hanging="562"/>
        <w:spacing w:after="0"/>
        <w:tabs>
          <w:tab w:leader="none" w:pos="172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be entitled to take legal advice on any matter relevant to the determination.</w:t>
      </w:r>
    </w:p>
    <w:p>
      <w:pPr>
        <w:spacing w:after="0" w:line="68" w:lineRule="exact"/>
        <w:rPr>
          <w:rFonts w:ascii="Arial" w:cs="Arial" w:eastAsia="Arial" w:hAnsi="Arial"/>
          <w:sz w:val="16"/>
          <w:szCs w:val="16"/>
          <w:color w:val="auto"/>
        </w:rPr>
      </w:pPr>
    </w:p>
    <w:p>
      <w:pPr>
        <w:ind w:left="1160" w:right="40" w:hanging="578"/>
        <w:spacing w:after="0" w:line="235" w:lineRule="auto"/>
        <w:tabs>
          <w:tab w:leader="none" w:pos="11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Independent Expert shall act as an expert and not as an arbitrator and neither the Arbitration Act 1996 nor any earlier or later enactments on arbitration shall apply.</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Independent Expert's decision shall (in the absence of manifest error or fraud) be final and binding on the Parties for all the purposes of this Agreement. Where a manifest error results from a computational, clerical or typographical error, the relevant part of the determination shall be void and shall be referred back to the Independent Expert for correction.</w:t>
      </w:r>
    </w:p>
    <w:p>
      <w:pPr>
        <w:spacing w:after="0" w:line="48"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costs of the Independent Expert shall be apportioned between the parties as the Independent Expert shall decide but each party shall be responsible for its own costs of presenting its case to the Independent Expert. If the Independent Expert shall not determine how its costs shall be determined, his costs shall be borne [***] by the Seller (or, if the decision is in relation to the Earn-Out Consideration, the FME Shareholders) [***] and the Purchaser [***].</w:t>
      </w:r>
    </w:p>
    <w:p>
      <w:pPr>
        <w:spacing w:after="0" w:line="48" w:lineRule="exact"/>
        <w:rPr>
          <w:rFonts w:ascii="Arial" w:cs="Arial" w:eastAsia="Arial" w:hAnsi="Arial"/>
          <w:sz w:val="16"/>
          <w:szCs w:val="16"/>
          <w:color w:val="auto"/>
        </w:rPr>
      </w:pPr>
    </w:p>
    <w:p>
      <w:pPr>
        <w:jc w:val="both"/>
        <w:ind w:left="1160" w:hanging="578"/>
        <w:spacing w:after="0" w:line="216" w:lineRule="auto"/>
        <w:tabs>
          <w:tab w:leader="none" w:pos="11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if the Independent Expert dies or becomes unwilling or incapable of acting, or does not deliver its determination within the period required by this sub-clause 19.11, the Purchaser and the Sellers' Representatives shall use all reasonable endeavours to agree the identity and terms of appointment of a replacement Independent Expert and the provisions of sub-clause 19.11(b) shall apply mutatis mutandis. This sub-clause 19.11 shall apply in relation to each and any replacement Independent Expert as if it was the first Independent Expert appointed.</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Purchaser and the Sellers' Representatives shall act reasonably and co-operate to give effect to the provisions of this sub-clause 19.11 and shall not do anything to hinder the Independent Expert or prevent it from making its determination.</w:t>
      </w:r>
    </w:p>
    <w:p>
      <w:pPr>
        <w:spacing w:after="0" w:line="4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19.12</w:t>
      </w:r>
      <w:r>
        <w:rPr>
          <w:sz w:val="20"/>
          <w:szCs w:val="20"/>
          <w:color w:val="auto"/>
        </w:rPr>
        <w:tab/>
      </w:r>
      <w:r>
        <w:rPr>
          <w:rFonts w:ascii="Arial" w:cs="Arial" w:eastAsia="Arial" w:hAnsi="Arial"/>
          <w:sz w:val="14"/>
          <w:szCs w:val="14"/>
          <w:b w:val="1"/>
          <w:bCs w:val="1"/>
          <w:i w:val="1"/>
          <w:iCs w:val="1"/>
          <w:color w:val="auto"/>
        </w:rPr>
        <w:t>Set-off</w:t>
      </w:r>
    </w:p>
    <w:p>
      <w:pPr>
        <w:spacing w:after="0" w:line="68" w:lineRule="exact"/>
        <w:rPr>
          <w:sz w:val="20"/>
          <w:szCs w:val="20"/>
          <w:color w:val="auto"/>
        </w:rPr>
      </w:pPr>
    </w:p>
    <w:p>
      <w:pPr>
        <w:ind w:left="1140" w:hanging="558"/>
        <w:spacing w:after="0"/>
        <w:tabs>
          <w:tab w:leader="none" w:pos="11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If, on the Earn-out Consideration Completion Date:</w:t>
      </w:r>
    </w:p>
    <w:p>
      <w:pPr>
        <w:spacing w:after="0" w:line="68" w:lineRule="exact"/>
        <w:rPr>
          <w:rFonts w:ascii="Arial" w:cs="Arial" w:eastAsia="Arial" w:hAnsi="Arial"/>
          <w:sz w:val="16"/>
          <w:szCs w:val="16"/>
          <w:color w:val="auto"/>
        </w:rPr>
      </w:pPr>
    </w:p>
    <w:p>
      <w:pPr>
        <w:jc w:val="both"/>
        <w:ind w:left="1740" w:right="20" w:hanging="582"/>
        <w:spacing w:after="0" w:line="224" w:lineRule="auto"/>
        <w:tabs>
          <w:tab w:leader="none" w:pos="174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 Due Amount (or any part of it) is outstanding, the Purchaser shall be entitled (at its sole discretion) to satisfy all (to the extent possible) or part of the relevant FME Shareholders' liability to pay such Due Amount by way of set-off against any Payment Amount, and to reduce the Purchaser's obligation to make any Payment Amount by the amount so set off; and/or</w:t>
      </w:r>
    </w:p>
    <w:p>
      <w:pPr>
        <w:spacing w:after="0" w:line="48" w:lineRule="exact"/>
        <w:rPr>
          <w:rFonts w:ascii="Arial" w:cs="Arial" w:eastAsia="Arial" w:hAnsi="Arial"/>
          <w:sz w:val="16"/>
          <w:szCs w:val="16"/>
          <w:color w:val="auto"/>
        </w:rPr>
      </w:pPr>
    </w:p>
    <w:p>
      <w:pPr>
        <w:ind w:left="1720" w:hanging="562"/>
        <w:spacing w:after="0"/>
        <w:tabs>
          <w:tab w:leader="none" w:pos="17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there is an Outstanding Claim, the Purchaser shall be entitled (at its sole discretion) to:</w:t>
      </w:r>
    </w:p>
    <w:p>
      <w:pPr>
        <w:spacing w:after="0" w:line="68" w:lineRule="exact"/>
        <w:rPr>
          <w:rFonts w:ascii="Arial" w:cs="Arial" w:eastAsia="Arial" w:hAnsi="Arial"/>
          <w:sz w:val="16"/>
          <w:szCs w:val="16"/>
          <w:color w:val="auto"/>
        </w:rPr>
      </w:pPr>
    </w:p>
    <w:p>
      <w:pPr>
        <w:ind w:left="2320" w:right="40" w:hanging="585"/>
        <w:spacing w:after="0" w:line="241" w:lineRule="auto"/>
        <w:tabs>
          <w:tab w:leader="none" w:pos="2308" w:val="left"/>
        </w:tabs>
        <w:numPr>
          <w:ilvl w:val="2"/>
          <w:numId w:val="360"/>
        </w:numPr>
        <w:rPr>
          <w:rFonts w:ascii="Arial" w:cs="Arial" w:eastAsia="Arial" w:hAnsi="Arial"/>
          <w:sz w:val="16"/>
          <w:szCs w:val="16"/>
          <w:color w:val="auto"/>
        </w:rPr>
      </w:pPr>
      <w:r>
        <w:rPr>
          <w:rFonts w:ascii="Arial" w:cs="Arial" w:eastAsia="Arial" w:hAnsi="Arial"/>
          <w:sz w:val="16"/>
          <w:szCs w:val="16"/>
          <w:color w:val="auto"/>
        </w:rPr>
        <w:t>withhold from the Payment Amount an amount equal to the Estimated Liability in respect of that Outstanding Claim or, if lower, the full amount of the Payment Amount (the "</w:t>
      </w:r>
      <w:r>
        <w:rPr>
          <w:rFonts w:ascii="Arial" w:cs="Arial" w:eastAsia="Arial" w:hAnsi="Arial"/>
          <w:sz w:val="16"/>
          <w:szCs w:val="16"/>
          <w:b w:val="1"/>
          <w:bCs w:val="1"/>
          <w:color w:val="auto"/>
        </w:rPr>
        <w:t>Reserved Sum</w:t>
      </w:r>
      <w:r>
        <w:rPr>
          <w:rFonts w:ascii="Arial" w:cs="Arial" w:eastAsia="Arial" w:hAnsi="Arial"/>
          <w:sz w:val="16"/>
          <w:szCs w:val="16"/>
          <w:color w:val="auto"/>
        </w:rPr>
        <w:t>"); and</w:t>
      </w:r>
    </w:p>
    <w:p>
      <w:pPr>
        <w:spacing w:after="0" w:line="38" w:lineRule="exact"/>
        <w:rPr>
          <w:rFonts w:ascii="Arial" w:cs="Arial" w:eastAsia="Arial" w:hAnsi="Arial"/>
          <w:sz w:val="16"/>
          <w:szCs w:val="16"/>
          <w:color w:val="auto"/>
        </w:rPr>
      </w:pPr>
    </w:p>
    <w:p>
      <w:pPr>
        <w:ind w:left="2300" w:hanging="565"/>
        <w:spacing w:after="0"/>
        <w:tabs>
          <w:tab w:leader="none" w:pos="2300" w:val="left"/>
        </w:tabs>
        <w:numPr>
          <w:ilvl w:val="2"/>
          <w:numId w:val="360"/>
        </w:numPr>
        <w:rPr>
          <w:rFonts w:ascii="Arial" w:cs="Arial" w:eastAsia="Arial" w:hAnsi="Arial"/>
          <w:sz w:val="16"/>
          <w:szCs w:val="16"/>
          <w:color w:val="auto"/>
        </w:rPr>
      </w:pPr>
      <w:r>
        <w:rPr>
          <w:rFonts w:ascii="Arial" w:cs="Arial" w:eastAsia="Arial" w:hAnsi="Arial"/>
          <w:sz w:val="16"/>
          <w:szCs w:val="16"/>
          <w:color w:val="auto"/>
        </w:rPr>
        <w:t>defer payment of the Reserved Sum until such time as the Outstanding Claim has become a Resolved Claim.</w:t>
      </w:r>
    </w:p>
    <w:p>
      <w:pPr>
        <w:spacing w:after="0" w:line="68"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360"/>
        </w:numPr>
        <w:rPr>
          <w:rFonts w:ascii="Arial" w:cs="Arial" w:eastAsia="Arial" w:hAnsi="Arial"/>
          <w:sz w:val="16"/>
          <w:szCs w:val="16"/>
          <w:color w:val="auto"/>
        </w:rPr>
      </w:pPr>
      <w:r>
        <w:rPr>
          <w:rFonts w:ascii="Arial" w:cs="Arial" w:eastAsia="Arial" w:hAnsi="Arial"/>
          <w:sz w:val="16"/>
          <w:szCs w:val="16"/>
          <w:color w:val="auto"/>
        </w:rPr>
        <w:t>Where the provisions of sub-clause 19.12(a)(ii) apply, the Purchaser and the relevant Sellers shall use all reasonable endeavours to agree the Estimated Liability in respect of the Outstanding Claim as soon as possible, and in any event, within the period of [***] Business Days following the Earn-out Consideration Completion Date. In the absence of such agreement, the following procedure shall apply:</w:t>
      </w:r>
    </w:p>
    <w:p>
      <w:pPr>
        <w:spacing w:after="0" w:line="48" w:lineRule="exact"/>
        <w:rPr>
          <w:rFonts w:ascii="Arial" w:cs="Arial" w:eastAsia="Arial" w:hAnsi="Arial"/>
          <w:sz w:val="16"/>
          <w:szCs w:val="16"/>
          <w:color w:val="auto"/>
        </w:rPr>
      </w:pPr>
    </w:p>
    <w:p>
      <w:pPr>
        <w:ind w:left="1740" w:hanging="582"/>
        <w:spacing w:after="0" w:line="235" w:lineRule="auto"/>
        <w:tabs>
          <w:tab w:leader="none" w:pos="174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determination of the Estimated Liability shall be referred to Counsel at the request of either party and Counsel shall be jointly appointed by the affected parties;</w:t>
      </w:r>
    </w:p>
    <w:p>
      <w:pPr>
        <w:spacing w:after="0" w:line="47"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Counsel shall be requested to provide their determination of the Estimated Liability within [***] Business Days of accepting their appointment (or such other period as the Purchaser and the relevant Sellers may otherwise agree with Counsel);</w:t>
      </w:r>
    </w:p>
    <w:p>
      <w:pPr>
        <w:spacing w:after="0" w:line="47" w:lineRule="exact"/>
        <w:rPr>
          <w:rFonts w:ascii="Arial" w:cs="Arial" w:eastAsia="Arial" w:hAnsi="Arial"/>
          <w:sz w:val="16"/>
          <w:szCs w:val="16"/>
          <w:color w:val="auto"/>
        </w:rPr>
      </w:pPr>
    </w:p>
    <w:p>
      <w:pPr>
        <w:ind w:left="1740" w:hanging="582"/>
        <w:spacing w:after="0" w:line="235" w:lineRule="auto"/>
        <w:tabs>
          <w:tab w:leader="none" w:pos="172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Counsel shall act as an expert and not as arbitrator and their determination regarding the amount of the Estimated Liability shall, in the absence of manifest error, be final and binding on all the parties;</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Counsel's fees shall be borne by the Purchaser (on the one part) and the relevant Sellers (on the other part) equally or as Counsel may otherwise direct having regard to the respective conduct of the parties;</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if Counsel has not been able to determine the amount of the Estimated Liability, then the Estimated Liability shall be deemed to be the median value</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40</w:t>
      </w:r>
    </w:p>
    <w:p>
      <w:pPr>
        <w:sectPr>
          <w:pgSz w:w="11900" w:h="16840" w:orient="portrait"/>
          <w:cols w:equalWidth="0" w:num="1">
            <w:col w:w="10580"/>
          </w:cols>
          <w:pgMar w:left="660" w:top="1440" w:right="660" w:bottom="1440" w:gutter="0" w:footer="0" w:header="0"/>
        </w:sectPr>
      </w:pPr>
    </w:p>
    <w:bookmarkStart w:id="391" w:name="page392"/>
    <w:bookmarkEnd w:id="391"/>
    <w:p>
      <w:pPr>
        <w:spacing w:after="0" w:line="331"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of the Purchaser's and the relevant Sellers' reasonable good faith estimates of such Estimated Liability; and</w:t>
      </w:r>
    </w:p>
    <w:p>
      <w:pPr>
        <w:spacing w:after="0" w:line="68" w:lineRule="exact"/>
        <w:rPr>
          <w:sz w:val="20"/>
          <w:szCs w:val="20"/>
          <w:color w:val="auto"/>
        </w:rPr>
      </w:pPr>
    </w:p>
    <w:p>
      <w:pPr>
        <w:ind w:left="1740" w:hanging="582"/>
        <w:spacing w:after="0" w:line="235" w:lineRule="auto"/>
        <w:tabs>
          <w:tab w:leader="none" w:pos="1728" w:val="left"/>
        </w:tabs>
        <w:numPr>
          <w:ilvl w:val="2"/>
          <w:numId w:val="361"/>
        </w:numPr>
        <w:rPr>
          <w:rFonts w:ascii="Arial" w:cs="Arial" w:eastAsia="Arial" w:hAnsi="Arial"/>
          <w:sz w:val="16"/>
          <w:szCs w:val="16"/>
          <w:color w:val="auto"/>
        </w:rPr>
      </w:pPr>
      <w:r>
        <w:rPr>
          <w:rFonts w:ascii="Arial" w:cs="Arial" w:eastAsia="Arial" w:hAnsi="Arial"/>
          <w:sz w:val="16"/>
          <w:szCs w:val="16"/>
          <w:color w:val="auto"/>
        </w:rPr>
        <w:t>if Counsel has provided a determination of the Estimated Liability in the form of a range of figures, then the Estimated Liability shall be deemed to be the median value of such estimates.</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Where a Reserved Sum has been withheld by the Purchaser pursuant to sub-clause 19.12(a)(ii) in respect of an Outstanding Claim, on that claim becoming a Resolved Claim the Purchaser shall:</w:t>
      </w:r>
    </w:p>
    <w:p>
      <w:pPr>
        <w:spacing w:after="0" w:line="47" w:lineRule="exact"/>
        <w:rPr>
          <w:rFonts w:ascii="Arial" w:cs="Arial" w:eastAsia="Arial" w:hAnsi="Arial"/>
          <w:sz w:val="16"/>
          <w:szCs w:val="16"/>
          <w:color w:val="auto"/>
        </w:rPr>
      </w:pPr>
    </w:p>
    <w:p>
      <w:pPr>
        <w:jc w:val="both"/>
        <w:ind w:left="1740" w:right="20" w:hanging="582"/>
        <w:spacing w:after="0" w:line="224" w:lineRule="auto"/>
        <w:tabs>
          <w:tab w:leader="none" w:pos="174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be entitled (at its sole discretion) to satisfy all (to the extent the Reserved Sum is sufficient) or part of the relevant Sellers' liability to pay the Due Amount in respect of the relevant Resolved Claim by way of set-off against the corresponding Reserved Sum, and to reduce the Purchaser's obligation to make any Payment Amount by the amount so set off; and</w:t>
      </w:r>
    </w:p>
    <w:p>
      <w:pPr>
        <w:spacing w:after="0" w:line="48" w:lineRule="exact"/>
        <w:rPr>
          <w:rFonts w:ascii="Arial" w:cs="Arial" w:eastAsia="Arial" w:hAnsi="Arial"/>
          <w:sz w:val="16"/>
          <w:szCs w:val="16"/>
          <w:color w:val="auto"/>
        </w:rPr>
      </w:pPr>
    </w:p>
    <w:p>
      <w:pPr>
        <w:jc w:val="both"/>
        <w:ind w:left="1740" w:right="20" w:hanging="582"/>
        <w:spacing w:after="0" w:line="224" w:lineRule="auto"/>
        <w:tabs>
          <w:tab w:leader="none" w:pos="1728" w:val="left"/>
        </w:tabs>
        <w:numPr>
          <w:ilvl w:val="2"/>
          <w:numId w:val="362"/>
        </w:numPr>
        <w:rPr>
          <w:rFonts w:ascii="Arial" w:cs="Arial" w:eastAsia="Arial" w:hAnsi="Arial"/>
          <w:sz w:val="16"/>
          <w:szCs w:val="16"/>
          <w:color w:val="auto"/>
        </w:rPr>
      </w:pPr>
      <w:r>
        <w:rPr>
          <w:rFonts w:ascii="Arial" w:cs="Arial" w:eastAsia="Arial" w:hAnsi="Arial"/>
          <w:sz w:val="16"/>
          <w:szCs w:val="16"/>
          <w:color w:val="auto"/>
        </w:rPr>
        <w:t>pay to the relevant Sellers the remaining balance of the corresponding Reserved Sum (if any) after the Purchaser has exercised its rights pursuant to sub-clause 19.12(c)(i). Such payment shall be made by the Purchaser within [***] Business Days of the Outstanding Claim becoming a Resolved Claim.</w:t>
      </w:r>
    </w:p>
    <w:p>
      <w:pPr>
        <w:spacing w:after="0" w:line="48"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Notwithstanding the provisions of sub-clause 19.12(c), where the amount of the Estimated Liability determined by Counsel in accordance with sub-clause 19.12(b) is less than the Reserved Sum, the Purchaser shall pay to the relevant Sellers the balance of the corresponding Reserved Sum within [***] Business Days after Counsel determines the amount of the Estimated Liability in accordance with sub-clause 19.12(b).</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Nothing in this sub-clause 19.12 shall prejudice, limit or otherwise affect:</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any right or remedy the Purchaser may have against the Sellers (or any of them) from time to time under this Agreement or any of the other Transaction Documents or at law; or</w:t>
      </w:r>
    </w:p>
    <w:p>
      <w:pPr>
        <w:spacing w:after="0" w:line="47" w:lineRule="exact"/>
        <w:rPr>
          <w:rFonts w:ascii="Arial" w:cs="Arial" w:eastAsia="Arial" w:hAnsi="Arial"/>
          <w:sz w:val="16"/>
          <w:szCs w:val="16"/>
          <w:color w:val="auto"/>
        </w:rPr>
      </w:pPr>
    </w:p>
    <w:p>
      <w:pPr>
        <w:ind w:left="1740" w:hanging="582"/>
        <w:spacing w:after="0" w:line="235" w:lineRule="auto"/>
        <w:tabs>
          <w:tab w:leader="none" w:pos="1728"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the Purchaser's right to recover against the Sellers (or any of them), whether before or after the Earn-out Consideration is paid in accordance with this Agreement.</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amount of a Reserved Sum withheld by the Purchaser in accordance with this sub-clause 19.12 shall not be regarded as imposing any limit on the amount of any claims under this Agreement or any of the other Transaction Documents or at law.</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If a Due Amount is not satisfied in full by way of set-off under sub-clause 19.12(a)(i) or sub-clause 19.12(c), nothing in this Agreement shall prevent or otherwise restrict the Purchaser's right to recover the balance from the Sellers (or any of them) and the Due Amount (to the extent not so satisfied) shall remain fully enforceable against the relevant Sellers.</w:t>
      </w:r>
    </w:p>
    <w:p>
      <w:pPr>
        <w:spacing w:after="0" w:line="46" w:lineRule="exact"/>
        <w:rPr>
          <w:rFonts w:ascii="Arial" w:cs="Arial" w:eastAsia="Arial" w:hAnsi="Arial"/>
          <w:sz w:val="16"/>
          <w:szCs w:val="16"/>
          <w:color w:val="auto"/>
        </w:rPr>
      </w:pPr>
    </w:p>
    <w:p>
      <w:pPr>
        <w:ind w:left="400" w:hanging="394"/>
        <w:spacing w:after="0"/>
        <w:tabs>
          <w:tab w:leader="none" w:pos="400" w:val="left"/>
        </w:tabs>
        <w:numPr>
          <w:ilvl w:val="0"/>
          <w:numId w:val="363"/>
        </w:numPr>
        <w:rPr>
          <w:rFonts w:ascii="Arial" w:cs="Arial" w:eastAsia="Arial" w:hAnsi="Arial"/>
          <w:sz w:val="16"/>
          <w:szCs w:val="16"/>
          <w:color w:val="auto"/>
        </w:rPr>
      </w:pPr>
      <w:r>
        <w:rPr>
          <w:rFonts w:ascii="Arial" w:cs="Arial" w:eastAsia="Arial" w:hAnsi="Arial"/>
          <w:sz w:val="16"/>
          <w:szCs w:val="16"/>
          <w:b w:val="1"/>
          <w:bCs w:val="1"/>
          <w:color w:val="auto"/>
        </w:rPr>
        <w:t>Announcements</w:t>
      </w:r>
    </w:p>
    <w:p>
      <w:pPr>
        <w:spacing w:after="0" w:line="70" w:lineRule="exact"/>
        <w:rPr>
          <w:sz w:val="20"/>
          <w:szCs w:val="20"/>
          <w:color w:val="auto"/>
        </w:rPr>
      </w:pPr>
    </w:p>
    <w:p>
      <w:pPr>
        <w:jc w:val="both"/>
        <w:ind w:left="500" w:right="20" w:hanging="575"/>
        <w:spacing w:after="0" w:line="224" w:lineRule="auto"/>
        <w:tabs>
          <w:tab w:leader="none" w:pos="480" w:val="left"/>
        </w:tabs>
        <w:rPr>
          <w:sz w:val="20"/>
          <w:szCs w:val="20"/>
          <w:color w:val="auto"/>
        </w:rPr>
      </w:pPr>
      <w:r>
        <w:rPr>
          <w:rFonts w:ascii="Arial" w:cs="Arial" w:eastAsia="Arial" w:hAnsi="Arial"/>
          <w:sz w:val="16"/>
          <w:szCs w:val="16"/>
          <w:color w:val="auto"/>
        </w:rPr>
        <w:t>20.1</w:t>
        <w:tab/>
        <w:t>Except as provided in sub-clause 20.2 (</w:t>
      </w:r>
      <w:r>
        <w:rPr>
          <w:rFonts w:ascii="Arial" w:cs="Arial" w:eastAsia="Arial" w:hAnsi="Arial"/>
          <w:sz w:val="16"/>
          <w:szCs w:val="16"/>
          <w:i w:val="1"/>
          <w:iCs w:val="1"/>
          <w:color w:val="auto"/>
        </w:rPr>
        <w:t>Announcements</w:t>
      </w:r>
      <w:r>
        <w:rPr>
          <w:rFonts w:ascii="Arial" w:cs="Arial" w:eastAsia="Arial" w:hAnsi="Arial"/>
          <w:sz w:val="16"/>
          <w:szCs w:val="16"/>
          <w:color w:val="auto"/>
        </w:rPr>
        <w:t>), no announcement, circular or other communication (whether oral or written) concerning the terms of this Agreement (or the transaction contemplated or referred to in it) shall be made or issued by or on behalf of any of the parties without the prior written consent of the Purchaser, such consent not to be unreasonably withheld or delayed.</w:t>
      </w:r>
    </w:p>
    <w:p>
      <w:pPr>
        <w:spacing w:after="0" w:line="49" w:lineRule="exact"/>
        <w:rPr>
          <w:sz w:val="20"/>
          <w:szCs w:val="20"/>
          <w:color w:val="auto"/>
        </w:rPr>
      </w:pPr>
    </w:p>
    <w:p>
      <w:pPr>
        <w:jc w:val="both"/>
        <w:ind w:left="540" w:hanging="575"/>
        <w:spacing w:after="0" w:line="216" w:lineRule="auto"/>
        <w:tabs>
          <w:tab w:leader="none" w:pos="520" w:val="left"/>
        </w:tabs>
        <w:rPr>
          <w:sz w:val="20"/>
          <w:szCs w:val="20"/>
          <w:color w:val="auto"/>
        </w:rPr>
      </w:pPr>
      <w:r>
        <w:rPr>
          <w:rFonts w:ascii="Arial" w:cs="Arial" w:eastAsia="Arial" w:hAnsi="Arial"/>
          <w:sz w:val="16"/>
          <w:szCs w:val="16"/>
          <w:color w:val="auto"/>
        </w:rPr>
        <w:t>20.2</w:t>
        <w:tab/>
        <w:t>Any announcement, circular or other communication made or issued by or on behalf of any party which is required by law or the rules of any regulatory or governmental body to which such party is subject, including, without limitation, any stock exchange on which any securities of such party are listed, may be made or issued by or on behalf of that party without consent if it has first sought consent and given the other parties a reasonable opportunity to comment on the subject matter and form of the announcement or circular (given the time scale within which it is required to be released or despatched).</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20.3</w:t>
      </w:r>
      <w:r>
        <w:rPr>
          <w:sz w:val="20"/>
          <w:szCs w:val="20"/>
          <w:color w:val="auto"/>
        </w:rPr>
        <w:tab/>
      </w:r>
      <w:r>
        <w:rPr>
          <w:rFonts w:ascii="Arial" w:cs="Arial" w:eastAsia="Arial" w:hAnsi="Arial"/>
          <w:sz w:val="14"/>
          <w:szCs w:val="14"/>
          <w:color w:val="auto"/>
        </w:rPr>
        <w:t xml:space="preserve">The obligations in this clause 20 ( </w:t>
      </w:r>
      <w:r>
        <w:rPr>
          <w:rFonts w:ascii="Arial" w:cs="Arial" w:eastAsia="Arial" w:hAnsi="Arial"/>
          <w:sz w:val="14"/>
          <w:szCs w:val="14"/>
          <w:i w:val="1"/>
          <w:iCs w:val="1"/>
          <w:color w:val="auto"/>
        </w:rPr>
        <w:t>Announcements</w:t>
      </w:r>
      <w:r>
        <w:rPr>
          <w:rFonts w:ascii="Arial" w:cs="Arial" w:eastAsia="Arial" w:hAnsi="Arial"/>
          <w:sz w:val="14"/>
          <w:szCs w:val="14"/>
          <w:color w:val="auto"/>
        </w:rPr>
        <w:t>) shall cease to apply to the Purchaser after Completion.</w:t>
      </w:r>
    </w:p>
    <w:p>
      <w:pPr>
        <w:spacing w:after="0" w:line="6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4"/>
          <w:szCs w:val="14"/>
          <w:color w:val="auto"/>
        </w:rPr>
        <w:t>Nothing in this clause 20 (</w:t>
      </w:r>
      <w:r>
        <w:rPr>
          <w:rFonts w:ascii="Arial" w:cs="Arial" w:eastAsia="Arial" w:hAnsi="Arial"/>
          <w:sz w:val="14"/>
          <w:szCs w:val="14"/>
          <w:i w:val="1"/>
          <w:iCs w:val="1"/>
          <w:color w:val="auto"/>
        </w:rPr>
        <w:t>Announcements</w:t>
      </w:r>
      <w:r>
        <w:rPr>
          <w:rFonts w:ascii="Arial" w:cs="Arial" w:eastAsia="Arial" w:hAnsi="Arial"/>
          <w:sz w:val="14"/>
          <w:szCs w:val="14"/>
          <w:color w:val="auto"/>
        </w:rPr>
        <w:t>) shall restrict the Purchaser or any other Purchaser Group Company from:</w:t>
      </w:r>
    </w:p>
    <w:p>
      <w:pPr>
        <w:spacing w:after="0" w:line="68" w:lineRule="exact"/>
        <w:rPr>
          <w:sz w:val="20"/>
          <w:szCs w:val="20"/>
          <w:color w:val="auto"/>
        </w:rPr>
      </w:pPr>
    </w:p>
    <w:p>
      <w:pPr>
        <w:ind w:left="1140" w:hanging="558"/>
        <w:spacing w:after="0"/>
        <w:tabs>
          <w:tab w:leader="none" w:pos="11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providing information regarding the acquisition of the Company to its shareholders;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informing customers or suppliers of the acquisition of the Company by the Purchaser after Completion.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41</w:t>
      </w:r>
    </w:p>
    <w:p>
      <w:pPr>
        <w:sectPr>
          <w:pgSz w:w="11900" w:h="16840" w:orient="portrait"/>
          <w:cols w:equalWidth="0" w:num="1">
            <w:col w:w="10580"/>
          </w:cols>
          <w:pgMar w:left="660" w:top="1440" w:right="660" w:bottom="1440" w:gutter="0" w:footer="0" w:header="0"/>
        </w:sectPr>
      </w:pPr>
    </w:p>
    <w:bookmarkStart w:id="392" w:name="page393"/>
    <w:bookmarkEnd w:id="392"/>
    <w:p>
      <w:pPr>
        <w:spacing w:after="0" w:line="329" w:lineRule="exact"/>
        <w:rPr>
          <w:sz w:val="20"/>
          <w:szCs w:val="20"/>
          <w:color w:val="auto"/>
        </w:rPr>
      </w:pPr>
    </w:p>
    <w:p>
      <w:pPr>
        <w:ind w:left="400" w:hanging="394"/>
        <w:spacing w:after="0"/>
        <w:tabs>
          <w:tab w:leader="none" w:pos="400" w:val="left"/>
        </w:tabs>
        <w:numPr>
          <w:ilvl w:val="0"/>
          <w:numId w:val="365"/>
        </w:numPr>
        <w:rPr>
          <w:rFonts w:ascii="Arial" w:cs="Arial" w:eastAsia="Arial" w:hAnsi="Arial"/>
          <w:sz w:val="16"/>
          <w:szCs w:val="16"/>
          <w:color w:val="auto"/>
        </w:rPr>
      </w:pPr>
      <w:r>
        <w:rPr>
          <w:rFonts w:ascii="Arial" w:cs="Arial" w:eastAsia="Arial" w:hAnsi="Arial"/>
          <w:sz w:val="16"/>
          <w:szCs w:val="16"/>
          <w:b w:val="1"/>
          <w:bCs w:val="1"/>
          <w:color w:val="auto"/>
        </w:rPr>
        <w:t>Costs and expenses</w:t>
      </w:r>
    </w:p>
    <w:p>
      <w:pPr>
        <w:spacing w:after="0" w:line="70" w:lineRule="exact"/>
        <w:rPr>
          <w:sz w:val="20"/>
          <w:szCs w:val="20"/>
          <w:color w:val="auto"/>
        </w:rPr>
      </w:pPr>
    </w:p>
    <w:p>
      <w:pPr>
        <w:ind w:left="480" w:right="20" w:hanging="575"/>
        <w:spacing w:after="0" w:line="235" w:lineRule="auto"/>
        <w:tabs>
          <w:tab w:leader="none" w:pos="460" w:val="left"/>
        </w:tabs>
        <w:rPr>
          <w:sz w:val="20"/>
          <w:szCs w:val="20"/>
          <w:color w:val="auto"/>
        </w:rPr>
      </w:pPr>
      <w:r>
        <w:rPr>
          <w:rFonts w:ascii="Arial" w:cs="Arial" w:eastAsia="Arial" w:hAnsi="Arial"/>
          <w:sz w:val="16"/>
          <w:szCs w:val="16"/>
          <w:color w:val="auto"/>
        </w:rPr>
        <w:t>21.1</w:t>
        <w:tab/>
        <w:t>Except as set out in sub- clause 21.2 (</w:t>
      </w:r>
      <w:r>
        <w:rPr>
          <w:rFonts w:ascii="Arial" w:cs="Arial" w:eastAsia="Arial" w:hAnsi="Arial"/>
          <w:sz w:val="16"/>
          <w:szCs w:val="16"/>
          <w:i w:val="1"/>
          <w:iCs w:val="1"/>
          <w:color w:val="auto"/>
        </w:rPr>
        <w:t>Costs and expenses</w:t>
      </w:r>
      <w:r>
        <w:rPr>
          <w:rFonts w:ascii="Arial" w:cs="Arial" w:eastAsia="Arial" w:hAnsi="Arial"/>
          <w:sz w:val="16"/>
          <w:szCs w:val="16"/>
          <w:color w:val="auto"/>
        </w:rPr>
        <w:t xml:space="preserve"> ) or otherwise expressly provided in this Agreement, each party shall bear its own costs and expenses incurred in the preparation, execution and implementation of this Agreement.</w:t>
      </w:r>
    </w:p>
    <w:p>
      <w:pPr>
        <w:spacing w:after="0" w:line="48" w:lineRule="exact"/>
        <w:rPr>
          <w:sz w:val="20"/>
          <w:szCs w:val="20"/>
          <w:color w:val="auto"/>
        </w:rPr>
      </w:pPr>
    </w:p>
    <w:p>
      <w:pPr>
        <w:ind w:left="500" w:right="20" w:hanging="575"/>
        <w:spacing w:after="0" w:line="235" w:lineRule="auto"/>
        <w:tabs>
          <w:tab w:leader="none" w:pos="480" w:val="left"/>
        </w:tabs>
        <w:rPr>
          <w:sz w:val="20"/>
          <w:szCs w:val="20"/>
          <w:color w:val="auto"/>
        </w:rPr>
      </w:pPr>
      <w:r>
        <w:rPr>
          <w:rFonts w:ascii="Arial" w:cs="Arial" w:eastAsia="Arial" w:hAnsi="Arial"/>
          <w:sz w:val="16"/>
          <w:szCs w:val="16"/>
          <w:color w:val="auto"/>
        </w:rPr>
        <w:t>21.2</w:t>
        <w:tab/>
        <w:t>The Purchaser shall pay all stamp and other transfer duties and registration fees applicable to any document to which it is a party and which arise as a result of or in consequence of this Agreement.</w:t>
      </w:r>
    </w:p>
    <w:p>
      <w:pPr>
        <w:spacing w:after="0" w:line="48" w:lineRule="exact"/>
        <w:rPr>
          <w:sz w:val="20"/>
          <w:szCs w:val="20"/>
          <w:color w:val="auto"/>
        </w:rPr>
      </w:pPr>
    </w:p>
    <w:p>
      <w:pPr>
        <w:ind w:left="400" w:hanging="394"/>
        <w:spacing w:after="0"/>
        <w:tabs>
          <w:tab w:leader="none" w:pos="4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00" w:hanging="394"/>
        <w:spacing w:after="0"/>
        <w:tabs>
          <w:tab w:leader="none" w:pos="400"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Payments</w:t>
      </w:r>
    </w:p>
    <w:p>
      <w:pPr>
        <w:spacing w:after="0" w:line="7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Save as expressly provided to the contrary in this Agreement:</w:t>
      </w:r>
    </w:p>
    <w:p>
      <w:pPr>
        <w:spacing w:after="0" w:line="68" w:lineRule="exact"/>
        <w:rPr>
          <w:sz w:val="20"/>
          <w:szCs w:val="20"/>
          <w:color w:val="auto"/>
        </w:rPr>
      </w:pPr>
    </w:p>
    <w:p>
      <w:pPr>
        <w:ind w:left="1160" w:right="20" w:hanging="578"/>
        <w:spacing w:after="0" w:line="235" w:lineRule="auto"/>
        <w:tabs>
          <w:tab w:leader="none" w:pos="114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any payment to be made pursuant to this Agreement by the Purchaser from time to time (including the Consideration) shall be made to the Sellers' Bank Account, unless otherwise agreed between the Purchaser and the relevant Seller;</w:t>
      </w:r>
    </w:p>
    <w:p>
      <w:pPr>
        <w:spacing w:after="0" w:line="47" w:lineRule="exact"/>
        <w:rPr>
          <w:rFonts w:ascii="Arial" w:cs="Arial" w:eastAsia="Arial" w:hAnsi="Arial"/>
          <w:sz w:val="16"/>
          <w:szCs w:val="16"/>
          <w:color w:val="auto"/>
        </w:rPr>
      </w:pPr>
    </w:p>
    <w:p>
      <w:pPr>
        <w:ind w:left="1160" w:right="40" w:hanging="578"/>
        <w:spacing w:after="0" w:line="235" w:lineRule="auto"/>
        <w:tabs>
          <w:tab w:leader="none" w:pos="114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any payment to be made pursuant to this Agreement by the Sellers or the Warrantors shall be made to the Purchaser's Bank Account; and</w:t>
      </w:r>
    </w:p>
    <w:p>
      <w:pPr>
        <w:spacing w:after="0" w:line="47"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payment under sub-clauses 23.1(a) and/or (b) shall be in immediately available funds by electronic transfer on the due date for payment. Receipt of the amount due shall be an effective discharge of the relevant payment obligation, including where such amount is paid by the Purchaser to [***] in accordance with the provisions of this Agreement and the Paying Agent Agreements.</w:t>
      </w:r>
    </w:p>
    <w:p>
      <w:pPr>
        <w:spacing w:after="0" w:line="46" w:lineRule="exact"/>
        <w:rPr>
          <w:rFonts w:ascii="Arial" w:cs="Arial" w:eastAsia="Arial" w:hAnsi="Arial"/>
          <w:sz w:val="16"/>
          <w:szCs w:val="16"/>
          <w:color w:val="auto"/>
        </w:rPr>
      </w:pPr>
    </w:p>
    <w:p>
      <w:pPr>
        <w:ind w:left="400" w:hanging="394"/>
        <w:spacing w:after="0"/>
        <w:tabs>
          <w:tab w:leader="none" w:pos="400"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70" w:lineRule="exact"/>
        <w:rPr>
          <w:sz w:val="20"/>
          <w:szCs w:val="20"/>
          <w:color w:val="auto"/>
        </w:rPr>
      </w:pPr>
    </w:p>
    <w:p>
      <w:pPr>
        <w:jc w:val="both"/>
        <w:ind w:left="540" w:hanging="575"/>
        <w:spacing w:after="0" w:line="214" w:lineRule="auto"/>
        <w:tabs>
          <w:tab w:leader="none" w:pos="520" w:val="left"/>
        </w:tabs>
        <w:rPr>
          <w:sz w:val="20"/>
          <w:szCs w:val="20"/>
          <w:color w:val="auto"/>
        </w:rPr>
      </w:pPr>
      <w:r>
        <w:rPr>
          <w:rFonts w:ascii="Arial" w:cs="Arial" w:eastAsia="Arial" w:hAnsi="Arial"/>
          <w:sz w:val="16"/>
          <w:szCs w:val="16"/>
          <w:color w:val="auto"/>
        </w:rPr>
        <w:t>24.1</w:t>
        <w:tab/>
        <w:t>Subject to clauses 25 (</w:t>
      </w:r>
      <w:r>
        <w:rPr>
          <w:rFonts w:ascii="Arial" w:cs="Arial" w:eastAsia="Arial" w:hAnsi="Arial"/>
          <w:sz w:val="16"/>
          <w:szCs w:val="16"/>
          <w:i w:val="1"/>
          <w:iCs w:val="1"/>
          <w:color w:val="auto"/>
        </w:rPr>
        <w:t>Service of Proceedings</w:t>
      </w:r>
      <w:r>
        <w:rPr>
          <w:rFonts w:ascii="Arial" w:cs="Arial" w:eastAsia="Arial" w:hAnsi="Arial"/>
          <w:sz w:val="16"/>
          <w:szCs w:val="16"/>
          <w:color w:val="auto"/>
        </w:rPr>
        <w:t>), 26.1 (</w:t>
      </w:r>
      <w:r>
        <w:rPr>
          <w:rFonts w:ascii="Arial" w:cs="Arial" w:eastAsia="Arial" w:hAnsi="Arial"/>
          <w:sz w:val="16"/>
          <w:szCs w:val="16"/>
          <w:i w:val="1"/>
          <w:iCs w:val="1"/>
          <w:color w:val="auto"/>
        </w:rPr>
        <w:t>Sellers’ Representatives</w:t>
      </w:r>
      <w:r>
        <w:rPr>
          <w:rFonts w:ascii="Arial" w:cs="Arial" w:eastAsia="Arial" w:hAnsi="Arial"/>
          <w:sz w:val="16"/>
          <w:szCs w:val="16"/>
          <w:color w:val="auto"/>
        </w:rPr>
        <w:t xml:space="preserve"> ) and 27.1 (</w:t>
      </w:r>
      <w:r>
        <w:rPr>
          <w:rFonts w:ascii="Arial" w:cs="Arial" w:eastAsia="Arial" w:hAnsi="Arial"/>
          <w:sz w:val="16"/>
          <w:szCs w:val="16"/>
          <w:i w:val="1"/>
          <w:iCs w:val="1"/>
          <w:color w:val="auto"/>
        </w:rPr>
        <w:t>Institutional Sellers' Representative</w:t>
      </w:r>
      <w:r>
        <w:rPr>
          <w:rFonts w:ascii="Arial" w:cs="Arial" w:eastAsia="Arial" w:hAnsi="Arial"/>
          <w:sz w:val="16"/>
          <w:szCs w:val="16"/>
          <w:color w:val="auto"/>
        </w:rPr>
        <w:t>), any notice to a party under this Agreement shall be in writing in English signed by or on behalf of the party giving it and shall, unless delivered to a party personally, be left at, or sent by prepaid recorded delivery (to addresses in the UK only) or by courier, or by email to the address of the party as set out in column B of Part 1 of Schedule 1 and column B of Part 2 of Schedule 1 (as applicable) and to [***] for the Purchaser or as otherwise notified in writing from time to time, save that delivery by email does not apply to the service of any proceedings or other documents in any legal action or proceedings or, where applicable, any arbitration or other method of dispute resolution.</w:t>
      </w:r>
    </w:p>
    <w:p>
      <w:pPr>
        <w:spacing w:after="0" w:line="48" w:lineRule="exact"/>
        <w:rPr>
          <w:sz w:val="20"/>
          <w:szCs w:val="20"/>
          <w:color w:val="auto"/>
        </w:rPr>
      </w:pPr>
    </w:p>
    <w:p>
      <w:pPr>
        <w:jc w:val="both"/>
        <w:ind w:left="480" w:right="20" w:hanging="575"/>
        <w:spacing w:after="0" w:line="235" w:lineRule="auto"/>
        <w:tabs>
          <w:tab w:leader="none" w:pos="460" w:val="left"/>
        </w:tabs>
        <w:rPr>
          <w:sz w:val="20"/>
          <w:szCs w:val="20"/>
          <w:color w:val="auto"/>
        </w:rPr>
      </w:pPr>
      <w:r>
        <w:rPr>
          <w:rFonts w:ascii="Arial" w:cs="Arial" w:eastAsia="Arial" w:hAnsi="Arial"/>
          <w:sz w:val="16"/>
          <w:szCs w:val="16"/>
          <w:color w:val="auto"/>
        </w:rPr>
        <w:t>24.2</w:t>
        <w:tab/>
        <w:t xml:space="preserve">Except as referred to in sub-clauses 24.3 ( </w:t>
      </w:r>
      <w:r>
        <w:rPr>
          <w:rFonts w:ascii="Arial" w:cs="Arial" w:eastAsia="Arial" w:hAnsi="Arial"/>
          <w:sz w:val="16"/>
          <w:szCs w:val="16"/>
          <w:i w:val="1"/>
          <w:iCs w:val="1"/>
          <w:color w:val="auto"/>
        </w:rPr>
        <w:t>Notices</w:t>
      </w:r>
      <w:r>
        <w:rPr>
          <w:rFonts w:ascii="Arial" w:cs="Arial" w:eastAsia="Arial" w:hAnsi="Arial"/>
          <w:sz w:val="16"/>
          <w:szCs w:val="16"/>
          <w:color w:val="auto"/>
        </w:rPr>
        <w:t>), a notice shall be deemed to have been served at the time of delivery if delivered personally or left at an address by a courier.</w:t>
      </w:r>
    </w:p>
    <w:p>
      <w:pPr>
        <w:spacing w:after="0" w:line="48" w:lineRule="exact"/>
        <w:rPr>
          <w:sz w:val="20"/>
          <w:szCs w:val="20"/>
          <w:color w:val="auto"/>
        </w:rPr>
      </w:pPr>
    </w:p>
    <w:p>
      <w:pPr>
        <w:jc w:val="both"/>
        <w:ind w:left="500" w:right="20" w:hanging="575"/>
        <w:spacing w:after="0" w:line="235" w:lineRule="auto"/>
        <w:tabs>
          <w:tab w:leader="none" w:pos="480" w:val="left"/>
        </w:tabs>
        <w:rPr>
          <w:sz w:val="20"/>
          <w:szCs w:val="20"/>
          <w:color w:val="auto"/>
        </w:rPr>
      </w:pPr>
      <w:r>
        <w:rPr>
          <w:rFonts w:ascii="Arial" w:cs="Arial" w:eastAsia="Arial" w:hAnsi="Arial"/>
          <w:sz w:val="16"/>
          <w:szCs w:val="16"/>
          <w:color w:val="auto"/>
        </w:rPr>
        <w:t>24.3</w:t>
        <w:tab/>
        <w:t>In the case of delivery in person or by courier, if the deemed time of service is not during business hours in the country of receipt, the notice shall be deemed served at the opening of business on the next business day of that country.</w:t>
      </w:r>
    </w:p>
    <w:p>
      <w:pPr>
        <w:spacing w:after="0" w:line="48"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4"/>
          <w:szCs w:val="14"/>
          <w:color w:val="auto"/>
        </w:rPr>
        <w:t>In proving service it shall be sufficient to prove:</w:t>
      </w:r>
    </w:p>
    <w:p>
      <w:pPr>
        <w:spacing w:after="0" w:line="68" w:lineRule="exact"/>
        <w:rPr>
          <w:sz w:val="20"/>
          <w:szCs w:val="20"/>
          <w:color w:val="auto"/>
        </w:rPr>
      </w:pPr>
    </w:p>
    <w:p>
      <w:pPr>
        <w:ind w:left="1160" w:right="20" w:hanging="578"/>
        <w:spacing w:after="0" w:line="235" w:lineRule="auto"/>
        <w:tabs>
          <w:tab w:leader="none" w:pos="114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 the case of personal service, that it was handed to the party or delivered to or left in an appropriate place for receipt of letters at its address;</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 the case of a letter sent by recorded delivery or courier, a receipt by the courier or postal service confirming that the letter was accepted for delivery and was correctly addressed to the intended recipient in accordance with this clause; and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 the case of email, that it was properly addressed and despatched to the email address of the party, provided that the sender of the email does not receive an automated response from the recipient or a mail server indicating that the recipient is out of office or that the email could not be delivered.</w:t>
      </w:r>
    </w:p>
    <w:p>
      <w:pPr>
        <w:spacing w:after="0" w:line="49" w:lineRule="exact"/>
        <w:rPr>
          <w:sz w:val="20"/>
          <w:szCs w:val="20"/>
          <w:color w:val="auto"/>
        </w:rPr>
      </w:pPr>
    </w:p>
    <w:p>
      <w:pPr>
        <w:jc w:val="both"/>
        <w:ind w:left="480" w:right="20" w:hanging="575"/>
        <w:spacing w:after="0" w:line="224" w:lineRule="auto"/>
        <w:tabs>
          <w:tab w:leader="none" w:pos="460" w:val="left"/>
        </w:tabs>
        <w:rPr>
          <w:sz w:val="20"/>
          <w:szCs w:val="20"/>
          <w:color w:val="auto"/>
        </w:rPr>
      </w:pPr>
      <w:r>
        <w:rPr>
          <w:rFonts w:ascii="Arial" w:cs="Arial" w:eastAsia="Arial" w:hAnsi="Arial"/>
          <w:sz w:val="16"/>
          <w:szCs w:val="16"/>
          <w:color w:val="auto"/>
        </w:rPr>
        <w:t>24.5</w:t>
        <w:tab/>
        <w:t>Any notice to be given to the Institutional Sellers (or any one of them) under clause 24.1 shall be sent to each Institutional Seller directly and, if the notice is not sent by email, shall also be sent by email to the email address of the relevant Institutional Seller as set out in column B of Part 2 of Schedule 1 (which shall not constitute notice for the purposes of this clause 24).</w:t>
      </w:r>
    </w:p>
    <w:p>
      <w:pPr>
        <w:spacing w:after="0" w:line="49"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4"/>
          <w:szCs w:val="14"/>
          <w:color w:val="auto"/>
        </w:rPr>
        <w:t>A party shall not attempt to prevent or delay the service on it of a notice connected with this Agreement.</w:t>
      </w:r>
    </w:p>
    <w:p>
      <w:pPr>
        <w:spacing w:after="0" w:line="66" w:lineRule="exact"/>
        <w:rPr>
          <w:sz w:val="20"/>
          <w:szCs w:val="20"/>
          <w:color w:val="auto"/>
        </w:rPr>
      </w:pPr>
    </w:p>
    <w:p>
      <w:pPr>
        <w:ind w:left="360" w:hanging="354"/>
        <w:spacing w:after="0"/>
        <w:tabs>
          <w:tab w:leader="none" w:pos="360" w:val="left"/>
        </w:tabs>
        <w:numPr>
          <w:ilvl w:val="0"/>
          <w:numId w:val="370"/>
        </w:numPr>
        <w:rPr>
          <w:rFonts w:ascii="Arial" w:cs="Arial" w:eastAsia="Arial" w:hAnsi="Arial"/>
          <w:sz w:val="16"/>
          <w:szCs w:val="16"/>
          <w:color w:val="auto"/>
        </w:rPr>
      </w:pPr>
      <w:r>
        <w:rPr>
          <w:rFonts w:ascii="Arial" w:cs="Arial" w:eastAsia="Arial" w:hAnsi="Arial"/>
          <w:sz w:val="16"/>
          <w:szCs w:val="16"/>
          <w:b w:val="1"/>
          <w:bCs w:val="1"/>
          <w:color w:val="auto"/>
        </w:rPr>
        <w:t>Service of Proceedings</w:t>
      </w:r>
    </w:p>
    <w:p>
      <w:pPr>
        <w:spacing w:after="0" w:line="7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4"/>
          <w:szCs w:val="14"/>
          <w:color w:val="auto"/>
        </w:rPr>
        <w:t>If, for any reason, the Purchaser requests any Seller who is located outside of England and Wales to do so, the relevant Seller shall promptly:</w:t>
      </w:r>
    </w:p>
    <w:p>
      <w:pPr>
        <w:spacing w:after="0" w:line="68" w:lineRule="exact"/>
        <w:rPr>
          <w:sz w:val="20"/>
          <w:szCs w:val="20"/>
          <w:color w:val="auto"/>
        </w:rPr>
      </w:pPr>
    </w:p>
    <w:p>
      <w:pPr>
        <w:ind w:left="1160" w:right="20" w:hanging="578"/>
        <w:spacing w:after="0" w:line="235" w:lineRule="auto"/>
        <w:tabs>
          <w:tab w:leader="none" w:pos="114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appoint an agent for service of process and any other documents in proceedings in England or any other proceedings in connection with this Agreement with an address in England; and</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42</w:t>
      </w:r>
    </w:p>
    <w:p>
      <w:pPr>
        <w:sectPr>
          <w:pgSz w:w="11900" w:h="16840" w:orient="portrait"/>
          <w:cols w:equalWidth="0" w:num="1">
            <w:col w:w="10580"/>
          </w:cols>
          <w:pgMar w:left="660" w:top="1440" w:right="660" w:bottom="1440" w:gutter="0" w:footer="0" w:header="0"/>
        </w:sectPr>
      </w:pPr>
    </w:p>
    <w:bookmarkStart w:id="393" w:name="page394"/>
    <w:bookmarkEnd w:id="393"/>
    <w:p>
      <w:pPr>
        <w:spacing w:after="0" w:line="331" w:lineRule="exact"/>
        <w:rPr>
          <w:sz w:val="20"/>
          <w:szCs w:val="20"/>
          <w:color w:val="auto"/>
        </w:rPr>
      </w:pPr>
    </w:p>
    <w:p>
      <w:pPr>
        <w:ind w:left="1140" w:hanging="558"/>
        <w:spacing w:after="0"/>
        <w:tabs>
          <w:tab w:leader="none" w:pos="11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advise the Purchaser of the agent's name and address,</w:t>
      </w:r>
    </w:p>
    <w:p>
      <w:pPr>
        <w:spacing w:after="0" w:line="68" w:lineRule="exact"/>
        <w:rPr>
          <w:rFonts w:ascii="Arial" w:cs="Arial" w:eastAsia="Arial" w:hAnsi="Arial"/>
          <w:sz w:val="16"/>
          <w:szCs w:val="16"/>
          <w:color w:val="auto"/>
        </w:rPr>
      </w:pPr>
    </w:p>
    <w:p>
      <w:pPr>
        <w:jc w:val="both"/>
        <w:ind w:left="1160"/>
        <w:spacing w:after="0" w:line="219" w:lineRule="auto"/>
        <w:rPr>
          <w:rFonts w:ascii="Arial" w:cs="Arial" w:eastAsia="Arial" w:hAnsi="Arial"/>
          <w:sz w:val="16"/>
          <w:szCs w:val="16"/>
          <w:color w:val="auto"/>
        </w:rPr>
      </w:pPr>
      <w:r>
        <w:rPr>
          <w:rFonts w:ascii="Arial" w:cs="Arial" w:eastAsia="Arial" w:hAnsi="Arial"/>
          <w:sz w:val="16"/>
          <w:szCs w:val="16"/>
          <w:color w:val="auto"/>
        </w:rPr>
        <w:t>and if, following such a request the relevant Seller fails to appoint an agent, the Purchaser shall be entitled to appoint one on the relevant Seller's behalf at the relevant Seller's expense and shall promptly notify the relevant Seller of such appointment. Any claim form, judgment or other notice of legal process shall be sufficiently served on the Sellers, if delivered to the relevant agent at its address for the time being. Each Seller undertakes not to revoke the authority of the above agent unless it has:</w:t>
      </w:r>
    </w:p>
    <w:p>
      <w:pPr>
        <w:spacing w:after="0" w:line="48" w:lineRule="exact"/>
        <w:rPr>
          <w:rFonts w:ascii="Arial" w:cs="Arial" w:eastAsia="Arial" w:hAnsi="Arial"/>
          <w:sz w:val="16"/>
          <w:szCs w:val="16"/>
          <w:color w:val="auto"/>
        </w:rPr>
      </w:pPr>
    </w:p>
    <w:p>
      <w:pPr>
        <w:ind w:left="1740" w:hanging="582"/>
        <w:spacing w:after="0"/>
        <w:tabs>
          <w:tab w:leader="none" w:pos="174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obtained the consent of the Purchaser; and</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appointed another agent with an address in England and provided details of such agent to the Sellers' Representatives.</w:t>
      </w:r>
    </w:p>
    <w:p>
      <w:pPr>
        <w:spacing w:after="0" w:line="68" w:lineRule="exact"/>
        <w:rPr>
          <w:sz w:val="20"/>
          <w:szCs w:val="20"/>
          <w:color w:val="auto"/>
        </w:rPr>
      </w:pPr>
    </w:p>
    <w:p>
      <w:pPr>
        <w:jc w:val="both"/>
        <w:ind w:left="500" w:hanging="575"/>
        <w:spacing w:after="0" w:line="216" w:lineRule="auto"/>
        <w:tabs>
          <w:tab w:leader="none" w:pos="480" w:val="left"/>
        </w:tabs>
        <w:rPr>
          <w:sz w:val="20"/>
          <w:szCs w:val="20"/>
          <w:color w:val="auto"/>
        </w:rPr>
      </w:pPr>
      <w:r>
        <w:rPr>
          <w:rFonts w:ascii="Arial" w:cs="Arial" w:eastAsia="Arial" w:hAnsi="Arial"/>
          <w:sz w:val="16"/>
          <w:szCs w:val="16"/>
          <w:color w:val="auto"/>
        </w:rPr>
        <w:t>25.2</w:t>
        <w:tab/>
        <w:t>The Purchaser irrevocably appoints [***] of [***] as its agent to receive on its behalf in England or Wales service of any proceedings arising out of or in connection with this Agreement. Such service shall be deemed completed on delivery to that agent (whether or not it is forwarded to and received by the Purchaser). If for any reason that agent ceases to be able to act as agent or no longer has an address in England or Wales, the Purchaser shall promptly appoint another person as a replacement agent and shall give notice to the Sellers' Representatives of the new agent's name and address within England and Wales.</w:t>
      </w:r>
    </w:p>
    <w:p>
      <w:pPr>
        <w:spacing w:after="0" w:line="48" w:lineRule="exact"/>
        <w:rPr>
          <w:sz w:val="20"/>
          <w:szCs w:val="20"/>
          <w:color w:val="auto"/>
        </w:rPr>
      </w:pPr>
    </w:p>
    <w:p>
      <w:pPr>
        <w:jc w:val="both"/>
        <w:ind w:left="500" w:hanging="575"/>
        <w:spacing w:after="0" w:line="249" w:lineRule="auto"/>
        <w:tabs>
          <w:tab w:leader="none" w:pos="480" w:val="left"/>
        </w:tabs>
        <w:rPr>
          <w:sz w:val="20"/>
          <w:szCs w:val="20"/>
          <w:color w:val="auto"/>
        </w:rPr>
      </w:pPr>
      <w:r>
        <w:rPr>
          <w:rFonts w:ascii="Arial" w:cs="Arial" w:eastAsia="Arial" w:hAnsi="Arial"/>
          <w:sz w:val="16"/>
          <w:szCs w:val="16"/>
          <w:color w:val="auto"/>
        </w:rPr>
        <w:t>25.3</w:t>
      </w:r>
      <w:r>
        <w:rPr>
          <w:sz w:val="20"/>
          <w:szCs w:val="20"/>
          <w:color w:val="auto"/>
        </w:rPr>
        <w:tab/>
      </w:r>
      <w:r>
        <w:rPr>
          <w:rFonts w:ascii="Arial" w:cs="Arial" w:eastAsia="Arial" w:hAnsi="Arial"/>
          <w:sz w:val="14"/>
          <w:szCs w:val="14"/>
          <w:color w:val="auto"/>
        </w:rPr>
        <w:t>[***] shall as soon as reasonably practicable following the date of this Agreement (but, in any event, prior to Completion) appoint an agent with an address in England or Wales to receive on [***] behalf in England or Wales service of any proceedings arising out of or in connection with this Agreement. Such service shall be deemed completed on delivery to that agent (whether or not it is forwarded to and received by [***]). If for any reason that agent ceases to be able to act as agent or no longer has an address in England or Wales, [***] shall promptly appoint another person as a replacement agent and shall give notice to the Purchaser of the new agent's name and address within England and Wales.</w:t>
      </w:r>
    </w:p>
    <w:p>
      <w:pPr>
        <w:spacing w:after="0" w:line="39" w:lineRule="exact"/>
        <w:rPr>
          <w:sz w:val="20"/>
          <w:szCs w:val="20"/>
          <w:color w:val="auto"/>
        </w:rPr>
      </w:pPr>
    </w:p>
    <w:p>
      <w:pPr>
        <w:ind w:left="400" w:hanging="394"/>
        <w:spacing w:after="0"/>
        <w:tabs>
          <w:tab w:leader="none" w:pos="40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Sellers' Representatives</w:t>
      </w:r>
    </w:p>
    <w:p>
      <w:pPr>
        <w:spacing w:after="0" w:line="70"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4"/>
          <w:szCs w:val="14"/>
          <w:color w:val="auto"/>
        </w:rPr>
        <w:t>Each of the Sellers (excluding the Institutional Sellers):</w:t>
      </w:r>
    </w:p>
    <w:p>
      <w:pPr>
        <w:spacing w:after="0" w:line="68" w:lineRule="exact"/>
        <w:rPr>
          <w:sz w:val="20"/>
          <w:szCs w:val="20"/>
          <w:color w:val="auto"/>
        </w:rPr>
      </w:pPr>
    </w:p>
    <w:p>
      <w:pPr>
        <w:ind w:left="1140" w:hanging="558"/>
        <w:spacing w:after="0"/>
        <w:tabs>
          <w:tab w:leader="none" w:pos="114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subject to sub-clause 25.1, agrees that:</w:t>
      </w:r>
    </w:p>
    <w:p>
      <w:pPr>
        <w:spacing w:after="0" w:line="68" w:lineRule="exact"/>
        <w:rPr>
          <w:rFonts w:ascii="Arial" w:cs="Arial" w:eastAsia="Arial" w:hAnsi="Arial"/>
          <w:sz w:val="16"/>
          <w:szCs w:val="16"/>
          <w:color w:val="auto"/>
        </w:rPr>
      </w:pPr>
    </w:p>
    <w:p>
      <w:pPr>
        <w:jc w:val="both"/>
        <w:ind w:left="1740" w:right="20" w:hanging="582"/>
        <w:spacing w:after="0" w:line="224" w:lineRule="auto"/>
        <w:tabs>
          <w:tab w:leader="none" w:pos="174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notice or other document which the Purchaser wishes to deliver to the Sellers (excluding the Institutional Sellers) or any of them arising out of or in connection with this Agreement may be delivered to them by being delivered to the Sellers' Representatives (excluding the Institutional Sellers' Representative);</w:t>
      </w:r>
    </w:p>
    <w:p>
      <w:pPr>
        <w:spacing w:after="0" w:line="48" w:lineRule="exact"/>
        <w:rPr>
          <w:rFonts w:ascii="Arial" w:cs="Arial" w:eastAsia="Arial" w:hAnsi="Arial"/>
          <w:sz w:val="16"/>
          <w:szCs w:val="16"/>
          <w:color w:val="auto"/>
        </w:rPr>
      </w:pPr>
    </w:p>
    <w:p>
      <w:pPr>
        <w:jc w:val="both"/>
        <w:ind w:left="1740" w:right="20" w:hanging="582"/>
        <w:spacing w:after="0" w:line="219" w:lineRule="auto"/>
        <w:tabs>
          <w:tab w:leader="none" w:pos="172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notice, consent, agreement, direction or waiver required or permitted to be given or made by all or some of the Sellers (excluding the Institutional Sellers) (as the case may be) under this Agreement will be validly given or made on their behalf if given or made by the Sellers' Representatives (excluding the Institutional Sellers' Representative) for the purposes of this Agreement and will be binding on the relevant Sellers, as appropriate;</w:t>
      </w:r>
    </w:p>
    <w:p>
      <w:pPr>
        <w:spacing w:after="0" w:line="48" w:lineRule="exact"/>
        <w:rPr>
          <w:rFonts w:ascii="Arial" w:cs="Arial" w:eastAsia="Arial" w:hAnsi="Arial"/>
          <w:sz w:val="16"/>
          <w:szCs w:val="16"/>
          <w:color w:val="auto"/>
        </w:rPr>
      </w:pPr>
    </w:p>
    <w:p>
      <w:pPr>
        <w:jc w:val="both"/>
        <w:ind w:left="1740" w:right="20" w:hanging="582"/>
        <w:spacing w:after="0" w:line="224" w:lineRule="auto"/>
        <w:tabs>
          <w:tab w:leader="none" w:pos="172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the Purchaser shall be entitled to rely on all and any communications provided by the Sellers' Representatives (excluding the Institutional Sellers' Representative) which are expressed to be made for the purposes of this Agreement in good faith as binding on all or some of the Sellers (excluding the Institutional Sellers) (as the case may be);</w:t>
      </w:r>
    </w:p>
    <w:p>
      <w:pPr>
        <w:spacing w:after="0" w:line="48" w:lineRule="exact"/>
        <w:rPr>
          <w:rFonts w:ascii="Arial" w:cs="Arial" w:eastAsia="Arial" w:hAnsi="Arial"/>
          <w:sz w:val="16"/>
          <w:szCs w:val="16"/>
          <w:color w:val="auto"/>
        </w:rPr>
      </w:pPr>
    </w:p>
    <w:p>
      <w:pPr>
        <w:jc w:val="both"/>
        <w:ind w:left="1740" w:hanging="582"/>
        <w:spacing w:after="0" w:line="214" w:lineRule="auto"/>
        <w:tabs>
          <w:tab w:leader="none" w:pos="1728"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any communication in respect of any matter within the authority of the Sellers' Representatives (excluding the Institutional Sellers' Representative) described in this sub-clause 26.1 shall be deemed (unless the context otherwise requires) to be provided to the Sellers' Representatives (excluding the Institutional Sellers' Representative) as nominee for all or some of the Sellers (excluding the Institutional Sellers) (as the case may be) and any notice served on the Sellers' Representatives (excluding the Institutional Sellers' Representative) shall be deemed to have been validly served at the same time on each Seller (excluding the Institutional Sellers) on whom it is required to be served; and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authorises the Sellers' Representatives (excluding the Institutional Sellers' Representative) as their agent to:</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act in the way contemplated by this Agreement and to take any decision as they may deem fit in their absolute discretion;</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ectPr>
          <w:pgSz w:w="11900" w:h="16840" w:orient="portrait"/>
          <w:cols w:equalWidth="0" w:num="1">
            <w:col w:w="10580"/>
          </w:cols>
          <w:pgMar w:left="660" w:top="1440" w:right="660" w:bottom="1440" w:gutter="0" w:footer="0" w:header="0"/>
        </w:sectPr>
      </w:pPr>
    </w:p>
    <w:bookmarkStart w:id="394" w:name="page395"/>
    <w:bookmarkEnd w:id="394"/>
    <w:p>
      <w:pPr>
        <w:spacing w:after="0" w:line="331" w:lineRule="exact"/>
        <w:rPr>
          <w:sz w:val="20"/>
          <w:szCs w:val="20"/>
          <w:color w:val="auto"/>
        </w:rPr>
      </w:pPr>
    </w:p>
    <w:p>
      <w:pPr>
        <w:ind w:left="1740" w:right="40" w:hanging="582"/>
        <w:spacing w:after="0" w:line="235" w:lineRule="auto"/>
        <w:tabs>
          <w:tab w:leader="none" w:pos="172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enter into the Paying Agent Agreements on behalf of the Sellers, in such form as the Sellers’ Representatives (excluding the Institutional Sellers' Representative) shall agree; and</w:t>
      </w:r>
    </w:p>
    <w:p>
      <w:pPr>
        <w:spacing w:after="0" w:line="47" w:lineRule="exact"/>
        <w:rPr>
          <w:rFonts w:ascii="Arial" w:cs="Arial" w:eastAsia="Arial" w:hAnsi="Arial"/>
          <w:sz w:val="16"/>
          <w:szCs w:val="16"/>
          <w:color w:val="auto"/>
        </w:rPr>
      </w:pPr>
    </w:p>
    <w:p>
      <w:pPr>
        <w:ind w:left="1740" w:right="40" w:hanging="582"/>
        <w:spacing w:after="0" w:line="235" w:lineRule="auto"/>
        <w:tabs>
          <w:tab w:leader="none" w:pos="172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assume liability towards [***] under the Paying Agent Agreements on behalf of each of the Sellers (excluding the Institutional Sellers),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provided that the Sellers’ Representatives (excluding the Institutional Sellers' Representative) act in Good Faith;</w:t>
      </w:r>
    </w:p>
    <w:p>
      <w:pPr>
        <w:spacing w:after="0" w:line="68" w:lineRule="exact"/>
        <w:rPr>
          <w:sz w:val="20"/>
          <w:szCs w:val="20"/>
          <w:color w:val="auto"/>
        </w:rPr>
      </w:pPr>
    </w:p>
    <w:p>
      <w:pPr>
        <w:jc w:val="both"/>
        <w:ind w:left="1160" w:hanging="578"/>
        <w:spacing w:after="0" w:line="219" w:lineRule="auto"/>
        <w:tabs>
          <w:tab w:leader="none" w:pos="1148"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irrevocably agrees that, in the absence of fraud, gross negligence or wilful misconduct, the Sellers' Representatives (excluding the Institutional Sellers' Representative) will have and accept no liability to the Sellers or to any other person in connection with or as a result of anything which the Sellers' Representatives (excluding the Institutional Sellers' Representative) do, refrain from doing or neglect or omits to do in connection with any matter contemplated by this Agreement and/or the Paying Agent Agreements; and</w:t>
      </w:r>
    </w:p>
    <w:p>
      <w:pPr>
        <w:spacing w:after="0" w:line="48" w:lineRule="exact"/>
        <w:rPr>
          <w:rFonts w:ascii="Arial" w:cs="Arial" w:eastAsia="Arial" w:hAnsi="Arial"/>
          <w:sz w:val="16"/>
          <w:szCs w:val="16"/>
          <w:color w:val="auto"/>
        </w:rPr>
      </w:pPr>
    </w:p>
    <w:p>
      <w:pPr>
        <w:jc w:val="both"/>
        <w:ind w:left="1160" w:hanging="578"/>
        <w:spacing w:after="0" w:line="210" w:lineRule="auto"/>
        <w:tabs>
          <w:tab w:leader="none" w:pos="1148" w:val="left"/>
        </w:tabs>
        <w:numPr>
          <w:ilvl w:val="0"/>
          <w:numId w:val="376"/>
        </w:numPr>
        <w:rPr>
          <w:rFonts w:ascii="Arial" w:cs="Arial" w:eastAsia="Arial" w:hAnsi="Arial"/>
          <w:sz w:val="16"/>
          <w:szCs w:val="16"/>
          <w:color w:val="auto"/>
        </w:rPr>
      </w:pPr>
      <w:r>
        <w:rPr>
          <w:rFonts w:ascii="Arial" w:cs="Arial" w:eastAsia="Arial" w:hAnsi="Arial"/>
          <w:sz w:val="16"/>
          <w:szCs w:val="16"/>
          <w:color w:val="auto"/>
        </w:rPr>
        <w:t>severally undertake, in the absence of fraud, gross negligence or wilful misconduct on the part of the relevant Sellers’ Representative, to indemnify the Sellers’ Representatives (excluding the Institutional Sellers' Representative) from and against all actions, claims and proceedings and all losses, payments, liabilities and reasonably incurred costs and expenses suffered, made or incurred by them (in their capacity as the Sellers’ Representatives) as a consequence of the performance in Good Faith of their duties, functions and/or role as Sellers’ Representatives under this Agreement and the Paying Agent Agreements, provided that, in no event, shall the amount payable by a relevant Seller under this clause 26.1(d) exceed (i) the liability attributable to each relevant Seller pursuant to clause 5.3 of the Paying Agent Agreements and (ii) that Seller’s pro-rata proportion of such liability calculated by reference to the number of Completion Shares held by that Seller immediately prior to Completion as against the total number of Completion Shares in issue at Completion held by all Sellers (excluding the Institutional Sellers).</w:t>
      </w:r>
    </w:p>
    <w:p>
      <w:pPr>
        <w:spacing w:after="0" w:line="52" w:lineRule="exact"/>
        <w:rPr>
          <w:sz w:val="20"/>
          <w:szCs w:val="20"/>
          <w:color w:val="auto"/>
        </w:rPr>
      </w:pPr>
    </w:p>
    <w:p>
      <w:pPr>
        <w:jc w:val="both"/>
        <w:ind w:left="560" w:hanging="575"/>
        <w:spacing w:after="0" w:line="211" w:lineRule="auto"/>
        <w:tabs>
          <w:tab w:leader="none" w:pos="54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The FME Shareholders may, on any one or more occasions, notify (acting by the majority by value of Consideration receivable by the FME Shareholders) the Purchaser that they have chosen a different person to be the FME Shareholders' Representative to replace the person or entities then acting as such. Any such notice shall, notwithstanding clause 26.1, be valid only if signed by (or on behalf of) the FME Shareholders (constituting the majority by value of Consideration receivable by the FME Shareholders) and otherwise shall be given in accordance with clause 24. The change in identity of the FME Shareholders' Representative shall take effect [***] Business Days after notice of the change is received by the Purchaser or (if later) on the date (if any) specified in the notice. Until any such notice is received by the Purchaser, the Purchaser shall continue to be entitled to give notices to, and to rely on notices given (and other actions taken) by, the last FME Shareholders' Representative of whom it had actual knowledge.</w:t>
      </w:r>
    </w:p>
    <w:p>
      <w:pPr>
        <w:spacing w:after="0" w:line="50" w:lineRule="exact"/>
        <w:rPr>
          <w:sz w:val="20"/>
          <w:szCs w:val="20"/>
          <w:color w:val="auto"/>
        </w:rPr>
      </w:pPr>
    </w:p>
    <w:p>
      <w:pPr>
        <w:jc w:val="both"/>
        <w:ind w:left="580" w:hanging="575"/>
        <w:spacing w:after="0" w:line="242" w:lineRule="auto"/>
        <w:tabs>
          <w:tab w:leader="none" w:pos="56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4"/>
          <w:szCs w:val="14"/>
          <w:color w:val="auto"/>
        </w:rPr>
        <w:t>The Investor Sellers (excluding the Institutional Sellers) may, on any one or more occasions, notify (acting by the majority by value of Consideration receivable by the Investor Sellers (excluding the Institutional Sellers)) the Purchaser that they have chosen a different person to be the Investor Sellers' Representative to replace the person or entities then acting as such. Any such notice shall, notwithstanding clause 26.1, be valid only if signed by (or on behalf of) the Investor Sellers (constituting the majority by value of Consideration receivable by the Investor Sellers (excluding the Institutional Sellers)) and otherwise shall be given in accordance with clause 24. The change in identity of the Investor Sellers' Representative shall take effect [***] Business Days after notice of the change is received by the Purchaser or (if later) on the date (if any) specified in the notice. Until any such notice is received by the Purchaser, the Purchaser shall continue to be entitled to give notices to, and to rely on notices given (and other actions taken) by, the last Investor Sellers' Representative of whom it had actual knowledge.</w:t>
      </w:r>
    </w:p>
    <w:p>
      <w:pPr>
        <w:spacing w:after="0" w:line="44" w:lineRule="exact"/>
        <w:rPr>
          <w:sz w:val="20"/>
          <w:szCs w:val="20"/>
          <w:color w:val="auto"/>
        </w:rPr>
      </w:pPr>
    </w:p>
    <w:p>
      <w:pPr>
        <w:ind w:left="400" w:hanging="394"/>
        <w:spacing w:after="0"/>
        <w:tabs>
          <w:tab w:leader="none" w:pos="400" w:val="left"/>
        </w:tabs>
        <w:numPr>
          <w:ilvl w:val="0"/>
          <w:numId w:val="377"/>
        </w:numPr>
        <w:rPr>
          <w:rFonts w:ascii="Arial" w:cs="Arial" w:eastAsia="Arial" w:hAnsi="Arial"/>
          <w:sz w:val="16"/>
          <w:szCs w:val="16"/>
          <w:color w:val="auto"/>
        </w:rPr>
      </w:pPr>
      <w:r>
        <w:rPr>
          <w:rFonts w:ascii="Arial" w:cs="Arial" w:eastAsia="Arial" w:hAnsi="Arial"/>
          <w:sz w:val="16"/>
          <w:szCs w:val="16"/>
          <w:b w:val="1"/>
          <w:bCs w:val="1"/>
          <w:color w:val="auto"/>
        </w:rPr>
        <w:t>Institutional Sellers' Representative</w:t>
      </w:r>
    </w:p>
    <w:p>
      <w:pPr>
        <w:spacing w:after="0" w:line="70" w:lineRule="exact"/>
        <w:rPr>
          <w:rFonts w:ascii="Arial" w:cs="Arial" w:eastAsia="Arial" w:hAnsi="Arial"/>
          <w:sz w:val="16"/>
          <w:szCs w:val="16"/>
          <w:color w:val="auto"/>
        </w:rPr>
      </w:pPr>
    </w:p>
    <w:p>
      <w:pPr>
        <w:ind w:left="220" w:hanging="214"/>
        <w:spacing w:after="0"/>
        <w:tabs>
          <w:tab w:leader="none" w:pos="220" w:val="left"/>
        </w:tabs>
        <w:numPr>
          <w:ilvl w:val="0"/>
          <w:numId w:val="378"/>
        </w:numPr>
        <w:rPr>
          <w:rFonts w:ascii="Arial" w:cs="Arial" w:eastAsia="Arial" w:hAnsi="Arial"/>
          <w:sz w:val="14"/>
          <w:szCs w:val="14"/>
          <w:color w:val="auto"/>
        </w:rPr>
      </w:pPr>
      <w:r>
        <w:rPr>
          <w:rFonts w:ascii="Arial" w:cs="Arial" w:eastAsia="Arial" w:hAnsi="Arial"/>
          <w:sz w:val="14"/>
          <w:szCs w:val="14"/>
          <w:color w:val="auto"/>
        </w:rPr>
        <w:t>1  Each of the Institutional Sellers:</w:t>
      </w:r>
    </w:p>
    <w:p>
      <w:pPr>
        <w:spacing w:after="0" w:line="91" w:lineRule="exact"/>
        <w:rPr>
          <w:rFonts w:ascii="Arial" w:cs="Arial" w:eastAsia="Arial" w:hAnsi="Arial"/>
          <w:sz w:val="14"/>
          <w:szCs w:val="14"/>
          <w:color w:val="auto"/>
        </w:rPr>
      </w:pPr>
    </w:p>
    <w:p>
      <w:pPr>
        <w:ind w:left="1140" w:hanging="558"/>
        <w:spacing w:after="0"/>
        <w:tabs>
          <w:tab w:leader="none" w:pos="114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agrees that:</w:t>
      </w:r>
    </w:p>
    <w:p>
      <w:pPr>
        <w:spacing w:after="0" w:line="68" w:lineRule="exact"/>
        <w:rPr>
          <w:rFonts w:ascii="Arial" w:cs="Arial" w:eastAsia="Arial" w:hAnsi="Arial"/>
          <w:sz w:val="16"/>
          <w:szCs w:val="16"/>
          <w:color w:val="auto"/>
        </w:rPr>
      </w:pPr>
    </w:p>
    <w:p>
      <w:pPr>
        <w:jc w:val="both"/>
        <w:ind w:left="1740" w:hanging="582"/>
        <w:spacing w:after="0" w:line="224" w:lineRule="auto"/>
        <w:tabs>
          <w:tab w:leader="none" w:pos="1740" w:val="left"/>
        </w:tabs>
        <w:numPr>
          <w:ilvl w:val="2"/>
          <w:numId w:val="378"/>
        </w:numPr>
        <w:rPr>
          <w:rFonts w:ascii="Arial" w:cs="Arial" w:eastAsia="Arial" w:hAnsi="Arial"/>
          <w:sz w:val="16"/>
          <w:szCs w:val="16"/>
          <w:color w:val="auto"/>
        </w:rPr>
      </w:pPr>
      <w:r>
        <w:rPr>
          <w:rFonts w:ascii="Arial" w:cs="Arial" w:eastAsia="Arial" w:hAnsi="Arial"/>
          <w:sz w:val="16"/>
          <w:szCs w:val="16"/>
          <w:color w:val="auto"/>
        </w:rPr>
        <w:t>any notice or other document which the Purchaser wishes to deliver to all Institutional Sellers arising out of or in connection with this Agreement may, where specifically permitted under this Agreement, be delivered to them by being delivered to the Institutional Sellers' Representative;</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28" w:val="left"/>
        </w:tabs>
        <w:numPr>
          <w:ilvl w:val="2"/>
          <w:numId w:val="378"/>
        </w:numPr>
        <w:rPr>
          <w:rFonts w:ascii="Arial" w:cs="Arial" w:eastAsia="Arial" w:hAnsi="Arial"/>
          <w:sz w:val="16"/>
          <w:szCs w:val="16"/>
          <w:color w:val="auto"/>
        </w:rPr>
      </w:pPr>
      <w:r>
        <w:rPr>
          <w:rFonts w:ascii="Arial" w:cs="Arial" w:eastAsia="Arial" w:hAnsi="Arial"/>
          <w:sz w:val="16"/>
          <w:szCs w:val="16"/>
          <w:color w:val="auto"/>
        </w:rPr>
        <w:t>any notice, consent, agreement, direction or waiver required or permitted to be given or made by all Institutional Sellers under this Agreement will be, where specifically permitted under this Agreement, validly given or made on</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ectPr>
          <w:pgSz w:w="11900" w:h="16840" w:orient="portrait"/>
          <w:cols w:equalWidth="0" w:num="1">
            <w:col w:w="10580"/>
          </w:cols>
          <w:pgMar w:left="660" w:top="1440" w:right="660" w:bottom="1440" w:gutter="0" w:footer="0" w:header="0"/>
        </w:sectPr>
      </w:pPr>
    </w:p>
    <w:bookmarkStart w:id="395" w:name="page396"/>
    <w:bookmarkEnd w:id="395"/>
    <w:p>
      <w:pPr>
        <w:spacing w:after="0" w:line="331" w:lineRule="exact"/>
        <w:rPr>
          <w:sz w:val="20"/>
          <w:szCs w:val="20"/>
          <w:color w:val="auto"/>
        </w:rPr>
      </w:pPr>
    </w:p>
    <w:p>
      <w:pPr>
        <w:ind w:left="1740"/>
        <w:spacing w:after="0" w:line="235" w:lineRule="auto"/>
        <w:rPr>
          <w:sz w:val="20"/>
          <w:szCs w:val="20"/>
          <w:color w:val="auto"/>
        </w:rPr>
      </w:pPr>
      <w:r>
        <w:rPr>
          <w:rFonts w:ascii="Arial" w:cs="Arial" w:eastAsia="Arial" w:hAnsi="Arial"/>
          <w:sz w:val="16"/>
          <w:szCs w:val="16"/>
          <w:color w:val="auto"/>
        </w:rPr>
        <w:t>their behalf if given or made by the Institutional Sellers' Representative for the purposes of this Agreement and will be binding on the Institutional Sellers, as appropriate;</w:t>
      </w:r>
    </w:p>
    <w:p>
      <w:pPr>
        <w:spacing w:after="0" w:line="48" w:lineRule="exact"/>
        <w:rPr>
          <w:sz w:val="20"/>
          <w:szCs w:val="20"/>
          <w:color w:val="auto"/>
        </w:rPr>
      </w:pPr>
    </w:p>
    <w:p>
      <w:pPr>
        <w:jc w:val="both"/>
        <w:ind w:left="1740" w:right="20" w:hanging="582"/>
        <w:spacing w:after="0" w:line="224" w:lineRule="auto"/>
        <w:tabs>
          <w:tab w:leader="none" w:pos="1728"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the Purchaser shall, where specifically permitted under this Agreement, be entitled to rely on all and any communications provided by the Institutional Sellers' Representative which are expressed to be made for the purposes of this Agreement in good faith as binding on all Institutional Sellers;</w:t>
      </w:r>
    </w:p>
    <w:p>
      <w:pPr>
        <w:spacing w:after="0" w:line="48" w:lineRule="exact"/>
        <w:rPr>
          <w:rFonts w:ascii="Arial" w:cs="Arial" w:eastAsia="Arial" w:hAnsi="Arial"/>
          <w:sz w:val="16"/>
          <w:szCs w:val="16"/>
          <w:color w:val="auto"/>
        </w:rPr>
      </w:pPr>
    </w:p>
    <w:p>
      <w:pPr>
        <w:jc w:val="both"/>
        <w:ind w:left="1740" w:hanging="582"/>
        <w:spacing w:after="0" w:line="216" w:lineRule="auto"/>
        <w:tabs>
          <w:tab w:leader="none" w:pos="1728" w:val="left"/>
        </w:tabs>
        <w:numPr>
          <w:ilvl w:val="1"/>
          <w:numId w:val="379"/>
        </w:numPr>
        <w:rPr>
          <w:rFonts w:ascii="Arial" w:cs="Arial" w:eastAsia="Arial" w:hAnsi="Arial"/>
          <w:sz w:val="16"/>
          <w:szCs w:val="16"/>
          <w:color w:val="auto"/>
        </w:rPr>
      </w:pPr>
      <w:r>
        <w:rPr>
          <w:rFonts w:ascii="Arial" w:cs="Arial" w:eastAsia="Arial" w:hAnsi="Arial"/>
          <w:sz w:val="16"/>
          <w:szCs w:val="16"/>
          <w:color w:val="auto"/>
        </w:rPr>
        <w:t>any communication in respect of any matter which is specifically indicated in this Agreement to be within the authority of the Institutional Sellers' Representative shall be deemed (unless the context otherwise requires) to be provided to the Institutional Sellers' Representative as nominee for all Institutional Sellers and any notice served on the Institutional Sellers' Representative in such instances shall be deemed to have been validly served at the same time on each Institutional Seller on whom it is required to be served; and</w:t>
      </w:r>
    </w:p>
    <w:p>
      <w:pPr>
        <w:spacing w:after="0" w:line="48" w:lineRule="exact"/>
        <w:rPr>
          <w:rFonts w:ascii="Arial" w:cs="Arial" w:eastAsia="Arial" w:hAnsi="Arial"/>
          <w:sz w:val="16"/>
          <w:szCs w:val="16"/>
          <w:color w:val="auto"/>
        </w:rPr>
      </w:pPr>
    </w:p>
    <w:p>
      <w:pPr>
        <w:jc w:val="both"/>
        <w:ind w:left="1160" w:right="20" w:hanging="578"/>
        <w:spacing w:after="0" w:line="219" w:lineRule="auto"/>
        <w:tabs>
          <w:tab w:leader="none" w:pos="114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authorises the Institutional Sellers' Representative to act in the way contemplated by this Agreement and agreement referred to in sub-clause 27.3 and, provided [***] acts in Good Faith, the Institutional Sellers' Representative will have and accepts no liability to the Institutional Sellers or to any other person in connection with or as a result of anything which the Institutional Sellers' Representative does, refrains from doing or neglects or omits to do in connection with any matter relating to this Agreement.</w:t>
      </w:r>
    </w:p>
    <w:p>
      <w:pPr>
        <w:spacing w:after="0" w:line="49" w:lineRule="exact"/>
        <w:rPr>
          <w:sz w:val="20"/>
          <w:szCs w:val="20"/>
          <w:color w:val="auto"/>
        </w:rPr>
      </w:pPr>
    </w:p>
    <w:p>
      <w:pPr>
        <w:jc w:val="both"/>
        <w:ind w:left="520" w:hanging="575"/>
        <w:spacing w:after="0" w:line="212" w:lineRule="auto"/>
        <w:tabs>
          <w:tab w:leader="none" w:pos="500" w:val="left"/>
        </w:tabs>
        <w:rPr>
          <w:sz w:val="20"/>
          <w:szCs w:val="20"/>
          <w:color w:val="auto"/>
        </w:rPr>
      </w:pPr>
      <w:r>
        <w:rPr>
          <w:rFonts w:ascii="Arial" w:cs="Arial" w:eastAsia="Arial" w:hAnsi="Arial"/>
          <w:sz w:val="16"/>
          <w:szCs w:val="16"/>
          <w:color w:val="auto"/>
        </w:rPr>
        <w:t>27.2</w:t>
        <w:tab/>
        <w:t>The Institutional Sellers may, on any one or more occasions, notify (acting jointly on a unanimous basis) the Purchaser that they have chosen a different person to be the Institutional Sellers' Representative to replace the person or entities then acting as such. Any such notice shall, notwithstanding clause 26.1, be valid only if signed by (or on behalf of) all Institutional Sellers and otherwise shall be given in accordance with clause 24. The change in identity of the Institutional Sellers' Representative shall take effect [***] Business Days after notice of the change is received by the Purchaser or (if later) on the date (if any) specified in the notice. Until any such notice is received by the Purchaser, the Purchaser shall continue to be entitled to give notices to, and to rely on notices given (and other actions taken) by (in each case, where specifically so permitted under this Agreement), the last Institutional Sellers' Representative of whom it had actual knowledge.</w:t>
      </w:r>
    </w:p>
    <w:p>
      <w:pPr>
        <w:spacing w:after="0" w:line="51" w:lineRule="exact"/>
        <w:rPr>
          <w:sz w:val="20"/>
          <w:szCs w:val="20"/>
          <w:color w:val="auto"/>
        </w:rPr>
      </w:pPr>
    </w:p>
    <w:p>
      <w:pPr>
        <w:jc w:val="both"/>
        <w:ind w:left="540" w:hanging="575"/>
        <w:spacing w:after="0" w:line="219" w:lineRule="auto"/>
        <w:tabs>
          <w:tab w:leader="none" w:pos="520" w:val="left"/>
        </w:tabs>
        <w:rPr>
          <w:sz w:val="20"/>
          <w:szCs w:val="20"/>
          <w:color w:val="auto"/>
        </w:rPr>
      </w:pPr>
      <w:r>
        <w:rPr>
          <w:rFonts w:ascii="Arial" w:cs="Arial" w:eastAsia="Arial" w:hAnsi="Arial"/>
          <w:sz w:val="16"/>
          <w:szCs w:val="16"/>
          <w:color w:val="auto"/>
        </w:rPr>
        <w:t>27.3</w:t>
        <w:tab/>
        <w:t>The Institutional Sellers and the Institutional Sellers' Representative further agree that, as soon as practically possible following the date of this Agreement (but, in any event, prior to Completion), they shall enter into an agreement regulating the rights and obligations of the parties to it in relation to the Institutional Sellers' Representative's role in connection with this Agreement, which shall be on terms to be agreed between the parties thereto (each acting reasonably), and which shall include (among other things) provisions whereby:</w:t>
      </w:r>
    </w:p>
    <w:p>
      <w:pPr>
        <w:spacing w:after="0" w:line="49" w:lineRule="exact"/>
        <w:rPr>
          <w:sz w:val="20"/>
          <w:szCs w:val="20"/>
          <w:color w:val="auto"/>
        </w:rPr>
      </w:pPr>
    </w:p>
    <w:p>
      <w:pPr>
        <w:ind w:left="1140" w:hanging="558"/>
        <w:spacing w:after="0"/>
        <w:tabs>
          <w:tab w:leader="none" w:pos="11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Institutional Sellers' Representative shall:</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81"/>
        </w:numPr>
        <w:rPr>
          <w:rFonts w:ascii="Arial" w:cs="Arial" w:eastAsia="Arial" w:hAnsi="Arial"/>
          <w:sz w:val="14"/>
          <w:szCs w:val="14"/>
          <w:color w:val="auto"/>
        </w:rPr>
      </w:pPr>
      <w:r>
        <w:rPr>
          <w:rFonts w:ascii="Arial" w:cs="Arial" w:eastAsia="Arial" w:hAnsi="Arial"/>
          <w:sz w:val="14"/>
          <w:szCs w:val="14"/>
          <w:color w:val="auto"/>
        </w:rPr>
        <w:t>keep the Institutional Sellers fully updated and promptly share all relevant documents with them within the specified timeframes;</w:t>
      </w:r>
    </w:p>
    <w:p>
      <w:pPr>
        <w:spacing w:after="0" w:line="91" w:lineRule="exact"/>
        <w:rPr>
          <w:rFonts w:ascii="Arial" w:cs="Arial" w:eastAsia="Arial" w:hAnsi="Arial"/>
          <w:sz w:val="14"/>
          <w:szCs w:val="14"/>
          <w:color w:val="auto"/>
        </w:rPr>
      </w:pPr>
    </w:p>
    <w:p>
      <w:pPr>
        <w:ind w:left="1740" w:right="20" w:hanging="582"/>
        <w:spacing w:after="0" w:line="298" w:lineRule="auto"/>
        <w:tabs>
          <w:tab w:leader="none" w:pos="1728" w:val="left"/>
        </w:tabs>
        <w:numPr>
          <w:ilvl w:val="1"/>
          <w:numId w:val="381"/>
        </w:numPr>
        <w:rPr>
          <w:rFonts w:ascii="Arial" w:cs="Arial" w:eastAsia="Arial" w:hAnsi="Arial"/>
          <w:sz w:val="14"/>
          <w:szCs w:val="14"/>
          <w:color w:val="auto"/>
        </w:rPr>
      </w:pPr>
      <w:r>
        <w:rPr>
          <w:rFonts w:ascii="Arial" w:cs="Arial" w:eastAsia="Arial" w:hAnsi="Arial"/>
          <w:sz w:val="14"/>
          <w:szCs w:val="14"/>
          <w:color w:val="auto"/>
        </w:rPr>
        <w:t>endeavour to give the Institutional Sellers the opportunity to provide comments on any relevant matters (subject to reasonable limited exceptions, for example requiring any urgent action on the side of the Institutional Sellers' Representative);</w:t>
      </w:r>
    </w:p>
    <w:p>
      <w:pPr>
        <w:spacing w:after="0" w:line="8" w:lineRule="exact"/>
        <w:rPr>
          <w:rFonts w:ascii="Arial" w:cs="Arial" w:eastAsia="Arial" w:hAnsi="Arial"/>
          <w:sz w:val="14"/>
          <w:szCs w:val="14"/>
          <w:color w:val="auto"/>
        </w:rPr>
      </w:pPr>
    </w:p>
    <w:p>
      <w:pPr>
        <w:ind w:left="1720" w:hanging="562"/>
        <w:spacing w:after="0"/>
        <w:tabs>
          <w:tab w:leader="none" w:pos="172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relate to the Purchaser any reasonable comments provided by the Institutional Sellers; and</w:t>
      </w:r>
    </w:p>
    <w:p>
      <w:pPr>
        <w:spacing w:after="0" w:line="68" w:lineRule="exact"/>
        <w:rPr>
          <w:rFonts w:ascii="Arial" w:cs="Arial" w:eastAsia="Arial" w:hAnsi="Arial"/>
          <w:sz w:val="16"/>
          <w:szCs w:val="16"/>
          <w:color w:val="auto"/>
        </w:rPr>
      </w:pPr>
    </w:p>
    <w:p>
      <w:pPr>
        <w:jc w:val="both"/>
        <w:ind w:left="1740" w:hanging="582"/>
        <w:spacing w:after="0" w:line="219" w:lineRule="auto"/>
        <w:tabs>
          <w:tab w:leader="none" w:pos="1728" w:val="left"/>
        </w:tabs>
        <w:numPr>
          <w:ilvl w:val="1"/>
          <w:numId w:val="381"/>
        </w:numPr>
        <w:rPr>
          <w:rFonts w:ascii="Arial" w:cs="Arial" w:eastAsia="Arial" w:hAnsi="Arial"/>
          <w:sz w:val="16"/>
          <w:szCs w:val="16"/>
          <w:color w:val="auto"/>
        </w:rPr>
      </w:pPr>
      <w:r>
        <w:rPr>
          <w:rFonts w:ascii="Arial" w:cs="Arial" w:eastAsia="Arial" w:hAnsi="Arial"/>
          <w:sz w:val="16"/>
          <w:szCs w:val="16"/>
          <w:color w:val="auto"/>
        </w:rPr>
        <w:t>subject to the Institutional Sellers' Representative acting in Good Faith in carrying out [***] role as the Institutional Sellers' Representative, have and accept no liability to the Institutional Sellers or to any other person in connection with or as a result of anything which the Institutional Sellers' Representative does, refrains from doing or neglects or omits to do in connection with any matter relating to this Agreement;</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Institutional Sellers shall:</w:t>
      </w:r>
    </w:p>
    <w:p>
      <w:pPr>
        <w:spacing w:after="0" w:line="68" w:lineRule="exact"/>
        <w:rPr>
          <w:rFonts w:ascii="Arial" w:cs="Arial" w:eastAsia="Arial" w:hAnsi="Arial"/>
          <w:sz w:val="16"/>
          <w:szCs w:val="16"/>
          <w:color w:val="auto"/>
        </w:rPr>
      </w:pPr>
    </w:p>
    <w:p>
      <w:pPr>
        <w:ind w:left="1740" w:right="20" w:hanging="582"/>
        <w:spacing w:after="0" w:line="298" w:lineRule="auto"/>
        <w:tabs>
          <w:tab w:leader="none" w:pos="1740" w:val="left"/>
        </w:tabs>
        <w:numPr>
          <w:ilvl w:val="1"/>
          <w:numId w:val="381"/>
        </w:numPr>
        <w:rPr>
          <w:rFonts w:ascii="Arial" w:cs="Arial" w:eastAsia="Arial" w:hAnsi="Arial"/>
          <w:sz w:val="14"/>
          <w:szCs w:val="14"/>
          <w:color w:val="auto"/>
        </w:rPr>
      </w:pPr>
      <w:r>
        <w:rPr>
          <w:rFonts w:ascii="Arial" w:cs="Arial" w:eastAsia="Arial" w:hAnsi="Arial"/>
          <w:sz w:val="14"/>
          <w:szCs w:val="14"/>
          <w:color w:val="auto"/>
        </w:rPr>
        <w:t>consider any requests of the Institutional Sellers' Representative as soon as reasonably practicable and, in any event, within the period of time, which will be sufficient for the Institutional Sellers to comply with any timing requirements under this Agreement;</w:t>
      </w:r>
    </w:p>
    <w:p>
      <w:pPr>
        <w:spacing w:after="0" w:line="8" w:lineRule="exact"/>
        <w:rPr>
          <w:rFonts w:ascii="Arial" w:cs="Arial" w:eastAsia="Arial" w:hAnsi="Arial"/>
          <w:sz w:val="14"/>
          <w:szCs w:val="14"/>
          <w:color w:val="auto"/>
        </w:rPr>
      </w:pPr>
    </w:p>
    <w:p>
      <w:pPr>
        <w:ind w:left="1740" w:right="20" w:hanging="582"/>
        <w:spacing w:after="0" w:line="235" w:lineRule="auto"/>
        <w:tabs>
          <w:tab w:leader="none" w:pos="1728"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act reasonably and provide reasons for any proposed action or inaction, along with suggestions as to steps which may be taken in order for consent to be provided or matters agreed; and</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45</w:t>
      </w:r>
    </w:p>
    <w:p>
      <w:pPr>
        <w:sectPr>
          <w:pgSz w:w="11900" w:h="16840" w:orient="portrait"/>
          <w:cols w:equalWidth="0" w:num="1">
            <w:col w:w="10580"/>
          </w:cols>
          <w:pgMar w:left="660" w:top="1440" w:right="660" w:bottom="1440" w:gutter="0" w:footer="0" w:header="0"/>
        </w:sectPr>
      </w:pPr>
    </w:p>
    <w:bookmarkStart w:id="396" w:name="page397"/>
    <w:bookmarkEnd w:id="396"/>
    <w:p>
      <w:pPr>
        <w:spacing w:after="0" w:line="331" w:lineRule="exact"/>
        <w:rPr>
          <w:sz w:val="20"/>
          <w:szCs w:val="20"/>
          <w:color w:val="auto"/>
        </w:rPr>
      </w:pPr>
    </w:p>
    <w:p>
      <w:pPr>
        <w:ind w:left="1720" w:hanging="562"/>
        <w:spacing w:after="0"/>
        <w:tabs>
          <w:tab w:leader="none" w:pos="172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otherwise provide clear and consistent instructions to the Institutional Sellers' Representative.</w:t>
      </w:r>
    </w:p>
    <w:p>
      <w:pPr>
        <w:spacing w:after="0" w:line="66" w:lineRule="exact"/>
        <w:rPr>
          <w:rFonts w:ascii="Arial" w:cs="Arial" w:eastAsia="Arial" w:hAnsi="Arial"/>
          <w:sz w:val="16"/>
          <w:szCs w:val="16"/>
          <w:color w:val="auto"/>
        </w:rPr>
      </w:pPr>
    </w:p>
    <w:p>
      <w:pPr>
        <w:ind w:left="400" w:hanging="394"/>
        <w:spacing w:after="0"/>
        <w:tabs>
          <w:tab w:leader="none" w:pos="400"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Governing law and jurisdiction</w:t>
      </w:r>
    </w:p>
    <w:p>
      <w:pPr>
        <w:spacing w:after="0" w:line="70" w:lineRule="exact"/>
        <w:rPr>
          <w:sz w:val="20"/>
          <w:szCs w:val="20"/>
          <w:color w:val="auto"/>
        </w:rPr>
      </w:pPr>
    </w:p>
    <w:p>
      <w:pPr>
        <w:ind w:left="540" w:hanging="575"/>
        <w:spacing w:after="0" w:line="235" w:lineRule="auto"/>
        <w:tabs>
          <w:tab w:leader="none" w:pos="520" w:val="left"/>
        </w:tabs>
        <w:rPr>
          <w:sz w:val="20"/>
          <w:szCs w:val="20"/>
          <w:color w:val="auto"/>
        </w:rPr>
      </w:pPr>
      <w:r>
        <w:rPr>
          <w:rFonts w:ascii="Arial" w:cs="Arial" w:eastAsia="Arial" w:hAnsi="Arial"/>
          <w:sz w:val="16"/>
          <w:szCs w:val="16"/>
          <w:color w:val="auto"/>
        </w:rPr>
        <w:t>28.1</w:t>
        <w:tab/>
        <w:t>This Agreement and any dispute, claim or obligation (whether contractual or non-contractual) arising out of or in connection with it, its subject matter or formation shall be governed by English law.</w:t>
      </w:r>
    </w:p>
    <w:p>
      <w:pPr>
        <w:spacing w:after="0" w:line="48" w:lineRule="exact"/>
        <w:rPr>
          <w:sz w:val="20"/>
          <w:szCs w:val="20"/>
          <w:color w:val="auto"/>
        </w:rPr>
      </w:pPr>
    </w:p>
    <w:p>
      <w:pPr>
        <w:ind w:left="520" w:hanging="575"/>
        <w:spacing w:after="0" w:line="235" w:lineRule="auto"/>
        <w:tabs>
          <w:tab w:leader="none" w:pos="500" w:val="left"/>
        </w:tabs>
        <w:rPr>
          <w:sz w:val="20"/>
          <w:szCs w:val="20"/>
          <w:color w:val="auto"/>
        </w:rPr>
      </w:pPr>
      <w:r>
        <w:rPr>
          <w:rFonts w:ascii="Arial" w:cs="Arial" w:eastAsia="Arial" w:hAnsi="Arial"/>
          <w:sz w:val="16"/>
          <w:szCs w:val="16"/>
          <w:color w:val="auto"/>
        </w:rPr>
        <w:t>28.2</w:t>
        <w:tab/>
        <w:t>The parties irrevocably agree that the English courts shall have exclusive jurisdiction to settle any dispute or claim (whether contractual or non-contractual) arising out of or in connection with this Agreement, its subject matter or formation.</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or their duly authorised representatives have executed this Agreement as a deed and delivered it at the date first</w:t>
      </w:r>
      <w:r>
        <w:rPr>
          <w:rFonts w:ascii="Arial" w:cs="Arial" w:eastAsia="Arial" w:hAnsi="Arial"/>
          <w:sz w:val="16"/>
          <w:szCs w:val="16"/>
          <w:b w:val="1"/>
          <w:bCs w:val="1"/>
          <w:color w:val="auto"/>
        </w:rPr>
        <w:t xml:space="preserve"> </w:t>
      </w:r>
      <w:r>
        <w:rPr>
          <w:rFonts w:ascii="Arial" w:cs="Arial" w:eastAsia="Arial" w:hAnsi="Arial"/>
          <w:sz w:val="16"/>
          <w:szCs w:val="16"/>
          <w:color w:val="auto"/>
        </w:rPr>
        <w:t>appearing at the head of this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40" w:orient="portrait"/>
          <w:cols w:equalWidth="0" w:num="1">
            <w:col w:w="10560"/>
          </w:cols>
          <w:pgMar w:left="660" w:top="1440" w:right="680" w:bottom="1440" w:gutter="0" w:footer="0" w:header="0"/>
        </w:sectPr>
      </w:pPr>
    </w:p>
    <w:bookmarkStart w:id="397" w:name="page398"/>
    <w:bookmarkEnd w:id="397"/>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Schedule 1</w:t>
      </w:r>
    </w:p>
    <w:p>
      <w:pPr>
        <w:spacing w:after="0" w:line="68"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(The Sellers)</w:t>
      </w:r>
    </w:p>
    <w:p>
      <w:pPr>
        <w:spacing w:after="0" w:line="68"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(The FME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47</w:t>
      </w:r>
    </w:p>
    <w:p>
      <w:pPr>
        <w:sectPr>
          <w:pgSz w:w="11900" w:h="16840" w:orient="portrait"/>
          <w:cols w:equalWidth="0" w:num="1">
            <w:col w:w="9800"/>
          </w:cols>
          <w:pgMar w:left="660" w:top="1440" w:right="1440" w:bottom="1440" w:gutter="0" w:footer="0" w:header="0"/>
        </w:sectPr>
      </w:pPr>
    </w:p>
    <w:bookmarkStart w:id="398" w:name="page399"/>
    <w:bookmarkEnd w:id="398"/>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(The Investor Sellers)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48</w:t>
      </w:r>
    </w:p>
    <w:p>
      <w:pPr>
        <w:sectPr>
          <w:pgSz w:w="11900" w:h="16840" w:orient="portrait"/>
          <w:cols w:equalWidth="0" w:num="1">
            <w:col w:w="9800"/>
          </w:cols>
          <w:pgMar w:left="660" w:top="1440" w:right="1440" w:bottom="1440" w:gutter="0" w:footer="0" w:header="0"/>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 and jurisdiction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registered office</w:t>
      </w:r>
    </w:p>
    <w:p>
      <w:pPr>
        <w:spacing w:after="0" w:line="308" w:lineRule="exact"/>
        <w:rPr>
          <w:sz w:val="20"/>
          <w:szCs w:val="20"/>
          <w:color w:val="auto"/>
        </w:rPr>
      </w:pPr>
    </w:p>
    <w:p>
      <w:pPr>
        <w:ind w:left="40" w:right="520"/>
        <w:spacing w:after="0" w:line="456" w:lineRule="auto"/>
        <w:rPr>
          <w:sz w:val="20"/>
          <w:szCs w:val="20"/>
          <w:color w:val="auto"/>
        </w:rPr>
      </w:pPr>
      <w:r>
        <w:rPr>
          <w:rFonts w:ascii="Arial" w:cs="Arial" w:eastAsia="Arial" w:hAnsi="Arial"/>
          <w:sz w:val="14"/>
          <w:szCs w:val="14"/>
          <w:b w:val="1"/>
          <w:bCs w:val="1"/>
          <w:color w:val="auto"/>
        </w:rPr>
        <w:t>Issued share capital at Exchange (Warranted as at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reference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residence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4820"/>
        <w:spacing w:after="0"/>
        <w:rPr>
          <w:sz w:val="20"/>
          <w:szCs w:val="20"/>
          <w:color w:val="auto"/>
        </w:rPr>
      </w:pPr>
      <w:r>
        <w:rPr>
          <w:rFonts w:ascii="Arial" w:cs="Arial" w:eastAsia="Arial" w:hAnsi="Arial"/>
          <w:sz w:val="16"/>
          <w:szCs w:val="16"/>
          <w:b w:val="1"/>
          <w:bCs w:val="1"/>
          <w:color w:val="auto"/>
        </w:rPr>
        <w:t>Schedule 2</w:t>
      </w:r>
    </w:p>
    <w:p>
      <w:pPr>
        <w:spacing w:after="0" w:line="68" w:lineRule="exact"/>
        <w:rPr>
          <w:sz w:val="20"/>
          <w:szCs w:val="20"/>
          <w:color w:val="auto"/>
        </w:rPr>
      </w:pPr>
    </w:p>
    <w:p>
      <w:pPr>
        <w:jc w:val="center"/>
        <w:ind w:right="4800"/>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4820"/>
        <w:spacing w:after="0"/>
        <w:rPr>
          <w:sz w:val="20"/>
          <w:szCs w:val="20"/>
          <w:color w:val="auto"/>
        </w:rPr>
      </w:pPr>
      <w:r>
        <w:rPr>
          <w:rFonts w:ascii="Arial" w:cs="Arial" w:eastAsia="Arial" w:hAnsi="Arial"/>
          <w:sz w:val="14"/>
          <w:szCs w:val="14"/>
          <w:b w:val="1"/>
          <w:bCs w:val="1"/>
          <w:color w:val="auto"/>
        </w:rPr>
        <w:t>(The Company)</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InstaDeep Ltd</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09816291</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8 October 2015</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England &amp; Wales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 Merchant Square, London, England, W2 1AY</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£2.571256 divided into:</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1,529,184 Ordinary Shares of £0.000001 each</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289,048 Class A Shares of £0.000001</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599,171 Class B of £0.000001 each</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 153,853 non-Voting Ordinary Shares (Employee Shares) of £0.000001 each</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Afif Baccouche</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Arnaud Sylvain Barthelemy</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Karim Beguir</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Khaled Ben Jilani</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Zohra Slim</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Victorien Vaney</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Karim Beguir</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31 December</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Shipleys LLP, 10 Orange Street, Haymarket, London, WC2H 7DQ</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340"/>
        <w:spacing w:after="0"/>
        <w:rPr>
          <w:sz w:val="20"/>
          <w:szCs w:val="20"/>
          <w:color w:val="auto"/>
        </w:rPr>
      </w:pPr>
      <w:r>
        <w:rPr>
          <w:rFonts w:ascii="Arial" w:cs="Arial" w:eastAsia="Arial" w:hAnsi="Arial"/>
          <w:sz w:val="13"/>
          <w:szCs w:val="13"/>
          <w:color w:val="auto"/>
        </w:rPr>
        <w:t>49</w:t>
      </w:r>
    </w:p>
    <w:p>
      <w:pPr>
        <w:sectPr>
          <w:pgSz w:w="11900" w:h="16840" w:orient="portrait"/>
          <w:cols w:equalWidth="0" w:num="2">
            <w:col w:w="3840" w:space="720"/>
            <w:col w:w="5940"/>
          </w:cols>
          <w:pgMar w:left="680" w:top="1440" w:right="720" w:bottom="1440" w:gutter="0" w:footer="0" w:header="0"/>
        </w:sectPr>
      </w:pPr>
    </w:p>
    <w:bookmarkStart w:id="400" w:name="page401"/>
    <w:bookmarkEnd w:id="4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Place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Address of registered office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Charges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Accounting reference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Auditors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Tax residence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at Exchange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(Warranted as at the date of this Agreement)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at Completion</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(Warranted as at Completion)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900"/>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3920"/>
        <w:spacing w:after="0"/>
        <w:rPr>
          <w:sz w:val="20"/>
          <w:szCs w:val="20"/>
          <w:color w:val="auto"/>
        </w:rPr>
      </w:pPr>
      <w:r>
        <w:rPr>
          <w:rFonts w:ascii="Arial" w:cs="Arial" w:eastAsia="Arial" w:hAnsi="Arial"/>
          <w:sz w:val="14"/>
          <w:szCs w:val="14"/>
          <w:b w:val="1"/>
          <w:bCs w:val="1"/>
          <w:color w:val="auto"/>
        </w:rPr>
        <w:t>(The Group Companies (and branches))</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InstaDeep SARL</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B0187762014, unique identifier: </w:t>
      </w:r>
      <w:r>
        <w:rPr>
          <w:rFonts w:ascii="Arial" w:cs="Arial" w:eastAsia="Arial" w:hAnsi="Arial"/>
          <w:sz w:val="16"/>
          <w:szCs w:val="16"/>
          <w:color w:val="222222"/>
        </w:rPr>
        <w:t>1347719P</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23 April 2014</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Tunisia</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Immeuble ICC3 bloc D 4ème étage, Centre Urbain, Nord Tunis 1082</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TND 5,000</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Zohra Slim (Gérante)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N/A</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31 December</w:t>
      </w:r>
    </w:p>
    <w:p>
      <w:pPr>
        <w:spacing w:after="0" w:line="212" w:lineRule="exact"/>
        <w:rPr>
          <w:sz w:val="20"/>
          <w:szCs w:val="20"/>
          <w:color w:val="auto"/>
        </w:rPr>
      </w:pPr>
    </w:p>
    <w:p>
      <w:pPr>
        <w:jc w:val="both"/>
        <w:ind w:left="840"/>
        <w:spacing w:after="0" w:line="224" w:lineRule="auto"/>
        <w:rPr>
          <w:sz w:val="20"/>
          <w:szCs w:val="20"/>
          <w:color w:val="auto"/>
        </w:rPr>
      </w:pPr>
      <w:r>
        <w:rPr>
          <w:rFonts w:ascii="Arial" w:cs="Arial" w:eastAsia="Arial" w:hAnsi="Arial"/>
          <w:sz w:val="16"/>
          <w:szCs w:val="16"/>
          <w:color w:val="auto"/>
        </w:rPr>
        <w:t xml:space="preserve">Cabinet Hatem Ben Naji - 3 avenue Louis Braille Tunis 1002. From 2022 accounts, auditors are </w:t>
      </w:r>
      <w:r>
        <w:rPr>
          <w:rFonts w:ascii="Arial" w:cs="Arial" w:eastAsia="Arial" w:hAnsi="Arial"/>
          <w:sz w:val="16"/>
          <w:szCs w:val="16"/>
          <w:color w:val="222222"/>
        </w:rPr>
        <w:t>Grant Thornton Tunisia, Promed Building, 5th floor, Centre Urbain Nord,</w:t>
      </w:r>
      <w:r>
        <w:rPr>
          <w:rFonts w:ascii="Arial" w:cs="Arial" w:eastAsia="Arial" w:hAnsi="Arial"/>
          <w:sz w:val="16"/>
          <w:szCs w:val="16"/>
          <w:color w:val="auto"/>
        </w:rPr>
        <w:t xml:space="preserve"> </w:t>
      </w:r>
      <w:r>
        <w:rPr>
          <w:rFonts w:ascii="Arial" w:cs="Arial" w:eastAsia="Arial" w:hAnsi="Arial"/>
          <w:sz w:val="16"/>
          <w:szCs w:val="16"/>
          <w:color w:val="222222"/>
        </w:rPr>
        <w:t>1082, Tunis</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Tunisia</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499 Shares – the Company</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1 share – [***]</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500 Shares –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920"/>
        <w:spacing w:after="0"/>
        <w:rPr>
          <w:sz w:val="20"/>
          <w:szCs w:val="20"/>
          <w:color w:val="auto"/>
        </w:rPr>
      </w:pPr>
      <w:r>
        <w:rPr>
          <w:rFonts w:ascii="Arial" w:cs="Arial" w:eastAsia="Arial" w:hAnsi="Arial"/>
          <w:sz w:val="8"/>
          <w:szCs w:val="8"/>
          <w:color w:val="auto"/>
        </w:rPr>
        <w:t>OC_UK/125258569.5</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50</w:t>
      </w:r>
    </w:p>
    <w:p>
      <w:pPr>
        <w:sectPr>
          <w:pgSz w:w="11900" w:h="16840" w:orient="portrait"/>
          <w:cols w:equalWidth="0" w:num="2">
            <w:col w:w="3120" w:space="540"/>
            <w:col w:w="6840"/>
          </w:cols>
          <w:pgMar w:left="680" w:top="1440" w:right="720" w:bottom="1440" w:gutter="0" w:footer="0" w:header="0"/>
        </w:sectPr>
      </w:pPr>
    </w:p>
    <w:bookmarkStart w:id="401" w:name="page402"/>
    <w:bookmarkEnd w:id="401"/>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Place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Address of registered office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Issued share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Charges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Accounting reference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Auditors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Tax residence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InstaDeep SAS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842469918 RCS Paris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20 September 2018</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40 bis, rue du Faubourg Poissonnière, 75010 Paris, France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€100,000 divided into 100,000 shares of €1.00 each</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Karim Beguir (Président) and Isabelle Levard (Directrice Général)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31 December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Cabinet Caderas Martin - 43, rue de Liège 75008 Paris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420"/>
        <w:spacing w:after="0"/>
        <w:rPr>
          <w:sz w:val="20"/>
          <w:szCs w:val="20"/>
          <w:color w:val="auto"/>
        </w:rPr>
      </w:pPr>
      <w:r>
        <w:rPr>
          <w:rFonts w:ascii="Arial" w:cs="Arial" w:eastAsia="Arial" w:hAnsi="Arial"/>
          <w:sz w:val="13"/>
          <w:szCs w:val="13"/>
          <w:color w:val="auto"/>
        </w:rPr>
        <w:t>51</w:t>
      </w:r>
    </w:p>
    <w:p>
      <w:pPr>
        <w:sectPr>
          <w:pgSz w:w="11900" w:h="16840" w:orient="portrait"/>
          <w:cols w:equalWidth="0" w:num="2">
            <w:col w:w="3760" w:space="720"/>
            <w:col w:w="6020"/>
          </w:cols>
          <w:pgMar w:left="680" w:top="1440" w:right="720" w:bottom="1440" w:gutter="0" w:footer="0" w:header="0"/>
        </w:sectPr>
      </w:pPr>
    </w:p>
    <w:bookmarkStart w:id="402" w:name="page403"/>
    <w:bookmarkEnd w:id="402"/>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Place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Address of registered office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Issued share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Charges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Accounting reference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Auditors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Tax residence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at Exchange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(Warranted as at the date of this Agreement)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at Completion</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(Warranted as at Completion)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InstaDeep Nigeria Limited</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1563821</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26 February 2019</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Lagos, Nigeria</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7, Ibiyinka Olorube, Victoria Island, Lagos State, Nigeria</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NGN 10,000,000 divided into 10,000,000 shares of NGN 1 each</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Karim Beguir</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Zohra Slim</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Isabelle Levard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GFS Corporate Services Limited, 5th Floor, NCR Building, 6 Broad Street, Lagos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 December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Pedabo Audit Services - 67, Norman Williams Street - Ikoyi Lagos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9,990,000 – the Company</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10,000 – [***]</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9,990,000 shares – the Company</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10,000 shares – InstaDeep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380"/>
        <w:spacing w:after="0"/>
        <w:rPr>
          <w:sz w:val="20"/>
          <w:szCs w:val="20"/>
          <w:color w:val="auto"/>
        </w:rPr>
      </w:pPr>
      <w:r>
        <w:rPr>
          <w:rFonts w:ascii="Arial" w:cs="Arial" w:eastAsia="Arial" w:hAnsi="Arial"/>
          <w:sz w:val="13"/>
          <w:szCs w:val="13"/>
          <w:color w:val="auto"/>
        </w:rPr>
        <w:t>52</w:t>
      </w:r>
    </w:p>
    <w:p>
      <w:pPr>
        <w:sectPr>
          <w:pgSz w:w="11900" w:h="16840" w:orient="portrait"/>
          <w:cols w:equalWidth="0" w:num="2">
            <w:col w:w="3800" w:space="720"/>
            <w:col w:w="5980"/>
          </w:cols>
          <w:pgMar w:left="680" w:top="1440" w:right="720" w:bottom="1440" w:gutter="0" w:footer="0" w:header="0"/>
        </w:sectPr>
      </w:pPr>
    </w:p>
    <w:bookmarkStart w:id="403" w:name="page404"/>
    <w:bookmarkEnd w:id="403"/>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Place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Address of registered office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Charges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Accounting reference date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Auditors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Tax residence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InstaDeep South Africa (branch)</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 / 052350 / 10</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29 January 2020</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Cape Town, South Africa</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80 Stand Street, Cape Town 8001, South Africa</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Zohra Slim</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Khaled Ben Jilani</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Karim Beguir</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Afif Baccouche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Karim Beguir (InstaDeep Ltd)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 December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SJ Kruger - PO Box 264 Ferndale 2160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 (branch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400"/>
        <w:spacing w:after="0"/>
        <w:rPr>
          <w:sz w:val="20"/>
          <w:szCs w:val="20"/>
          <w:color w:val="auto"/>
        </w:rPr>
      </w:pPr>
      <w:r>
        <w:rPr>
          <w:rFonts w:ascii="Arial" w:cs="Arial" w:eastAsia="Arial" w:hAnsi="Arial"/>
          <w:sz w:val="13"/>
          <w:szCs w:val="13"/>
          <w:color w:val="auto"/>
        </w:rPr>
        <w:t>53</w:t>
      </w:r>
    </w:p>
    <w:p>
      <w:pPr>
        <w:sectPr>
          <w:pgSz w:w="11900" w:h="16840" w:orient="portrait"/>
          <w:cols w:equalWidth="0" w:num="2">
            <w:col w:w="3780" w:space="720"/>
            <w:col w:w="6000"/>
          </w:cols>
          <w:pgMar w:left="680" w:top="1440" w:right="720" w:bottom="1440" w:gutter="0" w:footer="0" w:header="0"/>
        </w:sectPr>
      </w:pPr>
    </w:p>
    <w:bookmarkStart w:id="404" w:name="page405"/>
    <w:bookmarkEnd w:id="404"/>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name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Registered number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Date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Place of incorporation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Address of registered office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Charges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Loan capital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General manager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reference 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Auditors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Tax residence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InstaDeep Dubai (branch)</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97028</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17 February 2020</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Arab Emirates, Dubai</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Dubai Internet City, Premises EO 03, Ground Floor Building 07, Dubai,</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Karim Beguir (InstaDeep Ltd)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Maher Mansour</w:t>
      </w:r>
    </w:p>
    <w:p>
      <w:pPr>
        <w:spacing w:after="0" w:line="116" w:lineRule="exact"/>
        <w:rPr>
          <w:sz w:val="20"/>
          <w:szCs w:val="20"/>
          <w:color w:val="auto"/>
        </w:rPr>
      </w:pPr>
    </w:p>
    <w:p>
      <w:pPr>
        <w:ind w:left="40" w:right="5020" w:hanging="5"/>
        <w:spacing w:after="0" w:line="590" w:lineRule="auto"/>
        <w:tabs>
          <w:tab w:leader="none" w:pos="257" w:val="left"/>
        </w:tabs>
        <w:numPr>
          <w:ilvl w:val="0"/>
          <w:numId w:val="384"/>
        </w:numPr>
        <w:rPr>
          <w:rFonts w:ascii="Arial" w:cs="Arial" w:eastAsia="Arial" w:hAnsi="Arial"/>
          <w:sz w:val="14"/>
          <w:szCs w:val="14"/>
          <w:color w:val="auto"/>
        </w:rPr>
      </w:pPr>
      <w:r>
        <w:rPr>
          <w:rFonts w:ascii="Arial" w:cs="Arial" w:eastAsia="Arial" w:hAnsi="Arial"/>
          <w:sz w:val="14"/>
          <w:szCs w:val="14"/>
          <w:color w:val="auto"/>
        </w:rPr>
        <w:t>December N/A</w:t>
      </w:r>
    </w:p>
    <w:p>
      <w:pPr>
        <w:ind w:left="40" w:right="4000"/>
        <w:spacing w:after="0" w:line="544" w:lineRule="auto"/>
        <w:rPr>
          <w:rFonts w:ascii="Arial" w:cs="Arial" w:eastAsia="Arial" w:hAnsi="Arial"/>
          <w:sz w:val="14"/>
          <w:szCs w:val="14"/>
          <w:color w:val="auto"/>
        </w:rPr>
      </w:pPr>
      <w:r>
        <w:rPr>
          <w:rFonts w:ascii="Arial" w:cs="Arial" w:eastAsia="Arial" w:hAnsi="Arial"/>
          <w:sz w:val="16"/>
          <w:szCs w:val="16"/>
          <w:color w:val="auto"/>
        </w:rPr>
        <w:t>United Arab Emirates, Dubai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400"/>
        <w:spacing w:after="0"/>
        <w:rPr>
          <w:sz w:val="20"/>
          <w:szCs w:val="20"/>
          <w:color w:val="auto"/>
        </w:rPr>
      </w:pPr>
      <w:r>
        <w:rPr>
          <w:rFonts w:ascii="Arial" w:cs="Arial" w:eastAsia="Arial" w:hAnsi="Arial"/>
          <w:sz w:val="13"/>
          <w:szCs w:val="13"/>
          <w:color w:val="auto"/>
        </w:rPr>
        <w:t>54</w:t>
      </w:r>
    </w:p>
    <w:p>
      <w:pPr>
        <w:sectPr>
          <w:pgSz w:w="11900" w:h="16840" w:orient="portrait"/>
          <w:cols w:equalWidth="0" w:num="2">
            <w:col w:w="3780" w:space="720"/>
            <w:col w:w="6000"/>
          </w:cols>
          <w:pgMar w:left="680" w:top="1440" w:right="720" w:bottom="1440" w:gutter="0" w:footer="0" w:header="0"/>
        </w:sectPr>
      </w:pPr>
    </w:p>
    <w:bookmarkStart w:id="405" w:name="page406"/>
    <w:bookmarkEnd w:id="405"/>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20"/>
                <w:szCs w:val="20"/>
                <w:color w:val="auto"/>
              </w:rPr>
            </w:pPr>
            <w:r>
              <w:rPr>
                <w:rFonts w:ascii="Arial" w:cs="Arial" w:eastAsia="Arial" w:hAnsi="Arial"/>
                <w:sz w:val="16"/>
                <w:szCs w:val="16"/>
                <w:b w:val="1"/>
                <w:bCs w:val="1"/>
                <w:color w:val="auto"/>
              </w:rPr>
              <w:t>Company name</w:t>
            </w:r>
          </w:p>
        </w:tc>
        <w:tc>
          <w:tcPr>
            <w:tcW w:w="474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InstaDeep DE GmbH</w:t>
            </w: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120" w:type="dxa"/>
            <w:vAlign w:val="bottom"/>
          </w:tcPr>
          <w:p>
            <w:pPr>
              <w:spacing w:after="0"/>
              <w:rPr>
                <w:sz w:val="20"/>
                <w:szCs w:val="20"/>
                <w:color w:val="auto"/>
              </w:rPr>
            </w:pPr>
            <w:r>
              <w:rPr>
                <w:rFonts w:ascii="Arial" w:cs="Arial" w:eastAsia="Arial" w:hAnsi="Arial"/>
                <w:sz w:val="16"/>
                <w:szCs w:val="16"/>
                <w:color w:val="auto"/>
              </w:rPr>
              <w:t>Registered number</w:t>
            </w:r>
          </w:p>
        </w:tc>
        <w:tc>
          <w:tcPr>
            <w:tcW w:w="4740" w:type="dxa"/>
            <w:vAlign w:val="bottom"/>
          </w:tcPr>
          <w:p>
            <w:pPr>
              <w:ind w:left="1240"/>
              <w:spacing w:after="0"/>
              <w:rPr>
                <w:sz w:val="20"/>
                <w:szCs w:val="20"/>
                <w:color w:val="auto"/>
              </w:rPr>
            </w:pPr>
            <w:r>
              <w:rPr>
                <w:rFonts w:ascii="Arial" w:cs="Arial" w:eastAsia="Arial" w:hAnsi="Arial"/>
                <w:sz w:val="16"/>
                <w:szCs w:val="16"/>
                <w:color w:val="auto"/>
                <w:w w:val="99"/>
              </w:rPr>
              <w:t>Amtsgericht Berlin (Charlottenburg), HRB 243790</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Date of incorporation</w:t>
            </w:r>
          </w:p>
        </w:tc>
        <w:tc>
          <w:tcPr>
            <w:tcW w:w="4740" w:type="dxa"/>
            <w:vAlign w:val="bottom"/>
          </w:tcPr>
          <w:p>
            <w:pPr>
              <w:ind w:left="1240"/>
              <w:spacing w:after="0"/>
              <w:rPr>
                <w:sz w:val="20"/>
                <w:szCs w:val="20"/>
                <w:color w:val="auto"/>
              </w:rPr>
            </w:pPr>
            <w:r>
              <w:rPr>
                <w:rFonts w:ascii="Arial" w:cs="Arial" w:eastAsia="Arial" w:hAnsi="Arial"/>
                <w:sz w:val="16"/>
                <w:szCs w:val="16"/>
                <w:color w:val="auto"/>
              </w:rPr>
              <w:t>11 May 2022</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Place of incorporation</w:t>
            </w:r>
          </w:p>
        </w:tc>
        <w:tc>
          <w:tcPr>
            <w:tcW w:w="4740" w:type="dxa"/>
            <w:vAlign w:val="bottom"/>
          </w:tcPr>
          <w:p>
            <w:pPr>
              <w:ind w:left="1240"/>
              <w:spacing w:after="0"/>
              <w:rPr>
                <w:sz w:val="20"/>
                <w:szCs w:val="20"/>
                <w:color w:val="auto"/>
              </w:rPr>
            </w:pPr>
            <w:r>
              <w:rPr>
                <w:rFonts w:ascii="Arial" w:cs="Arial" w:eastAsia="Arial" w:hAnsi="Arial"/>
                <w:sz w:val="16"/>
                <w:szCs w:val="16"/>
                <w:color w:val="auto"/>
              </w:rPr>
              <w:t>Berlin, Germany</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Address of registered office</w:t>
            </w:r>
          </w:p>
        </w:tc>
        <w:tc>
          <w:tcPr>
            <w:tcW w:w="4740" w:type="dxa"/>
            <w:vAlign w:val="bottom"/>
          </w:tcPr>
          <w:p>
            <w:pPr>
              <w:ind w:left="1240"/>
              <w:spacing w:after="0"/>
              <w:rPr>
                <w:sz w:val="20"/>
                <w:szCs w:val="20"/>
                <w:color w:val="auto"/>
              </w:rPr>
            </w:pPr>
            <w:r>
              <w:rPr>
                <w:rFonts w:ascii="Arial" w:cs="Arial" w:eastAsia="Arial" w:hAnsi="Arial"/>
                <w:sz w:val="16"/>
                <w:szCs w:val="16"/>
                <w:color w:val="auto"/>
              </w:rPr>
              <w:t>Stresemannstrasse 123 - 10963 Berlin</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Issued share capital</w:t>
            </w:r>
          </w:p>
        </w:tc>
        <w:tc>
          <w:tcPr>
            <w:tcW w:w="4740" w:type="dxa"/>
            <w:vAlign w:val="bottom"/>
          </w:tcPr>
          <w:p>
            <w:pPr>
              <w:ind w:left="124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Charges</w:t>
            </w:r>
          </w:p>
        </w:tc>
        <w:tc>
          <w:tcPr>
            <w:tcW w:w="4740" w:type="dxa"/>
            <w:vAlign w:val="bottom"/>
          </w:tcPr>
          <w:p>
            <w:pPr>
              <w:ind w:left="12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Loan capital</w:t>
            </w:r>
          </w:p>
        </w:tc>
        <w:tc>
          <w:tcPr>
            <w:tcW w:w="4740" w:type="dxa"/>
            <w:vAlign w:val="bottom"/>
          </w:tcPr>
          <w:p>
            <w:pPr>
              <w:ind w:left="12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Directors</w:t>
            </w:r>
          </w:p>
        </w:tc>
        <w:tc>
          <w:tcPr>
            <w:tcW w:w="4740" w:type="dxa"/>
            <w:vAlign w:val="bottom"/>
          </w:tcPr>
          <w:p>
            <w:pPr>
              <w:ind w:left="1240"/>
              <w:spacing w:after="0"/>
              <w:rPr>
                <w:sz w:val="20"/>
                <w:szCs w:val="20"/>
                <w:color w:val="auto"/>
              </w:rPr>
            </w:pPr>
            <w:r>
              <w:rPr>
                <w:rFonts w:ascii="Arial" w:cs="Arial" w:eastAsia="Arial" w:hAnsi="Arial"/>
                <w:sz w:val="16"/>
                <w:szCs w:val="16"/>
                <w:color w:val="auto"/>
              </w:rPr>
              <w:t>Isabelle Levard (Geschäftsführer)</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Secretary</w:t>
            </w:r>
          </w:p>
        </w:tc>
        <w:tc>
          <w:tcPr>
            <w:tcW w:w="4740" w:type="dxa"/>
            <w:vAlign w:val="bottom"/>
          </w:tcPr>
          <w:p>
            <w:pPr>
              <w:ind w:left="12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Accounting reference date</w:t>
            </w:r>
          </w:p>
        </w:tc>
        <w:tc>
          <w:tcPr>
            <w:tcW w:w="4740" w:type="dxa"/>
            <w:vAlign w:val="bottom"/>
          </w:tcPr>
          <w:p>
            <w:pPr>
              <w:ind w:left="124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Auditors</w:t>
            </w:r>
          </w:p>
        </w:tc>
        <w:tc>
          <w:tcPr>
            <w:tcW w:w="4740" w:type="dxa"/>
            <w:vAlign w:val="bottom"/>
          </w:tcPr>
          <w:p>
            <w:pPr>
              <w:ind w:left="12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6"/>
                <w:szCs w:val="16"/>
                <w:color w:val="auto"/>
              </w:rPr>
              <w:t>Tax residence</w:t>
            </w:r>
          </w:p>
        </w:tc>
        <w:tc>
          <w:tcPr>
            <w:tcW w:w="4740" w:type="dxa"/>
            <w:vAlign w:val="bottom"/>
          </w:tcPr>
          <w:p>
            <w:pPr>
              <w:ind w:left="1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6"/>
                <w:szCs w:val="16"/>
                <w:color w:val="auto"/>
              </w:rPr>
              <w:t>Shareholder(s)</w:t>
            </w:r>
          </w:p>
        </w:tc>
        <w:tc>
          <w:tcPr>
            <w:tcW w:w="4740" w:type="dxa"/>
            <w:vAlign w:val="bottom"/>
            <w:vMerge w:val="restart"/>
          </w:tcPr>
          <w:p>
            <w:pPr>
              <w:ind w:left="1280"/>
              <w:spacing w:after="0"/>
              <w:rPr>
                <w:sz w:val="20"/>
                <w:szCs w:val="20"/>
                <w:color w:val="auto"/>
              </w:rPr>
            </w:pPr>
            <w:r>
              <w:rPr>
                <w:rFonts w:ascii="Arial" w:cs="Arial" w:eastAsia="Arial" w:hAnsi="Arial"/>
                <w:sz w:val="16"/>
                <w:szCs w:val="16"/>
                <w:color w:val="auto"/>
                <w:w w:val="96"/>
              </w:rPr>
              <w:t>25,000 shares of EUR 1.00 each - InstaDeep SAS</w:t>
            </w:r>
          </w:p>
        </w:tc>
        <w:tc>
          <w:tcPr>
            <w:tcW w:w="0" w:type="dxa"/>
            <w:vAlign w:val="bottom"/>
          </w:tcPr>
          <w:p>
            <w:pPr>
              <w:spacing w:after="0"/>
              <w:rPr>
                <w:sz w:val="1"/>
                <w:szCs w:val="1"/>
                <w:color w:val="auto"/>
              </w:rPr>
            </w:pPr>
          </w:p>
        </w:tc>
      </w:tr>
      <w:tr>
        <w:trPr>
          <w:trHeight w:val="96"/>
        </w:trPr>
        <w:tc>
          <w:tcPr>
            <w:tcW w:w="31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jc w:val="center"/>
        <w:ind w:right="540"/>
        <w:spacing w:after="0"/>
        <w:rPr>
          <w:sz w:val="20"/>
          <w:szCs w:val="20"/>
          <w:color w:val="auto"/>
        </w:rPr>
      </w:pPr>
      <w:r>
        <w:rPr>
          <w:rFonts w:ascii="Arial" w:cs="Arial" w:eastAsia="Arial" w:hAnsi="Arial"/>
          <w:sz w:val="13"/>
          <w:szCs w:val="13"/>
          <w:color w:val="auto"/>
        </w:rPr>
        <w:t>55</w:t>
      </w:r>
    </w:p>
    <w:p>
      <w:pPr>
        <w:sectPr>
          <w:pgSz w:w="11900" w:h="16840" w:orient="portrait"/>
          <w:cols w:equalWidth="0" w:num="1">
            <w:col w:w="10500"/>
          </w:cols>
          <w:pgMar w:left="680" w:top="1440" w:right="720" w:bottom="1440" w:gutter="0" w:footer="0" w:header="0"/>
        </w:sectPr>
      </w:pPr>
    </w:p>
    <w:bookmarkStart w:id="406" w:name="page407"/>
    <w:bookmarkEnd w:id="406"/>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20"/>
                <w:szCs w:val="20"/>
                <w:color w:val="auto"/>
              </w:rPr>
            </w:pPr>
            <w:r>
              <w:rPr>
                <w:rFonts w:ascii="Arial" w:cs="Arial" w:eastAsia="Arial" w:hAnsi="Arial"/>
                <w:sz w:val="16"/>
                <w:szCs w:val="16"/>
                <w:b w:val="1"/>
                <w:bCs w:val="1"/>
                <w:color w:val="auto"/>
              </w:rPr>
              <w:t>Company name</w:t>
            </w:r>
          </w:p>
        </w:tc>
        <w:tc>
          <w:tcPr>
            <w:tcW w:w="5000" w:type="dxa"/>
            <w:vAlign w:val="bottom"/>
            <w:vMerge w:val="restart"/>
          </w:tcPr>
          <w:p>
            <w:pPr>
              <w:ind w:left="1340"/>
              <w:spacing w:after="0"/>
              <w:rPr>
                <w:sz w:val="20"/>
                <w:szCs w:val="20"/>
                <w:color w:val="auto"/>
              </w:rPr>
            </w:pPr>
            <w:r>
              <w:rPr>
                <w:rFonts w:ascii="Arial" w:cs="Arial" w:eastAsia="Arial" w:hAnsi="Arial"/>
                <w:sz w:val="16"/>
                <w:szCs w:val="16"/>
                <w:b w:val="1"/>
                <w:bCs w:val="1"/>
                <w:color w:val="auto"/>
              </w:rPr>
              <w:t>InstaDeep LLC</w:t>
            </w: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200" w:type="dxa"/>
            <w:vAlign w:val="bottom"/>
          </w:tcPr>
          <w:p>
            <w:pPr>
              <w:spacing w:after="0"/>
              <w:rPr>
                <w:sz w:val="20"/>
                <w:szCs w:val="20"/>
                <w:color w:val="auto"/>
              </w:rPr>
            </w:pPr>
            <w:r>
              <w:rPr>
                <w:rFonts w:ascii="Arial" w:cs="Arial" w:eastAsia="Arial" w:hAnsi="Arial"/>
                <w:sz w:val="16"/>
                <w:szCs w:val="16"/>
                <w:color w:val="auto"/>
              </w:rPr>
              <w:t>Registered number</w:t>
            </w:r>
          </w:p>
        </w:tc>
        <w:tc>
          <w:tcPr>
            <w:tcW w:w="5000" w:type="dxa"/>
            <w:vAlign w:val="bottom"/>
          </w:tcPr>
          <w:p>
            <w:pPr>
              <w:ind w:left="1320"/>
              <w:spacing w:after="0"/>
              <w:rPr>
                <w:sz w:val="20"/>
                <w:szCs w:val="20"/>
                <w:color w:val="auto"/>
              </w:rPr>
            </w:pPr>
            <w:r>
              <w:rPr>
                <w:rFonts w:ascii="Arial" w:cs="Arial" w:eastAsia="Arial" w:hAnsi="Arial"/>
                <w:sz w:val="16"/>
                <w:szCs w:val="16"/>
                <w:color w:val="auto"/>
              </w:rPr>
              <w:t>37-2045700</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Date of incorporation</w:t>
            </w:r>
          </w:p>
        </w:tc>
        <w:tc>
          <w:tcPr>
            <w:tcW w:w="5000" w:type="dxa"/>
            <w:vAlign w:val="bottom"/>
          </w:tcPr>
          <w:p>
            <w:pPr>
              <w:ind w:left="1320"/>
              <w:spacing w:after="0"/>
              <w:rPr>
                <w:sz w:val="20"/>
                <w:szCs w:val="20"/>
                <w:color w:val="auto"/>
              </w:rPr>
            </w:pPr>
            <w:r>
              <w:rPr>
                <w:rFonts w:ascii="Arial" w:cs="Arial" w:eastAsia="Arial" w:hAnsi="Arial"/>
                <w:sz w:val="16"/>
                <w:szCs w:val="16"/>
                <w:color w:val="auto"/>
              </w:rPr>
              <w:t>11 March 2022</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Place of incorporation</w:t>
            </w:r>
          </w:p>
        </w:tc>
        <w:tc>
          <w:tcPr>
            <w:tcW w:w="5000" w:type="dxa"/>
            <w:vAlign w:val="bottom"/>
          </w:tcPr>
          <w:p>
            <w:pPr>
              <w:ind w:left="1320"/>
              <w:spacing w:after="0"/>
              <w:rPr>
                <w:sz w:val="20"/>
                <w:szCs w:val="20"/>
                <w:color w:val="auto"/>
              </w:rPr>
            </w:pPr>
            <w:r>
              <w:rPr>
                <w:rFonts w:ascii="Arial" w:cs="Arial" w:eastAsia="Arial" w:hAnsi="Arial"/>
                <w:sz w:val="16"/>
                <w:szCs w:val="16"/>
                <w:color w:val="auto"/>
              </w:rPr>
              <w:t>Dover (Delaware)</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Address of registered office</w:t>
            </w:r>
          </w:p>
        </w:tc>
        <w:tc>
          <w:tcPr>
            <w:tcW w:w="5000" w:type="dxa"/>
            <w:vAlign w:val="bottom"/>
          </w:tcPr>
          <w:p>
            <w:pPr>
              <w:ind w:left="1320"/>
              <w:spacing w:after="0"/>
              <w:rPr>
                <w:sz w:val="20"/>
                <w:szCs w:val="20"/>
                <w:color w:val="auto"/>
              </w:rPr>
            </w:pPr>
            <w:r>
              <w:rPr>
                <w:rFonts w:ascii="Arial" w:cs="Arial" w:eastAsia="Arial" w:hAnsi="Arial"/>
                <w:sz w:val="16"/>
                <w:szCs w:val="16"/>
                <w:color w:val="auto"/>
                <w:w w:val="96"/>
              </w:rPr>
              <w:t>874 Walker Road - Suite C - Dover 19904 (Delaware)</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Issued share capital</w:t>
            </w:r>
          </w:p>
        </w:tc>
        <w:tc>
          <w:tcPr>
            <w:tcW w:w="5000" w:type="dxa"/>
            <w:vAlign w:val="bottom"/>
          </w:tcPr>
          <w:p>
            <w:pPr>
              <w:ind w:left="132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Charges</w:t>
            </w:r>
          </w:p>
        </w:tc>
        <w:tc>
          <w:tcPr>
            <w:tcW w:w="5000" w:type="dxa"/>
            <w:vAlign w:val="bottom"/>
          </w:tcPr>
          <w:p>
            <w:pPr>
              <w:ind w:left="13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Loan capital</w:t>
            </w:r>
          </w:p>
        </w:tc>
        <w:tc>
          <w:tcPr>
            <w:tcW w:w="5000" w:type="dxa"/>
            <w:vAlign w:val="bottom"/>
          </w:tcPr>
          <w:p>
            <w:pPr>
              <w:ind w:left="13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Directors</w:t>
            </w:r>
          </w:p>
        </w:tc>
        <w:tc>
          <w:tcPr>
            <w:tcW w:w="5000" w:type="dxa"/>
            <w:vAlign w:val="bottom"/>
          </w:tcPr>
          <w:p>
            <w:pPr>
              <w:ind w:left="1320"/>
              <w:spacing w:after="0"/>
              <w:rPr>
                <w:sz w:val="20"/>
                <w:szCs w:val="20"/>
                <w:color w:val="auto"/>
              </w:rPr>
            </w:pPr>
            <w:r>
              <w:rPr>
                <w:rFonts w:ascii="Arial" w:cs="Arial" w:eastAsia="Arial" w:hAnsi="Arial"/>
                <w:sz w:val="16"/>
                <w:szCs w:val="16"/>
                <w:color w:val="auto"/>
              </w:rPr>
              <w:t>Karim Beguir</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Secretary</w:t>
            </w:r>
          </w:p>
        </w:tc>
        <w:tc>
          <w:tcPr>
            <w:tcW w:w="5000" w:type="dxa"/>
            <w:vAlign w:val="bottom"/>
          </w:tcPr>
          <w:p>
            <w:pPr>
              <w:ind w:left="13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Accounting reference date</w:t>
            </w:r>
          </w:p>
        </w:tc>
        <w:tc>
          <w:tcPr>
            <w:tcW w:w="5000" w:type="dxa"/>
            <w:vAlign w:val="bottom"/>
          </w:tcPr>
          <w:p>
            <w:pPr>
              <w:ind w:left="132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Auditors</w:t>
            </w:r>
          </w:p>
        </w:tc>
        <w:tc>
          <w:tcPr>
            <w:tcW w:w="5000" w:type="dxa"/>
            <w:vAlign w:val="bottom"/>
          </w:tcPr>
          <w:p>
            <w:pPr>
              <w:ind w:left="13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Tax residence</w:t>
            </w:r>
          </w:p>
        </w:tc>
        <w:tc>
          <w:tcPr>
            <w:tcW w:w="5000" w:type="dxa"/>
            <w:vAlign w:val="bottom"/>
          </w:tcPr>
          <w:p>
            <w:pPr>
              <w:ind w:left="13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6"/>
                <w:szCs w:val="16"/>
                <w:color w:val="auto"/>
              </w:rPr>
              <w:t>Shareholder(s)</w:t>
            </w:r>
          </w:p>
        </w:tc>
        <w:tc>
          <w:tcPr>
            <w:tcW w:w="5000" w:type="dxa"/>
            <w:vAlign w:val="bottom"/>
          </w:tcPr>
          <w:p>
            <w:pPr>
              <w:ind w:left="1320"/>
              <w:spacing w:after="0"/>
              <w:rPr>
                <w:sz w:val="20"/>
                <w:szCs w:val="20"/>
                <w:color w:val="auto"/>
              </w:rPr>
            </w:pPr>
            <w:r>
              <w:rPr>
                <w:rFonts w:ascii="Arial" w:cs="Arial" w:eastAsia="Arial" w:hAnsi="Arial"/>
                <w:sz w:val="16"/>
                <w:szCs w:val="16"/>
                <w:color w:val="auto"/>
              </w:rPr>
              <w:t>100 Shares –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jc w:val="center"/>
        <w:ind w:right="540"/>
        <w:spacing w:after="0"/>
        <w:rPr>
          <w:sz w:val="20"/>
          <w:szCs w:val="20"/>
          <w:color w:val="auto"/>
        </w:rPr>
      </w:pPr>
      <w:r>
        <w:rPr>
          <w:rFonts w:ascii="Arial" w:cs="Arial" w:eastAsia="Arial" w:hAnsi="Arial"/>
          <w:sz w:val="13"/>
          <w:szCs w:val="13"/>
          <w:color w:val="auto"/>
        </w:rPr>
        <w:t>56</w:t>
      </w:r>
    </w:p>
    <w:p>
      <w:pPr>
        <w:sectPr>
          <w:pgSz w:w="11900" w:h="16840" w:orient="portrait"/>
          <w:cols w:equalWidth="0" w:num="1">
            <w:col w:w="10500"/>
          </w:cols>
          <w:pgMar w:left="680" w:top="1440" w:right="720" w:bottom="1440" w:gutter="0" w:footer="0" w:header="0"/>
        </w:sectPr>
      </w:pPr>
    </w:p>
    <w:bookmarkStart w:id="407" w:name="page408"/>
    <w:bookmarkEnd w:id="407"/>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20"/>
                <w:szCs w:val="20"/>
                <w:color w:val="auto"/>
              </w:rPr>
            </w:pPr>
            <w:r>
              <w:rPr>
                <w:rFonts w:ascii="Arial" w:cs="Arial" w:eastAsia="Arial" w:hAnsi="Arial"/>
                <w:sz w:val="16"/>
                <w:szCs w:val="16"/>
                <w:b w:val="1"/>
                <w:bCs w:val="1"/>
                <w:color w:val="auto"/>
              </w:rPr>
              <w:t>Company name</w:t>
            </w:r>
          </w:p>
        </w:tc>
        <w:tc>
          <w:tcPr>
            <w:tcW w:w="7300" w:type="dxa"/>
            <w:vAlign w:val="bottom"/>
            <w:vMerge w:val="restart"/>
          </w:tcPr>
          <w:p>
            <w:pPr>
              <w:ind w:left="1320"/>
              <w:spacing w:after="0"/>
              <w:rPr>
                <w:sz w:val="20"/>
                <w:szCs w:val="20"/>
                <w:color w:val="auto"/>
              </w:rPr>
            </w:pPr>
            <w:r>
              <w:rPr>
                <w:rFonts w:ascii="Arial" w:cs="Arial" w:eastAsia="Arial" w:hAnsi="Arial"/>
                <w:sz w:val="16"/>
                <w:szCs w:val="16"/>
                <w:b w:val="1"/>
                <w:bCs w:val="1"/>
                <w:color w:val="auto"/>
              </w:rPr>
              <w:t>InstaDeep Abu Dhabi (branch)</w:t>
            </w: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200" w:type="dxa"/>
            <w:vAlign w:val="bottom"/>
          </w:tcPr>
          <w:p>
            <w:pPr>
              <w:spacing w:after="0"/>
              <w:rPr>
                <w:sz w:val="20"/>
                <w:szCs w:val="20"/>
                <w:color w:val="auto"/>
              </w:rPr>
            </w:pPr>
            <w:r>
              <w:rPr>
                <w:rFonts w:ascii="Arial" w:cs="Arial" w:eastAsia="Arial" w:hAnsi="Arial"/>
                <w:sz w:val="16"/>
                <w:szCs w:val="16"/>
                <w:color w:val="auto"/>
              </w:rPr>
              <w:t>Registered number</w:t>
            </w:r>
          </w:p>
        </w:tc>
        <w:tc>
          <w:tcPr>
            <w:tcW w:w="7300" w:type="dxa"/>
            <w:vAlign w:val="bottom"/>
          </w:tcPr>
          <w:p>
            <w:pPr>
              <w:ind w:left="1280"/>
              <w:spacing w:after="0"/>
              <w:rPr>
                <w:sz w:val="20"/>
                <w:szCs w:val="20"/>
                <w:color w:val="auto"/>
              </w:rPr>
            </w:pPr>
            <w:r>
              <w:rPr>
                <w:rFonts w:ascii="Arial" w:cs="Arial" w:eastAsia="Arial" w:hAnsi="Arial"/>
                <w:sz w:val="16"/>
                <w:szCs w:val="16"/>
                <w:color w:val="auto"/>
              </w:rPr>
              <w:t>000007973</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Date of incorporation</w:t>
            </w:r>
          </w:p>
        </w:tc>
        <w:tc>
          <w:tcPr>
            <w:tcW w:w="7300" w:type="dxa"/>
            <w:vAlign w:val="bottom"/>
          </w:tcPr>
          <w:p>
            <w:pPr>
              <w:ind w:left="1280"/>
              <w:spacing w:after="0"/>
              <w:rPr>
                <w:sz w:val="20"/>
                <w:szCs w:val="20"/>
                <w:color w:val="auto"/>
              </w:rPr>
            </w:pPr>
            <w:r>
              <w:rPr>
                <w:rFonts w:ascii="Arial" w:cs="Arial" w:eastAsia="Arial" w:hAnsi="Arial"/>
                <w:sz w:val="16"/>
                <w:szCs w:val="16"/>
                <w:color w:val="auto"/>
              </w:rPr>
              <w:t>29 July 2022</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Place of incorporation</w:t>
            </w:r>
          </w:p>
        </w:tc>
        <w:tc>
          <w:tcPr>
            <w:tcW w:w="7300" w:type="dxa"/>
            <w:vAlign w:val="bottom"/>
          </w:tcPr>
          <w:p>
            <w:pPr>
              <w:ind w:left="1280"/>
              <w:spacing w:after="0"/>
              <w:rPr>
                <w:sz w:val="20"/>
                <w:szCs w:val="20"/>
                <w:color w:val="auto"/>
              </w:rPr>
            </w:pPr>
            <w:r>
              <w:rPr>
                <w:rFonts w:ascii="Arial" w:cs="Arial" w:eastAsia="Arial" w:hAnsi="Arial"/>
                <w:sz w:val="16"/>
                <w:szCs w:val="16"/>
                <w:color w:val="auto"/>
              </w:rPr>
              <w:t>Abu Dhabi</w:t>
            </w:r>
          </w:p>
        </w:tc>
        <w:tc>
          <w:tcPr>
            <w:tcW w:w="0" w:type="dxa"/>
            <w:vAlign w:val="bottom"/>
          </w:tcPr>
          <w:p>
            <w:pPr>
              <w:spacing w:after="0"/>
              <w:rPr>
                <w:sz w:val="1"/>
                <w:szCs w:val="1"/>
                <w:color w:val="auto"/>
              </w:rPr>
            </w:pPr>
          </w:p>
        </w:tc>
      </w:tr>
      <w:tr>
        <w:trPr>
          <w:trHeight w:val="156"/>
        </w:trPr>
        <w:tc>
          <w:tcPr>
            <w:tcW w:w="3200" w:type="dxa"/>
            <w:vAlign w:val="bottom"/>
          </w:tcPr>
          <w:p>
            <w:pPr>
              <w:spacing w:after="0" w:line="156" w:lineRule="exact"/>
              <w:rPr>
                <w:sz w:val="20"/>
                <w:szCs w:val="20"/>
                <w:color w:val="auto"/>
              </w:rPr>
            </w:pPr>
            <w:r>
              <w:rPr>
                <w:rFonts w:ascii="Arial" w:cs="Arial" w:eastAsia="Arial" w:hAnsi="Arial"/>
                <w:sz w:val="16"/>
                <w:szCs w:val="16"/>
                <w:color w:val="auto"/>
              </w:rPr>
              <w:t>Address of registered office</w:t>
            </w:r>
          </w:p>
        </w:tc>
        <w:tc>
          <w:tcPr>
            <w:tcW w:w="7300" w:type="dxa"/>
            <w:vAlign w:val="bottom"/>
          </w:tcPr>
          <w:p>
            <w:pPr>
              <w:ind w:left="1280"/>
              <w:spacing w:after="0" w:line="156" w:lineRule="exact"/>
              <w:rPr>
                <w:sz w:val="20"/>
                <w:szCs w:val="20"/>
                <w:color w:val="auto"/>
              </w:rPr>
            </w:pPr>
            <w:r>
              <w:rPr>
                <w:rFonts w:ascii="Arial" w:cs="Arial" w:eastAsia="Arial" w:hAnsi="Arial"/>
                <w:sz w:val="16"/>
                <w:szCs w:val="16"/>
                <w:color w:val="auto"/>
              </w:rPr>
              <w:t>DD-14-122-049-WeWork Hub71, 14, Al Khatem Tower, Adgm Sqaure, Al Maryah</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7300" w:type="dxa"/>
            <w:vAlign w:val="bottom"/>
          </w:tcPr>
          <w:p>
            <w:pPr>
              <w:ind w:left="1280"/>
              <w:spacing w:after="0"/>
              <w:rPr>
                <w:sz w:val="20"/>
                <w:szCs w:val="20"/>
                <w:color w:val="auto"/>
              </w:rPr>
            </w:pPr>
            <w:r>
              <w:rPr>
                <w:rFonts w:ascii="Arial" w:cs="Arial" w:eastAsia="Arial" w:hAnsi="Arial"/>
                <w:sz w:val="16"/>
                <w:szCs w:val="16"/>
                <w:color w:val="auto"/>
              </w:rPr>
              <w:t>Island, Abu Dhabi, United Arab Emirates</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Issued share capital</w:t>
            </w:r>
          </w:p>
        </w:tc>
        <w:tc>
          <w:tcPr>
            <w:tcW w:w="730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Charges</w:t>
            </w:r>
          </w:p>
        </w:tc>
        <w:tc>
          <w:tcPr>
            <w:tcW w:w="7300" w:type="dxa"/>
            <w:vAlign w:val="bottom"/>
          </w:tcPr>
          <w:p>
            <w:pPr>
              <w:ind w:left="128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Loan capital</w:t>
            </w:r>
          </w:p>
        </w:tc>
        <w:tc>
          <w:tcPr>
            <w:tcW w:w="7300" w:type="dxa"/>
            <w:vAlign w:val="bottom"/>
          </w:tcPr>
          <w:p>
            <w:pPr>
              <w:ind w:left="128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6"/>
                <w:szCs w:val="16"/>
                <w:color w:val="auto"/>
              </w:rPr>
              <w:t>Directors</w:t>
            </w:r>
          </w:p>
        </w:tc>
        <w:tc>
          <w:tcPr>
            <w:tcW w:w="7300" w:type="dxa"/>
            <w:vAlign w:val="bottom"/>
            <w:vMerge w:val="restart"/>
          </w:tcPr>
          <w:p>
            <w:pPr>
              <w:ind w:left="1320"/>
              <w:spacing w:after="0"/>
              <w:rPr>
                <w:sz w:val="20"/>
                <w:szCs w:val="20"/>
                <w:color w:val="auto"/>
              </w:rPr>
            </w:pPr>
            <w:r>
              <w:rPr>
                <w:rFonts w:ascii="Arial" w:cs="Arial" w:eastAsia="Arial" w:hAnsi="Arial"/>
                <w:sz w:val="16"/>
                <w:szCs w:val="16"/>
                <w:color w:val="auto"/>
              </w:rPr>
              <w:t>Karim Beguir</w:t>
            </w:r>
          </w:p>
        </w:tc>
        <w:tc>
          <w:tcPr>
            <w:tcW w:w="0" w:type="dxa"/>
            <w:vAlign w:val="bottom"/>
          </w:tcPr>
          <w:p>
            <w:pPr>
              <w:spacing w:after="0"/>
              <w:rPr>
                <w:sz w:val="1"/>
                <w:szCs w:val="1"/>
                <w:color w:val="auto"/>
              </w:rPr>
            </w:pPr>
          </w:p>
        </w:tc>
      </w:tr>
      <w:tr>
        <w:trPr>
          <w:trHeight w:val="96"/>
        </w:trPr>
        <w:tc>
          <w:tcPr>
            <w:tcW w:w="320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7300" w:type="dxa"/>
            <w:vAlign w:val="bottom"/>
          </w:tcPr>
          <w:p>
            <w:pPr>
              <w:ind w:left="1320"/>
              <w:spacing w:after="0"/>
              <w:rPr>
                <w:sz w:val="20"/>
                <w:szCs w:val="20"/>
                <w:color w:val="auto"/>
              </w:rPr>
            </w:pPr>
            <w:r>
              <w:rPr>
                <w:rFonts w:ascii="Arial" w:cs="Arial" w:eastAsia="Arial" w:hAnsi="Arial"/>
                <w:sz w:val="16"/>
                <w:szCs w:val="16"/>
                <w:color w:val="auto"/>
              </w:rPr>
              <w:t>Khaled Ben Jilani</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7300" w:type="dxa"/>
            <w:vAlign w:val="bottom"/>
          </w:tcPr>
          <w:p>
            <w:pPr>
              <w:ind w:left="1320"/>
              <w:spacing w:after="0"/>
              <w:rPr>
                <w:sz w:val="20"/>
                <w:szCs w:val="20"/>
                <w:color w:val="auto"/>
              </w:rPr>
            </w:pPr>
            <w:r>
              <w:rPr>
                <w:rFonts w:ascii="Arial" w:cs="Arial" w:eastAsia="Arial" w:hAnsi="Arial"/>
                <w:sz w:val="16"/>
                <w:szCs w:val="16"/>
                <w:color w:val="auto"/>
              </w:rPr>
              <w:t>Zohra Slim</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7300" w:type="dxa"/>
            <w:vAlign w:val="bottom"/>
          </w:tcPr>
          <w:p>
            <w:pPr>
              <w:ind w:left="1320"/>
              <w:spacing w:after="0"/>
              <w:rPr>
                <w:sz w:val="20"/>
                <w:szCs w:val="20"/>
                <w:color w:val="auto"/>
              </w:rPr>
            </w:pPr>
            <w:r>
              <w:rPr>
                <w:rFonts w:ascii="Arial" w:cs="Arial" w:eastAsia="Arial" w:hAnsi="Arial"/>
                <w:sz w:val="16"/>
                <w:szCs w:val="16"/>
                <w:color w:val="auto"/>
              </w:rPr>
              <w:t>Afif Baccouche</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7300" w:type="dxa"/>
            <w:vAlign w:val="bottom"/>
          </w:tcPr>
          <w:p>
            <w:pPr>
              <w:ind w:left="1320"/>
              <w:spacing w:after="0"/>
              <w:rPr>
                <w:sz w:val="20"/>
                <w:szCs w:val="20"/>
                <w:color w:val="auto"/>
              </w:rPr>
            </w:pPr>
            <w:r>
              <w:rPr>
                <w:rFonts w:ascii="Arial" w:cs="Arial" w:eastAsia="Arial" w:hAnsi="Arial"/>
                <w:sz w:val="16"/>
                <w:szCs w:val="16"/>
                <w:color w:val="auto"/>
              </w:rPr>
              <w:t>Arnaud Sylvain Barthelemy</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1"/>
                <w:szCs w:val="21"/>
                <w:color w:val="auto"/>
              </w:rPr>
            </w:pPr>
          </w:p>
        </w:tc>
        <w:tc>
          <w:tcPr>
            <w:tcW w:w="7300" w:type="dxa"/>
            <w:vAlign w:val="bottom"/>
          </w:tcPr>
          <w:p>
            <w:pPr>
              <w:ind w:left="1320"/>
              <w:spacing w:after="0"/>
              <w:rPr>
                <w:sz w:val="20"/>
                <w:szCs w:val="20"/>
                <w:color w:val="auto"/>
              </w:rPr>
            </w:pPr>
            <w:r>
              <w:rPr>
                <w:rFonts w:ascii="Arial" w:cs="Arial" w:eastAsia="Arial" w:hAnsi="Arial"/>
                <w:sz w:val="16"/>
                <w:szCs w:val="16"/>
                <w:color w:val="auto"/>
              </w:rPr>
              <w:t>Victorien Vaney</w:t>
            </w: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0"/>
                <w:szCs w:val="20"/>
                <w:color w:val="auto"/>
              </w:rPr>
            </w:pPr>
            <w:r>
              <w:rPr>
                <w:rFonts w:ascii="Arial" w:cs="Arial" w:eastAsia="Arial" w:hAnsi="Arial"/>
                <w:sz w:val="16"/>
                <w:szCs w:val="16"/>
                <w:color w:val="auto"/>
              </w:rPr>
              <w:t>Secretary</w:t>
            </w:r>
          </w:p>
        </w:tc>
        <w:tc>
          <w:tcPr>
            <w:tcW w:w="7300" w:type="dxa"/>
            <w:vAlign w:val="bottom"/>
          </w:tcPr>
          <w:p>
            <w:pPr>
              <w:ind w:left="1280"/>
              <w:spacing w:after="0"/>
              <w:rPr>
                <w:sz w:val="20"/>
                <w:szCs w:val="20"/>
                <w:color w:val="auto"/>
              </w:rPr>
            </w:pPr>
            <w:r>
              <w:rPr>
                <w:rFonts w:ascii="Arial" w:cs="Arial" w:eastAsia="Arial" w:hAnsi="Arial"/>
                <w:sz w:val="16"/>
                <w:szCs w:val="16"/>
                <w:color w:val="auto"/>
              </w:rPr>
              <w:t>Karim Beguir (InstaDeep Ltd)</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General manager</w:t>
            </w:r>
          </w:p>
        </w:tc>
        <w:tc>
          <w:tcPr>
            <w:tcW w:w="7300" w:type="dxa"/>
            <w:vAlign w:val="bottom"/>
          </w:tcPr>
          <w:p>
            <w:pPr>
              <w:ind w:left="1280"/>
              <w:spacing w:after="0"/>
              <w:rPr>
                <w:sz w:val="20"/>
                <w:szCs w:val="20"/>
                <w:color w:val="auto"/>
              </w:rPr>
            </w:pPr>
            <w:r>
              <w:rPr>
                <w:rFonts w:ascii="Arial" w:cs="Arial" w:eastAsia="Arial" w:hAnsi="Arial"/>
                <w:sz w:val="16"/>
                <w:szCs w:val="16"/>
                <w:color w:val="auto"/>
              </w:rPr>
              <w:t>Maher Mansour</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Accounting reference date</w:t>
            </w:r>
          </w:p>
        </w:tc>
        <w:tc>
          <w:tcPr>
            <w:tcW w:w="7300" w:type="dxa"/>
            <w:vAlign w:val="bottom"/>
          </w:tcPr>
          <w:p>
            <w:pPr>
              <w:ind w:left="1280"/>
              <w:spacing w:after="0"/>
              <w:rPr>
                <w:sz w:val="20"/>
                <w:szCs w:val="20"/>
                <w:color w:val="auto"/>
              </w:rPr>
            </w:pPr>
            <w:r>
              <w:rPr>
                <w:rFonts w:ascii="Arial" w:cs="Arial" w:eastAsia="Arial" w:hAnsi="Arial"/>
                <w:sz w:val="16"/>
                <w:szCs w:val="16"/>
                <w:color w:val="auto"/>
              </w:rPr>
              <w:t>31 December</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Auditors</w:t>
            </w:r>
          </w:p>
        </w:tc>
        <w:tc>
          <w:tcPr>
            <w:tcW w:w="730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6"/>
                <w:szCs w:val="16"/>
                <w:color w:val="auto"/>
              </w:rPr>
              <w:t>Tax residence</w:t>
            </w:r>
          </w:p>
        </w:tc>
        <w:tc>
          <w:tcPr>
            <w:tcW w:w="7300" w:type="dxa"/>
            <w:vAlign w:val="bottom"/>
          </w:tcPr>
          <w:p>
            <w:pPr>
              <w:ind w:left="1280"/>
              <w:spacing w:after="0"/>
              <w:rPr>
                <w:sz w:val="20"/>
                <w:szCs w:val="20"/>
                <w:color w:val="auto"/>
              </w:rPr>
            </w:pPr>
            <w:r>
              <w:rPr>
                <w:rFonts w:ascii="Arial" w:cs="Arial" w:eastAsia="Arial" w:hAnsi="Arial"/>
                <w:sz w:val="16"/>
                <w:szCs w:val="16"/>
                <w:color w:val="auto"/>
              </w:rPr>
              <w:t>United Arab Emirates (Abu Dhabi)</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6"/>
                <w:szCs w:val="16"/>
                <w:color w:val="auto"/>
              </w:rPr>
              <w:t>Shareholder(s)</w:t>
            </w:r>
          </w:p>
        </w:tc>
        <w:tc>
          <w:tcPr>
            <w:tcW w:w="7300" w:type="dxa"/>
            <w:vAlign w:val="bottom"/>
          </w:tcPr>
          <w:p>
            <w:pPr>
              <w:ind w:left="1280"/>
              <w:spacing w:after="0"/>
              <w:rPr>
                <w:sz w:val="20"/>
                <w:szCs w:val="20"/>
                <w:color w:val="auto"/>
              </w:rPr>
            </w:pPr>
            <w:r>
              <w:rPr>
                <w:rFonts w:ascii="Arial" w:cs="Arial" w:eastAsia="Arial" w:hAnsi="Arial"/>
                <w:sz w:val="16"/>
                <w:szCs w:val="16"/>
                <w:color w:val="auto"/>
              </w:rPr>
              <w:t>N/A (branch)</w:t>
            </w:r>
          </w:p>
        </w:tc>
        <w:tc>
          <w:tcPr>
            <w:tcW w:w="0" w:type="dxa"/>
            <w:vAlign w:val="bottom"/>
          </w:tcPr>
          <w:p>
            <w:pPr>
              <w:spacing w:after="0"/>
              <w:rPr>
                <w:sz w:val="1"/>
                <w:szCs w:val="1"/>
                <w:color w:val="auto"/>
              </w:rPr>
            </w:pPr>
          </w:p>
        </w:tc>
      </w:tr>
      <w:tr>
        <w:trPr>
          <w:trHeight w:val="634"/>
        </w:trPr>
        <w:tc>
          <w:tcPr>
            <w:tcW w:w="3200" w:type="dxa"/>
            <w:vAlign w:val="bottom"/>
          </w:tcPr>
          <w:p>
            <w:pPr>
              <w:spacing w:after="0"/>
              <w:rPr>
                <w:sz w:val="24"/>
                <w:szCs w:val="24"/>
                <w:color w:val="auto"/>
              </w:rPr>
            </w:pPr>
          </w:p>
        </w:tc>
        <w:tc>
          <w:tcPr>
            <w:tcW w:w="7300" w:type="dxa"/>
            <w:vAlign w:val="bottom"/>
          </w:tcPr>
          <w:p>
            <w:pPr>
              <w:ind w:left="6380"/>
              <w:spacing w:after="0"/>
              <w:rPr>
                <w:sz w:val="20"/>
                <w:szCs w:val="20"/>
                <w:color w:val="auto"/>
              </w:rPr>
            </w:pPr>
            <w:r>
              <w:rPr>
                <w:rFonts w:ascii="Arial" w:cs="Arial" w:eastAsia="Arial" w:hAnsi="Arial"/>
                <w:sz w:val="10"/>
                <w:szCs w:val="10"/>
                <w:color w:val="auto"/>
                <w:w w:val="94"/>
              </w:rPr>
              <w:t>OC_UK/125258569.5</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7300" w:type="dxa"/>
            <w:vAlign w:val="bottom"/>
          </w:tcPr>
          <w:p>
            <w:pPr>
              <w:ind w:left="17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bl>
    <w:p>
      <w:pPr>
        <w:sectPr>
          <w:pgSz w:w="11900" w:h="16840" w:orient="portrait"/>
          <w:cols w:equalWidth="0" w:num="1">
            <w:col w:w="10500"/>
          </w:cols>
          <w:pgMar w:left="680" w:top="1440" w:right="720" w:bottom="1440" w:gutter="0" w:footer="0" w:header="0"/>
        </w:sectPr>
      </w:pPr>
    </w:p>
    <w:bookmarkStart w:id="408" w:name="page409"/>
    <w:bookmarkEnd w:id="408"/>
    <w:p>
      <w:pPr>
        <w:spacing w:after="0" w:line="32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Schedule 3</w:t>
      </w:r>
    </w:p>
    <w:p>
      <w:pPr>
        <w:spacing w:after="0" w:line="68"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(The Properties)</w:t>
      </w:r>
    </w:p>
    <w:p>
      <w:pPr>
        <w:spacing w:after="0" w:line="9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ectPr>
          <w:pgSz w:w="11900" w:h="16840" w:orient="portrait"/>
          <w:cols w:equalWidth="0" w:num="1">
            <w:col w:w="9020"/>
          </w:cols>
          <w:pgMar w:left="1440" w:top="1440" w:right="1440" w:bottom="1440" w:gutter="0" w:footer="0" w:header="0"/>
        </w:sectPr>
      </w:pPr>
    </w:p>
    <w:bookmarkStart w:id="409" w:name="page410"/>
    <w:bookmarkEnd w:id="409"/>
    <w:p>
      <w:pPr>
        <w:spacing w:after="0" w:line="33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59</w:t>
      </w:r>
    </w:p>
    <w:p>
      <w:pPr>
        <w:sectPr>
          <w:pgSz w:w="11900" w:h="16840" w:orient="portrait"/>
          <w:cols w:equalWidth="0" w:num="1">
            <w:col w:w="9020"/>
          </w:cols>
          <w:pgMar w:left="1440" w:top="1440" w:right="1440" w:bottom="1440" w:gutter="0" w:footer="0" w:header="0"/>
        </w:sectPr>
      </w:pPr>
    </w:p>
    <w:bookmarkStart w:id="410" w:name="page411"/>
    <w:bookmarkEnd w:id="410"/>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4</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(Non-Tax Warranties)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Sellers</w:t>
      </w:r>
    </w:p>
    <w:p>
      <w:pPr>
        <w:spacing w:after="0" w:line="68" w:lineRule="exact"/>
        <w:rPr>
          <w:sz w:val="20"/>
          <w:szCs w:val="20"/>
          <w:color w:val="auto"/>
        </w:rPr>
      </w:pPr>
    </w:p>
    <w:p>
      <w:pPr>
        <w:ind w:left="580" w:hanging="574"/>
        <w:spacing w:after="0"/>
        <w:tabs>
          <w:tab w:leader="none" w:pos="58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Arrangements with Seller Associates</w:t>
      </w:r>
    </w:p>
    <w:p>
      <w:pPr>
        <w:spacing w:after="0" w:line="70" w:lineRule="exact"/>
        <w:rPr>
          <w:rFonts w:ascii="Arial" w:cs="Arial" w:eastAsia="Arial" w:hAnsi="Arial"/>
          <w:sz w:val="16"/>
          <w:szCs w:val="16"/>
          <w:color w:val="auto"/>
        </w:rPr>
      </w:pPr>
    </w:p>
    <w:p>
      <w:pPr>
        <w:ind w:left="580"/>
        <w:spacing w:after="0" w:line="235" w:lineRule="auto"/>
        <w:rPr>
          <w:rFonts w:ascii="Arial" w:cs="Arial" w:eastAsia="Arial" w:hAnsi="Arial"/>
          <w:sz w:val="16"/>
          <w:szCs w:val="16"/>
          <w:color w:val="auto"/>
        </w:rPr>
      </w:pPr>
      <w:r>
        <w:rPr>
          <w:rFonts w:ascii="Arial" w:cs="Arial" w:eastAsia="Arial" w:hAnsi="Arial"/>
          <w:sz w:val="16"/>
          <w:szCs w:val="16"/>
          <w:color w:val="auto"/>
        </w:rPr>
        <w:t>Save in relation to employment contracts in relation to any Seller which have been Disclosed, there are no contracts, arrangements or liabilities, actual or contingent, outstanding or remaining in whole or in part to be performed between the Company and any Seller Associate.</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Other interests of any Seller Associate</w:t>
      </w:r>
    </w:p>
    <w:p>
      <w:pPr>
        <w:spacing w:after="0" w:line="70" w:lineRule="exact"/>
        <w:rPr>
          <w:rFonts w:ascii="Arial" w:cs="Arial" w:eastAsia="Arial" w:hAnsi="Arial"/>
          <w:sz w:val="16"/>
          <w:szCs w:val="16"/>
          <w:color w:val="auto"/>
        </w:rPr>
      </w:pPr>
    </w:p>
    <w:p>
      <w:pPr>
        <w:jc w:val="both"/>
        <w:ind w:left="580" w:right="20"/>
        <w:spacing w:after="0" w:line="224" w:lineRule="auto"/>
        <w:rPr>
          <w:rFonts w:ascii="Arial" w:cs="Arial" w:eastAsia="Arial" w:hAnsi="Arial"/>
          <w:sz w:val="16"/>
          <w:szCs w:val="16"/>
          <w:color w:val="auto"/>
        </w:rPr>
      </w:pPr>
      <w:r>
        <w:rPr>
          <w:rFonts w:ascii="Arial" w:cs="Arial" w:eastAsia="Arial" w:hAnsi="Arial"/>
          <w:sz w:val="16"/>
          <w:szCs w:val="16"/>
          <w:color w:val="auto"/>
        </w:rPr>
        <w:t>So far as the Warrantors are aware, no FME Shareholder has any interest, direct or indirect, in any business which has a close trading relationship with or which competes with any business now carried on by the Company and, so far as the Warrantors are aware, no Seller Associate of any FME Shareholder has or intends to do so.</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Nomination agreements</w:t>
      </w:r>
    </w:p>
    <w:p>
      <w:pPr>
        <w:spacing w:after="0" w:line="70" w:lineRule="exact"/>
        <w:rPr>
          <w:rFonts w:ascii="Arial" w:cs="Arial" w:eastAsia="Arial" w:hAnsi="Arial"/>
          <w:sz w:val="16"/>
          <w:szCs w:val="16"/>
          <w:color w:val="auto"/>
        </w:rPr>
      </w:pPr>
    </w:p>
    <w:p>
      <w:pPr>
        <w:jc w:val="both"/>
        <w:ind w:left="580" w:right="20"/>
        <w:spacing w:after="0" w:line="224" w:lineRule="auto"/>
        <w:rPr>
          <w:rFonts w:ascii="Arial" w:cs="Arial" w:eastAsia="Arial" w:hAnsi="Arial"/>
          <w:sz w:val="16"/>
          <w:szCs w:val="16"/>
          <w:color w:val="auto"/>
        </w:rPr>
      </w:pPr>
      <w:r>
        <w:rPr>
          <w:rFonts w:ascii="Arial" w:cs="Arial" w:eastAsia="Arial" w:hAnsi="Arial"/>
          <w:sz w:val="16"/>
          <w:szCs w:val="16"/>
          <w:color w:val="auto"/>
        </w:rPr>
        <w:t>So far as the Warrantors are aware, there is no nomination or other agreement, arrangement or commitment outstanding pursuant to which any person (other than the Sellers in relation to the Shares held by them respectively) is entitled to enjoy or exercise all or any rights of any kind in relation to the Shares pursuant to Section 145, CA2006 or the articles of association of the Company.</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Brokerage, commission and other fees</w:t>
      </w:r>
    </w:p>
    <w:p>
      <w:pPr>
        <w:spacing w:after="0" w:line="70" w:lineRule="exact"/>
        <w:rPr>
          <w:rFonts w:ascii="Arial" w:cs="Arial" w:eastAsia="Arial" w:hAnsi="Arial"/>
          <w:sz w:val="16"/>
          <w:szCs w:val="16"/>
          <w:color w:val="auto"/>
        </w:rPr>
      </w:pPr>
    </w:p>
    <w:p>
      <w:pPr>
        <w:ind w:left="580" w:right="20"/>
        <w:spacing w:after="0" w:line="235" w:lineRule="auto"/>
        <w:rPr>
          <w:rFonts w:ascii="Arial" w:cs="Arial" w:eastAsia="Arial" w:hAnsi="Arial"/>
          <w:sz w:val="16"/>
          <w:szCs w:val="16"/>
          <w:color w:val="auto"/>
        </w:rPr>
      </w:pPr>
      <w:r>
        <w:rPr>
          <w:rFonts w:ascii="Arial" w:cs="Arial" w:eastAsia="Arial" w:hAnsi="Arial"/>
          <w:sz w:val="16"/>
          <w:szCs w:val="16"/>
          <w:color w:val="auto"/>
        </w:rPr>
        <w:t>No person is entitled to receive from the Company any introduction fee, brokerage or other commission in connection with the sale of the Completion Shares.</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Interests in undertakings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color w:val="auto"/>
        </w:rPr>
        <w:t>Schedule 2 contains accurate details of all Group Companies and overseas branches.</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Company does not have, nor has it ever had, a participating interest (as defined in paragraph 11 of Schedule 10 of The Large and Medium sized Companies and Groups (Accounts and Directors' Report) Regulations 2008) in any undertaking or in the share capital of any body corporate which is not a Group Company nor has it agreed to acquire such an interest.</w:t>
      </w:r>
    </w:p>
    <w:p>
      <w:pPr>
        <w:spacing w:after="0" w:line="49" w:lineRule="exact"/>
        <w:rPr>
          <w:sz w:val="20"/>
          <w:szCs w:val="20"/>
          <w:color w:val="auto"/>
        </w:rPr>
      </w:pPr>
    </w:p>
    <w:p>
      <w:pPr>
        <w:jc w:val="both"/>
        <w:ind w:left="580" w:right="20" w:hanging="575"/>
        <w:spacing w:after="0" w:line="219" w:lineRule="auto"/>
        <w:tabs>
          <w:tab w:leader="none" w:pos="5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 xml:space="preserve">The Exchange Shares set out opposite each Seller's name in Schedule 1 ( </w:t>
      </w:r>
      <w:r>
        <w:rPr>
          <w:rFonts w:ascii="Arial" w:cs="Arial" w:eastAsia="Arial" w:hAnsi="Arial"/>
          <w:sz w:val="16"/>
          <w:szCs w:val="16"/>
          <w:i w:val="1"/>
          <w:iCs w:val="1"/>
          <w:color w:val="auto"/>
        </w:rPr>
        <w:t>The Sellers</w:t>
      </w:r>
      <w:r>
        <w:rPr>
          <w:rFonts w:ascii="Arial" w:cs="Arial" w:eastAsia="Arial" w:hAnsi="Arial"/>
          <w:sz w:val="16"/>
          <w:szCs w:val="16"/>
          <w:color w:val="auto"/>
        </w:rPr>
        <w:t>), together with the BioNTech Company Shares, constitute the whole of the issued share capital of the Company at the date of this Agreement. the Completion Shares set out opposite each Seller's name in Schedule 1 (</w:t>
      </w:r>
      <w:r>
        <w:rPr>
          <w:rFonts w:ascii="Arial" w:cs="Arial" w:eastAsia="Arial" w:hAnsi="Arial"/>
          <w:sz w:val="16"/>
          <w:szCs w:val="16"/>
          <w:i w:val="1"/>
          <w:iCs w:val="1"/>
          <w:color w:val="auto"/>
        </w:rPr>
        <w:t>The Sellers</w:t>
      </w:r>
      <w:r>
        <w:rPr>
          <w:rFonts w:ascii="Arial" w:cs="Arial" w:eastAsia="Arial" w:hAnsi="Arial"/>
          <w:sz w:val="16"/>
          <w:szCs w:val="16"/>
          <w:color w:val="auto"/>
        </w:rPr>
        <w:t>), together with the BioNTech Company Shares, will comprise the whole of the issued share capital of the Company at Completion.</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Except as set out in Schedule 2, the Company is the sole legal and beneficial owner of the whole of the allotted and issued share capital of each of the Group Companies (save for the Company) and the allotted and issued shares of the Group Companies are fully paid up (or credited as fully paid) and are free from any Encumbrance.</w:t>
      </w:r>
    </w:p>
    <w:p>
      <w:pPr>
        <w:spacing w:after="0" w:line="47" w:lineRule="exact"/>
        <w:rPr>
          <w:sz w:val="20"/>
          <w:szCs w:val="20"/>
          <w:color w:val="auto"/>
        </w:rPr>
      </w:pPr>
    </w:p>
    <w:p>
      <w:pPr>
        <w:jc w:val="both"/>
        <w:ind w:left="580" w:hanging="575"/>
        <w:spacing w:after="0" w:line="220" w:lineRule="auto"/>
        <w:tabs>
          <w:tab w:leader="none" w:pos="56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 xml:space="preserve">The Company is the true and lawful beneficial and record owner of [***] shares of Series Seed-1 Preferred Stock (the </w:t>
      </w:r>
      <w:r>
        <w:rPr>
          <w:rFonts w:ascii="Arial" w:cs="Arial" w:eastAsia="Arial" w:hAnsi="Arial"/>
          <w:sz w:val="16"/>
          <w:szCs w:val="16"/>
          <w:b w:val="1"/>
          <w:bCs w:val="1"/>
          <w:color w:val="auto"/>
        </w:rPr>
        <w:t>"[***] Shares"</w:t>
      </w:r>
      <w:r>
        <w:rPr>
          <w:rFonts w:ascii="Arial" w:cs="Arial" w:eastAsia="Arial" w:hAnsi="Arial"/>
          <w:sz w:val="16"/>
          <w:szCs w:val="16"/>
          <w:color w:val="auto"/>
        </w:rPr>
        <w:t xml:space="preserve">) of [***] (collectively with any predecessor or successor entity thereof, </w:t>
      </w:r>
      <w:r>
        <w:rPr>
          <w:rFonts w:ascii="Arial" w:cs="Arial" w:eastAsia="Arial" w:hAnsi="Arial"/>
          <w:sz w:val="16"/>
          <w:szCs w:val="16"/>
          <w:b w:val="1"/>
          <w:bCs w:val="1"/>
          <w:color w:val="auto"/>
        </w:rPr>
        <w:t>"[***]"</w:t>
      </w:r>
      <w:r>
        <w:rPr>
          <w:rFonts w:ascii="Arial" w:cs="Arial" w:eastAsia="Arial" w:hAnsi="Arial"/>
          <w:sz w:val="16"/>
          <w:szCs w:val="16"/>
          <w:color w:val="auto"/>
        </w:rPr>
        <w:t>), free and clear of all Encumbrances. The [***] Shares constitute the Company's entire equity or ownership interest in [***], and other than the [***] Shares, the Company does not own any interest in [***], including without limitation, any debt or security exercisable for or convertible into an equity or ownership interest in [***].</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No action, arbitration, suit, proceeding or investigation against the Company is pending, or so far as the Warrantors are aware, threatened against the Company, in relation to the Company's ownership of the [***] Shares.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No dividend, interim dividend, or other distribution, whether paid or still outstanding, has been declared or paid in relation to the [***] Shares, nor is there any other right outstanding to a distribution from or payment based upon reserves or profits of [***].</w:t>
      </w:r>
    </w:p>
    <w:p>
      <w:pPr>
        <w:spacing w:after="0" w:line="4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There are no current liabilities of any Group Company arising from any Group Company purchasing, selling, exercising, converting, making any agreement in connection with, or being a holder of, any equity interest or other security of [***].</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6"/>
          <w:szCs w:val="16"/>
          <w:color w:val="auto"/>
        </w:rPr>
        <w:t>Apart from this Agreement, the Options and the subsisting awards made under the French Plan, there is no agreement, arrangement or commitment outstanding which calls for the allotment, issue or transfer of, or accords to any person the right to call for the allotment, issue or transfer of, any share or loan capital of the Company.</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60</w:t>
      </w:r>
    </w:p>
    <w:p>
      <w:pPr>
        <w:sectPr>
          <w:pgSz w:w="11900" w:h="16840" w:orient="portrait"/>
          <w:cols w:equalWidth="0" w:num="1">
            <w:col w:w="10580"/>
          </w:cols>
          <w:pgMar w:left="660" w:top="1440" w:right="660" w:bottom="1440" w:gutter="0" w:footer="0" w:header="0"/>
        </w:sectPr>
      </w:pPr>
    </w:p>
    <w:bookmarkStart w:id="411" w:name="page412"/>
    <w:bookmarkEnd w:id="411"/>
    <w:p>
      <w:pPr>
        <w:spacing w:after="0" w:line="331"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6"/>
          <w:szCs w:val="16"/>
          <w:color w:val="auto"/>
        </w:rPr>
        <w:t>No Group Company resides, operates or has any branch, agency, place of business or establishment outside the country or state in which it was incorporated.</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6"/>
          <w:szCs w:val="16"/>
          <w:color w:val="auto"/>
        </w:rPr>
        <w:t>The Company and each Group Company is incorporated and validly subsisting under the laws of its country of incorporation and is licensed or qualified to do business under the laws of that country.</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5.12</w:t>
      </w:r>
      <w:r>
        <w:rPr>
          <w:sz w:val="20"/>
          <w:szCs w:val="20"/>
          <w:color w:val="auto"/>
        </w:rPr>
        <w:tab/>
      </w:r>
      <w:r>
        <w:rPr>
          <w:rFonts w:ascii="Arial" w:cs="Arial" w:eastAsia="Arial" w:hAnsi="Arial"/>
          <w:sz w:val="16"/>
          <w:szCs w:val="16"/>
          <w:color w:val="auto"/>
        </w:rPr>
        <w:t>No Group Company is, in relation to any company, limited liability partnership or Societas Europaea registered in the UK, (other than another Group Company), a registrable relevant legal entity within the meaning of section 790C, CA2006.</w:t>
      </w:r>
    </w:p>
    <w:p>
      <w:pPr>
        <w:spacing w:after="0" w:line="48"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5.13</w:t>
      </w:r>
      <w:r>
        <w:rPr>
          <w:sz w:val="20"/>
          <w:szCs w:val="20"/>
          <w:color w:val="auto"/>
        </w:rPr>
        <w:tab/>
      </w:r>
      <w:r>
        <w:rPr>
          <w:rFonts w:ascii="Arial" w:cs="Arial" w:eastAsia="Arial" w:hAnsi="Arial"/>
          <w:sz w:val="16"/>
          <w:szCs w:val="16"/>
          <w:color w:val="auto"/>
        </w:rPr>
        <w:t>The Company has full corporate power to carry on its business and to own and operate its assets, properties and business as now carried on and owned and operated.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matters</w:t>
      </w:r>
    </w:p>
    <w:p>
      <w:pPr>
        <w:spacing w:after="0" w:line="68" w:lineRule="exact"/>
        <w:rPr>
          <w:sz w:val="20"/>
          <w:szCs w:val="20"/>
          <w:color w:val="auto"/>
        </w:rPr>
      </w:pPr>
    </w:p>
    <w:p>
      <w:pPr>
        <w:ind w:left="580" w:hanging="574"/>
        <w:spacing w:after="0"/>
        <w:tabs>
          <w:tab w:leader="none" w:pos="580" w:val="left"/>
        </w:tabs>
        <w:numPr>
          <w:ilvl w:val="0"/>
          <w:numId w:val="386"/>
        </w:numPr>
        <w:rPr>
          <w:rFonts w:ascii="Arial" w:cs="Arial" w:eastAsia="Arial" w:hAnsi="Arial"/>
          <w:sz w:val="16"/>
          <w:szCs w:val="16"/>
          <w:color w:val="auto"/>
        </w:rPr>
      </w:pPr>
      <w:r>
        <w:rPr>
          <w:rFonts w:ascii="Arial" w:cs="Arial" w:eastAsia="Arial" w:hAnsi="Arial"/>
          <w:sz w:val="16"/>
          <w:szCs w:val="16"/>
          <w:b w:val="1"/>
          <w:bCs w:val="1"/>
          <w:color w:val="auto"/>
        </w:rPr>
        <w:t>Insolvency</w:t>
      </w:r>
    </w:p>
    <w:p>
      <w:pPr>
        <w:spacing w:after="0" w:line="70"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No order has been made, no resolution has been passed, no petition presented, no meeting convened for the winding up of the Company or for a provisional liquidator to be appointed in respect of the Company and the Company has not been a party to any transaction which could be avoided in a winding up.</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No administration order has been made and no petition for one has been presented in respect of the Company.</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color w:val="auto"/>
        </w:rPr>
        <w:t>No administrator, receiver or administrative receiver has been appointed in respect of the Company or any of its assets.</w:t>
      </w:r>
    </w:p>
    <w:p>
      <w:pPr>
        <w:spacing w:after="0" w:line="6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The Company is not insolvent, has not failed nor is unable to pay any of its debts as they fall due, within the meaning of Section 123, Insolvency Act 1986.</w:t>
      </w:r>
    </w:p>
    <w:p>
      <w:pPr>
        <w:spacing w:after="0" w:line="48"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No voluntary arrangement has been proposed under Sections 1, 256A or 263A, Insolvency Act 1986 in respect of the Company and the Company has not made or proposed any arrangement or composition with its creditors or any class of them.</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No distress, execution or other process has been levied on the Company's assets or action taken to repossess goods in the possession of the Company.</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6"/>
          <w:szCs w:val="16"/>
          <w:color w:val="auto"/>
        </w:rPr>
        <w:t>No unsatisfied judgment is outstanding against the Company and no demand has been served on the Company under Section 123(1)(a), Insolvency Act 1986.</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4"/>
          <w:szCs w:val="14"/>
          <w:color w:val="auto"/>
        </w:rPr>
        <w:t>No event analogous to any referred to in sub-paragraphs 6.1 to 6.7 (inclusive) has occurred in any Applicable Jurisdiction.</w:t>
      </w:r>
    </w:p>
    <w:p>
      <w:pPr>
        <w:spacing w:after="0" w:line="68"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6.9</w:t>
      </w:r>
      <w:r>
        <w:rPr>
          <w:sz w:val="20"/>
          <w:szCs w:val="20"/>
          <w:color w:val="auto"/>
        </w:rPr>
        <w:tab/>
      </w:r>
      <w:r>
        <w:rPr>
          <w:rFonts w:ascii="Arial" w:cs="Arial" w:eastAsia="Arial" w:hAnsi="Arial"/>
          <w:sz w:val="16"/>
          <w:szCs w:val="16"/>
          <w:color w:val="auto"/>
        </w:rPr>
        <w:t xml:space="preserve">InstaDeep SAS is not insolvent </w:t>
      </w:r>
      <w:r>
        <w:rPr>
          <w:rFonts w:ascii="Arial" w:cs="Arial" w:eastAsia="Arial" w:hAnsi="Arial"/>
          <w:sz w:val="16"/>
          <w:szCs w:val="16"/>
          <w:i w:val="1"/>
          <w:iCs w:val="1"/>
          <w:color w:val="auto"/>
        </w:rPr>
        <w:t>(en état de cessation des paiements)</w:t>
      </w:r>
      <w:r>
        <w:rPr>
          <w:rFonts w:ascii="Arial" w:cs="Arial" w:eastAsia="Arial" w:hAnsi="Arial"/>
          <w:sz w:val="16"/>
          <w:szCs w:val="16"/>
          <w:color w:val="auto"/>
        </w:rPr>
        <w:t xml:space="preserve"> , nor subject to any bankruptcy, insolvency, moratorium with creditors, conciliation procedure </w:t>
      </w:r>
      <w:r>
        <w:rPr>
          <w:rFonts w:ascii="Arial" w:cs="Arial" w:eastAsia="Arial" w:hAnsi="Arial"/>
          <w:sz w:val="16"/>
          <w:szCs w:val="16"/>
          <w:i w:val="1"/>
          <w:iCs w:val="1"/>
          <w:color w:val="auto"/>
        </w:rPr>
        <w:t>(procédure de conciliation)</w:t>
      </w:r>
      <w:r>
        <w:rPr>
          <w:rFonts w:ascii="Arial" w:cs="Arial" w:eastAsia="Arial" w:hAnsi="Arial"/>
          <w:sz w:val="16"/>
          <w:szCs w:val="16"/>
          <w:color w:val="auto"/>
        </w:rPr>
        <w:t xml:space="preserve"> or similar proceedings under Applicable laws.</w:t>
      </w:r>
    </w:p>
    <w:p>
      <w:pPr>
        <w:spacing w:after="0" w:line="46" w:lineRule="exact"/>
        <w:rPr>
          <w:sz w:val="20"/>
          <w:szCs w:val="20"/>
          <w:color w:val="auto"/>
        </w:rPr>
      </w:pPr>
    </w:p>
    <w:p>
      <w:pPr>
        <w:ind w:left="580" w:hanging="574"/>
        <w:spacing w:after="0"/>
        <w:tabs>
          <w:tab w:leader="none" w:pos="58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Statutory books and documents filed</w:t>
      </w:r>
    </w:p>
    <w:p>
      <w:pPr>
        <w:spacing w:after="0" w:line="70"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The statutory books, including all registers and minute books, of each Group Company have been properly kept and are up to date and contain an accurate and complete record of the matters with which those books should deal with in accordance with Applicable Law.</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All documents which should have been delivered by the Company to the Registrar of Companies in England and Wales or any relevant authority charged with maintaining a company's (or branch's) registry in any Applicable Jurisdiction are complete and accurate and have been properly so delivered.</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The most recent copy of the articles of association of the Company that is available on Companies House is the current articles of association of the Company and has been Disclosed.</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Since the Accounts Date the members of the Company in general meeting, or of any class of them, have not passed any resolution other than resolutions relating to the ordinary business of annual general meetings.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w:t>
      </w:r>
    </w:p>
    <w:p>
      <w:pPr>
        <w:spacing w:after="0" w:line="68" w:lineRule="exact"/>
        <w:rPr>
          <w:sz w:val="20"/>
          <w:szCs w:val="20"/>
          <w:color w:val="auto"/>
        </w:rPr>
      </w:pPr>
    </w:p>
    <w:p>
      <w:pPr>
        <w:ind w:left="580" w:hanging="574"/>
        <w:spacing w:after="0"/>
        <w:tabs>
          <w:tab w:leader="none" w:pos="580" w:val="left"/>
        </w:tabs>
        <w:numPr>
          <w:ilvl w:val="0"/>
          <w:numId w:val="388"/>
        </w:numPr>
        <w:rPr>
          <w:rFonts w:ascii="Arial" w:cs="Arial" w:eastAsia="Arial" w:hAnsi="Arial"/>
          <w:sz w:val="16"/>
          <w:szCs w:val="16"/>
          <w:color w:val="auto"/>
        </w:rPr>
      </w:pPr>
      <w:r>
        <w:rPr>
          <w:rFonts w:ascii="Arial" w:cs="Arial" w:eastAsia="Arial" w:hAnsi="Arial"/>
          <w:sz w:val="16"/>
          <w:szCs w:val="16"/>
          <w:b w:val="1"/>
          <w:bCs w:val="1"/>
          <w:color w:val="auto"/>
        </w:rPr>
        <w:t>Accuracy and adequacy of information</w:t>
      </w:r>
    </w:p>
    <w:p>
      <w:pPr>
        <w:spacing w:after="0" w:line="70" w:lineRule="exact"/>
        <w:rPr>
          <w:sz w:val="20"/>
          <w:szCs w:val="20"/>
          <w:color w:val="auto"/>
        </w:rPr>
      </w:pPr>
    </w:p>
    <w:p>
      <w:pPr>
        <w:ind w:left="580"/>
        <w:spacing w:after="0" w:line="235" w:lineRule="auto"/>
        <w:rPr>
          <w:sz w:val="20"/>
          <w:szCs w:val="20"/>
          <w:color w:val="auto"/>
        </w:rPr>
      </w:pPr>
      <w:r>
        <w:rPr>
          <w:rFonts w:ascii="Arial" w:cs="Arial" w:eastAsia="Arial" w:hAnsi="Arial"/>
          <w:sz w:val="16"/>
          <w:szCs w:val="16"/>
          <w:color w:val="auto"/>
        </w:rPr>
        <w:t>The information contained in columns C1 to E5 (inclusive) of Part 1 of Schedule 1, columns C1 to C4 (inclusive) of Part 2 of Schedule 1, Schedule 2 and Schedule 3 is accurate and complete.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w:t>
      </w:r>
    </w:p>
    <w:p>
      <w:pPr>
        <w:spacing w:after="0" w:line="200" w:lineRule="exact"/>
        <w:rPr>
          <w:sz w:val="20"/>
          <w:szCs w:val="20"/>
          <w:color w:val="auto"/>
        </w:rPr>
      </w:pPr>
    </w:p>
    <w:p>
      <w:pPr>
        <w:spacing w:after="0" w:line="247"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61</w:t>
      </w:r>
    </w:p>
    <w:p>
      <w:pPr>
        <w:sectPr>
          <w:pgSz w:w="11900" w:h="16840" w:orient="portrait"/>
          <w:cols w:equalWidth="0" w:num="1">
            <w:col w:w="10580"/>
          </w:cols>
          <w:pgMar w:left="660" w:top="1440" w:right="660" w:bottom="1440" w:gutter="0" w:footer="0" w:header="0"/>
        </w:sectPr>
      </w:pPr>
    </w:p>
    <w:bookmarkStart w:id="412" w:name="page413"/>
    <w:bookmarkEnd w:id="412"/>
    <w:p>
      <w:pPr>
        <w:spacing w:after="0" w:line="329" w:lineRule="exact"/>
        <w:rPr>
          <w:sz w:val="20"/>
          <w:szCs w:val="20"/>
          <w:color w:val="auto"/>
        </w:rPr>
      </w:pPr>
    </w:p>
    <w:p>
      <w:pPr>
        <w:ind w:left="580" w:hanging="574"/>
        <w:spacing w:after="0"/>
        <w:tabs>
          <w:tab w:leader="none" w:pos="580" w:val="left"/>
        </w:tabs>
        <w:numPr>
          <w:ilvl w:val="0"/>
          <w:numId w:val="389"/>
        </w:numPr>
        <w:rPr>
          <w:rFonts w:ascii="Arial" w:cs="Arial" w:eastAsia="Arial" w:hAnsi="Arial"/>
          <w:sz w:val="16"/>
          <w:szCs w:val="16"/>
          <w:color w:val="auto"/>
        </w:rPr>
      </w:pPr>
      <w:r>
        <w:rPr>
          <w:rFonts w:ascii="Arial" w:cs="Arial" w:eastAsia="Arial" w:hAnsi="Arial"/>
          <w:sz w:val="16"/>
          <w:szCs w:val="16"/>
          <w:b w:val="1"/>
          <w:bCs w:val="1"/>
          <w:color w:val="auto"/>
        </w:rPr>
        <w:t>Preparation and contents of the Accounts</w:t>
      </w:r>
    </w:p>
    <w:p>
      <w:pPr>
        <w:spacing w:after="0" w:line="70" w:lineRule="exact"/>
        <w:rPr>
          <w:rFonts w:ascii="Arial" w:cs="Arial" w:eastAsia="Arial" w:hAnsi="Arial"/>
          <w:sz w:val="16"/>
          <w:szCs w:val="16"/>
          <w:color w:val="auto"/>
        </w:rPr>
      </w:pPr>
    </w:p>
    <w:p>
      <w:pPr>
        <w:ind w:left="140" w:hanging="134"/>
        <w:spacing w:after="0"/>
        <w:tabs>
          <w:tab w:leader="none" w:pos="14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1</w:t>
      </w:r>
      <w:r>
        <w:rPr>
          <w:rFonts w:ascii="Arial" w:cs="Arial" w:eastAsia="Arial" w:hAnsi="Arial"/>
          <w:sz w:val="14"/>
          <w:szCs w:val="14"/>
          <w:color w:val="auto"/>
        </w:rPr>
        <w:t>The Accounts:</w:t>
      </w:r>
    </w:p>
    <w:p>
      <w:pPr>
        <w:spacing w:after="0" w:line="68" w:lineRule="exact"/>
        <w:rPr>
          <w:rFonts w:ascii="Arial" w:cs="Arial" w:eastAsia="Arial" w:hAnsi="Arial"/>
          <w:sz w:val="16"/>
          <w:szCs w:val="16"/>
          <w:color w:val="auto"/>
        </w:rPr>
      </w:pPr>
    </w:p>
    <w:p>
      <w:pPr>
        <w:jc w:val="both"/>
        <w:ind w:left="1160" w:right="20" w:hanging="578"/>
        <w:spacing w:after="0" w:line="219" w:lineRule="auto"/>
        <w:tabs>
          <w:tab w:leader="none" w:pos="1148" w:val="left"/>
        </w:tabs>
        <w:numPr>
          <w:ilvl w:val="1"/>
          <w:numId w:val="390"/>
        </w:numPr>
        <w:rPr>
          <w:rFonts w:ascii="Arial" w:cs="Arial" w:eastAsia="Arial" w:hAnsi="Arial"/>
          <w:sz w:val="16"/>
          <w:szCs w:val="16"/>
          <w:color w:val="auto"/>
        </w:rPr>
      </w:pPr>
      <w:r>
        <w:rPr>
          <w:rFonts w:ascii="Arial" w:cs="Arial" w:eastAsia="Arial" w:hAnsi="Arial"/>
          <w:sz w:val="16"/>
          <w:szCs w:val="16"/>
          <w:color w:val="auto"/>
        </w:rPr>
        <w:t>have been prepared in accordance with the requirements of Applicable Law and all applicable accounting principles, methods and practices generally accepted and current at the Accounts Date in the jurisdiction in which, in the case of each Group Company, that Group Company was incorporated and, where the accounting practice used to prepare the Accounts differs from those applicable in the previous financial period, the effect of such differences has been Disclosed;</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have been audited by a statutory or certified auditor (as applicable) who has rendered an auditor's certificate without qualification;</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have been duly filed in accordance with the Applicable Law;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have been Disclosed.</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color w:val="auto"/>
        </w:rPr>
        <w:t>The Group Accounts as at the Accounts Date have been prepared in accordance with the requirements of Applicable Law and IFRS.</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color w:val="auto"/>
        </w:rPr>
        <w:t>Without prejudice to the generality of sub-paragraph 9.1, the Accounts:</w:t>
      </w:r>
    </w:p>
    <w:p>
      <w:pPr>
        <w:spacing w:after="0" w:line="68" w:lineRule="exact"/>
        <w:rPr>
          <w:sz w:val="20"/>
          <w:szCs w:val="20"/>
          <w:color w:val="auto"/>
        </w:rPr>
      </w:pPr>
    </w:p>
    <w:p>
      <w:pPr>
        <w:ind w:left="1160" w:right="20" w:hanging="578"/>
        <w:spacing w:after="0" w:line="235" w:lineRule="auto"/>
        <w:tabs>
          <w:tab w:leader="none" w:pos="1148" w:val="left"/>
        </w:tabs>
        <w:numPr>
          <w:ilvl w:val="0"/>
          <w:numId w:val="391"/>
        </w:numPr>
        <w:rPr>
          <w:rFonts w:ascii="Arial" w:cs="Arial" w:eastAsia="Arial" w:hAnsi="Arial"/>
          <w:sz w:val="16"/>
          <w:szCs w:val="16"/>
          <w:color w:val="auto"/>
        </w:rPr>
      </w:pPr>
      <w:r>
        <w:rPr>
          <w:rFonts w:ascii="Arial" w:cs="Arial" w:eastAsia="Arial" w:hAnsi="Arial"/>
          <w:sz w:val="16"/>
          <w:szCs w:val="16"/>
          <w:color w:val="auto"/>
        </w:rPr>
        <w:t>give a true and fair view of the state of affairs of each Group Company at the Accounts Date and the profits or losses of the Company for the financial period ending on that date in accordance with the relevant financial reporting framework;</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91"/>
        </w:numPr>
        <w:rPr>
          <w:rFonts w:ascii="Arial" w:cs="Arial" w:eastAsia="Arial" w:hAnsi="Arial"/>
          <w:sz w:val="16"/>
          <w:szCs w:val="16"/>
          <w:color w:val="auto"/>
        </w:rPr>
      </w:pPr>
      <w:r>
        <w:rPr>
          <w:rFonts w:ascii="Arial" w:cs="Arial" w:eastAsia="Arial" w:hAnsi="Arial"/>
          <w:sz w:val="16"/>
          <w:szCs w:val="16"/>
          <w:color w:val="auto"/>
        </w:rPr>
        <w:t>contain proper provision or reserve for all liabilities and for all capital and revenue commitments of each Group Company as at the Accounts Date;</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make proper provision for bad and doubtful debts;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make proper provision for depreciation of the fixed assets of each Group Company having regard to their original cost and life.</w:t>
      </w:r>
    </w:p>
    <w:p>
      <w:pPr>
        <w:spacing w:after="0" w:line="68" w:lineRule="exact"/>
        <w:rPr>
          <w:sz w:val="20"/>
          <w:szCs w:val="20"/>
          <w:color w:val="auto"/>
        </w:rPr>
      </w:pPr>
    </w:p>
    <w:p>
      <w:pPr>
        <w:jc w:val="both"/>
        <w:ind w:left="580" w:right="20" w:hanging="575"/>
        <w:spacing w:after="0" w:line="219" w:lineRule="auto"/>
        <w:tabs>
          <w:tab w:leader="none" w:pos="56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profits and losses of the Group shown in the Accounts were not, save as disclosed in the Accounts or in any note accompanying them, affected to a material extent by any transactions entered into otherwise than on normal commercial terms nor, to any material extent affected by any extraordinary, exceptional, unusual or non-recurring income, capital gain or expenditure or by any other factor known to the Warrantors rendering any such profit or loss for such period exceptionally high or low.</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Except for obligations and liabilities reflected in the Accounts, the Group has no off balance sheet obligation or liability of any nature (matured or unmatured, fixed or contingent) to, or any financial interest in, any third party or entities, the purpose or effect of which is to defer, postpone, reduce or otherwise avoid or adjust the recording of debt expenses incurred by the Group.</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4"/>
          <w:szCs w:val="14"/>
          <w:color w:val="auto"/>
        </w:rPr>
        <w:t>The Group has established and maintains a system of adequate internal accounting controls sufficient to provide reasonable assurances that:</w:t>
      </w:r>
    </w:p>
    <w:p>
      <w:pPr>
        <w:spacing w:after="0" w:line="68" w:lineRule="exact"/>
        <w:rPr>
          <w:sz w:val="20"/>
          <w:szCs w:val="20"/>
          <w:color w:val="auto"/>
        </w:rPr>
      </w:pPr>
    </w:p>
    <w:p>
      <w:pPr>
        <w:ind w:left="1160" w:hanging="578"/>
        <w:spacing w:after="0" w:line="235" w:lineRule="auto"/>
        <w:tabs>
          <w:tab w:leader="none" w:pos="1148"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transactions are executed in accordance with the management's general or specific authorisation and to maintain accountability for assets;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 amount recorded for assets on the books and records of the Group is compared with the existing assets at reasonable intervals and appropriate action is taken with respect to any differences.</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there are no significant deficiencies or material weaknesses in the design or operation of the Group's internal controls which could adversely affect the Group's ability to record, process, summarise and report financial data;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there has been no change in the Group's accounting policies or estimation techniques since its incorporation, except as described in the Accounts or otherwise required by Applicable Law.</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393"/>
        </w:numPr>
        <w:rPr>
          <w:rFonts w:ascii="Arial" w:cs="Arial" w:eastAsia="Arial" w:hAnsi="Arial"/>
          <w:sz w:val="16"/>
          <w:szCs w:val="16"/>
          <w:color w:val="auto"/>
        </w:rPr>
      </w:pPr>
      <w:r>
        <w:rPr>
          <w:rFonts w:ascii="Arial" w:cs="Arial" w:eastAsia="Arial" w:hAnsi="Arial"/>
          <w:sz w:val="16"/>
          <w:szCs w:val="16"/>
          <w:b w:val="1"/>
          <w:bCs w:val="1"/>
          <w:color w:val="auto"/>
        </w:rPr>
        <w:t>Accounting records</w:t>
      </w:r>
    </w:p>
    <w:p>
      <w:pPr>
        <w:spacing w:after="0" w:line="70"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accounting records of the Group comply with the requirements of Sections 386 and 388, CA2006 (whichever provision is applicable to the Company at the relevant time) or Applicable Law, do not contain any material inaccuracy or discrepancy and present in accordance with generally accepted accounting principles and standards the financial position of the Group.</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4"/>
          <w:szCs w:val="14"/>
          <w:color w:val="auto"/>
        </w:rPr>
        <w:t>All relevant financial books and records of the Group are in its possession or otherwise under its direct control.</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62</w:t>
      </w:r>
    </w:p>
    <w:p>
      <w:pPr>
        <w:sectPr>
          <w:pgSz w:w="11900" w:h="16840" w:orient="portrait"/>
          <w:cols w:equalWidth="0" w:num="1">
            <w:col w:w="10580"/>
          </w:cols>
          <w:pgMar w:left="660" w:top="1440" w:right="660" w:bottom="1440" w:gutter="0" w:footer="0" w:header="0"/>
        </w:sectPr>
      </w:pPr>
    </w:p>
    <w:bookmarkStart w:id="413" w:name="page414"/>
    <w:bookmarkEnd w:id="413"/>
    <w:p>
      <w:pPr>
        <w:spacing w:after="0" w:line="329" w:lineRule="exact"/>
        <w:rPr>
          <w:sz w:val="20"/>
          <w:szCs w:val="20"/>
          <w:color w:val="auto"/>
        </w:rPr>
      </w:pPr>
    </w:p>
    <w:p>
      <w:pPr>
        <w:ind w:left="580" w:hanging="574"/>
        <w:spacing w:after="0"/>
        <w:tabs>
          <w:tab w:leader="none" w:pos="580"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t>Management Accounts</w:t>
      </w:r>
    </w:p>
    <w:p>
      <w:pPr>
        <w:spacing w:after="0" w:line="70" w:lineRule="exact"/>
        <w:rPr>
          <w:rFonts w:ascii="Arial" w:cs="Arial" w:eastAsia="Arial" w:hAnsi="Arial"/>
          <w:sz w:val="16"/>
          <w:szCs w:val="16"/>
          <w:color w:val="auto"/>
        </w:rPr>
      </w:pPr>
    </w:p>
    <w:p>
      <w:pPr>
        <w:jc w:val="both"/>
        <w:ind w:left="580"/>
        <w:spacing w:after="0" w:line="219" w:lineRule="auto"/>
        <w:rPr>
          <w:rFonts w:ascii="Arial" w:cs="Arial" w:eastAsia="Arial" w:hAnsi="Arial"/>
          <w:sz w:val="16"/>
          <w:szCs w:val="16"/>
          <w:color w:val="auto"/>
        </w:rPr>
      </w:pPr>
      <w:r>
        <w:rPr>
          <w:rFonts w:ascii="Arial" w:cs="Arial" w:eastAsia="Arial" w:hAnsi="Arial"/>
          <w:sz w:val="16"/>
          <w:szCs w:val="16"/>
          <w:color w:val="auto"/>
        </w:rPr>
        <w:t>The Management Accounts have been Disclosed, and have been prepared in accordance with IFRS on a basis consistent with the Accounts, give a fair view of, and do not materially misstate, the financial and trading position of the Group as at their date and for the period to which they relate, and are not affected to a material extent by any extraordinary, exceptional, unusual or non-recurring income, capital gain or expenditure or by any other factor known by the Warrantors rendering profits or losses for the period covered exceptionally high or low.</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394"/>
        </w:numPr>
        <w:rPr>
          <w:rFonts w:ascii="Arial" w:cs="Arial" w:eastAsia="Arial" w:hAnsi="Arial"/>
          <w:sz w:val="16"/>
          <w:szCs w:val="16"/>
          <w:color w:val="auto"/>
        </w:rPr>
      </w:pPr>
      <w:r>
        <w:rPr>
          <w:rFonts w:ascii="Arial" w:cs="Arial" w:eastAsia="Arial" w:hAnsi="Arial"/>
          <w:sz w:val="16"/>
          <w:szCs w:val="16"/>
          <w:b w:val="1"/>
          <w:bCs w:val="1"/>
          <w:color w:val="auto"/>
        </w:rPr>
        <w:t>Events since the Accounts Date</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Since the Accounts Date:</w:t>
      </w:r>
    </w:p>
    <w:p>
      <w:pPr>
        <w:spacing w:after="0" w:line="68" w:lineRule="exact"/>
        <w:rPr>
          <w:sz w:val="20"/>
          <w:szCs w:val="20"/>
          <w:color w:val="auto"/>
        </w:rPr>
      </w:pPr>
    </w:p>
    <w:p>
      <w:pPr>
        <w:ind w:left="1140" w:hanging="558"/>
        <w:spacing w:after="0"/>
        <w:tabs>
          <w:tab w:leader="none" w:pos="114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there has not been any material deterioration in the financial or trading position or prospects of any Group Company; or</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395"/>
        </w:numPr>
        <w:rPr>
          <w:rFonts w:ascii="Arial" w:cs="Arial" w:eastAsia="Arial" w:hAnsi="Arial"/>
          <w:sz w:val="16"/>
          <w:szCs w:val="16"/>
          <w:color w:val="auto"/>
        </w:rPr>
      </w:pPr>
      <w:r>
        <w:rPr>
          <w:rFonts w:ascii="Arial" w:cs="Arial" w:eastAsia="Arial" w:hAnsi="Arial"/>
          <w:sz w:val="16"/>
          <w:szCs w:val="16"/>
          <w:color w:val="auto"/>
        </w:rPr>
        <w:t>neither the turnover, direct or indirect expenses or the margin of profitability of any Group Company shows any material deterioration as compared with the position disclosed in the Accounts.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Since the Accounts Date, the Group has carried on its business in the ordinary course so as to maintain it as a going concern, and paid its creditors in the ordinary course and within the credit periods agreed with such creditors.</w:t>
      </w:r>
    </w:p>
    <w:p>
      <w:pPr>
        <w:spacing w:after="0" w:line="48" w:lineRule="exact"/>
        <w:rPr>
          <w:sz w:val="20"/>
          <w:szCs w:val="20"/>
          <w:color w:val="auto"/>
        </w:rPr>
      </w:pPr>
    </w:p>
    <w:p>
      <w:pPr>
        <w:jc w:val="both"/>
        <w:ind w:left="580" w:right="20" w:hanging="575"/>
        <w:spacing w:after="0" w:line="219" w:lineRule="auto"/>
        <w:tabs>
          <w:tab w:leader="none" w:pos="56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Since the Accounts Date, no supplier of any Group Company has ceased or restricted supplies or threatened in writing so to do, there has been no material loss or material curtailment of the business transacted by any Group Company with any customer which at any time in the preceding financial year represented [***]% or more of the turnover of any Group Company and the Warrantors are not aware of any circumstances likely to give rise to any of the above.</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4"/>
          <w:szCs w:val="14"/>
          <w:color w:val="auto"/>
        </w:rPr>
        <w:t>Since the Accounts Date, no Group Company has:</w:t>
      </w:r>
    </w:p>
    <w:p>
      <w:pPr>
        <w:spacing w:after="0" w:line="68" w:lineRule="exact"/>
        <w:rPr>
          <w:sz w:val="20"/>
          <w:szCs w:val="20"/>
          <w:color w:val="auto"/>
        </w:rPr>
      </w:pPr>
    </w:p>
    <w:p>
      <w:pPr>
        <w:ind w:left="1140" w:hanging="558"/>
        <w:spacing w:after="0"/>
        <w:tabs>
          <w:tab w:leader="none" w:pos="11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incurred or committed to incur:</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material capital expenditure in excess of £[***];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any liability whether actual or contingent except for full value or in the ordinary course of business;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acquired or agreed to acquire:</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any asset for a consideration higher than its market value at the time of acquisition or otherwise than in the ordinary course of business; or</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any business or substantial part of it or any share or shares in a body corporate;</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disposed of, or agreed to dispose of, any of its assets except in the ordinary course of business and for full value;</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repaid wholly or in part any loan except upon the due date or dates for repayment;</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396"/>
        </w:numPr>
        <w:rPr>
          <w:rFonts w:ascii="Arial" w:cs="Arial" w:eastAsia="Arial" w:hAnsi="Arial"/>
          <w:sz w:val="16"/>
          <w:szCs w:val="16"/>
          <w:color w:val="auto"/>
        </w:rPr>
      </w:pPr>
      <w:r>
        <w:rPr>
          <w:rFonts w:ascii="Arial" w:cs="Arial" w:eastAsia="Arial" w:hAnsi="Arial"/>
          <w:sz w:val="16"/>
          <w:szCs w:val="16"/>
          <w:color w:val="auto"/>
        </w:rPr>
        <w:t>save for the Options that are to be exercised prior to Completion and awards granted under the French Plan, issued or allotted share or loan capital, increased its authorised share capital, purchased or redeemed any shares, reduced or reorganised its share capital or agreed to do so; or</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declared, made or paid any distribution of profit.</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None of the debts included in the Accounts or any of the debts subsequently arising has been the subject of factoring by any Group Company and the Warrantors are not aware of any circumstances which could result in any presently outstanding debt in excess of £[***] not being paid in full.</w:t>
      </w:r>
    </w:p>
    <w:p>
      <w:pPr>
        <w:spacing w:after="0" w:line="47" w:lineRule="exact"/>
        <w:rPr>
          <w:sz w:val="20"/>
          <w:szCs w:val="20"/>
          <w:color w:val="auto"/>
        </w:rPr>
      </w:pPr>
    </w:p>
    <w:p>
      <w:pPr>
        <w:ind w:left="580" w:hanging="574"/>
        <w:spacing w:after="0"/>
        <w:tabs>
          <w:tab w:leader="none" w:pos="580"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Liabilities</w:t>
      </w:r>
    </w:p>
    <w:p>
      <w:pPr>
        <w:spacing w:after="0" w:line="7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No Group Company has any liabilities (contingent or otherwise), except: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those which are properly shown, provided for or reserved against in the Accounts or the Management Accounts;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those which have been incurred in the ordinary course of business consistent with past practice since the Accounts Date.</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Finance and working capital</w:t>
      </w:r>
    </w:p>
    <w:p>
      <w:pPr>
        <w:spacing w:after="0" w:line="68" w:lineRule="exact"/>
        <w:rPr>
          <w:rFonts w:ascii="Arial" w:cs="Arial" w:eastAsia="Arial" w:hAnsi="Arial"/>
          <w:sz w:val="16"/>
          <w:szCs w:val="16"/>
          <w:color w:val="auto"/>
        </w:rPr>
      </w:pPr>
    </w:p>
    <w:p>
      <w:pPr>
        <w:ind w:left="580" w:hanging="574"/>
        <w:spacing w:after="0"/>
        <w:tabs>
          <w:tab w:leader="none" w:pos="580"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Financial commitments and borrowings</w:t>
      </w:r>
    </w:p>
    <w:p>
      <w:pPr>
        <w:spacing w:after="0" w:line="70"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Details of all overdraft, loan and other financial facilities available to the Company have been Disclosed and the Company is not in material breach of any of their terms.</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63</w:t>
      </w:r>
    </w:p>
    <w:p>
      <w:pPr>
        <w:sectPr>
          <w:pgSz w:w="11900" w:h="16840" w:orient="portrait"/>
          <w:cols w:equalWidth="0" w:num="1">
            <w:col w:w="10580"/>
          </w:cols>
          <w:pgMar w:left="660" w:top="1440" w:right="660" w:bottom="1440" w:gutter="0" w:footer="0" w:header="0"/>
        </w:sectPr>
      </w:pPr>
    </w:p>
    <w:bookmarkStart w:id="414" w:name="page415"/>
    <w:bookmarkEnd w:id="414"/>
    <w:p>
      <w:pPr>
        <w:spacing w:after="0" w:line="331"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The Company is not a party to, nor has agreed to enter into, any lending, or purported lending, agreement or arrangement (other than agreements to give credit in the ordinary course of its business).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The Company is not exceeding any borrowing limit imposed upon it by its bankers, other lenders, its articles of association or otherwise nor has the Company entered into any commitment or arrangement which might lead it so to do.</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4"/>
          <w:szCs w:val="14"/>
          <w:color w:val="auto"/>
        </w:rPr>
        <w:t>No overdraft or other financial facilities available to the Company are dependent upon the guarantee of or security provided by any other person.</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So far as the Warrantors are aware, no event has occurred that with the passing of any time or the giving of any notice, certificate, declaration or demand, would constitute an event of default under, or breach of, any of the terms of any loan capital, borrowing, debenture or financial facility of the Company or which would entitle any person to call for repayment prior to normal maturity.</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4"/>
          <w:szCs w:val="14"/>
          <w:color w:val="auto"/>
        </w:rPr>
        <w:t>The company is not, nor has it agreed to become, bound by any guarantee, indemnity, surety or similar commitment.</w:t>
      </w:r>
    </w:p>
    <w:p>
      <w:pPr>
        <w:spacing w:after="0" w:line="6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14.7</w:t>
      </w:r>
      <w:r>
        <w:rPr>
          <w:sz w:val="20"/>
          <w:szCs w:val="20"/>
          <w:color w:val="auto"/>
        </w:rPr>
        <w:tab/>
      </w:r>
      <w:r>
        <w:rPr>
          <w:rFonts w:ascii="Arial" w:cs="Arial" w:eastAsia="Arial" w:hAnsi="Arial"/>
          <w:sz w:val="16"/>
          <w:szCs w:val="16"/>
          <w:color w:val="auto"/>
        </w:rPr>
        <w:t>The Company does not have any credit cards in issue in its own name or that of any officer or employee of the Company or any person connected with any officer or employee.</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6"/>
          <w:szCs w:val="16"/>
          <w:color w:val="auto"/>
        </w:rPr>
        <w:t>The Company has not received any grants, allowances, loans or financial aid of any kind from any government department or other board, body, agency or authority which may become liable to be refunded or repaid in whole or in part as a result of the entry into this Agreement.</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4"/>
          <w:szCs w:val="14"/>
          <w:color w:val="auto"/>
        </w:rPr>
        <w:t>The Company has not engaged in financing of a type which is not required to be or has not been shown or reflected in the Accounts.</w:t>
      </w:r>
    </w:p>
    <w:p>
      <w:pPr>
        <w:spacing w:after="0" w:line="66" w:lineRule="exact"/>
        <w:rPr>
          <w:sz w:val="20"/>
          <w:szCs w:val="20"/>
          <w:color w:val="auto"/>
        </w:rPr>
      </w:pPr>
    </w:p>
    <w:p>
      <w:pPr>
        <w:ind w:left="580" w:hanging="574"/>
        <w:spacing w:after="0"/>
        <w:tabs>
          <w:tab w:leader="none" w:pos="580" w:val="left"/>
        </w:tabs>
        <w:numPr>
          <w:ilvl w:val="0"/>
          <w:numId w:val="398"/>
        </w:numPr>
        <w:rPr>
          <w:rFonts w:ascii="Arial" w:cs="Arial" w:eastAsia="Arial" w:hAnsi="Arial"/>
          <w:sz w:val="16"/>
          <w:szCs w:val="16"/>
          <w:color w:val="auto"/>
        </w:rPr>
      </w:pPr>
      <w:r>
        <w:rPr>
          <w:rFonts w:ascii="Arial" w:cs="Arial" w:eastAsia="Arial" w:hAnsi="Arial"/>
          <w:sz w:val="16"/>
          <w:szCs w:val="16"/>
          <w:b w:val="1"/>
          <w:bCs w:val="1"/>
          <w:color w:val="auto"/>
        </w:rPr>
        <w:t>Working capital</w:t>
      </w:r>
    </w:p>
    <w:p>
      <w:pPr>
        <w:spacing w:after="0" w:line="70"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Having regard to existing bank and other facilities available to it, the Company has sufficient working capital for the purposes of carrying on its business, in its present form and at its present level of turnover.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Insurances</w:t>
      </w:r>
    </w:p>
    <w:p>
      <w:pPr>
        <w:spacing w:after="0" w:line="68" w:lineRule="exact"/>
        <w:rPr>
          <w:sz w:val="20"/>
          <w:szCs w:val="20"/>
          <w:color w:val="auto"/>
        </w:rPr>
      </w:pPr>
    </w:p>
    <w:p>
      <w:pPr>
        <w:ind w:left="580" w:hanging="574"/>
        <w:spacing w:after="0"/>
        <w:tabs>
          <w:tab w:leader="none" w:pos="580" w:val="left"/>
        </w:tabs>
        <w:numPr>
          <w:ilvl w:val="0"/>
          <w:numId w:val="399"/>
        </w:numPr>
        <w:rPr>
          <w:rFonts w:ascii="Arial" w:cs="Arial" w:eastAsia="Arial" w:hAnsi="Arial"/>
          <w:sz w:val="16"/>
          <w:szCs w:val="16"/>
          <w:color w:val="auto"/>
        </w:rPr>
      </w:pPr>
      <w:r>
        <w:rPr>
          <w:rFonts w:ascii="Arial" w:cs="Arial" w:eastAsia="Arial" w:hAnsi="Arial"/>
          <w:sz w:val="16"/>
          <w:szCs w:val="16"/>
          <w:b w:val="1"/>
          <w:bCs w:val="1"/>
          <w:color w:val="auto"/>
        </w:rPr>
        <w:t>Insurance cover</w:t>
      </w:r>
    </w:p>
    <w:p>
      <w:pPr>
        <w:spacing w:after="0" w:line="70"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6"/>
          <w:szCs w:val="16"/>
          <w:color w:val="auto"/>
        </w:rPr>
        <w:t>The Company maintains, and at all times has maintained, adequate insurance cover against all risks normally insured against by companies carrying on a similar business on the same scale as the Company, having regard to the type of business carried on by the Company, its contractual commitments, location and assets owned or used by it, and in particular has maintained all insurances required by statute.</w:t>
      </w:r>
    </w:p>
    <w:p>
      <w:pPr>
        <w:spacing w:after="0" w:line="49" w:lineRule="exact"/>
        <w:rPr>
          <w:sz w:val="20"/>
          <w:szCs w:val="20"/>
          <w:color w:val="auto"/>
        </w:rPr>
      </w:pPr>
    </w:p>
    <w:p>
      <w:pPr>
        <w:jc w:val="both"/>
        <w:ind w:left="580" w:hanging="575"/>
        <w:spacing w:after="0" w:line="216" w:lineRule="auto"/>
        <w:tabs>
          <w:tab w:leader="none" w:pos="560"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All of the insurance policies maintained by the Company are valid and enforceable and all premiums due have been paid. There are no outstanding claims or, so far as the Warrantors are aware, circumstances likely to give rise to a claim under such insurance policies or which would be required to be notified to the insurers and nothing has been done or omitted to be done which has made or could make any of the policies void or voidable or as a result of which the renewal of any such policy might be refused or the premiums due in respect of them may be liable to be increased (other than by a factor affecting the market as a whole).</w:t>
      </w:r>
    </w:p>
    <w:p>
      <w:pPr>
        <w:spacing w:after="0" w:line="46" w:lineRule="exact"/>
        <w:rPr>
          <w:sz w:val="20"/>
          <w:szCs w:val="20"/>
          <w:color w:val="auto"/>
        </w:rPr>
      </w:pPr>
    </w:p>
    <w:p>
      <w:pPr>
        <w:ind w:left="580" w:hanging="574"/>
        <w:spacing w:after="0"/>
        <w:tabs>
          <w:tab w:leader="none" w:pos="580" w:val="left"/>
        </w:tabs>
        <w:numPr>
          <w:ilvl w:val="0"/>
          <w:numId w:val="400"/>
        </w:numPr>
        <w:rPr>
          <w:rFonts w:ascii="Arial" w:cs="Arial" w:eastAsia="Arial" w:hAnsi="Arial"/>
          <w:sz w:val="16"/>
          <w:szCs w:val="16"/>
          <w:color w:val="auto"/>
        </w:rPr>
      </w:pPr>
      <w:r>
        <w:rPr>
          <w:rFonts w:ascii="Arial" w:cs="Arial" w:eastAsia="Arial" w:hAnsi="Arial"/>
          <w:sz w:val="16"/>
          <w:szCs w:val="16"/>
          <w:b w:val="1"/>
          <w:bCs w:val="1"/>
          <w:color w:val="auto"/>
        </w:rPr>
        <w:t>Insurance claims</w:t>
      </w:r>
    </w:p>
    <w:p>
      <w:pPr>
        <w:spacing w:after="0" w:line="70"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There are no claims outstanding or threatened in writing or, so far as the Warrantors are aware, pending, against the Company which are not fully covered by insurance.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and contracts</w:t>
      </w:r>
    </w:p>
    <w:p>
      <w:pPr>
        <w:spacing w:after="0" w:line="68" w:lineRule="exact"/>
        <w:rPr>
          <w:sz w:val="20"/>
          <w:szCs w:val="20"/>
          <w:color w:val="auto"/>
        </w:rPr>
      </w:pPr>
    </w:p>
    <w:p>
      <w:pPr>
        <w:ind w:left="580" w:hanging="574"/>
        <w:spacing w:after="0"/>
        <w:tabs>
          <w:tab w:leader="none" w:pos="580" w:val="left"/>
        </w:tabs>
        <w:numPr>
          <w:ilvl w:val="0"/>
          <w:numId w:val="401"/>
        </w:numPr>
        <w:rPr>
          <w:rFonts w:ascii="Arial" w:cs="Arial" w:eastAsia="Arial" w:hAnsi="Arial"/>
          <w:sz w:val="16"/>
          <w:szCs w:val="16"/>
          <w:color w:val="auto"/>
        </w:rPr>
      </w:pPr>
      <w:r>
        <w:rPr>
          <w:rFonts w:ascii="Arial" w:cs="Arial" w:eastAsia="Arial" w:hAnsi="Arial"/>
          <w:sz w:val="16"/>
          <w:szCs w:val="16"/>
          <w:b w:val="1"/>
          <w:bCs w:val="1"/>
          <w:color w:val="auto"/>
        </w:rPr>
        <w:t>Contracts and commitments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4"/>
          <w:szCs w:val="14"/>
          <w:color w:val="auto"/>
        </w:rPr>
        <w:t>For the purposes of this paragraph 18:</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Client</w:t>
      </w:r>
      <w:r>
        <w:rPr>
          <w:rFonts w:ascii="Arial" w:cs="Arial" w:eastAsia="Arial" w:hAnsi="Arial"/>
          <w:sz w:val="16"/>
          <w:szCs w:val="16"/>
          <w:color w:val="auto"/>
        </w:rPr>
        <w:t>" means each of</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Supplier</w:t>
      </w:r>
      <w:r>
        <w:rPr>
          <w:rFonts w:ascii="Arial" w:cs="Arial" w:eastAsia="Arial" w:hAnsi="Arial"/>
          <w:sz w:val="16"/>
          <w:szCs w:val="16"/>
          <w:color w:val="auto"/>
        </w:rPr>
        <w:t>" means each of:</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jc w:val="both"/>
        <w:ind w:left="580" w:right="20" w:hanging="575"/>
        <w:spacing w:after="0" w:line="228" w:lineRule="auto"/>
        <w:tabs>
          <w:tab w:leader="none" w:pos="56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6"/>
          <w:szCs w:val="16"/>
          <w:color w:val="auto"/>
        </w:rPr>
        <w:t>All contracts, agreements, transactions, obligations, commitments, understandings or arrangements (including, in each case, confirmation of whether such is with a client or supplier, as applicable) with Key Clients and Key Suppliers requiring in relation to its discharge any payment in excess of £[***] to which the Company is a party (</w:t>
      </w:r>
      <w:r>
        <w:rPr>
          <w:rFonts w:ascii="Arial" w:cs="Arial" w:eastAsia="Arial" w:hAnsi="Arial"/>
          <w:sz w:val="16"/>
          <w:szCs w:val="16"/>
          <w:b w:val="1"/>
          <w:bCs w:val="1"/>
          <w:color w:val="auto"/>
        </w:rPr>
        <w:t>"Key Agreements"</w:t>
      </w:r>
      <w:r>
        <w:rPr>
          <w:rFonts w:ascii="Arial" w:cs="Arial" w:eastAsia="Arial" w:hAnsi="Arial"/>
          <w:sz w:val="16"/>
          <w:szCs w:val="16"/>
          <w:color w:val="auto"/>
        </w:rPr>
        <w:t>) are Disclosed and remain in full force and effect.</w:t>
      </w:r>
    </w:p>
    <w:p>
      <w:pPr>
        <w:spacing w:after="0" w:line="200" w:lineRule="exact"/>
        <w:rPr>
          <w:sz w:val="20"/>
          <w:szCs w:val="20"/>
          <w:color w:val="auto"/>
        </w:rPr>
      </w:pPr>
    </w:p>
    <w:p>
      <w:pPr>
        <w:spacing w:after="0" w:line="217"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64</w:t>
      </w:r>
    </w:p>
    <w:p>
      <w:pPr>
        <w:sectPr>
          <w:pgSz w:w="11900" w:h="16840" w:orient="portrait"/>
          <w:cols w:equalWidth="0" w:num="1">
            <w:col w:w="10580"/>
          </w:cols>
          <w:pgMar w:left="660" w:top="1440" w:right="660" w:bottom="1440" w:gutter="0" w:footer="0" w:header="0"/>
        </w:sectPr>
      </w:pPr>
    </w:p>
    <w:bookmarkStart w:id="415" w:name="page416"/>
    <w:bookmarkEnd w:id="415"/>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4"/>
          <w:szCs w:val="14"/>
          <w:color w:val="auto"/>
        </w:rPr>
        <w:t>The Company is not a party to any material agreement, arrangement or commitment which:</w:t>
      </w:r>
    </w:p>
    <w:p>
      <w:pPr>
        <w:spacing w:after="0" w:line="68" w:lineRule="exact"/>
        <w:rPr>
          <w:sz w:val="20"/>
          <w:szCs w:val="20"/>
          <w:color w:val="auto"/>
        </w:rPr>
      </w:pPr>
    </w:p>
    <w:p>
      <w:pPr>
        <w:ind w:left="1160" w:right="20" w:hanging="578"/>
        <w:spacing w:after="0" w:line="235" w:lineRule="auto"/>
        <w:tabs>
          <w:tab w:leader="none" w:pos="1148" w:val="left"/>
        </w:tabs>
        <w:numPr>
          <w:ilvl w:val="0"/>
          <w:numId w:val="402"/>
        </w:numPr>
        <w:rPr>
          <w:rFonts w:ascii="Arial" w:cs="Arial" w:eastAsia="Arial" w:hAnsi="Arial"/>
          <w:sz w:val="16"/>
          <w:szCs w:val="16"/>
          <w:color w:val="auto"/>
        </w:rPr>
      </w:pPr>
      <w:r>
        <w:rPr>
          <w:rFonts w:ascii="Arial" w:cs="Arial" w:eastAsia="Arial" w:hAnsi="Arial"/>
          <w:sz w:val="16"/>
          <w:szCs w:val="16"/>
          <w:color w:val="auto"/>
        </w:rPr>
        <w:t>has or is expected to have, so far as the Warrantors are aware, material consequences in terms of expenditure or revenue, other than in the ordinary course of business;</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can be terminated in the event of entry into or completion of this Agreement;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relates to matters outside its ordinary business or was not entered into on arms' length terms;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so far as the Warrantors are aware, cannot readily be fulfilled or performed on time;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cannot be terminated, without giving rise to any material liabilities on it, by it giving [***] months' notice or less.</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4"/>
          <w:szCs w:val="14"/>
          <w:color w:val="auto"/>
        </w:rPr>
        <w:t>The Company has no outstanding bid, tender, sale or service proposal which is material in relation to its business.</w:t>
      </w:r>
    </w:p>
    <w:p>
      <w:pPr>
        <w:spacing w:after="0" w:line="6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6"/>
          <w:szCs w:val="16"/>
          <w:color w:val="auto"/>
        </w:rPr>
        <w:t>The Company has not granted any power of attorney or other such authority which is still outstanding, other than ordinary course authorities at the Group Company level.</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So far as the Warrantors are aware, no act or omission by the Company has caused it to be in material default of any Key Agreement and the Warrantors are not aware of any actual breach, invalidity, grounds for termination, grounds for rescission, grounds for avoidance or grounds for repudiation of, any Key Agreement.</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The Warrantors are not aware that any Key Client of the Company has withdrawn or is considering withdrawing from or not placing with the Company all or any part of the work placed with the Company during the [***] months immediately preceding the date of this Agreement.</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6"/>
          <w:szCs w:val="16"/>
          <w:color w:val="auto"/>
        </w:rPr>
        <w:t>No matter has arisen in respect of any Key Agreement which, so far as the Warrantors are aware, is or could result in a breach by any party thereto.</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6"/>
          <w:szCs w:val="16"/>
          <w:color w:val="auto"/>
        </w:rPr>
        <w:t>There have been no material written complaints within the last [***] made by any party thereto in respect of any Key Agreement and the Company has received no written notice of any default under any Key Agreement.</w:t>
      </w:r>
    </w:p>
    <w:p>
      <w:pPr>
        <w:spacing w:after="0" w:line="48"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18.10</w:t>
        <w:tab/>
        <w:t>Within the [***] months preceding the date of this Agreement no surcharges have been levied or arisen with regard to any expenditure whether due to delay in payment by any Key Client of any sums due in respect thereof or otherwise.</w:t>
      </w:r>
    </w:p>
    <w:p>
      <w:pPr>
        <w:spacing w:after="0" w:line="48"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18.11</w:t>
        <w:tab/>
        <w:t>No Key Client has sought to negotiate a reduction or material change in the terms of remuneration as contained in its Key Agreement with the Company.</w:t>
      </w:r>
    </w:p>
    <w:p>
      <w:pPr>
        <w:spacing w:after="0" w:line="48" w:lineRule="exact"/>
        <w:rPr>
          <w:sz w:val="20"/>
          <w:szCs w:val="20"/>
          <w:color w:val="auto"/>
        </w:rPr>
      </w:pPr>
    </w:p>
    <w:p>
      <w:pPr>
        <w:jc w:val="both"/>
        <w:ind w:left="560" w:hanging="575"/>
        <w:spacing w:after="0" w:line="235" w:lineRule="auto"/>
        <w:tabs>
          <w:tab w:leader="none" w:pos="540" w:val="left"/>
        </w:tabs>
        <w:rPr>
          <w:sz w:val="20"/>
          <w:szCs w:val="20"/>
          <w:color w:val="auto"/>
        </w:rPr>
      </w:pPr>
      <w:r>
        <w:rPr>
          <w:rFonts w:ascii="Arial" w:cs="Arial" w:eastAsia="Arial" w:hAnsi="Arial"/>
          <w:sz w:val="16"/>
          <w:szCs w:val="16"/>
          <w:color w:val="auto"/>
        </w:rPr>
        <w:t>18.12</w:t>
        <w:tab/>
        <w:t>There is not outstanding any contract or arrangement to which the Company is a party and to which any director of the Company is interested whether directly or indirectly.</w:t>
      </w:r>
    </w:p>
    <w:p>
      <w:pPr>
        <w:spacing w:after="0" w:line="4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18.13</w:t>
      </w:r>
      <w:r>
        <w:rPr>
          <w:sz w:val="20"/>
          <w:szCs w:val="20"/>
          <w:color w:val="auto"/>
        </w:rPr>
        <w:tab/>
      </w:r>
      <w:r>
        <w:rPr>
          <w:rFonts w:ascii="Arial" w:cs="Arial" w:eastAsia="Arial" w:hAnsi="Arial"/>
          <w:sz w:val="14"/>
          <w:szCs w:val="14"/>
          <w:color w:val="auto"/>
        </w:rPr>
        <w:t>In respect of the services agreement between the Company and InstaDeep SAS, dated [***]:</w:t>
      </w:r>
    </w:p>
    <w:p>
      <w:pPr>
        <w:spacing w:after="0" w:line="68" w:lineRule="exact"/>
        <w:rPr>
          <w:sz w:val="20"/>
          <w:szCs w:val="20"/>
          <w:color w:val="auto"/>
        </w:rPr>
      </w:pPr>
    </w:p>
    <w:p>
      <w:pPr>
        <w:ind w:left="1140" w:hanging="558"/>
        <w:spacing w:after="0"/>
        <w:tabs>
          <w:tab w:leader="none" w:pos="114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no party other than a Group Company has any rights or obligations pursuant to or under the terms of this agreement; and</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03"/>
        </w:numPr>
        <w:rPr>
          <w:rFonts w:ascii="Arial" w:cs="Arial" w:eastAsia="Arial" w:hAnsi="Arial"/>
          <w:sz w:val="16"/>
          <w:szCs w:val="16"/>
          <w:color w:val="auto"/>
        </w:rPr>
      </w:pPr>
      <w:r>
        <w:rPr>
          <w:rFonts w:ascii="Arial" w:cs="Arial" w:eastAsia="Arial" w:hAnsi="Arial"/>
          <w:sz w:val="16"/>
          <w:szCs w:val="16"/>
          <w:color w:val="auto"/>
        </w:rPr>
        <w:t>such agreement has been agreed and conducted in accordance with a transfer pricing policy implemented by the Group, which is adequate for a business of the same size and type.</w:t>
      </w:r>
    </w:p>
    <w:p>
      <w:pPr>
        <w:spacing w:after="0" w:line="4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18.14</w:t>
      </w:r>
      <w:r>
        <w:rPr>
          <w:sz w:val="20"/>
          <w:szCs w:val="20"/>
          <w:color w:val="auto"/>
        </w:rPr>
        <w:tab/>
      </w:r>
      <w:r>
        <w:rPr>
          <w:rFonts w:ascii="Arial" w:cs="Arial" w:eastAsia="Arial" w:hAnsi="Arial"/>
          <w:sz w:val="14"/>
          <w:szCs w:val="14"/>
          <w:color w:val="auto"/>
        </w:rPr>
        <w:t>The Company is not, and has not at any time, engaged in any activity, practice or conduct which would constitute an offence under:</w:t>
      </w:r>
    </w:p>
    <w:p>
      <w:pPr>
        <w:spacing w:after="0" w:line="68" w:lineRule="exact"/>
        <w:rPr>
          <w:sz w:val="20"/>
          <w:szCs w:val="20"/>
          <w:color w:val="auto"/>
        </w:rPr>
      </w:pPr>
    </w:p>
    <w:p>
      <w:pPr>
        <w:ind w:left="1140" w:hanging="558"/>
        <w:spacing w:after="0"/>
        <w:tabs>
          <w:tab w:leader="none" w:pos="114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Bribery Act 2010; or</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an Applicable Law relating to anti-bribery or anti-corruption in any jurisdiction, including, so far as the Warrantors are aware, in respect of the Company's relationship with [***].</w:t>
      </w:r>
    </w:p>
    <w:p>
      <w:pPr>
        <w:spacing w:after="0" w:line="48" w:lineRule="exact"/>
        <w:rPr>
          <w:sz w:val="20"/>
          <w:szCs w:val="20"/>
          <w:color w:val="auto"/>
        </w:rPr>
      </w:pPr>
    </w:p>
    <w:p>
      <w:pPr>
        <w:jc w:val="both"/>
        <w:ind w:left="560" w:right="40" w:hanging="575"/>
        <w:spacing w:after="0" w:line="235" w:lineRule="auto"/>
        <w:tabs>
          <w:tab w:leader="none" w:pos="540" w:val="left"/>
        </w:tabs>
        <w:rPr>
          <w:sz w:val="20"/>
          <w:szCs w:val="20"/>
          <w:color w:val="auto"/>
        </w:rPr>
      </w:pPr>
      <w:r>
        <w:rPr>
          <w:rFonts w:ascii="Arial" w:cs="Arial" w:eastAsia="Arial" w:hAnsi="Arial"/>
          <w:sz w:val="16"/>
          <w:szCs w:val="16"/>
          <w:color w:val="auto"/>
        </w:rPr>
        <w:t>18.15</w:t>
        <w:tab/>
        <w:t>So far as the Warrantors are aware, no Company Associate has bribed another person (within the meaning of Section 7(3), Bribery Act 2010) intending to obtain or retain business or an advantage in the conduct of business for the Company.</w:t>
      </w:r>
    </w:p>
    <w:p>
      <w:pPr>
        <w:spacing w:after="0" w:line="48" w:lineRule="exact"/>
        <w:rPr>
          <w:sz w:val="20"/>
          <w:szCs w:val="20"/>
          <w:color w:val="auto"/>
        </w:rPr>
      </w:pPr>
    </w:p>
    <w:p>
      <w:pPr>
        <w:jc w:val="both"/>
        <w:ind w:left="560" w:right="20" w:hanging="575"/>
        <w:spacing w:after="0" w:line="219" w:lineRule="auto"/>
        <w:tabs>
          <w:tab w:leader="none" w:pos="540" w:val="left"/>
        </w:tabs>
        <w:rPr>
          <w:sz w:val="20"/>
          <w:szCs w:val="20"/>
          <w:color w:val="auto"/>
        </w:rPr>
      </w:pPr>
      <w:r>
        <w:rPr>
          <w:rFonts w:ascii="Arial" w:cs="Arial" w:eastAsia="Arial" w:hAnsi="Arial"/>
          <w:sz w:val="16"/>
          <w:szCs w:val="16"/>
          <w:color w:val="auto"/>
        </w:rPr>
        <w:t>18.16</w:t>
        <w:tab/>
        <w:t>The Company has had in place, at all times in the [***] preceding the date of this Agreement, such procedures as it is reasonable in all circumstances to expect it to have designed to prevent Company Associates from bribing another person (within the meaning of Section 7(3), Bribery Act 2010) intending to obtain or retain business or an advantage in the conduct of business for the Company and/or any Group Company.</w:t>
      </w:r>
    </w:p>
    <w:p>
      <w:pPr>
        <w:spacing w:after="0" w:line="47" w:lineRule="exact"/>
        <w:rPr>
          <w:sz w:val="20"/>
          <w:szCs w:val="20"/>
          <w:color w:val="auto"/>
        </w:rPr>
      </w:pPr>
    </w:p>
    <w:p>
      <w:pPr>
        <w:jc w:val="both"/>
        <w:ind w:left="560" w:right="20" w:hanging="575"/>
        <w:spacing w:after="0" w:line="236" w:lineRule="auto"/>
        <w:tabs>
          <w:tab w:leader="none" w:pos="540" w:val="left"/>
        </w:tabs>
        <w:rPr>
          <w:sz w:val="20"/>
          <w:szCs w:val="20"/>
          <w:color w:val="auto"/>
        </w:rPr>
      </w:pPr>
      <w:r>
        <w:rPr>
          <w:rFonts w:ascii="Arial" w:cs="Arial" w:eastAsia="Arial" w:hAnsi="Arial"/>
          <w:sz w:val="16"/>
          <w:szCs w:val="16"/>
          <w:color w:val="auto"/>
        </w:rPr>
        <w:t>18.17</w:t>
        <w:tab/>
        <w:t xml:space="preserve">For the purposes of this paragraph 18, </w:t>
      </w:r>
      <w:r>
        <w:rPr>
          <w:rFonts w:ascii="Arial" w:cs="Arial" w:eastAsia="Arial" w:hAnsi="Arial"/>
          <w:sz w:val="16"/>
          <w:szCs w:val="16"/>
          <w:b w:val="1"/>
          <w:bCs w:val="1"/>
          <w:color w:val="auto"/>
        </w:rPr>
        <w:t>"Company Associate"</w:t>
      </w:r>
      <w:r>
        <w:rPr>
          <w:rFonts w:ascii="Arial" w:cs="Arial" w:eastAsia="Arial" w:hAnsi="Arial"/>
          <w:sz w:val="16"/>
          <w:szCs w:val="16"/>
          <w:color w:val="auto"/>
        </w:rPr>
        <w:t xml:space="preserve"> means any person who performs services (within the meaning of Section 8, Bribery Act 2010) for or on behalf of the</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65</w:t>
      </w:r>
    </w:p>
    <w:p>
      <w:pPr>
        <w:sectPr>
          <w:pgSz w:w="11900" w:h="16840" w:orient="portrait"/>
          <w:cols w:equalWidth="0" w:num="1">
            <w:col w:w="10580"/>
          </w:cols>
          <w:pgMar w:left="660" w:top="1440" w:right="660" w:bottom="1440" w:gutter="0" w:footer="0" w:header="0"/>
        </w:sectPr>
      </w:pPr>
    </w:p>
    <w:bookmarkStart w:id="416" w:name="page417"/>
    <w:bookmarkEnd w:id="416"/>
    <w:p>
      <w:pPr>
        <w:spacing w:after="0" w:line="331" w:lineRule="exact"/>
        <w:rPr>
          <w:sz w:val="20"/>
          <w:szCs w:val="20"/>
          <w:color w:val="auto"/>
        </w:rPr>
      </w:pPr>
    </w:p>
    <w:p>
      <w:pPr>
        <w:ind w:left="580"/>
        <w:spacing w:after="0" w:line="235" w:lineRule="auto"/>
        <w:rPr>
          <w:sz w:val="20"/>
          <w:szCs w:val="20"/>
          <w:color w:val="auto"/>
        </w:rPr>
      </w:pPr>
      <w:r>
        <w:rPr>
          <w:rFonts w:ascii="Arial" w:cs="Arial" w:eastAsia="Arial" w:hAnsi="Arial"/>
          <w:sz w:val="16"/>
          <w:szCs w:val="16"/>
          <w:color w:val="auto"/>
        </w:rPr>
        <w:t>Company and the meaning of "adequate procedures" shall be determined in accordance with Section 7(2), and any guidance issued under Section 9, Bribery Act 2010.</w:t>
      </w:r>
    </w:p>
    <w:p>
      <w:pPr>
        <w:spacing w:after="0" w:line="46" w:lineRule="exact"/>
        <w:rPr>
          <w:sz w:val="20"/>
          <w:szCs w:val="20"/>
          <w:color w:val="auto"/>
        </w:rPr>
      </w:pPr>
    </w:p>
    <w:p>
      <w:pPr>
        <w:ind w:left="580" w:hanging="574"/>
        <w:spacing w:after="0"/>
        <w:tabs>
          <w:tab w:leader="none" w:pos="580" w:val="left"/>
        </w:tabs>
        <w:numPr>
          <w:ilvl w:val="0"/>
          <w:numId w:val="405"/>
        </w:numPr>
        <w:rPr>
          <w:rFonts w:ascii="Arial" w:cs="Arial" w:eastAsia="Arial" w:hAnsi="Arial"/>
          <w:sz w:val="16"/>
          <w:szCs w:val="16"/>
          <w:color w:val="auto"/>
        </w:rPr>
      </w:pPr>
      <w:r>
        <w:rPr>
          <w:rFonts w:ascii="Arial" w:cs="Arial" w:eastAsia="Arial" w:hAnsi="Arial"/>
          <w:sz w:val="16"/>
          <w:szCs w:val="16"/>
          <w:b w:val="1"/>
          <w:bCs w:val="1"/>
          <w:color w:val="auto"/>
        </w:rPr>
        <w:t>Trading partners</w:t>
      </w:r>
    </w:p>
    <w:p>
      <w:pPr>
        <w:spacing w:after="0" w:line="70"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The Company does not act or carry on business in partnership with any other person and is not a member of any corporate or unincorporated body, undertaking or association.</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4"/>
          <w:szCs w:val="14"/>
          <w:color w:val="auto"/>
        </w:rPr>
        <w:t>The Company is not a party to any joint venture agreement or arrangement under which it is to participate with any other person in any business.</w:t>
      </w:r>
    </w:p>
    <w:p>
      <w:pPr>
        <w:spacing w:after="0" w:line="6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6"/>
          <w:szCs w:val="16"/>
          <w:color w:val="auto"/>
        </w:rPr>
        <w:t>The Company is not a party to any agency, distributorship, licence or management agreement which restricts its freedom to carry on its business in such manner as it may think fit.</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4"/>
          <w:szCs w:val="14"/>
          <w:color w:val="auto"/>
        </w:rPr>
        <w:t>The Company is not, nor has it agreed to become, a party to an agreement or arrangement for sharing commissions or other income.</w:t>
      </w:r>
    </w:p>
    <w:p>
      <w:pPr>
        <w:spacing w:after="0" w:line="66" w:lineRule="exact"/>
        <w:rPr>
          <w:sz w:val="20"/>
          <w:szCs w:val="20"/>
          <w:color w:val="auto"/>
        </w:rPr>
      </w:pPr>
    </w:p>
    <w:p>
      <w:pPr>
        <w:ind w:left="580" w:hanging="574"/>
        <w:spacing w:after="0"/>
        <w:tabs>
          <w:tab w:leader="none" w:pos="580" w:val="left"/>
        </w:tabs>
        <w:numPr>
          <w:ilvl w:val="0"/>
          <w:numId w:val="406"/>
        </w:numPr>
        <w:rPr>
          <w:rFonts w:ascii="Arial" w:cs="Arial" w:eastAsia="Arial" w:hAnsi="Arial"/>
          <w:sz w:val="16"/>
          <w:szCs w:val="16"/>
          <w:color w:val="auto"/>
        </w:rPr>
      </w:pPr>
      <w:r>
        <w:rPr>
          <w:rFonts w:ascii="Arial" w:cs="Arial" w:eastAsia="Arial" w:hAnsi="Arial"/>
          <w:sz w:val="16"/>
          <w:szCs w:val="16"/>
          <w:b w:val="1"/>
          <w:bCs w:val="1"/>
          <w:color w:val="auto"/>
        </w:rPr>
        <w:t>Licences and consents</w:t>
      </w:r>
    </w:p>
    <w:p>
      <w:pPr>
        <w:spacing w:after="0" w:line="70"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All licences, consents, permissions, authorisations and approvals required by the Company for the carrying on of its business in the places and in the manner in which its business is now carried on have been obtained by it and are in full force and effect.</w:t>
      </w:r>
    </w:p>
    <w:p>
      <w:pPr>
        <w:spacing w:after="0" w:line="48" w:lineRule="exact"/>
        <w:rPr>
          <w:sz w:val="20"/>
          <w:szCs w:val="20"/>
          <w:color w:val="auto"/>
        </w:rPr>
      </w:pPr>
    </w:p>
    <w:p>
      <w:pPr>
        <w:jc w:val="both"/>
        <w:ind w:left="580" w:hanging="575"/>
        <w:spacing w:after="0" w:line="216" w:lineRule="auto"/>
        <w:tabs>
          <w:tab w:leader="none" w:pos="560"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6"/>
          <w:szCs w:val="16"/>
          <w:color w:val="auto"/>
        </w:rPr>
        <w:t>All reports, returns and information required by Applicable Law or as a condition of any licence, consent, permission, authorisation or approval to be made or given to any person or authority in connection with the business of the Company have been made or given to the appropriate person or authority and so far as the Warrantors are aware, there are no circumstances which indicate that any licence, consent, permission, authorisation or approval might not be renewed in whole or in part or is likely to be revoked, suspended or cancelled or which may confer a right of revocation, suspension or cancellation.</w:t>
      </w:r>
    </w:p>
    <w:p>
      <w:pPr>
        <w:spacing w:after="0" w:line="46" w:lineRule="exact"/>
        <w:rPr>
          <w:sz w:val="20"/>
          <w:szCs w:val="20"/>
          <w:color w:val="auto"/>
        </w:rPr>
      </w:pPr>
    </w:p>
    <w:p>
      <w:pPr>
        <w:ind w:left="580" w:hanging="574"/>
        <w:spacing w:after="0"/>
        <w:tabs>
          <w:tab w:leader="none" w:pos="580" w:val="left"/>
        </w:tabs>
        <w:numPr>
          <w:ilvl w:val="0"/>
          <w:numId w:val="407"/>
        </w:numPr>
        <w:rPr>
          <w:rFonts w:ascii="Arial" w:cs="Arial" w:eastAsia="Arial" w:hAnsi="Arial"/>
          <w:sz w:val="16"/>
          <w:szCs w:val="16"/>
          <w:color w:val="auto"/>
        </w:rPr>
      </w:pPr>
      <w:r>
        <w:rPr>
          <w:rFonts w:ascii="Arial" w:cs="Arial" w:eastAsia="Arial" w:hAnsi="Arial"/>
          <w:sz w:val="16"/>
          <w:szCs w:val="16"/>
          <w:b w:val="1"/>
          <w:bCs w:val="1"/>
          <w:color w:val="auto"/>
        </w:rPr>
        <w:t>Competition and trade regulation law</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The Company is not nor has it been a party to any agreement, arrangement, understanding or concerted practice during the [***] preceding this</w:t>
      </w:r>
    </w:p>
    <w:p>
      <w:pPr>
        <w:ind w:left="580"/>
        <w:spacing w:after="0"/>
        <w:rPr>
          <w:sz w:val="20"/>
          <w:szCs w:val="20"/>
          <w:color w:val="auto"/>
        </w:rPr>
      </w:pPr>
      <w:r>
        <w:rPr>
          <w:rFonts w:ascii="Arial" w:cs="Arial" w:eastAsia="Arial" w:hAnsi="Arial"/>
          <w:sz w:val="16"/>
          <w:szCs w:val="16"/>
          <w:color w:val="auto"/>
        </w:rPr>
        <w:t>Agreement:</w:t>
      </w:r>
    </w:p>
    <w:p>
      <w:pPr>
        <w:spacing w:after="0" w:line="54" w:lineRule="exact"/>
        <w:rPr>
          <w:sz w:val="20"/>
          <w:szCs w:val="20"/>
          <w:color w:val="auto"/>
        </w:rPr>
      </w:pPr>
    </w:p>
    <w:p>
      <w:pPr>
        <w:ind w:left="1140" w:hanging="558"/>
        <w:spacing w:after="0"/>
        <w:tabs>
          <w:tab w:leader="none" w:pos="11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which infringes, or has infringed, any applicable competition law;</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in respect of which any filing, registration or notification is, was or will be required by, or is, was or will be advisable pursuant to, any applicable competition law (whether or not the same has in fact been made);</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which is, or was, the subject of an investigation under any applicable competition law; or</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in connection with which it is or has been subject to any orders or directions, or has given any undertakings or commitments or assurances under any applicable competition law.</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The Warrantors have no reason to believe that any action or investigation under any applicable competition law is being or will be taken against the Company in relation to any of its current activities.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The Company has not during the [***] preceding this Agreement made any complaint against any other person in relation to alleged infringements of any applicable competition law.</w:t>
      </w:r>
    </w:p>
    <w:p>
      <w:pPr>
        <w:spacing w:after="0" w:line="46" w:lineRule="exact"/>
        <w:rPr>
          <w:sz w:val="20"/>
          <w:szCs w:val="20"/>
          <w:color w:val="auto"/>
        </w:rPr>
      </w:pPr>
    </w:p>
    <w:p>
      <w:pPr>
        <w:jc w:val="both"/>
        <w:ind w:left="580" w:right="20" w:hanging="575"/>
        <w:spacing w:after="0" w:line="216" w:lineRule="auto"/>
        <w:tabs>
          <w:tab w:leader="none" w:pos="56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6"/>
          <w:szCs w:val="16"/>
          <w:color w:val="auto"/>
        </w:rPr>
        <w:t xml:space="preserve">For the purposes of this paragraph 21, the term </w:t>
      </w:r>
      <w:r>
        <w:rPr>
          <w:rFonts w:ascii="Arial" w:cs="Arial" w:eastAsia="Arial" w:hAnsi="Arial"/>
          <w:sz w:val="16"/>
          <w:szCs w:val="16"/>
          <w:b w:val="1"/>
          <w:bCs w:val="1"/>
          <w:color w:val="auto"/>
        </w:rPr>
        <w:t>"applicable competition law"</w:t>
      </w:r>
      <w:r>
        <w:rPr>
          <w:rFonts w:ascii="Arial" w:cs="Arial" w:eastAsia="Arial" w:hAnsi="Arial"/>
          <w:sz w:val="16"/>
          <w:szCs w:val="16"/>
          <w:color w:val="auto"/>
        </w:rPr>
        <w:t xml:space="preserve"> means all competition law applicable to the business carried on by the Company, whether of the United Kingdom, the European Union or any other jurisdiction, and includes (but is not limited to) any applicable rules dealing with anti-competitive agreements, arrangements or practices, abuse of dominant position, state aid, public procurement, merger control or anti -dumping, and the requirements of any special regulatory regime to which the business carried on by the Company may be subject in any area of its activities.</w:t>
      </w:r>
    </w:p>
    <w:p>
      <w:pPr>
        <w:spacing w:after="0" w:line="48" w:lineRule="exact"/>
        <w:rPr>
          <w:sz w:val="20"/>
          <w:szCs w:val="20"/>
          <w:color w:val="auto"/>
        </w:rPr>
      </w:pPr>
    </w:p>
    <w:p>
      <w:pPr>
        <w:ind w:left="580" w:hanging="574"/>
        <w:spacing w:after="0"/>
        <w:tabs>
          <w:tab w:leader="none" w:pos="580"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Compliance with law</w:t>
      </w:r>
    </w:p>
    <w:p>
      <w:pPr>
        <w:spacing w:after="0" w:line="70"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6"/>
          <w:szCs w:val="16"/>
          <w:color w:val="auto"/>
        </w:rPr>
        <w:t>The business of the Company has at all times been conducted in all material respects in accordance with all Applicable Laws, including applicable Sanctions.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The Company has not committed and no claim has been made in writing that it has committed any criminal, illegal, unlawful or unauthorised act or breach of any obligation or duty imposed by Applicable Law, including applicable Sanctions.</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So far as the Warrantors are aware, no investigation or inquiry is being, or has in the last [***] been, conducted by, and the Warrantors have not received any request for information from any Governmental Authority in respect of the Company's affairs and, so far as the Warrantors are aware, there are no circumstances which would give rise to such investigation, inquiry or request.</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66</w:t>
      </w:r>
    </w:p>
    <w:p>
      <w:pPr>
        <w:sectPr>
          <w:pgSz w:w="11900" w:h="16840" w:orient="portrait"/>
          <w:cols w:equalWidth="0" w:num="1">
            <w:col w:w="10580"/>
          </w:cols>
          <w:pgMar w:left="660" w:top="1440" w:right="660" w:bottom="1440" w:gutter="0" w:footer="0" w:header="0"/>
        </w:sectPr>
      </w:pPr>
    </w:p>
    <w:bookmarkStart w:id="417" w:name="page418"/>
    <w:bookmarkEnd w:id="417"/>
    <w:p>
      <w:pPr>
        <w:spacing w:after="0" w:line="329" w:lineRule="exact"/>
        <w:rPr>
          <w:sz w:val="20"/>
          <w:szCs w:val="20"/>
          <w:color w:val="auto"/>
        </w:rPr>
      </w:pPr>
    </w:p>
    <w:p>
      <w:pPr>
        <w:jc w:val="both"/>
        <w:ind w:left="1160" w:hanging="578"/>
        <w:spacing w:after="0"/>
        <w:tabs>
          <w:tab w:leader="none" w:pos="1148" w:val="left"/>
        </w:tabs>
        <w:numPr>
          <w:ilvl w:val="1"/>
          <w:numId w:val="410"/>
        </w:numPr>
        <w:rPr>
          <w:rFonts w:ascii="Arial" w:cs="Arial" w:eastAsia="Arial" w:hAnsi="Arial"/>
          <w:sz w:val="14"/>
          <w:szCs w:val="14"/>
          <w:color w:val="auto"/>
        </w:rPr>
      </w:pPr>
      <w:r>
        <w:rPr>
          <w:rFonts w:ascii="Arial" w:cs="Arial" w:eastAsia="Arial" w:hAnsi="Arial"/>
          <w:sz w:val="14"/>
          <w:szCs w:val="14"/>
          <w:color w:val="auto"/>
        </w:rPr>
        <w:t xml:space="preserve">For the purposes of this paragraph 22, </w:t>
      </w:r>
      <w:r>
        <w:rPr>
          <w:rFonts w:ascii="Arial" w:cs="Arial" w:eastAsia="Arial" w:hAnsi="Arial"/>
          <w:sz w:val="14"/>
          <w:szCs w:val="14"/>
          <w:b w:val="1"/>
          <w:bCs w:val="1"/>
          <w:color w:val="auto"/>
        </w:rPr>
        <w:t>"Sanctions"</w:t>
      </w:r>
      <w:r>
        <w:rPr>
          <w:rFonts w:ascii="Arial" w:cs="Arial" w:eastAsia="Arial" w:hAnsi="Arial"/>
          <w:sz w:val="14"/>
          <w:szCs w:val="14"/>
          <w:color w:val="auto"/>
        </w:rPr>
        <w:t xml:space="preserve"> means any trade, economic or financial sanctions laws, regulations, embargoes or restrictive measures administered, enacted or enforced by any of (a) the Security Council of the United Nations; (b) the United States of America; (c) the European Union; (d) the United Kingdom; (e) the governments and official institutions or agencies of any of paragraphs</w:t>
      </w:r>
    </w:p>
    <w:p>
      <w:pPr>
        <w:spacing w:after="0" w:line="1" w:lineRule="exact"/>
        <w:rPr>
          <w:rFonts w:ascii="Arial" w:cs="Arial" w:eastAsia="Arial" w:hAnsi="Arial"/>
          <w:sz w:val="14"/>
          <w:szCs w:val="14"/>
          <w:color w:val="auto"/>
        </w:rPr>
      </w:pPr>
    </w:p>
    <w:p>
      <w:pPr>
        <w:ind w:left="1160" w:right="20" w:hanging="2"/>
        <w:spacing w:after="0" w:line="226" w:lineRule="auto"/>
        <w:tabs>
          <w:tab w:leader="none" w:pos="1399" w:val="left"/>
        </w:tabs>
        <w:numPr>
          <w:ilvl w:val="2"/>
          <w:numId w:val="410"/>
        </w:numPr>
        <w:rPr>
          <w:rFonts w:ascii="Arial" w:cs="Arial" w:eastAsia="Arial" w:hAnsi="Arial"/>
          <w:sz w:val="16"/>
          <w:szCs w:val="16"/>
          <w:color w:val="auto"/>
        </w:rPr>
      </w:pPr>
      <w:r>
        <w:rPr>
          <w:rFonts w:ascii="Arial" w:cs="Arial" w:eastAsia="Arial" w:hAnsi="Arial"/>
          <w:sz w:val="16"/>
          <w:szCs w:val="16"/>
          <w:color w:val="auto"/>
        </w:rPr>
        <w:t>to (d), including without limitation, the Office of Foreign Assets Control of the US Department of the Treasury; the US Department of State and Her Majesty's Treasury.</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411"/>
        </w:numPr>
        <w:rPr>
          <w:rFonts w:ascii="Arial" w:cs="Arial" w:eastAsia="Arial" w:hAnsi="Arial"/>
          <w:sz w:val="16"/>
          <w:szCs w:val="16"/>
          <w:color w:val="auto"/>
        </w:rPr>
      </w:pPr>
      <w:r>
        <w:rPr>
          <w:rFonts w:ascii="Arial" w:cs="Arial" w:eastAsia="Arial" w:hAnsi="Arial"/>
          <w:sz w:val="16"/>
          <w:szCs w:val="16"/>
          <w:b w:val="1"/>
          <w:bCs w:val="1"/>
          <w:color w:val="auto"/>
        </w:rPr>
        <w:t>Litigation and disputes</w:t>
      </w:r>
    </w:p>
    <w:p>
      <w:pPr>
        <w:spacing w:after="0" w:line="70"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Except for actions to recover any debt incurred in the ordinary course of the business owed to the Company where each individual debt and its costs outstanding amount to less than £[***]:</w:t>
      </w:r>
    </w:p>
    <w:p>
      <w:pPr>
        <w:spacing w:after="0" w:line="48" w:lineRule="exact"/>
        <w:rPr>
          <w:sz w:val="20"/>
          <w:szCs w:val="20"/>
          <w:color w:val="auto"/>
        </w:rPr>
      </w:pPr>
    </w:p>
    <w:p>
      <w:pPr>
        <w:ind w:left="1160" w:right="20" w:hanging="578"/>
        <w:spacing w:after="0" w:line="235" w:lineRule="auto"/>
        <w:tabs>
          <w:tab w:leader="none" w:pos="1148" w:val="left"/>
        </w:tabs>
        <w:numPr>
          <w:ilvl w:val="0"/>
          <w:numId w:val="412"/>
        </w:numPr>
        <w:rPr>
          <w:rFonts w:ascii="Arial" w:cs="Arial" w:eastAsia="Arial" w:hAnsi="Arial"/>
          <w:sz w:val="16"/>
          <w:szCs w:val="16"/>
          <w:color w:val="auto"/>
        </w:rPr>
      </w:pPr>
      <w:r>
        <w:rPr>
          <w:rFonts w:ascii="Arial" w:cs="Arial" w:eastAsia="Arial" w:hAnsi="Arial"/>
          <w:sz w:val="16"/>
          <w:szCs w:val="16"/>
          <w:color w:val="auto"/>
        </w:rPr>
        <w:t>neither the Company nor, so far as the Warrantors are aware, any person for whose acts the Company may be liable is engaged in any litigation, arbitration, administrative or criminal proceedings, whether as claimant, defendant or otherwise;</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12"/>
        </w:numPr>
        <w:rPr>
          <w:rFonts w:ascii="Arial" w:cs="Arial" w:eastAsia="Arial" w:hAnsi="Arial"/>
          <w:sz w:val="16"/>
          <w:szCs w:val="16"/>
          <w:color w:val="auto"/>
        </w:rPr>
      </w:pPr>
      <w:r>
        <w:rPr>
          <w:rFonts w:ascii="Arial" w:cs="Arial" w:eastAsia="Arial" w:hAnsi="Arial"/>
          <w:sz w:val="16"/>
          <w:szCs w:val="16"/>
          <w:color w:val="auto"/>
        </w:rPr>
        <w:t>no litigation, arbitration, administrative or criminal proceedings by or against the Company or any person for whose acts it may be liable are threatened or expected and, as far as the Warrantors are aware, none are pending; and</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12"/>
        </w:numPr>
        <w:rPr>
          <w:rFonts w:ascii="Arial" w:cs="Arial" w:eastAsia="Arial" w:hAnsi="Arial"/>
          <w:sz w:val="16"/>
          <w:szCs w:val="16"/>
          <w:color w:val="auto"/>
        </w:rPr>
      </w:pPr>
      <w:r>
        <w:rPr>
          <w:rFonts w:ascii="Arial" w:cs="Arial" w:eastAsia="Arial" w:hAnsi="Arial"/>
          <w:sz w:val="16"/>
          <w:szCs w:val="16"/>
          <w:color w:val="auto"/>
        </w:rPr>
        <w:t>so far as the Warrantors are aware, there are no facts or circumstances likely to give rise to any litigation, arbitration, administrative or criminal proceedings against the Company or any person for whose acts it may be liable.</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4"/>
          <w:szCs w:val="14"/>
          <w:color w:val="auto"/>
        </w:rPr>
        <w:t>Full details of [***] have been Disclosed.</w:t>
      </w:r>
    </w:p>
    <w:p>
      <w:pPr>
        <w:spacing w:after="0" w:line="68" w:lineRule="exact"/>
        <w:rPr>
          <w:sz w:val="20"/>
          <w:szCs w:val="20"/>
          <w:color w:val="auto"/>
        </w:rPr>
      </w:pPr>
    </w:p>
    <w:p>
      <w:pPr>
        <w:jc w:val="both"/>
        <w:ind w:left="580" w:right="20" w:hanging="575"/>
        <w:spacing w:after="0" w:line="265" w:lineRule="auto"/>
        <w:tabs>
          <w:tab w:leader="none" w:pos="56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4"/>
          <w:szCs w:val="14"/>
          <w:color w:val="auto"/>
        </w:rPr>
        <w:t>The Company is not subject to any outstanding order or judgment given by any court or Governmental Authority and has not been a party to any undertaking or assurance given to any court or governmental or other authority, department, board, body or agency which is still in force, nor so far as the Warrantors are aware are there any facts or circumstances likely to give rise to it becoming subject to such an order or judgment.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68" w:lineRule="exact"/>
        <w:rPr>
          <w:sz w:val="20"/>
          <w:szCs w:val="20"/>
          <w:color w:val="auto"/>
        </w:rPr>
      </w:pPr>
    </w:p>
    <w:p>
      <w:pPr>
        <w:ind w:left="580" w:hanging="574"/>
        <w:spacing w:after="0"/>
        <w:tabs>
          <w:tab w:leader="none" w:pos="580" w:val="left"/>
        </w:tabs>
        <w:numPr>
          <w:ilvl w:val="0"/>
          <w:numId w:val="413"/>
        </w:numPr>
        <w:rPr>
          <w:rFonts w:ascii="Arial" w:cs="Arial" w:eastAsia="Arial" w:hAnsi="Arial"/>
          <w:sz w:val="16"/>
          <w:szCs w:val="16"/>
          <w:color w:val="auto"/>
        </w:rPr>
      </w:pPr>
      <w:r>
        <w:rPr>
          <w:rFonts w:ascii="Arial" w:cs="Arial" w:eastAsia="Arial" w:hAnsi="Arial"/>
          <w:sz w:val="16"/>
          <w:szCs w:val="16"/>
          <w:b w:val="1"/>
          <w:bCs w:val="1"/>
          <w:color w:val="auto"/>
        </w:rPr>
        <w:t>Ownership and condition of assets</w:t>
      </w:r>
    </w:p>
    <w:p>
      <w:pPr>
        <w:spacing w:after="0" w:line="70"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color w:val="auto"/>
        </w:rPr>
        <w:t>Each of the assets included in the Accounts or acquired by the Company since the Accounts Date (other than the Properties and current assets subsequently disposed of or realised in the ordinary course of business) is either owned by the Company free from Encumbrance (save in respect of liens arising in the normal course of trading) or is legally in its possession or under its control.</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4"/>
          <w:szCs w:val="14"/>
          <w:color w:val="auto"/>
        </w:rPr>
        <w:t>So far as the Warrantors are aware, each item of plant and machinery, vehicle and office equipment used by the Company is:</w:t>
      </w:r>
    </w:p>
    <w:p>
      <w:pPr>
        <w:spacing w:after="0" w:line="68" w:lineRule="exact"/>
        <w:rPr>
          <w:sz w:val="20"/>
          <w:szCs w:val="20"/>
          <w:color w:val="auto"/>
        </w:rPr>
      </w:pPr>
    </w:p>
    <w:p>
      <w:pPr>
        <w:ind w:left="1140" w:hanging="558"/>
        <w:spacing w:after="0"/>
        <w:tabs>
          <w:tab w:leader="none" w:pos="11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in good repair and condition, regularly maintained and, where required by law, certified safe and without risk to health when used;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capable of doing the work for which it was designed or purchased;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not surplus to requirements.</w:t>
      </w:r>
    </w:p>
    <w:p>
      <w:pPr>
        <w:spacing w:after="0" w:line="68"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6"/>
          <w:szCs w:val="16"/>
          <w:color w:val="auto"/>
        </w:rPr>
        <w:t>The Company has not acquired, or agreed to acquire, any assets on terms that title to the asset does not pass until full payment is made or all indebtedness incurred in connection with the acquisition is discharged.</w:t>
      </w:r>
    </w:p>
    <w:p>
      <w:pPr>
        <w:spacing w:after="0" w:line="48" w:lineRule="exact"/>
        <w:rPr>
          <w:sz w:val="20"/>
          <w:szCs w:val="20"/>
          <w:color w:val="auto"/>
        </w:rPr>
      </w:pPr>
    </w:p>
    <w:p>
      <w:pPr>
        <w:ind w:left="580" w:right="40" w:hanging="575"/>
        <w:spacing w:after="0" w:line="298" w:lineRule="auto"/>
        <w:tabs>
          <w:tab w:leader="none" w:pos="56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4"/>
          <w:szCs w:val="14"/>
          <w:color w:val="auto"/>
        </w:rPr>
        <w:t>A summary of the assets owned by the Company, together with details of all assets held under hire purchase, lease or rental agreements, have been Disclosed and such assets comprise all assets necessary for the continuation of the business of the Company as it is currently carried on.</w:t>
      </w:r>
    </w:p>
    <w:p>
      <w:pPr>
        <w:spacing w:after="0" w:line="6" w:lineRule="exact"/>
        <w:rPr>
          <w:sz w:val="20"/>
          <w:szCs w:val="20"/>
          <w:color w:val="auto"/>
        </w:rPr>
      </w:pPr>
    </w:p>
    <w:p>
      <w:pPr>
        <w:ind w:left="580" w:hanging="574"/>
        <w:spacing w:after="0"/>
        <w:tabs>
          <w:tab w:leader="none" w:pos="580" w:val="left"/>
        </w:tabs>
        <w:numPr>
          <w:ilvl w:val="0"/>
          <w:numId w:val="415"/>
        </w:numPr>
        <w:rPr>
          <w:rFonts w:ascii="Arial" w:cs="Arial" w:eastAsia="Arial" w:hAnsi="Arial"/>
          <w:sz w:val="16"/>
          <w:szCs w:val="16"/>
          <w:color w:val="auto"/>
        </w:rPr>
      </w:pPr>
      <w:r>
        <w:rPr>
          <w:rFonts w:ascii="Arial" w:cs="Arial" w:eastAsia="Arial" w:hAnsi="Arial"/>
          <w:sz w:val="16"/>
          <w:szCs w:val="16"/>
          <w:b w:val="1"/>
          <w:bCs w:val="1"/>
          <w:color w:val="auto"/>
        </w:rPr>
        <w:t>Charges and Encumbrances over assets</w:t>
      </w:r>
    </w:p>
    <w:p>
      <w:pPr>
        <w:spacing w:after="0" w:line="70" w:lineRule="exact"/>
        <w:rPr>
          <w:sz w:val="20"/>
          <w:szCs w:val="20"/>
          <w:color w:val="auto"/>
        </w:rPr>
      </w:pPr>
    </w:p>
    <w:p>
      <w:pPr>
        <w:jc w:val="both"/>
        <w:ind w:left="580" w:right="20" w:hanging="575"/>
        <w:spacing w:after="0" w:line="219" w:lineRule="auto"/>
        <w:tabs>
          <w:tab w:leader="none" w:pos="560"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6"/>
          <w:szCs w:val="16"/>
          <w:color w:val="auto"/>
        </w:rPr>
        <w:t>No Encumbrance (other than a lien arising by operation of law in the ordinary course of trading) or other form of security or encumbrance or equity on, over or affecting the Completion Shares or the whole or any part of the undertaking or assets of the Company, including any investment in any other company, is outstanding and, apart from this Agreement, there is no agreement or commitment to give or create any of them and no claim has been made by any person to be entitled to any of them.</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6"/>
          <w:szCs w:val="16"/>
          <w:color w:val="auto"/>
        </w:rPr>
        <w:t>No floating charge created by the Company has crystallised and, so far as the Warrantors are aware, there are no circumstances likely to cause such a floating charge to crystallise.</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25.3</w:t>
      </w:r>
      <w:r>
        <w:rPr>
          <w:sz w:val="20"/>
          <w:szCs w:val="20"/>
          <w:color w:val="auto"/>
        </w:rPr>
        <w:tab/>
      </w:r>
      <w:r>
        <w:rPr>
          <w:rFonts w:ascii="Arial" w:cs="Arial" w:eastAsia="Arial" w:hAnsi="Arial"/>
          <w:sz w:val="16"/>
          <w:szCs w:val="16"/>
          <w:color w:val="auto"/>
        </w:rPr>
        <w:t>The Company has not received notice from any person intimating that it will enforce any security which it may hold over the assets of the Company, and so far as the Warrantors are aware, there are no circumstances likely to give rise to such a notice.</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67</w:t>
      </w:r>
    </w:p>
    <w:p>
      <w:pPr>
        <w:sectPr>
          <w:pgSz w:w="11900" w:h="16840" w:orient="portrait"/>
          <w:cols w:equalWidth="0" w:num="1">
            <w:col w:w="10580"/>
          </w:cols>
          <w:pgMar w:left="660" w:top="1440" w:right="660" w:bottom="1440" w:gutter="0" w:footer="0" w:header="0"/>
        </w:sectPr>
      </w:pPr>
    </w:p>
    <w:bookmarkStart w:id="418" w:name="page419"/>
    <w:bookmarkEnd w:id="418"/>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68" w:lineRule="exact"/>
        <w:rPr>
          <w:sz w:val="20"/>
          <w:szCs w:val="20"/>
          <w:color w:val="auto"/>
        </w:rPr>
      </w:pPr>
    </w:p>
    <w:p>
      <w:pPr>
        <w:ind w:left="580" w:hanging="574"/>
        <w:spacing w:after="0"/>
        <w:tabs>
          <w:tab w:leader="none" w:pos="580" w:val="left"/>
        </w:tabs>
        <w:numPr>
          <w:ilvl w:val="0"/>
          <w:numId w:val="416"/>
        </w:numPr>
        <w:rPr>
          <w:rFonts w:ascii="Arial" w:cs="Arial" w:eastAsia="Arial" w:hAnsi="Arial"/>
          <w:sz w:val="16"/>
          <w:szCs w:val="16"/>
          <w:color w:val="auto"/>
        </w:rPr>
      </w:pPr>
      <w:r>
        <w:rPr>
          <w:rFonts w:ascii="Arial" w:cs="Arial" w:eastAsia="Arial" w:hAnsi="Arial"/>
          <w:sz w:val="16"/>
          <w:szCs w:val="16"/>
          <w:b w:val="1"/>
          <w:bCs w:val="1"/>
          <w:color w:val="auto"/>
        </w:rPr>
        <w:t>Details of Intellectual Property</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4"/>
          <w:szCs w:val="14"/>
          <w:color w:val="auto"/>
        </w:rPr>
        <w:t>Details of all material Company Intellectual Property and copies of all licences and other agreements relating to it have been Disclosed.</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4"/>
          <w:szCs w:val="14"/>
          <w:color w:val="auto"/>
        </w:rPr>
        <w:t>All Company Intellectual Property is either:</w:t>
      </w:r>
    </w:p>
    <w:p>
      <w:pPr>
        <w:spacing w:after="0" w:line="68" w:lineRule="exact"/>
        <w:rPr>
          <w:sz w:val="20"/>
          <w:szCs w:val="20"/>
          <w:color w:val="auto"/>
        </w:rPr>
      </w:pPr>
    </w:p>
    <w:p>
      <w:pPr>
        <w:ind w:left="1140" w:hanging="558"/>
        <w:spacing w:after="0"/>
        <w:tabs>
          <w:tab w:leader="none" w:pos="11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in the sole legal and beneficial ownership of the Company free from all licences, charges or other encumbrances;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subject of binding and enforceable licences to the Company granted by third parties: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of which no notice to terminate has been received;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all parties to which have fully complied with all obligations in those licences;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in relation to which no disputes have arisen or are foreseeable,</w:t>
      </w:r>
    </w:p>
    <w:p>
      <w:pPr>
        <w:spacing w:after="0" w:line="68" w:lineRule="exact"/>
        <w:rPr>
          <w:sz w:val="20"/>
          <w:szCs w:val="20"/>
          <w:color w:val="auto"/>
        </w:rPr>
      </w:pPr>
    </w:p>
    <w:p>
      <w:pPr>
        <w:jc w:val="both"/>
        <w:ind w:left="580" w:right="20"/>
        <w:spacing w:after="0" w:line="224" w:lineRule="auto"/>
        <w:rPr>
          <w:sz w:val="20"/>
          <w:szCs w:val="20"/>
          <w:color w:val="auto"/>
        </w:rPr>
      </w:pPr>
      <w:r>
        <w:rPr>
          <w:rFonts w:ascii="Arial" w:cs="Arial" w:eastAsia="Arial" w:hAnsi="Arial"/>
          <w:sz w:val="16"/>
          <w:szCs w:val="16"/>
          <w:color w:val="auto"/>
        </w:rPr>
        <w:t>and in either case, so far as the Warrantors are aware, nothing has been or will be done or omitted to be done prior to the Completion Date whether by the Company or by any person which would jeopardise the validity, enforceability or subsistence of any Company Intellectual Property or any such licences.</w:t>
      </w:r>
    </w:p>
    <w:p>
      <w:pPr>
        <w:spacing w:after="0" w:line="49" w:lineRule="exact"/>
        <w:rPr>
          <w:sz w:val="20"/>
          <w:szCs w:val="20"/>
          <w:color w:val="auto"/>
        </w:rPr>
      </w:pPr>
    </w:p>
    <w:p>
      <w:pPr>
        <w:jc w:val="both"/>
        <w:ind w:left="580" w:hanging="575"/>
        <w:spacing w:after="0" w:line="214" w:lineRule="auto"/>
        <w:tabs>
          <w:tab w:leader="none" w:pos="56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The Founders, Senior Employees and any other employees, consultants, inventors or contributors involved in the development of Company Intellectual Property or any Group Company technology or any Group Company product or who otherwise provides material value in support of the Business as currently conducted have signed confidentiality and Intellectual Property rights assignment agreements or similar agreements for the transfer, assignment, or licensing of such Company Intellectual Property to the Company pursuant to which the Company has either (i) obtained ownership of and is the exclusive owner of; or (ii) obtained a valid and unrestricted right to exploit such Company Intellectual Property which is, so far as the Warrantors are aware, sufficient for the operation of the Business as currently conducted.</w:t>
      </w:r>
    </w:p>
    <w:p>
      <w:pPr>
        <w:spacing w:after="0" w:line="4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26.4</w:t>
      </w:r>
      <w:r>
        <w:rPr>
          <w:sz w:val="20"/>
          <w:szCs w:val="20"/>
          <w:color w:val="auto"/>
        </w:rPr>
        <w:tab/>
      </w:r>
      <w:r>
        <w:rPr>
          <w:rFonts w:ascii="Arial" w:cs="Arial" w:eastAsia="Arial" w:hAnsi="Arial"/>
          <w:sz w:val="16"/>
          <w:szCs w:val="16"/>
          <w:color w:val="auto"/>
        </w:rPr>
        <w:t>Commercially reasonable steps have been taken by each Group Company sufficient to maintain the confidentiality of any trade secret rights held by any Group Company, or purported to be held by any Group Company, as a trade secret.</w:t>
      </w:r>
    </w:p>
    <w:p>
      <w:pPr>
        <w:spacing w:after="0" w:line="48"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26.5</w:t>
      </w:r>
      <w:r>
        <w:rPr>
          <w:sz w:val="20"/>
          <w:szCs w:val="20"/>
          <w:color w:val="auto"/>
        </w:rPr>
        <w:tab/>
      </w:r>
      <w:r>
        <w:rPr>
          <w:rFonts w:ascii="Arial" w:cs="Arial" w:eastAsia="Arial" w:hAnsi="Arial"/>
          <w:sz w:val="16"/>
          <w:szCs w:val="16"/>
          <w:color w:val="auto"/>
        </w:rPr>
        <w:t>The Group Companies own or otherwise have all Intellectual Property rights they need to conduct their business as currently conducted, and after the Completion Date, the Purchaser will have all rights to all Intellectual Property needed to materially conduct any Group Company's business as currently conducted.</w:t>
      </w:r>
    </w:p>
    <w:p>
      <w:pPr>
        <w:spacing w:after="0" w:line="47" w:lineRule="exact"/>
        <w:rPr>
          <w:sz w:val="20"/>
          <w:szCs w:val="20"/>
          <w:color w:val="auto"/>
        </w:rPr>
      </w:pPr>
    </w:p>
    <w:p>
      <w:pPr>
        <w:ind w:left="580" w:hanging="574"/>
        <w:spacing w:after="0"/>
        <w:tabs>
          <w:tab w:leader="none" w:pos="580" w:val="left"/>
        </w:tabs>
        <w:numPr>
          <w:ilvl w:val="0"/>
          <w:numId w:val="418"/>
        </w:numPr>
        <w:rPr>
          <w:rFonts w:ascii="Arial" w:cs="Arial" w:eastAsia="Arial" w:hAnsi="Arial"/>
          <w:sz w:val="16"/>
          <w:szCs w:val="16"/>
          <w:color w:val="auto"/>
        </w:rPr>
      </w:pPr>
      <w:r>
        <w:rPr>
          <w:rFonts w:ascii="Arial" w:cs="Arial" w:eastAsia="Arial" w:hAnsi="Arial"/>
          <w:sz w:val="16"/>
          <w:szCs w:val="16"/>
          <w:b w:val="1"/>
          <w:bCs w:val="1"/>
          <w:color w:val="auto"/>
        </w:rPr>
        <w:t>Registration</w:t>
      </w:r>
    </w:p>
    <w:p>
      <w:pPr>
        <w:spacing w:after="0" w:line="70"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6"/>
          <w:szCs w:val="16"/>
          <w:color w:val="auto"/>
        </w:rPr>
        <w:t>Any Company Intellectual Property owned by the Company which is capable of registration has been registered or is the subject of an application for registration, and is or will when duly registered be valid, binding and enforceable and:</w:t>
      </w:r>
    </w:p>
    <w:p>
      <w:pPr>
        <w:spacing w:after="0" w:line="48" w:lineRule="exact"/>
        <w:rPr>
          <w:sz w:val="20"/>
          <w:szCs w:val="20"/>
          <w:color w:val="auto"/>
        </w:rPr>
      </w:pPr>
    </w:p>
    <w:p>
      <w:pPr>
        <w:ind w:left="1160" w:right="20" w:hanging="578"/>
        <w:spacing w:after="0" w:line="235" w:lineRule="auto"/>
        <w:tabs>
          <w:tab w:leader="none" w:pos="1148"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in the case of such registrations, all renewal fees have been paid, all renewals have been made by their due date and all such action necessary to preserve and maintain the registration has been taken;</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in the case of such registrations, each is presently used by a Group Company and is in full force and effect and has not been abandoned;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1"/>
          <w:numId w:val="419"/>
        </w:numPr>
        <w:rPr>
          <w:rFonts w:ascii="Arial" w:cs="Arial" w:eastAsia="Arial" w:hAnsi="Arial"/>
          <w:sz w:val="14"/>
          <w:szCs w:val="14"/>
          <w:color w:val="auto"/>
        </w:rPr>
      </w:pPr>
      <w:r>
        <w:rPr>
          <w:rFonts w:ascii="Arial" w:cs="Arial" w:eastAsia="Arial" w:hAnsi="Arial"/>
          <w:sz w:val="14"/>
          <w:szCs w:val="14"/>
          <w:color w:val="auto"/>
        </w:rPr>
        <w:t>in the case of pending applications, the Warrantors are aware of no reason why any such applications should not proceed to grant; and</w:t>
      </w:r>
    </w:p>
    <w:p>
      <w:pPr>
        <w:spacing w:after="0" w:line="91" w:lineRule="exact"/>
        <w:rPr>
          <w:rFonts w:ascii="Arial" w:cs="Arial" w:eastAsia="Arial" w:hAnsi="Arial"/>
          <w:sz w:val="14"/>
          <w:szCs w:val="14"/>
          <w:color w:val="auto"/>
        </w:rPr>
      </w:pPr>
    </w:p>
    <w:p>
      <w:pPr>
        <w:jc w:val="both"/>
        <w:ind w:left="1160" w:hanging="578"/>
        <w:spacing w:after="0" w:line="224" w:lineRule="auto"/>
        <w:tabs>
          <w:tab w:leader="none" w:pos="1148" w:val="left"/>
        </w:tabs>
        <w:numPr>
          <w:ilvl w:val="1"/>
          <w:numId w:val="419"/>
        </w:numPr>
        <w:rPr>
          <w:rFonts w:ascii="Arial" w:cs="Arial" w:eastAsia="Arial" w:hAnsi="Arial"/>
          <w:sz w:val="16"/>
          <w:szCs w:val="16"/>
          <w:color w:val="auto"/>
        </w:rPr>
      </w:pPr>
      <w:r>
        <w:rPr>
          <w:rFonts w:ascii="Arial" w:cs="Arial" w:eastAsia="Arial" w:hAnsi="Arial"/>
          <w:sz w:val="16"/>
          <w:szCs w:val="16"/>
          <w:color w:val="auto"/>
        </w:rPr>
        <w:t>none of the Company owned Company Intellectual Property or Company Intellectual Property that is exclusively licensed to the Company is subject to any use, claim, exploitation or attack by any other person, and none of the Company Intellectual Property that is non-exclusively licensed to the Company is subject to any claim, exploitation or attack by any other person.</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420"/>
        </w:numPr>
        <w:rPr>
          <w:rFonts w:ascii="Arial" w:cs="Arial" w:eastAsia="Arial" w:hAnsi="Arial"/>
          <w:sz w:val="16"/>
          <w:szCs w:val="16"/>
          <w:color w:val="auto"/>
        </w:rPr>
      </w:pPr>
      <w:r>
        <w:rPr>
          <w:rFonts w:ascii="Arial" w:cs="Arial" w:eastAsia="Arial" w:hAnsi="Arial"/>
          <w:sz w:val="16"/>
          <w:szCs w:val="16"/>
          <w:b w:val="1"/>
          <w:bCs w:val="1"/>
          <w:color w:val="auto"/>
        </w:rPr>
        <w:t>Rights of third parties</w:t>
      </w:r>
    </w:p>
    <w:p>
      <w:pPr>
        <w:spacing w:after="0" w:line="70"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6"/>
          <w:szCs w:val="16"/>
          <w:color w:val="auto"/>
        </w:rPr>
        <w:t>No licences, registered user or other rights have been granted or agreed to be granted by the Company to any person in respect of any Intellectual Property.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4"/>
          <w:szCs w:val="14"/>
          <w:color w:val="auto"/>
        </w:rPr>
        <w:t>The Group Companies do not use any Intellectual Property in respect of which any third party has any right, title or interest.</w:t>
      </w:r>
    </w:p>
    <w:p>
      <w:pPr>
        <w:spacing w:after="0" w:line="68"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Each of the Group Companies own or have the unrestricted rights to use all Intellectual Property required in connection with the conduct of its business as currently conducted.</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68</w:t>
      </w:r>
    </w:p>
    <w:p>
      <w:pPr>
        <w:sectPr>
          <w:pgSz w:w="11900" w:h="16840" w:orient="portrait"/>
          <w:cols w:equalWidth="0" w:num="1">
            <w:col w:w="10580"/>
          </w:cols>
          <w:pgMar w:left="660" w:top="1440" w:right="660" w:bottom="1440" w:gutter="0" w:footer="0" w:header="0"/>
        </w:sectPr>
      </w:pPr>
    </w:p>
    <w:bookmarkStart w:id="419" w:name="page420"/>
    <w:bookmarkEnd w:id="419"/>
    <w:p>
      <w:pPr>
        <w:spacing w:after="0" w:line="331"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6"/>
          <w:szCs w:val="16"/>
          <w:color w:val="auto"/>
        </w:rPr>
        <w:t>No Group Company is indebted to any employee (past or present) for any amount whatsoever related to inventor's compensation in respect of Company Intellectual Property and the Company has not received any notice of any such claim in respect of the same.</w:t>
      </w:r>
    </w:p>
    <w:p>
      <w:pPr>
        <w:spacing w:after="0" w:line="46" w:lineRule="exact"/>
        <w:rPr>
          <w:sz w:val="20"/>
          <w:szCs w:val="20"/>
          <w:color w:val="auto"/>
        </w:rPr>
      </w:pPr>
    </w:p>
    <w:p>
      <w:pPr>
        <w:ind w:left="580" w:hanging="574"/>
        <w:spacing w:after="0"/>
        <w:tabs>
          <w:tab w:leader="none" w:pos="580" w:val="left"/>
        </w:tabs>
        <w:numPr>
          <w:ilvl w:val="0"/>
          <w:numId w:val="421"/>
        </w:numPr>
        <w:rPr>
          <w:rFonts w:ascii="Arial" w:cs="Arial" w:eastAsia="Arial" w:hAnsi="Arial"/>
          <w:sz w:val="16"/>
          <w:szCs w:val="16"/>
          <w:color w:val="auto"/>
        </w:rPr>
      </w:pPr>
      <w:r>
        <w:rPr>
          <w:rFonts w:ascii="Arial" w:cs="Arial" w:eastAsia="Arial" w:hAnsi="Arial"/>
          <w:sz w:val="16"/>
          <w:szCs w:val="16"/>
          <w:b w:val="1"/>
          <w:bCs w:val="1"/>
          <w:color w:val="auto"/>
        </w:rPr>
        <w:t>Infringement and royalties etc.</w:t>
      </w:r>
    </w:p>
    <w:p>
      <w:pPr>
        <w:spacing w:after="0" w:line="70"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6"/>
          <w:szCs w:val="16"/>
          <w:color w:val="auto"/>
        </w:rPr>
        <w:t>Since incorporation of the Company, so far as the Warrantors are aware, there has been no unauthorised use, misappropriation or infringement by any person of any Intellectual Property.</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6"/>
          <w:szCs w:val="16"/>
          <w:color w:val="auto"/>
        </w:rPr>
        <w:t>Since incorporation of the Company, no person has made any claim that there has been any unauthorised use, misappropriation or infringement by any person of any Company Intellectual Property.</w:t>
      </w:r>
    </w:p>
    <w:p>
      <w:pPr>
        <w:spacing w:after="0" w:line="48" w:lineRule="exact"/>
        <w:rPr>
          <w:sz w:val="20"/>
          <w:szCs w:val="20"/>
          <w:color w:val="auto"/>
        </w:rPr>
      </w:pPr>
    </w:p>
    <w:p>
      <w:pPr>
        <w:jc w:val="both"/>
        <w:ind w:left="580" w:right="20" w:hanging="575"/>
        <w:spacing w:after="0" w:line="216" w:lineRule="auto"/>
        <w:tabs>
          <w:tab w:leader="none" w:pos="560" w:val="left"/>
        </w:tabs>
        <w:rPr>
          <w:sz w:val="20"/>
          <w:szCs w:val="20"/>
          <w:color w:val="auto"/>
        </w:rPr>
      </w:pPr>
      <w:r>
        <w:rPr>
          <w:rFonts w:ascii="Arial" w:cs="Arial" w:eastAsia="Arial" w:hAnsi="Arial"/>
          <w:sz w:val="16"/>
          <w:szCs w:val="16"/>
          <w:color w:val="auto"/>
        </w:rPr>
        <w:t>29.3</w:t>
      </w:r>
      <w:r>
        <w:rPr>
          <w:sz w:val="20"/>
          <w:szCs w:val="20"/>
          <w:color w:val="auto"/>
        </w:rPr>
        <w:tab/>
      </w:r>
      <w:r>
        <w:rPr>
          <w:rFonts w:ascii="Arial" w:cs="Arial" w:eastAsia="Arial" w:hAnsi="Arial"/>
          <w:sz w:val="16"/>
          <w:szCs w:val="16"/>
          <w:color w:val="auto"/>
        </w:rPr>
        <w:t>So far as the Warrantors are aware, none of the processes employed, or products or services dealt in, by the Group Company infringes or misappropriates any rights of any third party relating to any Intellectual Property nor is any Group Company liable to pay a fee or royalty on that basis, and no claims have been made, threatened or, so far as the Warrantors are aware, are pending, in relation to any Intellectual Property against the Company. There is no legal proceeding threatened, or so far as the Warrantors are aware, pending against any of Group Company relating to any infringement or misappropriation of any Intellectual Property of another person by a Group Company.</w:t>
      </w:r>
    </w:p>
    <w:p>
      <w:pPr>
        <w:spacing w:after="0" w:line="46" w:lineRule="exact"/>
        <w:rPr>
          <w:sz w:val="20"/>
          <w:szCs w:val="20"/>
          <w:color w:val="auto"/>
        </w:rPr>
      </w:pPr>
    </w:p>
    <w:p>
      <w:pPr>
        <w:ind w:left="580" w:hanging="574"/>
        <w:spacing w:after="0"/>
        <w:tabs>
          <w:tab w:leader="none" w:pos="580" w:val="left"/>
        </w:tabs>
        <w:numPr>
          <w:ilvl w:val="0"/>
          <w:numId w:val="422"/>
        </w:numPr>
        <w:rPr>
          <w:rFonts w:ascii="Arial" w:cs="Arial" w:eastAsia="Arial" w:hAnsi="Arial"/>
          <w:sz w:val="16"/>
          <w:szCs w:val="16"/>
          <w:color w:val="auto"/>
        </w:rPr>
      </w:pPr>
      <w:r>
        <w:rPr>
          <w:rFonts w:ascii="Arial" w:cs="Arial" w:eastAsia="Arial" w:hAnsi="Arial"/>
          <w:sz w:val="16"/>
          <w:szCs w:val="16"/>
          <w:b w:val="1"/>
          <w:bCs w:val="1"/>
          <w:color w:val="auto"/>
        </w:rPr>
        <w:t>Information technology</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4"/>
          <w:szCs w:val="14"/>
          <w:color w:val="auto"/>
        </w:rPr>
        <w:t>All contracts, agreements, transactions, obligations, commitments, understandings or arrangements between the Company and:</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(together, the </w:t>
      </w:r>
      <w:r>
        <w:rPr>
          <w:rFonts w:ascii="Arial" w:cs="Arial" w:eastAsia="Arial" w:hAnsi="Arial"/>
          <w:sz w:val="16"/>
          <w:szCs w:val="16"/>
          <w:b w:val="1"/>
          <w:bCs w:val="1"/>
          <w:color w:val="auto"/>
        </w:rPr>
        <w:t>"Material IT Agreements"</w:t>
      </w:r>
      <w:r>
        <w:rPr>
          <w:rFonts w:ascii="Arial" w:cs="Arial" w:eastAsia="Arial" w:hAnsi="Arial"/>
          <w:sz w:val="16"/>
          <w:szCs w:val="16"/>
          <w:color w:val="auto"/>
        </w:rPr>
        <w:t xml:space="preserve"> and each a </w:t>
      </w:r>
      <w:r>
        <w:rPr>
          <w:rFonts w:ascii="Arial" w:cs="Arial" w:eastAsia="Arial" w:hAnsi="Arial"/>
          <w:sz w:val="16"/>
          <w:szCs w:val="16"/>
          <w:b w:val="1"/>
          <w:bCs w:val="1"/>
          <w:color w:val="auto"/>
        </w:rPr>
        <w:t>"Material IT Agreement"</w:t>
      </w:r>
      <w:r>
        <w:rPr>
          <w:rFonts w:ascii="Arial" w:cs="Arial" w:eastAsia="Arial" w:hAnsi="Arial"/>
          <w:sz w:val="16"/>
          <w:szCs w:val="16"/>
          <w:color w:val="auto"/>
        </w:rPr>
        <w:t>),</w:t>
      </w:r>
    </w:p>
    <w:p>
      <w:pPr>
        <w:spacing w:after="0" w:line="70" w:lineRule="exact"/>
        <w:rPr>
          <w:sz w:val="20"/>
          <w:szCs w:val="20"/>
          <w:color w:val="auto"/>
        </w:rPr>
      </w:pPr>
    </w:p>
    <w:p>
      <w:pPr>
        <w:jc w:val="both"/>
        <w:ind w:left="580" w:right="20"/>
        <w:spacing w:after="0" w:line="224" w:lineRule="auto"/>
        <w:rPr>
          <w:sz w:val="20"/>
          <w:szCs w:val="20"/>
          <w:color w:val="auto"/>
        </w:rPr>
      </w:pPr>
      <w:r>
        <w:rPr>
          <w:rFonts w:ascii="Arial" w:cs="Arial" w:eastAsia="Arial" w:hAnsi="Arial"/>
          <w:sz w:val="16"/>
          <w:szCs w:val="16"/>
          <w:color w:val="auto"/>
        </w:rPr>
        <w:t>have been Disclosed, remain in full force and effect and such contracts, agreements, transactions, obligations, commitments, understandings or arrangements do not deviate from those typically accepted in the Company's usual course or business, and so far as the Warrantors are aware, no act or omission by the Company or counterparty has caused such party to be in material default of any Material IT Agreement.</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30.2</w:t>
      </w:r>
      <w:r>
        <w:rPr>
          <w:sz w:val="20"/>
          <w:szCs w:val="20"/>
          <w:color w:val="auto"/>
        </w:rPr>
        <w:tab/>
      </w:r>
      <w:r>
        <w:rPr>
          <w:rFonts w:ascii="Arial" w:cs="Arial" w:eastAsia="Arial" w:hAnsi="Arial"/>
          <w:sz w:val="14"/>
          <w:szCs w:val="14"/>
          <w:color w:val="auto"/>
        </w:rPr>
        <w:t>No act or omission by the Company has caused it to be in material default of any Material IT Agreement.</w:t>
      </w:r>
    </w:p>
    <w:p>
      <w:pPr>
        <w:spacing w:after="0" w:line="66" w:lineRule="exact"/>
        <w:rPr>
          <w:sz w:val="20"/>
          <w:szCs w:val="20"/>
          <w:color w:val="auto"/>
        </w:rPr>
      </w:pPr>
    </w:p>
    <w:p>
      <w:pPr>
        <w:jc w:val="both"/>
        <w:ind w:left="580" w:right="20" w:hanging="575"/>
        <w:spacing w:after="0" w:line="225" w:lineRule="auto"/>
        <w:tabs>
          <w:tab w:leader="none" w:pos="560"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 xml:space="preserve">Details of the computer hardware, networks and software ( </w:t>
      </w:r>
      <w:r>
        <w:rPr>
          <w:rFonts w:ascii="Arial" w:cs="Arial" w:eastAsia="Arial" w:hAnsi="Arial"/>
          <w:sz w:val="16"/>
          <w:szCs w:val="16"/>
          <w:b w:val="1"/>
          <w:bCs w:val="1"/>
          <w:color w:val="auto"/>
        </w:rPr>
        <w:t>"IT Systems"</w:t>
      </w:r>
      <w:r>
        <w:rPr>
          <w:rFonts w:ascii="Arial" w:cs="Arial" w:eastAsia="Arial" w:hAnsi="Arial"/>
          <w:sz w:val="16"/>
          <w:szCs w:val="16"/>
          <w:color w:val="auto"/>
        </w:rPr>
        <w:t>) used by the Company as at the date of this Agreement have been Disclosed. So far as the Warrantors are aware, the IT Systems are the only information technology required by the Company to carry on its business as currently conducted.</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30.4</w:t>
      </w:r>
      <w:r>
        <w:rPr>
          <w:sz w:val="20"/>
          <w:szCs w:val="20"/>
          <w:color w:val="auto"/>
        </w:rPr>
        <w:tab/>
      </w:r>
      <w:r>
        <w:rPr>
          <w:rFonts w:ascii="Arial" w:cs="Arial" w:eastAsia="Arial" w:hAnsi="Arial"/>
          <w:sz w:val="16"/>
          <w:szCs w:val="16"/>
          <w:color w:val="auto"/>
        </w:rPr>
        <w:t>There has been no failure or breakdown in the [***] months prior to the date of this Agreement of any IT Systems used by the Company that has caused any material disruption to the business of the Company or customer of the Company.</w:t>
      </w:r>
    </w:p>
    <w:p>
      <w:pPr>
        <w:spacing w:after="0" w:line="48"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30.5</w:t>
      </w:r>
      <w:r>
        <w:rPr>
          <w:sz w:val="20"/>
          <w:szCs w:val="20"/>
          <w:color w:val="auto"/>
        </w:rPr>
        <w:tab/>
      </w:r>
      <w:r>
        <w:rPr>
          <w:rFonts w:ascii="Arial" w:cs="Arial" w:eastAsia="Arial" w:hAnsi="Arial"/>
          <w:sz w:val="16"/>
          <w:szCs w:val="16"/>
          <w:color w:val="auto"/>
        </w:rPr>
        <w:t>So far as the Warrantors are aware, the Company has implemented appropriate procedures in accordance with best industry practice (including in relation to off-site working where applicable) for ensuring the security of the IT Systems and the confidentiality and integrity of the Systems Data.</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30.6</w:t>
      </w:r>
      <w:r>
        <w:rPr>
          <w:sz w:val="20"/>
          <w:szCs w:val="20"/>
          <w:color w:val="auto"/>
        </w:rPr>
        <w:tab/>
      </w:r>
      <w:r>
        <w:rPr>
          <w:rFonts w:ascii="Arial" w:cs="Arial" w:eastAsia="Arial" w:hAnsi="Arial"/>
          <w:sz w:val="16"/>
          <w:szCs w:val="16"/>
          <w:color w:val="auto"/>
        </w:rPr>
        <w:t>The Company has in place a data security breach plan and a disaster recovery plan which is fully documented which would enable the Business to continue if there were damage to or destruction of some or all of the IT Systems.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30.7</w:t>
      </w:r>
      <w:r>
        <w:rPr>
          <w:sz w:val="20"/>
          <w:szCs w:val="20"/>
          <w:color w:val="auto"/>
        </w:rPr>
        <w:tab/>
      </w:r>
      <w:r>
        <w:rPr>
          <w:rFonts w:ascii="Arial" w:cs="Arial" w:eastAsia="Arial" w:hAnsi="Arial"/>
          <w:sz w:val="14"/>
          <w:szCs w:val="14"/>
          <w:color w:val="auto"/>
        </w:rPr>
        <w:t>So far as the Warrantors are aware, during the three years period up to and including the date of this Agreement, the Company has not:</w:t>
      </w:r>
    </w:p>
    <w:p>
      <w:pPr>
        <w:spacing w:after="0" w:line="68" w:lineRule="exact"/>
        <w:rPr>
          <w:sz w:val="20"/>
          <w:szCs w:val="20"/>
          <w:color w:val="auto"/>
        </w:rPr>
      </w:pPr>
    </w:p>
    <w:p>
      <w:pPr>
        <w:ind w:left="1140" w:hanging="558"/>
        <w:spacing w:after="0"/>
        <w:tabs>
          <w:tab w:leader="none" w:pos="114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breached any applicable data security breach or breach notification requirement under the Cybersecurity Requirements;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suffered any Security Incident.</w:t>
      </w:r>
    </w:p>
    <w:p>
      <w:pPr>
        <w:spacing w:after="0" w:line="66" w:lineRule="exact"/>
        <w:rPr>
          <w:rFonts w:ascii="Arial" w:cs="Arial" w:eastAsia="Arial" w:hAnsi="Arial"/>
          <w:sz w:val="16"/>
          <w:szCs w:val="16"/>
          <w:color w:val="auto"/>
        </w:rPr>
      </w:pPr>
    </w:p>
    <w:p>
      <w:pPr>
        <w:ind w:left="580" w:hanging="574"/>
        <w:spacing w:after="0"/>
        <w:tabs>
          <w:tab w:leader="none" w:pos="580" w:val="left"/>
        </w:tabs>
        <w:numPr>
          <w:ilvl w:val="0"/>
          <w:numId w:val="424"/>
        </w:numPr>
        <w:rPr>
          <w:rFonts w:ascii="Arial" w:cs="Arial" w:eastAsia="Arial" w:hAnsi="Arial"/>
          <w:sz w:val="16"/>
          <w:szCs w:val="16"/>
          <w:color w:val="auto"/>
        </w:rPr>
      </w:pPr>
      <w:r>
        <w:rPr>
          <w:rFonts w:ascii="Arial" w:cs="Arial" w:eastAsia="Arial" w:hAnsi="Arial"/>
          <w:sz w:val="16"/>
          <w:szCs w:val="16"/>
          <w:b w:val="1"/>
          <w:bCs w:val="1"/>
          <w:color w:val="auto"/>
        </w:rPr>
        <w:t>Disclosure of confidential information etc.</w:t>
      </w:r>
    </w:p>
    <w:p>
      <w:pPr>
        <w:spacing w:after="0" w:line="70" w:lineRule="exact"/>
        <w:rPr>
          <w:rFonts w:ascii="Arial" w:cs="Arial" w:eastAsia="Arial" w:hAnsi="Arial"/>
          <w:sz w:val="16"/>
          <w:szCs w:val="16"/>
          <w:color w:val="auto"/>
        </w:rPr>
      </w:pPr>
    </w:p>
    <w:p>
      <w:pPr>
        <w:jc w:val="both"/>
        <w:ind w:left="580" w:right="20"/>
        <w:spacing w:after="0" w:line="224" w:lineRule="auto"/>
        <w:rPr>
          <w:rFonts w:ascii="Arial" w:cs="Arial" w:eastAsia="Arial" w:hAnsi="Arial"/>
          <w:sz w:val="16"/>
          <w:szCs w:val="16"/>
          <w:color w:val="auto"/>
        </w:rPr>
      </w:pPr>
      <w:r>
        <w:rPr>
          <w:rFonts w:ascii="Arial" w:cs="Arial" w:eastAsia="Arial" w:hAnsi="Arial"/>
          <w:sz w:val="16"/>
          <w:szCs w:val="16"/>
          <w:color w:val="auto"/>
        </w:rPr>
        <w:t>Except in the ordinary course of business or on a confidential basis in connection with fundraising rounds and as required pursuant to this Agreement and the transactions contemplated by it, no disclosure has been made of any of the confidential information, know how, technical processes, financial or trade secrets or customer or supplier lists of the Company.</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424"/>
        </w:numPr>
        <w:rPr>
          <w:rFonts w:ascii="Arial" w:cs="Arial" w:eastAsia="Arial" w:hAnsi="Arial"/>
          <w:sz w:val="16"/>
          <w:szCs w:val="16"/>
          <w:color w:val="auto"/>
        </w:rPr>
      </w:pPr>
      <w:r>
        <w:rPr>
          <w:rFonts w:ascii="Arial" w:cs="Arial" w:eastAsia="Arial" w:hAnsi="Arial"/>
          <w:sz w:val="16"/>
          <w:szCs w:val="16"/>
          <w:b w:val="1"/>
          <w:bCs w:val="1"/>
          <w:color w:val="auto"/>
        </w:rPr>
        <w:t>Names</w:t>
      </w:r>
    </w:p>
    <w:p>
      <w:pPr>
        <w:spacing w:after="0" w:line="70"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Any names used by the Company have been Disclosed and, so far as the Warrantors are aware, do not infringe the rights of any person.</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69</w:t>
      </w:r>
    </w:p>
    <w:p>
      <w:pPr>
        <w:sectPr>
          <w:pgSz w:w="11900" w:h="16840" w:orient="portrait"/>
          <w:cols w:equalWidth="0" w:num="1">
            <w:col w:w="10580"/>
          </w:cols>
          <w:pgMar w:left="660" w:top="1440" w:right="660" w:bottom="1440" w:gutter="0" w:footer="0" w:header="0"/>
        </w:sectPr>
      </w:pPr>
    </w:p>
    <w:bookmarkStart w:id="420" w:name="page421"/>
    <w:bookmarkEnd w:id="420"/>
    <w:p>
      <w:pPr>
        <w:spacing w:after="0" w:line="329" w:lineRule="exact"/>
        <w:rPr>
          <w:sz w:val="20"/>
          <w:szCs w:val="20"/>
          <w:color w:val="auto"/>
        </w:rPr>
      </w:pPr>
    </w:p>
    <w:p>
      <w:pPr>
        <w:ind w:left="580" w:hanging="574"/>
        <w:spacing w:after="0"/>
        <w:tabs>
          <w:tab w:leader="none" w:pos="580"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Open Source Software</w:t>
      </w:r>
    </w:p>
    <w:p>
      <w:pPr>
        <w:spacing w:after="0" w:line="70"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6"/>
          <w:szCs w:val="16"/>
          <w:color w:val="auto"/>
        </w:rPr>
        <w:t>The Company has Disclosed all Open Source Materials used in the Business and the Company has Disclosed all scans of Company software that includes any Open Source Material used in the Business.</w:t>
      </w:r>
    </w:p>
    <w:p>
      <w:pPr>
        <w:spacing w:after="0" w:line="4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6"/>
          <w:szCs w:val="16"/>
          <w:color w:val="auto"/>
        </w:rPr>
        <w:t>Each Group Company has complied in all material respects with the terms of the Open Source Material licenses it uses or has used in the Business.</w:t>
      </w:r>
    </w:p>
    <w:p>
      <w:pPr>
        <w:spacing w:after="0" w:line="48"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6"/>
          <w:szCs w:val="16"/>
          <w:color w:val="auto"/>
        </w:rPr>
        <w:t>No Group Company's use of Open Source Material requires any redistribution of any software or of any Company Intellectual Property under terms that (i) require disclosure or distribution of any software or other Intellectual Property of Company to third parties; (ii) require the Company to license, sublicense or distribute any Company products for no consideration; or (iii) allow any third party to decompile, disassemble or reverse engineer any Company products.</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33.4</w:t>
      </w:r>
      <w:r>
        <w:rPr>
          <w:sz w:val="20"/>
          <w:szCs w:val="20"/>
          <w:color w:val="auto"/>
        </w:rPr>
        <w:tab/>
      </w:r>
      <w:r>
        <w:rPr>
          <w:rFonts w:ascii="Arial" w:cs="Arial" w:eastAsia="Arial" w:hAnsi="Arial"/>
          <w:sz w:val="14"/>
          <w:szCs w:val="14"/>
          <w:color w:val="auto"/>
        </w:rPr>
        <w:t>The Company has not:</w:t>
      </w:r>
    </w:p>
    <w:p>
      <w:pPr>
        <w:spacing w:after="0" w:line="68" w:lineRule="exact"/>
        <w:rPr>
          <w:sz w:val="20"/>
          <w:szCs w:val="20"/>
          <w:color w:val="auto"/>
        </w:rPr>
      </w:pPr>
    </w:p>
    <w:p>
      <w:pPr>
        <w:ind w:left="1140" w:hanging="558"/>
        <w:spacing w:after="0"/>
        <w:tabs>
          <w:tab w:leader="none" w:pos="114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incorporated or combined Open Source Materials with the Intellectual Property;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distributed or licensed Open Source Materials in conjunction with any Intellectual Property.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Protection</w:t>
      </w:r>
    </w:p>
    <w:p>
      <w:pPr>
        <w:spacing w:after="0" w:line="68" w:lineRule="exact"/>
        <w:rPr>
          <w:sz w:val="20"/>
          <w:szCs w:val="20"/>
          <w:color w:val="auto"/>
        </w:rPr>
      </w:pPr>
    </w:p>
    <w:p>
      <w:pPr>
        <w:ind w:left="580" w:hanging="574"/>
        <w:spacing w:after="0"/>
        <w:tabs>
          <w:tab w:leader="none" w:pos="580" w:val="left"/>
        </w:tabs>
        <w:numPr>
          <w:ilvl w:val="0"/>
          <w:numId w:val="427"/>
        </w:numPr>
        <w:rPr>
          <w:rFonts w:ascii="Arial" w:cs="Arial" w:eastAsia="Arial" w:hAnsi="Arial"/>
          <w:sz w:val="16"/>
          <w:szCs w:val="16"/>
          <w:color w:val="auto"/>
        </w:rPr>
      </w:pPr>
      <w:r>
        <w:rPr>
          <w:rFonts w:ascii="Arial" w:cs="Arial" w:eastAsia="Arial" w:hAnsi="Arial"/>
          <w:sz w:val="16"/>
          <w:szCs w:val="16"/>
          <w:b w:val="1"/>
          <w:bCs w:val="1"/>
          <w:color w:val="auto"/>
        </w:rPr>
        <w:t>Compliance</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34.1</w:t>
      </w:r>
      <w:r>
        <w:rPr>
          <w:sz w:val="20"/>
          <w:szCs w:val="20"/>
          <w:color w:val="auto"/>
        </w:rPr>
        <w:tab/>
      </w:r>
      <w:r>
        <w:rPr>
          <w:rFonts w:ascii="Arial" w:cs="Arial" w:eastAsia="Arial" w:hAnsi="Arial"/>
          <w:sz w:val="14"/>
          <w:szCs w:val="14"/>
          <w:color w:val="auto"/>
        </w:rPr>
        <w:t>The definitions in this paragraph apply in this Agreement:</w:t>
      </w:r>
    </w:p>
    <w:p>
      <w:pPr>
        <w:spacing w:after="0" w:line="66" w:lineRule="exact"/>
        <w:rPr>
          <w:sz w:val="20"/>
          <w:szCs w:val="20"/>
          <w:color w:val="auto"/>
        </w:rPr>
      </w:pPr>
    </w:p>
    <w:p>
      <w:pPr>
        <w:jc w:val="both"/>
        <w:ind w:left="580"/>
        <w:spacing w:after="0" w:line="210" w:lineRule="auto"/>
        <w:rPr>
          <w:sz w:val="20"/>
          <w:szCs w:val="20"/>
          <w:color w:val="auto"/>
        </w:rPr>
      </w:pPr>
      <w:r>
        <w:rPr>
          <w:rFonts w:ascii="Arial" w:cs="Arial" w:eastAsia="Arial" w:hAnsi="Arial"/>
          <w:sz w:val="16"/>
          <w:szCs w:val="16"/>
          <w:b w:val="1"/>
          <w:bCs w:val="1"/>
          <w:color w:val="auto"/>
        </w:rPr>
        <w:t xml:space="preserve">"Data Protection Laws" </w:t>
      </w:r>
      <w:r>
        <w:rPr>
          <w:rFonts w:ascii="Arial" w:cs="Arial" w:eastAsia="Arial" w:hAnsi="Arial"/>
          <w:sz w:val="16"/>
          <w:szCs w:val="16"/>
          <w:color w:val="auto"/>
        </w:rPr>
        <w:t>means any applicable laws and regulations in any relevant jurisdiction relating to the use or processing of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data including (i) EU Regulation 2016/679 (</w:t>
      </w:r>
      <w:r>
        <w:rPr>
          <w:rFonts w:ascii="Arial" w:cs="Arial" w:eastAsia="Arial" w:hAnsi="Arial"/>
          <w:sz w:val="16"/>
          <w:szCs w:val="16"/>
          <w:b w:val="1"/>
          <w:bCs w:val="1"/>
          <w:color w:val="auto"/>
        </w:rPr>
        <w:t>"GDPR"</w:t>
      </w:r>
      <w:r>
        <w:rPr>
          <w:rFonts w:ascii="Arial" w:cs="Arial" w:eastAsia="Arial" w:hAnsi="Arial"/>
          <w:sz w:val="16"/>
          <w:szCs w:val="16"/>
          <w:color w:val="auto"/>
        </w:rPr>
        <w:t xml:space="preserve">); (ii) GDPR as it forms part of the law of England and Wales, Scotland and Northern Ireland by virtue of section 3 of the European Union (Withdrawal) Act 2018 (the </w:t>
      </w:r>
      <w:r>
        <w:rPr>
          <w:rFonts w:ascii="Arial" w:cs="Arial" w:eastAsia="Arial" w:hAnsi="Arial"/>
          <w:sz w:val="16"/>
          <w:szCs w:val="16"/>
          <w:b w:val="1"/>
          <w:bCs w:val="1"/>
          <w:color w:val="auto"/>
        </w:rPr>
        <w:t>"UK GDPR"</w:t>
      </w:r>
      <w:r>
        <w:rPr>
          <w:rFonts w:ascii="Arial" w:cs="Arial" w:eastAsia="Arial" w:hAnsi="Arial"/>
          <w:sz w:val="16"/>
          <w:szCs w:val="16"/>
          <w:color w:val="auto"/>
        </w:rPr>
        <w:t xml:space="preserve">); (iii) any laws or regulations ratifying, implementing, adopting, supplementing or replacing the GDPR; (iv) in the UK, the Data Protection Act 2018 ( </w:t>
      </w:r>
      <w:r>
        <w:rPr>
          <w:rFonts w:ascii="Arial" w:cs="Arial" w:eastAsia="Arial" w:hAnsi="Arial"/>
          <w:sz w:val="16"/>
          <w:szCs w:val="16"/>
          <w:b w:val="1"/>
          <w:bCs w:val="1"/>
          <w:color w:val="auto"/>
        </w:rPr>
        <w:t>"DPA"</w:t>
      </w:r>
      <w:r>
        <w:rPr>
          <w:rFonts w:ascii="Arial" w:cs="Arial" w:eastAsia="Arial" w:hAnsi="Arial"/>
          <w:sz w:val="16"/>
          <w:szCs w:val="16"/>
          <w:color w:val="auto"/>
        </w:rPr>
        <w:t xml:space="preserve"> ); (v) any laws and regulations implementing or made pursuant to EU Directive 2002/58/EC (as amended by 2009/136/EC); and (vi) in South Africa, the Protection of Personal Information Act No 4 of 2013; (vii) in the UK, the Privacy and Electronic Communications (EC Directive) Regulations 2003; (viii) in France, the Law n°78-17 of 6 January 1978 on data processing, data files and individual liberties, and in each case, as updated, amended or replaced from time to time; and the terms </w:t>
      </w:r>
      <w:r>
        <w:rPr>
          <w:rFonts w:ascii="Arial" w:cs="Arial" w:eastAsia="Arial" w:hAnsi="Arial"/>
          <w:sz w:val="16"/>
          <w:szCs w:val="16"/>
          <w:b w:val="1"/>
          <w:bCs w:val="1"/>
          <w:color w:val="auto"/>
        </w:rPr>
        <w:t>"Data Subject"</w:t>
      </w:r>
      <w:r>
        <w:rPr>
          <w:rFonts w:ascii="Arial" w:cs="Arial" w:eastAsia="Arial" w:hAnsi="Arial"/>
          <w:sz w:val="16"/>
          <w:szCs w:val="16"/>
          <w:color w:val="auto"/>
        </w:rPr>
        <w:t xml:space="preserve">, </w:t>
      </w:r>
      <w:r>
        <w:rPr>
          <w:rFonts w:ascii="Arial" w:cs="Arial" w:eastAsia="Arial" w:hAnsi="Arial"/>
          <w:sz w:val="16"/>
          <w:szCs w:val="16"/>
          <w:b w:val="1"/>
          <w:bCs w:val="1"/>
          <w:color w:val="auto"/>
        </w:rPr>
        <w:t>"Personal Data"</w:t>
      </w:r>
      <w:r>
        <w:rPr>
          <w:rFonts w:ascii="Arial" w:cs="Arial" w:eastAsia="Arial" w:hAnsi="Arial"/>
          <w:sz w:val="16"/>
          <w:szCs w:val="16"/>
          <w:color w:val="auto"/>
        </w:rPr>
        <w:t xml:space="preserve">, </w:t>
      </w:r>
      <w:r>
        <w:rPr>
          <w:rFonts w:ascii="Arial" w:cs="Arial" w:eastAsia="Arial" w:hAnsi="Arial"/>
          <w:sz w:val="16"/>
          <w:szCs w:val="16"/>
          <w:b w:val="1"/>
          <w:bCs w:val="1"/>
          <w:color w:val="auto"/>
        </w:rPr>
        <w:t>"processing"</w:t>
      </w:r>
      <w:r>
        <w:rPr>
          <w:rFonts w:ascii="Arial" w:cs="Arial" w:eastAsia="Arial" w:hAnsi="Arial"/>
          <w:sz w:val="16"/>
          <w:szCs w:val="16"/>
          <w:color w:val="auto"/>
        </w:rPr>
        <w:t xml:space="preserve">, </w:t>
      </w:r>
      <w:r>
        <w:rPr>
          <w:rFonts w:ascii="Arial" w:cs="Arial" w:eastAsia="Arial" w:hAnsi="Arial"/>
          <w:sz w:val="16"/>
          <w:szCs w:val="16"/>
          <w:b w:val="1"/>
          <w:bCs w:val="1"/>
          <w:color w:val="auto"/>
        </w:rPr>
        <w:t>"processor"</w:t>
      </w:r>
      <w:r>
        <w:rPr>
          <w:rFonts w:ascii="Arial" w:cs="Arial" w:eastAsia="Arial" w:hAnsi="Arial"/>
          <w:sz w:val="16"/>
          <w:szCs w:val="16"/>
          <w:color w:val="auto"/>
        </w:rPr>
        <w:t xml:space="preserve"> and </w:t>
      </w:r>
      <w:r>
        <w:rPr>
          <w:rFonts w:ascii="Arial" w:cs="Arial" w:eastAsia="Arial" w:hAnsi="Arial"/>
          <w:sz w:val="16"/>
          <w:szCs w:val="16"/>
          <w:b w:val="1"/>
          <w:bCs w:val="1"/>
          <w:color w:val="auto"/>
        </w:rPr>
        <w:t>"controller"</w:t>
      </w:r>
      <w:r>
        <w:rPr>
          <w:rFonts w:ascii="Arial" w:cs="Arial" w:eastAsia="Arial" w:hAnsi="Arial"/>
          <w:sz w:val="16"/>
          <w:szCs w:val="16"/>
          <w:color w:val="auto"/>
        </w:rPr>
        <w:t xml:space="preserve"> shall have the meanings set out in the DPA.</w:t>
      </w:r>
    </w:p>
    <w:p>
      <w:pPr>
        <w:spacing w:after="0" w:line="52" w:lineRule="exact"/>
        <w:rPr>
          <w:sz w:val="20"/>
          <w:szCs w:val="20"/>
          <w:color w:val="auto"/>
        </w:rPr>
      </w:pPr>
    </w:p>
    <w:p>
      <w:pPr>
        <w:jc w:val="both"/>
        <w:ind w:left="580" w:right="20"/>
        <w:spacing w:after="0" w:line="225" w:lineRule="auto"/>
        <w:rPr>
          <w:sz w:val="20"/>
          <w:szCs w:val="20"/>
          <w:color w:val="auto"/>
        </w:rPr>
      </w:pPr>
      <w:r>
        <w:rPr>
          <w:rFonts w:ascii="Arial" w:cs="Arial" w:eastAsia="Arial" w:hAnsi="Arial"/>
          <w:sz w:val="16"/>
          <w:szCs w:val="16"/>
          <w:b w:val="1"/>
          <w:bCs w:val="1"/>
          <w:color w:val="auto"/>
        </w:rPr>
        <w:t xml:space="preserve">"Supervisory Authority" </w:t>
      </w:r>
      <w:r>
        <w:rPr>
          <w:rFonts w:ascii="Arial" w:cs="Arial" w:eastAsia="Arial" w:hAnsi="Arial"/>
          <w:sz w:val="16"/>
          <w:szCs w:val="16"/>
          <w:color w:val="auto"/>
        </w:rPr>
        <w:t>means any local, national, supranational, state, governmental or quasi-governmental agency, body, department,</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official or entity exercising regulatory or supervisory authority pursuant to any Data Protection Laws, including the Information Commissioner's Office in the UK.</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34.2</w:t>
      </w:r>
      <w:r>
        <w:rPr>
          <w:sz w:val="20"/>
          <w:szCs w:val="20"/>
          <w:color w:val="auto"/>
        </w:rPr>
        <w:tab/>
      </w:r>
      <w:r>
        <w:rPr>
          <w:rFonts w:ascii="Arial" w:cs="Arial" w:eastAsia="Arial" w:hAnsi="Arial"/>
          <w:sz w:val="16"/>
          <w:szCs w:val="16"/>
          <w:color w:val="auto"/>
        </w:rPr>
        <w:t>The Company has, as regards to all personal data (as defined in the relevant Data Protection Laws) controlled and/or processed by it, complied in all material respects with all relevant requirements of the relevant Data Protection Laws, and has not been charged with or convicted of any offence under the Data Protection Laws.</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34.3</w:t>
      </w:r>
      <w:r>
        <w:rPr>
          <w:sz w:val="20"/>
          <w:szCs w:val="20"/>
          <w:color w:val="auto"/>
        </w:rPr>
        <w:tab/>
      </w:r>
      <w:r>
        <w:rPr>
          <w:rFonts w:ascii="Arial" w:cs="Arial" w:eastAsia="Arial" w:hAnsi="Arial"/>
          <w:sz w:val="14"/>
          <w:szCs w:val="14"/>
          <w:color w:val="auto"/>
        </w:rPr>
        <w:t>The Company has:</w:t>
      </w:r>
    </w:p>
    <w:p>
      <w:pPr>
        <w:spacing w:after="0" w:line="68" w:lineRule="exact"/>
        <w:rPr>
          <w:sz w:val="20"/>
          <w:szCs w:val="20"/>
          <w:color w:val="auto"/>
        </w:rPr>
      </w:pPr>
    </w:p>
    <w:p>
      <w:pPr>
        <w:ind w:left="1160" w:right="20" w:hanging="578"/>
        <w:spacing w:after="0" w:line="235" w:lineRule="auto"/>
        <w:tabs>
          <w:tab w:leader="none" w:pos="1148" w:val="left"/>
        </w:tabs>
        <w:numPr>
          <w:ilvl w:val="0"/>
          <w:numId w:val="428"/>
        </w:numPr>
        <w:rPr>
          <w:rFonts w:ascii="Arial" w:cs="Arial" w:eastAsia="Arial" w:hAnsi="Arial"/>
          <w:sz w:val="16"/>
          <w:szCs w:val="16"/>
          <w:color w:val="auto"/>
        </w:rPr>
      </w:pPr>
      <w:r>
        <w:rPr>
          <w:rFonts w:ascii="Arial" w:cs="Arial" w:eastAsia="Arial" w:hAnsi="Arial"/>
          <w:sz w:val="16"/>
          <w:szCs w:val="16"/>
          <w:color w:val="auto"/>
        </w:rPr>
        <w:t>appointed a data protection officer if required to do so under the Data Protection Laws, and details of such appointment are set out in the Disclosure Documents;</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28"/>
        </w:numPr>
        <w:rPr>
          <w:rFonts w:ascii="Arial" w:cs="Arial" w:eastAsia="Arial" w:hAnsi="Arial"/>
          <w:sz w:val="16"/>
          <w:szCs w:val="16"/>
          <w:color w:val="auto"/>
        </w:rPr>
      </w:pPr>
      <w:r>
        <w:rPr>
          <w:rFonts w:ascii="Arial" w:cs="Arial" w:eastAsia="Arial" w:hAnsi="Arial"/>
          <w:sz w:val="16"/>
          <w:szCs w:val="16"/>
          <w:color w:val="auto"/>
        </w:rPr>
        <w:t>carried out and maintained complete, accurate and up to date records of, all data protection impact assessments required by the Data Protection Laws; and</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28"/>
        </w:numPr>
        <w:rPr>
          <w:rFonts w:ascii="Arial" w:cs="Arial" w:eastAsia="Arial" w:hAnsi="Arial"/>
          <w:sz w:val="16"/>
          <w:szCs w:val="16"/>
          <w:color w:val="auto"/>
        </w:rPr>
      </w:pPr>
      <w:r>
        <w:rPr>
          <w:rFonts w:ascii="Arial" w:cs="Arial" w:eastAsia="Arial" w:hAnsi="Arial"/>
          <w:sz w:val="16"/>
          <w:szCs w:val="16"/>
          <w:color w:val="auto"/>
        </w:rPr>
        <w:t>put in place an adequate data breach response plan that enables the Company and the processors to comply with the related requirements of the Data Protection Laws, details of which are set out in the Disclosure Documents.</w:t>
      </w:r>
    </w:p>
    <w:p>
      <w:pPr>
        <w:spacing w:after="0" w:line="48"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34.4</w:t>
      </w:r>
      <w:r>
        <w:rPr>
          <w:sz w:val="20"/>
          <w:szCs w:val="20"/>
          <w:color w:val="auto"/>
        </w:rPr>
        <w:tab/>
      </w:r>
      <w:r>
        <w:rPr>
          <w:rFonts w:ascii="Arial" w:cs="Arial" w:eastAsia="Arial" w:hAnsi="Arial"/>
          <w:sz w:val="16"/>
          <w:szCs w:val="16"/>
          <w:color w:val="auto"/>
        </w:rPr>
        <w:t>The transfer of all personal data by the Company outside of the United Kingdom or European Economic Area has, and so far the Warrantors are aware third party processors carrying out such transfers on the Company's behalf have, complied in all material respects with all Data Protection Laws, including all appropriate safeguards having been put in place.</w:t>
      </w:r>
    </w:p>
    <w:p>
      <w:pPr>
        <w:spacing w:after="0" w:line="49"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34.5</w:t>
      </w:r>
      <w:r>
        <w:rPr>
          <w:sz w:val="20"/>
          <w:szCs w:val="20"/>
          <w:color w:val="auto"/>
        </w:rPr>
        <w:tab/>
      </w:r>
      <w:r>
        <w:rPr>
          <w:rFonts w:ascii="Arial" w:cs="Arial" w:eastAsia="Arial" w:hAnsi="Arial"/>
          <w:sz w:val="16"/>
          <w:szCs w:val="16"/>
          <w:color w:val="auto"/>
        </w:rPr>
        <w:t>In the previous [***] years, the Company has complied with all data subject requests, including any requests for access to Personal Data, the cessation of specified processing activities or the rectification or erasure of any Personal Data, in each case in accordance with the requirements of the Data Protection Laws, and no such requests are outstanding.</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70</w:t>
      </w:r>
    </w:p>
    <w:p>
      <w:pPr>
        <w:sectPr>
          <w:pgSz w:w="11900" w:h="16840" w:orient="portrait"/>
          <w:cols w:equalWidth="0" w:num="1">
            <w:col w:w="10580"/>
          </w:cols>
          <w:pgMar w:left="660" w:top="1440" w:right="660" w:bottom="1440" w:gutter="0" w:footer="0" w:header="0"/>
        </w:sectPr>
      </w:pPr>
    </w:p>
    <w:bookmarkStart w:id="421" w:name="page422"/>
    <w:bookmarkEnd w:id="421"/>
    <w:p>
      <w:pPr>
        <w:spacing w:after="0" w:line="331"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34.6</w:t>
      </w:r>
      <w:r>
        <w:rPr>
          <w:sz w:val="20"/>
          <w:szCs w:val="20"/>
          <w:color w:val="auto"/>
        </w:rPr>
        <w:tab/>
      </w:r>
      <w:r>
        <w:rPr>
          <w:rFonts w:ascii="Arial" w:cs="Arial" w:eastAsia="Arial" w:hAnsi="Arial"/>
          <w:sz w:val="16"/>
          <w:szCs w:val="16"/>
          <w:color w:val="auto"/>
        </w:rPr>
        <w:t>Neither the Company nor any of the Processors have, in the previous [***] years, suffered any breach of security leading to the accidental or unlawful destruction, loss, alteration, unauthorised disclosure of, or access to any Personal Data.</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34.7</w:t>
      </w:r>
      <w:r>
        <w:rPr>
          <w:sz w:val="20"/>
          <w:szCs w:val="20"/>
          <w:color w:val="auto"/>
        </w:rPr>
        <w:tab/>
      </w:r>
      <w:r>
        <w:rPr>
          <w:rFonts w:ascii="Arial" w:cs="Arial" w:eastAsia="Arial" w:hAnsi="Arial"/>
          <w:sz w:val="14"/>
          <w:szCs w:val="14"/>
          <w:color w:val="auto"/>
        </w:rPr>
        <w:t>The Company has not in the previous [***] years received any:</w:t>
      </w:r>
    </w:p>
    <w:p>
      <w:pPr>
        <w:spacing w:after="0" w:line="68" w:lineRule="exact"/>
        <w:rPr>
          <w:sz w:val="20"/>
          <w:szCs w:val="20"/>
          <w:color w:val="auto"/>
        </w:rPr>
      </w:pPr>
    </w:p>
    <w:p>
      <w:pPr>
        <w:jc w:val="both"/>
        <w:ind w:left="1160" w:right="20" w:hanging="578"/>
        <w:spacing w:after="0" w:line="224" w:lineRule="auto"/>
        <w:tabs>
          <w:tab w:leader="none" w:pos="1148" w:val="left"/>
        </w:tabs>
        <w:numPr>
          <w:ilvl w:val="0"/>
          <w:numId w:val="429"/>
        </w:numPr>
        <w:rPr>
          <w:rFonts w:ascii="Arial" w:cs="Arial" w:eastAsia="Arial" w:hAnsi="Arial"/>
          <w:sz w:val="16"/>
          <w:szCs w:val="16"/>
          <w:color w:val="auto"/>
        </w:rPr>
      </w:pPr>
      <w:r>
        <w:rPr>
          <w:rFonts w:ascii="Arial" w:cs="Arial" w:eastAsia="Arial" w:hAnsi="Arial"/>
          <w:sz w:val="16"/>
          <w:szCs w:val="16"/>
          <w:color w:val="auto"/>
        </w:rPr>
        <w:t>written notice, request, correspondence or other communication from any Supervisory Authority, or been subject to any enforcement action (including any fines or other sanctions), in each case in writing relating to a breach or alleged breach of their obligations under the Data Protection Laws; or</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29"/>
        </w:numPr>
        <w:rPr>
          <w:rFonts w:ascii="Arial" w:cs="Arial" w:eastAsia="Arial" w:hAnsi="Arial"/>
          <w:sz w:val="16"/>
          <w:szCs w:val="16"/>
          <w:color w:val="auto"/>
        </w:rPr>
      </w:pPr>
      <w:r>
        <w:rPr>
          <w:rFonts w:ascii="Arial" w:cs="Arial" w:eastAsia="Arial" w:hAnsi="Arial"/>
          <w:sz w:val="16"/>
          <w:szCs w:val="16"/>
          <w:color w:val="auto"/>
        </w:rPr>
        <w:t>written claim, complaint, correspondence or other communication from a data subject or any other person claiming a right to compensation under the Data Protection Laws, or alleging any breach of the Data Protection Laws.</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34.8</w:t>
      </w:r>
      <w:r>
        <w:rPr>
          <w:sz w:val="20"/>
          <w:szCs w:val="20"/>
          <w:color w:val="auto"/>
        </w:rPr>
        <w:tab/>
      </w:r>
      <w:r>
        <w:rPr>
          <w:rFonts w:ascii="Arial" w:cs="Arial" w:eastAsia="Arial" w:hAnsi="Arial"/>
          <w:sz w:val="16"/>
          <w:szCs w:val="16"/>
          <w:color w:val="auto"/>
        </w:rPr>
        <w:t>The Company has duly complied with all applicable notification or registration obligations and paid the appropriate level of fees or charges in respect of its processing activities, in each case as required by the Data Protection Laws.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w:t>
      </w:r>
    </w:p>
    <w:p>
      <w:pPr>
        <w:spacing w:after="0" w:line="68" w:lineRule="exact"/>
        <w:rPr>
          <w:sz w:val="20"/>
          <w:szCs w:val="20"/>
          <w:color w:val="auto"/>
        </w:rPr>
      </w:pPr>
    </w:p>
    <w:p>
      <w:pPr>
        <w:ind w:left="580" w:hanging="574"/>
        <w:spacing w:after="0"/>
        <w:tabs>
          <w:tab w:leader="none" w:pos="580" w:val="left"/>
        </w:tabs>
        <w:numPr>
          <w:ilvl w:val="0"/>
          <w:numId w:val="430"/>
        </w:numPr>
        <w:rPr>
          <w:rFonts w:ascii="Arial" w:cs="Arial" w:eastAsia="Arial" w:hAnsi="Arial"/>
          <w:sz w:val="16"/>
          <w:szCs w:val="16"/>
          <w:color w:val="auto"/>
        </w:rPr>
      </w:pPr>
      <w:r>
        <w:rPr>
          <w:rFonts w:ascii="Arial" w:cs="Arial" w:eastAsia="Arial" w:hAnsi="Arial"/>
          <w:sz w:val="16"/>
          <w:szCs w:val="16"/>
          <w:b w:val="1"/>
          <w:bCs w:val="1"/>
          <w:color w:val="auto"/>
        </w:rPr>
        <w:t>Particulars of employees and workers</w:t>
      </w:r>
    </w:p>
    <w:p>
      <w:pPr>
        <w:spacing w:after="0" w:line="70" w:lineRule="exact"/>
        <w:rPr>
          <w:sz w:val="20"/>
          <w:szCs w:val="20"/>
          <w:color w:val="auto"/>
        </w:rPr>
      </w:pPr>
    </w:p>
    <w:p>
      <w:pPr>
        <w:jc w:val="both"/>
        <w:ind w:left="580" w:hanging="575"/>
        <w:spacing w:after="0" w:line="211" w:lineRule="auto"/>
        <w:tabs>
          <w:tab w:leader="none" w:pos="560" w:val="left"/>
        </w:tabs>
        <w:rPr>
          <w:sz w:val="20"/>
          <w:szCs w:val="20"/>
          <w:color w:val="auto"/>
        </w:rPr>
      </w:pPr>
      <w:r>
        <w:rPr>
          <w:rFonts w:ascii="Arial" w:cs="Arial" w:eastAsia="Arial" w:hAnsi="Arial"/>
          <w:sz w:val="16"/>
          <w:szCs w:val="16"/>
          <w:color w:val="auto"/>
        </w:rPr>
        <w:t>35.1</w:t>
      </w:r>
      <w:r>
        <w:rPr>
          <w:sz w:val="20"/>
          <w:szCs w:val="20"/>
          <w:color w:val="auto"/>
        </w:rPr>
        <w:tab/>
      </w:r>
      <w:r>
        <w:rPr>
          <w:rFonts w:ascii="Arial" w:cs="Arial" w:eastAsia="Arial" w:hAnsi="Arial"/>
          <w:sz w:val="16"/>
          <w:szCs w:val="16"/>
          <w:color w:val="auto"/>
        </w:rPr>
        <w:t xml:space="preserve">The key terms and conditions of employment of all employees of the Group by category, including, in anonymised form, the date of commencement of their continuous period of employment, their remuneration (including, without limitation, bonus, commission, overtime, profit sharing, share incentive, restricted shares, phantom, share option scheme, long term incentive, car, redundancy, permanent health insurance, medical expenses insurance, life assurance and pension benefits, benefit schemes, or any other payment, benefits or arrangements and understandings whatsoever payable to employees (the </w:t>
      </w:r>
      <w:r>
        <w:rPr>
          <w:rFonts w:ascii="Arial" w:cs="Arial" w:eastAsia="Arial" w:hAnsi="Arial"/>
          <w:sz w:val="16"/>
          <w:szCs w:val="16"/>
          <w:b w:val="1"/>
          <w:bCs w:val="1"/>
          <w:color w:val="auto"/>
        </w:rPr>
        <w:t>"Schemes"</w:t>
      </w:r>
      <w:r>
        <w:rPr>
          <w:rFonts w:ascii="Arial" w:cs="Arial" w:eastAsia="Arial" w:hAnsi="Arial"/>
          <w:sz w:val="16"/>
          <w:szCs w:val="16"/>
          <w:color w:val="auto"/>
        </w:rPr>
        <w:t>)), job title, notice periods, holiday entitlement, sick pay entitlement, particulars of employment given to each employee pursuant to Section 1, Employment Rights Act 1996 (or as applicable in each relevant jurisdiction) and details of any current absence from work (including but not limited to secondments, maternity leave, paternity leave, adoption leave, shared parental leave, parental leave or absent for any other reason) have been Disclosed.</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35.2</w:t>
      </w:r>
      <w:r>
        <w:rPr>
          <w:sz w:val="20"/>
          <w:szCs w:val="20"/>
          <w:color w:val="auto"/>
        </w:rPr>
        <w:tab/>
      </w:r>
      <w:r>
        <w:rPr>
          <w:rFonts w:ascii="Arial" w:cs="Arial" w:eastAsia="Arial" w:hAnsi="Arial"/>
          <w:sz w:val="14"/>
          <w:szCs w:val="14"/>
          <w:color w:val="auto"/>
        </w:rPr>
        <w:t>There are no proposals to introduce any Schemes save as Disclosed.</w:t>
      </w:r>
    </w:p>
    <w:p>
      <w:pPr>
        <w:spacing w:after="0" w:line="68" w:lineRule="exact"/>
        <w:rPr>
          <w:sz w:val="20"/>
          <w:szCs w:val="20"/>
          <w:color w:val="auto"/>
        </w:rPr>
      </w:pPr>
    </w:p>
    <w:p>
      <w:pPr>
        <w:jc w:val="both"/>
        <w:ind w:left="580" w:hanging="575"/>
        <w:spacing w:after="0" w:line="211" w:lineRule="auto"/>
        <w:tabs>
          <w:tab w:leader="none" w:pos="560" w:val="left"/>
        </w:tabs>
        <w:rPr>
          <w:sz w:val="20"/>
          <w:szCs w:val="20"/>
          <w:color w:val="auto"/>
        </w:rPr>
      </w:pPr>
      <w:r>
        <w:rPr>
          <w:rFonts w:ascii="Arial" w:cs="Arial" w:eastAsia="Arial" w:hAnsi="Arial"/>
          <w:sz w:val="16"/>
          <w:szCs w:val="16"/>
          <w:color w:val="auto"/>
        </w:rPr>
        <w:t>35.3</w:t>
      </w:r>
      <w:r>
        <w:rPr>
          <w:sz w:val="20"/>
          <w:szCs w:val="20"/>
          <w:color w:val="auto"/>
        </w:rPr>
        <w:tab/>
      </w:r>
      <w:r>
        <w:rPr>
          <w:rFonts w:ascii="Arial" w:cs="Arial" w:eastAsia="Arial" w:hAnsi="Arial"/>
          <w:sz w:val="16"/>
          <w:szCs w:val="16"/>
          <w:color w:val="auto"/>
        </w:rPr>
        <w:t>In respect of all persons who are consultants to or who otherwise provide their personal service to the Company (including, but not limited to, out workers, agency staff, self-employed persons, contractors, interims, locums, freelancers, secondees, zero-hours workers, contracted labour or agents) details of the terms of their engagement (whether with the Company or a third party supplier such as a staffing agency, a personal service company or some other supplier intermediary), including the date of commencement of the engagement of their services, the role they undertake, the average number of hours per week they provide services to the Company, the fees paid in respect of the services they supply, any other benefits (including but not limited to any benefits or arrangements under any Schemes) provided to them (whether or not legally binding), the notice period required to terminate the engagement or supply and any holiday arrangements have been Disclosed. The terms of engagement have been complied with by each Group Company and are in compliance with Applicable Laws.</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35.4</w:t>
      </w:r>
      <w:r>
        <w:rPr>
          <w:sz w:val="20"/>
          <w:szCs w:val="20"/>
          <w:color w:val="auto"/>
        </w:rPr>
        <w:tab/>
      </w:r>
      <w:r>
        <w:rPr>
          <w:rFonts w:ascii="Arial" w:cs="Arial" w:eastAsia="Arial" w:hAnsi="Arial"/>
          <w:sz w:val="14"/>
          <w:szCs w:val="14"/>
          <w:color w:val="auto"/>
        </w:rPr>
        <w:t>True and complete copies of:</w:t>
      </w:r>
    </w:p>
    <w:p>
      <w:pPr>
        <w:spacing w:after="0" w:line="68" w:lineRule="exact"/>
        <w:rPr>
          <w:sz w:val="20"/>
          <w:szCs w:val="20"/>
          <w:color w:val="auto"/>
        </w:rPr>
      </w:pPr>
    </w:p>
    <w:p>
      <w:pPr>
        <w:ind w:left="1140" w:hanging="558"/>
        <w:spacing w:after="0"/>
        <w:tabs>
          <w:tab w:leader="none" w:pos="11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all contracts of employment and engagement of those employees and officers employed or engaged as a Senior Employee;</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any standard form employment contracts with the Company and which employees and/or officers they apply to;</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 copy of any non-standard form employment contracts not otherwise disclosed above and which employees and/or officers they apply to;</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all staff handbooks, employment policies and procedures relating to the employment of the employees;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all consultancy agreements and letters of engagement relating to the engagement of consultants and workers; and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all agreements with third party suppliers (including any staffing agencies) who supply the services of any of the supplied workers as disclosed under paragraph 35.3,</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have been Disclosed.</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35.5</w:t>
      </w:r>
      <w:r>
        <w:rPr>
          <w:sz w:val="20"/>
          <w:szCs w:val="20"/>
          <w:color w:val="auto"/>
        </w:rPr>
        <w:tab/>
      </w:r>
      <w:r>
        <w:rPr>
          <w:rFonts w:ascii="Arial" w:cs="Arial" w:eastAsia="Arial" w:hAnsi="Arial"/>
          <w:sz w:val="14"/>
          <w:szCs w:val="14"/>
          <w:color w:val="auto"/>
        </w:rPr>
        <w:t>The Company is not a party to any agreement for management services or any contract for services with any director.</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71</w:t>
      </w:r>
    </w:p>
    <w:p>
      <w:pPr>
        <w:sectPr>
          <w:pgSz w:w="11900" w:h="16840" w:orient="portrait"/>
          <w:cols w:equalWidth="0" w:num="1">
            <w:col w:w="10580"/>
          </w:cols>
          <w:pgMar w:left="660" w:top="1440" w:right="660" w:bottom="1440" w:gutter="0" w:footer="0" w:header="0"/>
        </w:sectPr>
      </w:pPr>
    </w:p>
    <w:bookmarkStart w:id="422" w:name="page423"/>
    <w:bookmarkEnd w:id="422"/>
    <w:p>
      <w:pPr>
        <w:spacing w:after="0" w:line="329" w:lineRule="exact"/>
        <w:rPr>
          <w:sz w:val="20"/>
          <w:szCs w:val="20"/>
          <w:color w:val="auto"/>
        </w:rPr>
      </w:pPr>
    </w:p>
    <w:p>
      <w:pPr>
        <w:ind w:left="580" w:hanging="574"/>
        <w:spacing w:after="0"/>
        <w:tabs>
          <w:tab w:leader="none" w:pos="580" w:val="left"/>
        </w:tabs>
        <w:numPr>
          <w:ilvl w:val="0"/>
          <w:numId w:val="432"/>
        </w:numPr>
        <w:rPr>
          <w:rFonts w:ascii="Arial" w:cs="Arial" w:eastAsia="Arial" w:hAnsi="Arial"/>
          <w:sz w:val="16"/>
          <w:szCs w:val="16"/>
          <w:color w:val="auto"/>
        </w:rPr>
      </w:pPr>
      <w:r>
        <w:rPr>
          <w:rFonts w:ascii="Arial" w:cs="Arial" w:eastAsia="Arial" w:hAnsi="Arial"/>
          <w:sz w:val="16"/>
          <w:szCs w:val="16"/>
          <w:b w:val="1"/>
          <w:bCs w:val="1"/>
          <w:color w:val="auto"/>
        </w:rPr>
        <w:t>Remuneration and incentives</w:t>
      </w:r>
    </w:p>
    <w:p>
      <w:pPr>
        <w:spacing w:after="0" w:line="70"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36.1</w:t>
      </w:r>
      <w:r>
        <w:rPr>
          <w:sz w:val="20"/>
          <w:szCs w:val="20"/>
          <w:color w:val="auto"/>
        </w:rPr>
        <w:tab/>
      </w:r>
      <w:r>
        <w:rPr>
          <w:rFonts w:ascii="Arial" w:cs="Arial" w:eastAsia="Arial" w:hAnsi="Arial"/>
          <w:sz w:val="16"/>
          <w:szCs w:val="16"/>
          <w:color w:val="auto"/>
        </w:rPr>
        <w:t>Details have been Disclosed of any arrangements or assurances as to future remuneration or benefits to be provided to any officer or employee, worker or consultant howsoever arising (including, but not limited to, any remuneration, agreements, Schemes, obligations or benefits to be provided as a consequence of this Agreement) or as to any compensation or payment to be made to any such person in the event of retirement, redundancy or other termination of employment however arising, however funded and whether or not legally binding.</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36.2</w:t>
      </w:r>
      <w:r>
        <w:rPr>
          <w:sz w:val="20"/>
          <w:szCs w:val="20"/>
          <w:color w:val="auto"/>
        </w:rPr>
        <w:tab/>
      </w:r>
      <w:r>
        <w:rPr>
          <w:rFonts w:ascii="Arial" w:cs="Arial" w:eastAsia="Arial" w:hAnsi="Arial"/>
          <w:sz w:val="16"/>
          <w:szCs w:val="16"/>
          <w:color w:val="auto"/>
        </w:rPr>
        <w:t>Since the Accounts Date or (where the relevant employment commenced after the beginning of such period) since the commencing date of the particular employee's employment there has been:</w:t>
      </w:r>
    </w:p>
    <w:p>
      <w:pPr>
        <w:spacing w:after="0" w:line="48" w:lineRule="exact"/>
        <w:rPr>
          <w:sz w:val="20"/>
          <w:szCs w:val="20"/>
          <w:color w:val="auto"/>
        </w:rPr>
      </w:pPr>
    </w:p>
    <w:p>
      <w:pPr>
        <w:ind w:left="1160" w:right="20" w:hanging="578"/>
        <w:spacing w:after="0" w:line="235" w:lineRule="auto"/>
        <w:tabs>
          <w:tab w:leader="none" w:pos="1148"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 material alteration in the terms of employment and/or engagement or any material change in the number of officers, employees, workers or consultants employed and/or engaged by a Group Company; or</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 fees, earnings, remuneration or benefits paid or payable to any officer, employee, consultant or worker of a Group Company have increased by more than [***]%, nor are any negotiations for any increase in excess of [***]% current or likely to take place in the next [***] months in respect of the same.</w:t>
      </w:r>
    </w:p>
    <w:p>
      <w:pPr>
        <w:spacing w:after="0" w:line="49" w:lineRule="exact"/>
        <w:rPr>
          <w:sz w:val="20"/>
          <w:szCs w:val="20"/>
          <w:color w:val="auto"/>
        </w:rPr>
      </w:pPr>
    </w:p>
    <w:p>
      <w:pPr>
        <w:jc w:val="both"/>
        <w:ind w:left="580" w:hanging="575"/>
        <w:spacing w:after="0" w:line="216" w:lineRule="auto"/>
        <w:tabs>
          <w:tab w:leader="none" w:pos="560" w:val="left"/>
        </w:tabs>
        <w:rPr>
          <w:sz w:val="20"/>
          <w:szCs w:val="20"/>
          <w:color w:val="auto"/>
        </w:rPr>
      </w:pPr>
      <w:r>
        <w:rPr>
          <w:rFonts w:ascii="Arial" w:cs="Arial" w:eastAsia="Arial" w:hAnsi="Arial"/>
          <w:sz w:val="16"/>
          <w:szCs w:val="16"/>
          <w:color w:val="auto"/>
        </w:rPr>
        <w:t>36.3</w:t>
      </w:r>
      <w:r>
        <w:rPr>
          <w:sz w:val="20"/>
          <w:szCs w:val="20"/>
          <w:color w:val="auto"/>
        </w:rPr>
        <w:tab/>
      </w:r>
      <w:r>
        <w:rPr>
          <w:rFonts w:ascii="Arial" w:cs="Arial" w:eastAsia="Arial" w:hAnsi="Arial"/>
          <w:sz w:val="16"/>
          <w:szCs w:val="16"/>
          <w:color w:val="auto"/>
        </w:rPr>
        <w:t>No agreement has been reached or negotiations are current or anticipated to take place at any time within the period from the date of this Agreement to the date that is [***] months following Completion in relation to any decrease and/or variation in the remuneration, hours, incentive arrangements and/or benefits of officers, employees and/or workers of the Group Companies. In respect of any Disclosure against this warranty, any such agreement that has been reached and/or negotiations that have been started, have been carried out in accordance with the officers' employees' and workers' (as applicable) terms and conditions of employment or engagement and Applicable Laws.</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36.4</w:t>
      </w:r>
      <w:r>
        <w:rPr>
          <w:sz w:val="20"/>
          <w:szCs w:val="20"/>
          <w:color w:val="auto"/>
        </w:rPr>
        <w:tab/>
      </w:r>
      <w:r>
        <w:rPr>
          <w:rFonts w:ascii="Arial" w:cs="Arial" w:eastAsia="Arial" w:hAnsi="Arial"/>
          <w:sz w:val="14"/>
          <w:szCs w:val="14"/>
          <w:color w:val="auto"/>
        </w:rPr>
        <w:t>In relation to all officers, employees and workers who are or have been placed on furlough leave (or equivalent in any relevant jurisdiction):</w:t>
      </w:r>
    </w:p>
    <w:p>
      <w:pPr>
        <w:spacing w:after="0" w:line="68" w:lineRule="exact"/>
        <w:rPr>
          <w:sz w:val="20"/>
          <w:szCs w:val="20"/>
          <w:color w:val="auto"/>
        </w:rPr>
      </w:pPr>
    </w:p>
    <w:p>
      <w:pPr>
        <w:jc w:val="both"/>
        <w:ind w:left="1160" w:hanging="578"/>
        <w:spacing w:after="0" w:line="224"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no Group Company has re-employed and/or re-engaged any person, or otherwise extended any notice period and/or fixed term contract of any person to enable them to participate in such furlough or other governmental job retention scheme (including, but not limited to, the CJRS);</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reason for placing such person on furlough leave was wholly connected to the detrimental effects of Coronavirus on the reasonable need and/or ability of such a person to undertake their role for the relevant Group Company;</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no person has been given and/or has given notice to terminate their employment with any Group Company and/or otherwise been employed during their notice period at any time during which they were placed on furlough leave for the purposes of the CJRS;</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Company has at all times complied with the Treasury Direction made under Sections 71 and 76 of the Coronavirus Act 2020 (in each case, as amended from time to time);</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each Group Company has complied with all government guidance (as amended from time to time) in respect of any furlough or other governmental job retention scheme;</w:t>
      </w:r>
    </w:p>
    <w:p>
      <w:pPr>
        <w:spacing w:after="0" w:line="47" w:lineRule="exact"/>
        <w:rPr>
          <w:rFonts w:ascii="Arial" w:cs="Arial" w:eastAsia="Arial" w:hAnsi="Arial"/>
          <w:sz w:val="16"/>
          <w:szCs w:val="16"/>
          <w:color w:val="auto"/>
        </w:rPr>
      </w:pPr>
    </w:p>
    <w:p>
      <w:pPr>
        <w:ind w:left="1160" w:right="20" w:hanging="578"/>
        <w:spacing w:after="0" w:line="298" w:lineRule="auto"/>
        <w:tabs>
          <w:tab w:leader="none" w:pos="1148" w:val="left"/>
        </w:tabs>
        <w:numPr>
          <w:ilvl w:val="0"/>
          <w:numId w:val="434"/>
        </w:numPr>
        <w:rPr>
          <w:rFonts w:ascii="Arial" w:cs="Arial" w:eastAsia="Arial" w:hAnsi="Arial"/>
          <w:sz w:val="14"/>
          <w:szCs w:val="14"/>
          <w:color w:val="auto"/>
        </w:rPr>
      </w:pPr>
      <w:r>
        <w:rPr>
          <w:rFonts w:ascii="Arial" w:cs="Arial" w:eastAsia="Arial" w:hAnsi="Arial"/>
          <w:sz w:val="14"/>
          <w:szCs w:val="14"/>
          <w:color w:val="auto"/>
        </w:rPr>
        <w:t>there are no circumstances in which it could be reasonably claimed that any Group Company's use of a furlough or other governmental job retention scheme in respect of any such person is abusive or is otherwise contrary to its exceptional purpose; and/or</w:t>
      </w:r>
    </w:p>
    <w:p>
      <w:pPr>
        <w:spacing w:after="0" w:line="8" w:lineRule="exact"/>
        <w:rPr>
          <w:rFonts w:ascii="Arial" w:cs="Arial" w:eastAsia="Arial" w:hAnsi="Arial"/>
          <w:sz w:val="14"/>
          <w:szCs w:val="14"/>
          <w:color w:val="auto"/>
        </w:rPr>
      </w:pPr>
    </w:p>
    <w:p>
      <w:pPr>
        <w:ind w:left="1160" w:right="20" w:hanging="578"/>
        <w:spacing w:after="0" w:line="235"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each Group Company has not submitted any dishonest, inaccurate and/or fraudulent information to HMRC (or equivalent body in each relevant jurisdiction) in respect of any such person;</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no worker has been placed on furlough and been paid using furlough or other governmental job retention scheme grant unless they were on the Company's payroll at the date required under the Treasury Direction made under Sections 71 and 76 of the Coronavirus Act 2020 (in each case, as amended from time to time); or</w:t>
      </w:r>
    </w:p>
    <w:p>
      <w:pPr>
        <w:spacing w:after="0" w:line="48" w:lineRule="exact"/>
        <w:rPr>
          <w:rFonts w:ascii="Arial" w:cs="Arial" w:eastAsia="Arial" w:hAnsi="Arial"/>
          <w:sz w:val="16"/>
          <w:szCs w:val="16"/>
          <w:color w:val="auto"/>
        </w:rPr>
      </w:pPr>
    </w:p>
    <w:p>
      <w:pPr>
        <w:ind w:left="1160" w:hanging="578"/>
        <w:spacing w:after="0" w:line="235" w:lineRule="auto"/>
        <w:tabs>
          <w:tab w:leader="none" w:pos="116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provision has been made in the Company's accounts for payment of annual leave accrued during the furlough period in respect of any and each zero hours worker furloughed by the Company.</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36.5</w:t>
      </w:r>
      <w:r>
        <w:rPr>
          <w:sz w:val="20"/>
          <w:szCs w:val="20"/>
          <w:color w:val="auto"/>
        </w:rPr>
        <w:tab/>
      </w:r>
      <w:r>
        <w:rPr>
          <w:rFonts w:ascii="Arial" w:cs="Arial" w:eastAsia="Arial" w:hAnsi="Arial"/>
          <w:sz w:val="16"/>
          <w:szCs w:val="16"/>
          <w:color w:val="auto"/>
        </w:rPr>
        <w:t>In the [***] months preceding Completion, the Company has at all times, insofar as required by Applicable Law, required employees, workers and officers of the Company to take any accrued but unused holiday entitlement in the relevant leave year. The Company has not permitted, nor is it aware of any such circumstances in which any employees, workers or officers of the</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72</w:t>
      </w:r>
    </w:p>
    <w:p>
      <w:pPr>
        <w:sectPr>
          <w:pgSz w:w="11900" w:h="16840" w:orient="portrait"/>
          <w:cols w:equalWidth="0" w:num="1">
            <w:col w:w="10580"/>
          </w:cols>
          <w:pgMar w:left="660" w:top="1440" w:right="660" w:bottom="1440" w:gutter="0" w:footer="0" w:header="0"/>
        </w:sectPr>
      </w:pPr>
    </w:p>
    <w:bookmarkStart w:id="423" w:name="page424"/>
    <w:bookmarkEnd w:id="423"/>
    <w:p>
      <w:pPr>
        <w:spacing w:after="0" w:line="331" w:lineRule="exact"/>
        <w:rPr>
          <w:sz w:val="20"/>
          <w:szCs w:val="20"/>
          <w:color w:val="auto"/>
        </w:rPr>
      </w:pPr>
    </w:p>
    <w:p>
      <w:pPr>
        <w:ind w:left="580" w:right="20"/>
        <w:spacing w:after="0" w:line="235" w:lineRule="auto"/>
        <w:rPr>
          <w:sz w:val="20"/>
          <w:szCs w:val="20"/>
          <w:color w:val="auto"/>
        </w:rPr>
      </w:pPr>
      <w:r>
        <w:rPr>
          <w:rFonts w:ascii="Arial" w:cs="Arial" w:eastAsia="Arial" w:hAnsi="Arial"/>
          <w:sz w:val="16"/>
          <w:szCs w:val="16"/>
          <w:color w:val="auto"/>
        </w:rPr>
        <w:t>Company may claim that they are eligible to carry over any holiday entitlement in accordance with Working Time (Coronavirus) (Amendment) Regulations 2020.</w:t>
      </w:r>
    </w:p>
    <w:p>
      <w:pPr>
        <w:spacing w:after="0" w:line="48"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36.6</w:t>
      </w:r>
      <w:r>
        <w:rPr>
          <w:sz w:val="20"/>
          <w:szCs w:val="20"/>
          <w:color w:val="auto"/>
        </w:rPr>
        <w:tab/>
      </w:r>
      <w:r>
        <w:rPr>
          <w:rFonts w:ascii="Arial" w:cs="Arial" w:eastAsia="Arial" w:hAnsi="Arial"/>
          <w:sz w:val="16"/>
          <w:szCs w:val="16"/>
          <w:color w:val="auto"/>
        </w:rPr>
        <w:t>The Company is not bound or accustomed to pay any monies other than in respect of contractual remuneration or earnings of employment to or for the benefit of any employee.</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36.7</w:t>
      </w:r>
      <w:r>
        <w:rPr>
          <w:sz w:val="20"/>
          <w:szCs w:val="20"/>
          <w:color w:val="auto"/>
        </w:rPr>
        <w:tab/>
      </w:r>
      <w:r>
        <w:rPr>
          <w:rFonts w:ascii="Arial" w:cs="Arial" w:eastAsia="Arial" w:hAnsi="Arial"/>
          <w:sz w:val="16"/>
          <w:szCs w:val="16"/>
          <w:color w:val="auto"/>
        </w:rPr>
        <w:t>No agreement has been reached with any employee, trade union or other employee representative that will on a future date result in an increase in the rate of remuneration or enhanced benefits for any employee (including but not limited to, bonus or commission payments).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36.8</w:t>
      </w:r>
      <w:r>
        <w:rPr>
          <w:sz w:val="20"/>
          <w:szCs w:val="20"/>
          <w:color w:val="auto"/>
        </w:rPr>
        <w:tab/>
      </w:r>
      <w:r>
        <w:rPr>
          <w:rFonts w:ascii="Arial" w:cs="Arial" w:eastAsia="Arial" w:hAnsi="Arial"/>
          <w:sz w:val="16"/>
          <w:szCs w:val="16"/>
          <w:color w:val="auto"/>
        </w:rPr>
        <w:t>No negotiations for any increase in the remuneration or benefits of any employees is current or (based on past practice) anticipated to take place within [***] months after the date of this Agreement.</w:t>
      </w:r>
    </w:p>
    <w:p>
      <w:pPr>
        <w:spacing w:after="0" w:line="48"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36.9</w:t>
      </w:r>
      <w:r>
        <w:rPr>
          <w:sz w:val="20"/>
          <w:szCs w:val="20"/>
          <w:color w:val="auto"/>
        </w:rPr>
        <w:tab/>
      </w:r>
      <w:r>
        <w:rPr>
          <w:rFonts w:ascii="Arial" w:cs="Arial" w:eastAsia="Arial" w:hAnsi="Arial"/>
          <w:sz w:val="16"/>
          <w:szCs w:val="16"/>
          <w:color w:val="auto"/>
        </w:rPr>
        <w:t>Other than salary for the current month and accrued holiday pay for the current holiday year, no amount is owing to any present or former officer, employee, worker or consultant of the Company in respect of the period up to the date of this Agreement.</w:t>
      </w:r>
    </w:p>
    <w:p>
      <w:pPr>
        <w:spacing w:after="0" w:line="48"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36.10</w:t>
        <w:tab/>
        <w:t>There is not outstanding any agreement or arrangement to which the Company is party in relation to profit sharing or for payment of bonuses or for incentive payments or other similar matters.</w:t>
      </w:r>
    </w:p>
    <w:p>
      <w:pPr>
        <w:spacing w:after="0" w:line="48" w:lineRule="exact"/>
        <w:rPr>
          <w:sz w:val="20"/>
          <w:szCs w:val="20"/>
          <w:color w:val="auto"/>
        </w:rPr>
      </w:pPr>
    </w:p>
    <w:p>
      <w:pPr>
        <w:jc w:val="both"/>
        <w:ind w:left="560" w:hanging="575"/>
        <w:spacing w:after="0" w:line="219" w:lineRule="auto"/>
        <w:tabs>
          <w:tab w:leader="none" w:pos="540" w:val="left"/>
        </w:tabs>
        <w:rPr>
          <w:sz w:val="20"/>
          <w:szCs w:val="20"/>
          <w:color w:val="auto"/>
        </w:rPr>
      </w:pPr>
      <w:r>
        <w:rPr>
          <w:rFonts w:ascii="Arial" w:cs="Arial" w:eastAsia="Arial" w:hAnsi="Arial"/>
          <w:sz w:val="16"/>
          <w:szCs w:val="16"/>
          <w:color w:val="auto"/>
        </w:rPr>
        <w:t>36.11</w:t>
        <w:tab/>
        <w:t>Save for the Stock Option Plan and the French Plan and as disclosed in the Disclosure Documents, the Company does not operate (nor is the Company proposing to introduce) any share incentive, share option, restricted stock or phantom scheme, or any long term incentive plan, stock appreciation right, profit sharing, bonus, commission or other employees' share scheme or employee benefit trust for the benefit of all or any of its current or former directors or employees.</w:t>
      </w:r>
    </w:p>
    <w:p>
      <w:pPr>
        <w:spacing w:after="0" w:line="4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36.12</w:t>
      </w:r>
      <w:r>
        <w:rPr>
          <w:sz w:val="20"/>
          <w:szCs w:val="20"/>
          <w:color w:val="auto"/>
        </w:rPr>
        <w:tab/>
      </w:r>
      <w:r>
        <w:rPr>
          <w:rFonts w:ascii="Arial" w:cs="Arial" w:eastAsia="Arial" w:hAnsi="Arial"/>
          <w:sz w:val="14"/>
          <w:szCs w:val="14"/>
          <w:color w:val="auto"/>
        </w:rPr>
        <w:t>In relation to the Stock Option Plan:</w:t>
      </w:r>
    </w:p>
    <w:p>
      <w:pPr>
        <w:spacing w:after="0" w:line="68" w:lineRule="exact"/>
        <w:rPr>
          <w:sz w:val="20"/>
          <w:szCs w:val="20"/>
          <w:color w:val="auto"/>
        </w:rPr>
      </w:pPr>
    </w:p>
    <w:p>
      <w:pPr>
        <w:ind w:left="1140" w:hanging="558"/>
        <w:spacing w:after="0"/>
        <w:tabs>
          <w:tab w:leader="none" w:pos="114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details:</w:t>
      </w:r>
    </w:p>
    <w:p>
      <w:pPr>
        <w:spacing w:after="0" w:line="68" w:lineRule="exact"/>
        <w:rPr>
          <w:rFonts w:ascii="Arial" w:cs="Arial" w:eastAsia="Arial" w:hAnsi="Arial"/>
          <w:sz w:val="16"/>
          <w:szCs w:val="16"/>
          <w:color w:val="auto"/>
        </w:rPr>
      </w:pPr>
    </w:p>
    <w:p>
      <w:pPr>
        <w:jc w:val="both"/>
        <w:ind w:left="1740" w:right="20" w:hanging="582"/>
        <w:spacing w:after="0" w:line="219" w:lineRule="auto"/>
        <w:tabs>
          <w:tab w:leader="none" w:pos="174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of it (including copies of board minutes, the rules of the Stock Option Plan and any amendments thereto), together with details of the unique scheme reference number provided by HMRC on registration of the Stock Option Plan, copies of any advance assurance sought or obtained from HMRC, all annual returns filed with HMRC and any correspondence with HMRC Shares and Assets Valuation;</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435"/>
        </w:numPr>
        <w:rPr>
          <w:rFonts w:ascii="Arial" w:cs="Arial" w:eastAsia="Arial" w:hAnsi="Arial"/>
          <w:sz w:val="16"/>
          <w:szCs w:val="16"/>
          <w:color w:val="auto"/>
        </w:rPr>
      </w:pPr>
      <w:r>
        <w:rPr>
          <w:rFonts w:ascii="Arial" w:cs="Arial" w:eastAsia="Arial" w:hAnsi="Arial"/>
          <w:sz w:val="16"/>
          <w:szCs w:val="16"/>
          <w:color w:val="auto"/>
        </w:rPr>
        <w:t>of all Options which have been granted to current or former employees and directors (including Options which have been surrendered, renounced or lapsed) and copies of all letters or agreements granting Options, forms of exercise and details of:</w:t>
      </w:r>
    </w:p>
    <w:p>
      <w:pPr>
        <w:spacing w:after="0" w:line="47" w:lineRule="exact"/>
        <w:rPr>
          <w:rFonts w:ascii="Arial" w:cs="Arial" w:eastAsia="Arial" w:hAnsi="Arial"/>
          <w:sz w:val="16"/>
          <w:szCs w:val="16"/>
          <w:color w:val="auto"/>
        </w:rPr>
      </w:pPr>
    </w:p>
    <w:p>
      <w:pPr>
        <w:ind w:left="2300" w:hanging="565"/>
        <w:spacing w:after="0"/>
        <w:tabs>
          <w:tab w:leader="none" w:pos="23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the date of grant;</w:t>
      </w:r>
    </w:p>
    <w:p>
      <w:pPr>
        <w:spacing w:after="0" w:line="68" w:lineRule="exact"/>
        <w:rPr>
          <w:rFonts w:ascii="Arial" w:cs="Arial" w:eastAsia="Arial" w:hAnsi="Arial"/>
          <w:sz w:val="16"/>
          <w:szCs w:val="16"/>
          <w:color w:val="auto"/>
        </w:rPr>
      </w:pPr>
    </w:p>
    <w:p>
      <w:pPr>
        <w:ind w:left="2300" w:hanging="565"/>
        <w:spacing w:after="0"/>
        <w:tabs>
          <w:tab w:leader="none" w:pos="23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the exercise price;</w:t>
      </w:r>
    </w:p>
    <w:p>
      <w:pPr>
        <w:spacing w:after="0" w:line="68" w:lineRule="exact"/>
        <w:rPr>
          <w:rFonts w:ascii="Arial" w:cs="Arial" w:eastAsia="Arial" w:hAnsi="Arial"/>
          <w:sz w:val="16"/>
          <w:szCs w:val="16"/>
          <w:color w:val="auto"/>
        </w:rPr>
      </w:pPr>
    </w:p>
    <w:p>
      <w:pPr>
        <w:ind w:left="2300" w:hanging="565"/>
        <w:spacing w:after="0"/>
        <w:tabs>
          <w:tab w:leader="none" w:pos="23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the number of shares under option;</w:t>
      </w:r>
    </w:p>
    <w:p>
      <w:pPr>
        <w:spacing w:after="0" w:line="68" w:lineRule="exact"/>
        <w:rPr>
          <w:rFonts w:ascii="Arial" w:cs="Arial" w:eastAsia="Arial" w:hAnsi="Arial"/>
          <w:sz w:val="16"/>
          <w:szCs w:val="16"/>
          <w:color w:val="auto"/>
        </w:rPr>
      </w:pPr>
    </w:p>
    <w:p>
      <w:pPr>
        <w:ind w:left="2300" w:hanging="565"/>
        <w:spacing w:after="0"/>
        <w:tabs>
          <w:tab w:leader="none" w:pos="23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the vesting terms; and</w:t>
      </w:r>
    </w:p>
    <w:p>
      <w:pPr>
        <w:spacing w:after="0" w:line="68" w:lineRule="exact"/>
        <w:rPr>
          <w:rFonts w:ascii="Arial" w:cs="Arial" w:eastAsia="Arial" w:hAnsi="Arial"/>
          <w:sz w:val="16"/>
          <w:szCs w:val="16"/>
          <w:color w:val="auto"/>
        </w:rPr>
      </w:pPr>
    </w:p>
    <w:p>
      <w:pPr>
        <w:ind w:left="2300" w:hanging="565"/>
        <w:spacing w:after="0"/>
        <w:tabs>
          <w:tab w:leader="none" w:pos="23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any performance conditions;</w:t>
      </w:r>
    </w:p>
    <w:p>
      <w:pPr>
        <w:spacing w:after="0" w:line="6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are contained in the Disclosure Documents;</w:t>
      </w:r>
    </w:p>
    <w:p>
      <w:pPr>
        <w:spacing w:after="0" w:line="68" w:lineRule="exact"/>
        <w:rPr>
          <w:sz w:val="20"/>
          <w:szCs w:val="20"/>
          <w:color w:val="auto"/>
        </w:rPr>
      </w:pPr>
    </w:p>
    <w:p>
      <w:pPr>
        <w:ind w:left="1140" w:hanging="558"/>
        <w:spacing w:after="0"/>
        <w:tabs>
          <w:tab w:leader="none" w:pos="11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there have been no amendments to the terms of the Options;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36"/>
        </w:numPr>
        <w:rPr>
          <w:rFonts w:ascii="Arial" w:cs="Arial" w:eastAsia="Arial" w:hAnsi="Arial"/>
          <w:sz w:val="14"/>
          <w:szCs w:val="14"/>
          <w:color w:val="auto"/>
        </w:rPr>
      </w:pPr>
      <w:r>
        <w:rPr>
          <w:rFonts w:ascii="Arial" w:cs="Arial" w:eastAsia="Arial" w:hAnsi="Arial"/>
          <w:sz w:val="14"/>
          <w:szCs w:val="14"/>
          <w:color w:val="auto"/>
        </w:rPr>
        <w:t>each EMI Option granted was notified to the applicable authorising body in the relevant jurisdiction within [***] days of the date of grant;</w:t>
      </w:r>
    </w:p>
    <w:p>
      <w:pPr>
        <w:spacing w:after="0" w:line="91" w:lineRule="exact"/>
        <w:rPr>
          <w:rFonts w:ascii="Arial" w:cs="Arial" w:eastAsia="Arial" w:hAnsi="Arial"/>
          <w:sz w:val="14"/>
          <w:szCs w:val="14"/>
          <w:color w:val="auto"/>
        </w:rPr>
      </w:pPr>
    </w:p>
    <w:p>
      <w:pPr>
        <w:ind w:left="1140" w:hanging="558"/>
        <w:spacing w:after="0"/>
        <w:tabs>
          <w:tab w:leader="none" w:pos="11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none of the Options granted have been exercised (prior to the date of this Agreement);</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all registrations, notifications and declarations have been made to the applicable authorising body in the relevant jurisdiction within the relevant time period and no penalties have arisen or are expected to arise in respect of any such registrations, notifications and declarations;</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all EMI Options have been administered in accordance with the requirements of the Board of HMRC and ITEPA and in accordance with the powers and provisions contained in its rules and all applicable laws, regulations and requirements of any competent governmental body or regulatory authority; and</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no claim has been threatened or made or litigation commenced against the Company in respect of any matter arising out of or in connection with the Stock Option Plan and</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73</w:t>
      </w:r>
    </w:p>
    <w:p>
      <w:pPr>
        <w:sectPr>
          <w:pgSz w:w="11900" w:h="16840" w:orient="portrait"/>
          <w:cols w:equalWidth="0" w:num="1">
            <w:col w:w="10580"/>
          </w:cols>
          <w:pgMar w:left="660" w:top="1440" w:right="660" w:bottom="1440" w:gutter="0" w:footer="0" w:header="0"/>
        </w:sectPr>
      </w:pPr>
    </w:p>
    <w:bookmarkStart w:id="424" w:name="page425"/>
    <w:bookmarkEnd w:id="424"/>
    <w:p>
      <w:pPr>
        <w:spacing w:after="0" w:line="331" w:lineRule="exact"/>
        <w:rPr>
          <w:sz w:val="20"/>
          <w:szCs w:val="20"/>
          <w:color w:val="auto"/>
        </w:rPr>
      </w:pPr>
    </w:p>
    <w:p>
      <w:pPr>
        <w:ind w:left="1154"/>
        <w:spacing w:after="0"/>
        <w:rPr>
          <w:sz w:val="20"/>
          <w:szCs w:val="20"/>
          <w:color w:val="auto"/>
        </w:rPr>
      </w:pPr>
      <w:r>
        <w:rPr>
          <w:rFonts w:ascii="Arial" w:cs="Arial" w:eastAsia="Arial" w:hAnsi="Arial"/>
          <w:sz w:val="16"/>
          <w:szCs w:val="16"/>
          <w:color w:val="auto"/>
        </w:rPr>
        <w:t>so far as the Company is aware, there are no circumstances which may give rise to any such claim or litigation.</w:t>
      </w:r>
    </w:p>
    <w:p>
      <w:pPr>
        <w:spacing w:after="0" w:line="68" w:lineRule="exact"/>
        <w:rPr>
          <w:sz w:val="20"/>
          <w:szCs w:val="20"/>
          <w:color w:val="auto"/>
        </w:rPr>
      </w:pPr>
    </w:p>
    <w:p>
      <w:pPr>
        <w:jc w:val="both"/>
        <w:ind w:left="554" w:right="20" w:hanging="575"/>
        <w:spacing w:after="0" w:line="224" w:lineRule="auto"/>
        <w:tabs>
          <w:tab w:leader="none" w:pos="534" w:val="left"/>
        </w:tabs>
        <w:rPr>
          <w:sz w:val="20"/>
          <w:szCs w:val="20"/>
          <w:color w:val="auto"/>
        </w:rPr>
      </w:pPr>
      <w:r>
        <w:rPr>
          <w:rFonts w:ascii="Arial" w:cs="Arial" w:eastAsia="Arial" w:hAnsi="Arial"/>
          <w:sz w:val="16"/>
          <w:szCs w:val="16"/>
          <w:color w:val="auto"/>
        </w:rPr>
        <w:t>36.13</w:t>
        <w:tab/>
        <w:t>Save under the Stock Option Plan, no employment related securities (as defined in sections 420 and 421B(8), ITEPA) have been issued or transferred and no securities options (as defined in section 420(8), ITEPA) have been granted by the Company to any current or former employee or director, and there are no agreements or promises to make any such issues, transfers or grants.</w:t>
      </w:r>
    </w:p>
    <w:p>
      <w:pPr>
        <w:spacing w:after="0" w:line="49" w:lineRule="exact"/>
        <w:rPr>
          <w:sz w:val="20"/>
          <w:szCs w:val="20"/>
          <w:color w:val="auto"/>
        </w:rPr>
      </w:pPr>
    </w:p>
    <w:p>
      <w:pPr>
        <w:jc w:val="both"/>
        <w:ind w:left="554" w:hanging="575"/>
        <w:spacing w:after="0" w:line="224" w:lineRule="auto"/>
        <w:tabs>
          <w:tab w:leader="none" w:pos="534" w:val="left"/>
        </w:tabs>
        <w:rPr>
          <w:sz w:val="20"/>
          <w:szCs w:val="20"/>
          <w:color w:val="auto"/>
        </w:rPr>
      </w:pPr>
      <w:r>
        <w:rPr>
          <w:rFonts w:ascii="Arial" w:cs="Arial" w:eastAsia="Arial" w:hAnsi="Arial"/>
          <w:sz w:val="16"/>
          <w:szCs w:val="16"/>
          <w:color w:val="auto"/>
        </w:rPr>
        <w:t>36.14</w:t>
        <w:tab/>
        <w:t>There are no employee benefit trusts, family trusts or similar arrangements established by the Company and the Company is not aware of any relevant step taken by a relevant third party in respect of current or former employees or directors of the Company which would give rise to a liability under Part 7A of ITEPA.</w:t>
      </w:r>
    </w:p>
    <w:p>
      <w:pPr>
        <w:spacing w:after="0" w:line="49" w:lineRule="exact"/>
        <w:rPr>
          <w:sz w:val="20"/>
          <w:szCs w:val="20"/>
          <w:color w:val="auto"/>
        </w:rPr>
      </w:pPr>
    </w:p>
    <w:p>
      <w:pPr>
        <w:jc w:val="both"/>
        <w:ind w:left="554" w:right="20" w:hanging="575"/>
        <w:spacing w:after="0" w:line="235" w:lineRule="auto"/>
        <w:tabs>
          <w:tab w:leader="none" w:pos="534" w:val="left"/>
        </w:tabs>
        <w:rPr>
          <w:sz w:val="20"/>
          <w:szCs w:val="20"/>
          <w:color w:val="auto"/>
        </w:rPr>
      </w:pPr>
      <w:r>
        <w:rPr>
          <w:rFonts w:ascii="Arial" w:cs="Arial" w:eastAsia="Arial" w:hAnsi="Arial"/>
          <w:sz w:val="16"/>
          <w:szCs w:val="16"/>
          <w:color w:val="auto"/>
        </w:rPr>
        <w:t>36.15</w:t>
        <w:tab/>
        <w:t>All joint elections in respect of restricted securities made by the Company with current or former employees or directors under Chapter 2 of Part 7 of ITEPA have been properly made using forms approved by HMRC and within the applicable time limits.</w:t>
      </w:r>
    </w:p>
    <w:p>
      <w:pPr>
        <w:spacing w:after="0" w:line="48" w:lineRule="exact"/>
        <w:rPr>
          <w:sz w:val="20"/>
          <w:szCs w:val="20"/>
          <w:color w:val="auto"/>
        </w:rPr>
      </w:pPr>
    </w:p>
    <w:p>
      <w:pPr>
        <w:jc w:val="both"/>
        <w:ind w:left="554" w:hanging="575"/>
        <w:spacing w:after="0" w:line="224" w:lineRule="auto"/>
        <w:tabs>
          <w:tab w:leader="none" w:pos="534" w:val="left"/>
        </w:tabs>
        <w:rPr>
          <w:sz w:val="20"/>
          <w:szCs w:val="20"/>
          <w:color w:val="auto"/>
        </w:rPr>
      </w:pPr>
      <w:r>
        <w:rPr>
          <w:rFonts w:ascii="Arial" w:cs="Arial" w:eastAsia="Arial" w:hAnsi="Arial"/>
          <w:sz w:val="16"/>
          <w:szCs w:val="16"/>
          <w:color w:val="auto"/>
        </w:rPr>
        <w:t>36.16</w:t>
        <w:tab/>
        <w:t>Any shares issued or transferred or options granted over shares by the Company to employees or directors under the Stock Option Plan or as disclosed in the Disclosure Letter meet the requirements for the Company to obtain a deduction for corporation tax under Part 12 of the Corporation Tax Act 2009 (or would do so, but for the effects of Completion).</w:t>
      </w:r>
    </w:p>
    <w:p>
      <w:pPr>
        <w:spacing w:after="0" w:line="49" w:lineRule="exact"/>
        <w:rPr>
          <w:sz w:val="20"/>
          <w:szCs w:val="20"/>
          <w:color w:val="auto"/>
        </w:rPr>
      </w:pPr>
    </w:p>
    <w:p>
      <w:pPr>
        <w:jc w:val="both"/>
        <w:ind w:left="554" w:hanging="575"/>
        <w:spacing w:after="0" w:line="219" w:lineRule="auto"/>
        <w:tabs>
          <w:tab w:leader="none" w:pos="534" w:val="left"/>
        </w:tabs>
        <w:rPr>
          <w:sz w:val="20"/>
          <w:szCs w:val="20"/>
          <w:color w:val="auto"/>
        </w:rPr>
      </w:pPr>
      <w:r>
        <w:rPr>
          <w:rFonts w:ascii="Arial" w:cs="Arial" w:eastAsia="Arial" w:hAnsi="Arial"/>
          <w:sz w:val="16"/>
          <w:szCs w:val="16"/>
          <w:color w:val="auto"/>
        </w:rPr>
        <w:t>36.17</w:t>
        <w:tab/>
        <w:t>The agreements entered into between InstaDeep SAS and any of its employees and any other agreement between any InstaDeep SAS and one of its officers or directors currently in effect do not provide for indemnification, including indemnification in case of dismissal, exceeding the obligations provided for under the applicable collective bargaining agreements or applicable laws, nor do they provide for any contractual benefits beyond statutory requirements (</w:t>
      </w:r>
      <w:r>
        <w:rPr>
          <w:rFonts w:ascii="Arial" w:cs="Arial" w:eastAsia="Arial" w:hAnsi="Arial"/>
          <w:sz w:val="16"/>
          <w:szCs w:val="16"/>
          <w:i w:val="1"/>
          <w:iCs w:val="1"/>
          <w:color w:val="auto"/>
        </w:rPr>
        <w:t>avantages particuliers exceptionnels</w:t>
      </w:r>
      <w:r>
        <w:rPr>
          <w:rFonts w:ascii="Arial" w:cs="Arial" w:eastAsia="Arial" w:hAnsi="Arial"/>
          <w:sz w:val="16"/>
          <w:szCs w:val="16"/>
          <w:color w:val="auto"/>
        </w:rPr>
        <w:t>), including social benefits.</w:t>
      </w:r>
    </w:p>
    <w:p>
      <w:pPr>
        <w:spacing w:after="0" w:line="47" w:lineRule="exact"/>
        <w:rPr>
          <w:sz w:val="20"/>
          <w:szCs w:val="20"/>
          <w:color w:val="auto"/>
        </w:rPr>
      </w:pPr>
    </w:p>
    <w:p>
      <w:pPr>
        <w:ind w:left="574" w:hanging="574"/>
        <w:spacing w:after="0"/>
        <w:tabs>
          <w:tab w:leader="none" w:pos="574" w:val="left"/>
        </w:tabs>
        <w:numPr>
          <w:ilvl w:val="0"/>
          <w:numId w:val="437"/>
        </w:numPr>
        <w:rPr>
          <w:rFonts w:ascii="Arial" w:cs="Arial" w:eastAsia="Arial" w:hAnsi="Arial"/>
          <w:sz w:val="16"/>
          <w:szCs w:val="16"/>
          <w:color w:val="auto"/>
        </w:rPr>
      </w:pPr>
      <w:r>
        <w:rPr>
          <w:rFonts w:ascii="Arial" w:cs="Arial" w:eastAsia="Arial" w:hAnsi="Arial"/>
          <w:sz w:val="16"/>
          <w:szCs w:val="16"/>
          <w:b w:val="1"/>
          <w:bCs w:val="1"/>
          <w:color w:val="auto"/>
        </w:rPr>
        <w:t>Compliance</w:t>
      </w:r>
    </w:p>
    <w:p>
      <w:pPr>
        <w:spacing w:after="0" w:line="70" w:lineRule="exact"/>
        <w:rPr>
          <w:sz w:val="20"/>
          <w:szCs w:val="20"/>
          <w:color w:val="auto"/>
        </w:rPr>
      </w:pPr>
    </w:p>
    <w:p>
      <w:pPr>
        <w:jc w:val="both"/>
        <w:ind w:left="574" w:hanging="575"/>
        <w:spacing w:after="0" w:line="224" w:lineRule="auto"/>
        <w:tabs>
          <w:tab w:leader="none" w:pos="554" w:val="left"/>
        </w:tabs>
        <w:rPr>
          <w:sz w:val="20"/>
          <w:szCs w:val="20"/>
          <w:color w:val="auto"/>
        </w:rPr>
      </w:pPr>
      <w:r>
        <w:rPr>
          <w:rFonts w:ascii="Arial" w:cs="Arial" w:eastAsia="Arial" w:hAnsi="Arial"/>
          <w:sz w:val="16"/>
          <w:szCs w:val="16"/>
          <w:color w:val="auto"/>
        </w:rPr>
        <w:t>37.1</w:t>
      </w:r>
      <w:r>
        <w:rPr>
          <w:sz w:val="20"/>
          <w:szCs w:val="20"/>
          <w:color w:val="auto"/>
        </w:rPr>
        <w:tab/>
      </w:r>
      <w:r>
        <w:rPr>
          <w:rFonts w:ascii="Arial" w:cs="Arial" w:eastAsia="Arial" w:hAnsi="Arial"/>
          <w:sz w:val="16"/>
          <w:szCs w:val="16"/>
          <w:color w:val="auto"/>
        </w:rPr>
        <w:t>Each Group Company has complied in all material respects with its obligations under Applicable Laws concerning the health and safety at work of its employees and workers and so far as the Warrantors are aware, there are no claims pending or threatened by any employee or third party in respect of any accident or injury which are not fully covered by insurance.</w:t>
      </w:r>
    </w:p>
    <w:p>
      <w:pPr>
        <w:spacing w:after="0" w:line="49" w:lineRule="exact"/>
        <w:rPr>
          <w:sz w:val="20"/>
          <w:szCs w:val="20"/>
          <w:color w:val="auto"/>
        </w:rPr>
      </w:pPr>
    </w:p>
    <w:p>
      <w:pPr>
        <w:jc w:val="both"/>
        <w:ind w:left="574" w:hanging="575"/>
        <w:spacing w:after="0" w:line="214" w:lineRule="auto"/>
        <w:tabs>
          <w:tab w:leader="none" w:pos="554" w:val="left"/>
        </w:tabs>
        <w:rPr>
          <w:sz w:val="20"/>
          <w:szCs w:val="20"/>
          <w:color w:val="auto"/>
        </w:rPr>
      </w:pPr>
      <w:r>
        <w:rPr>
          <w:rFonts w:ascii="Arial" w:cs="Arial" w:eastAsia="Arial" w:hAnsi="Arial"/>
          <w:sz w:val="16"/>
          <w:szCs w:val="16"/>
          <w:color w:val="auto"/>
        </w:rPr>
        <w:t>37.2</w:t>
      </w:r>
      <w:r>
        <w:rPr>
          <w:sz w:val="20"/>
          <w:szCs w:val="20"/>
          <w:color w:val="auto"/>
        </w:rPr>
        <w:tab/>
      </w:r>
      <w:r>
        <w:rPr>
          <w:rFonts w:ascii="Arial" w:cs="Arial" w:eastAsia="Arial" w:hAnsi="Arial"/>
          <w:sz w:val="16"/>
          <w:szCs w:val="16"/>
          <w:color w:val="auto"/>
        </w:rPr>
        <w:t xml:space="preserve">InstaDeep SAS has complied in all material respects with its obligations under Applicable Laws concerning employment and social security matters, the provisions of any collective bargaining agreements applying to it and/or to which it is a party, those relating to working hours and extra-hours, monitoring of working-time, overtime, disconnection </w:t>
      </w:r>
      <w:r>
        <w:rPr>
          <w:rFonts w:ascii="Arial" w:cs="Arial" w:eastAsia="Arial" w:hAnsi="Arial"/>
          <w:sz w:val="16"/>
          <w:szCs w:val="16"/>
          <w:i w:val="1"/>
          <w:iCs w:val="1"/>
          <w:color w:val="auto"/>
        </w:rPr>
        <w:t>(droit à la déconnection),</w:t>
      </w:r>
      <w:r>
        <w:rPr>
          <w:rFonts w:ascii="Arial" w:cs="Arial" w:eastAsia="Arial" w:hAnsi="Arial"/>
          <w:sz w:val="16"/>
          <w:szCs w:val="16"/>
          <w:color w:val="auto"/>
        </w:rPr>
        <w:t xml:space="preserve"> the health and safety at work of its employees and workers, calculation and payment of social contributions, immigration, non-discrimination, work of disabled employees, regulations relating to the internal regulation </w:t>
      </w:r>
      <w:r>
        <w:rPr>
          <w:rFonts w:ascii="Arial" w:cs="Arial" w:eastAsia="Arial" w:hAnsi="Arial"/>
          <w:sz w:val="16"/>
          <w:szCs w:val="16"/>
          <w:i w:val="1"/>
          <w:iCs w:val="1"/>
          <w:color w:val="auto"/>
        </w:rPr>
        <w:t>(règlement intérieur)</w:t>
      </w:r>
      <w:r>
        <w:rPr>
          <w:rFonts w:ascii="Arial" w:cs="Arial" w:eastAsia="Arial" w:hAnsi="Arial"/>
          <w:sz w:val="16"/>
          <w:szCs w:val="16"/>
          <w:color w:val="auto"/>
        </w:rPr>
        <w:t>, employee termination, as well as employee representation and so far as the Warrantors are aware, there are no claims pending or threatened by any employee or third party of any of such non-compliance.</w:t>
      </w:r>
    </w:p>
    <w:p>
      <w:pPr>
        <w:spacing w:after="0" w:line="48" w:lineRule="exact"/>
        <w:rPr>
          <w:sz w:val="20"/>
          <w:szCs w:val="20"/>
          <w:color w:val="auto"/>
        </w:rPr>
      </w:pPr>
    </w:p>
    <w:p>
      <w:pPr>
        <w:jc w:val="both"/>
        <w:ind w:left="574" w:hanging="575"/>
        <w:spacing w:after="0" w:line="235" w:lineRule="auto"/>
        <w:tabs>
          <w:tab w:leader="none" w:pos="554" w:val="left"/>
        </w:tabs>
        <w:rPr>
          <w:sz w:val="20"/>
          <w:szCs w:val="20"/>
          <w:color w:val="auto"/>
        </w:rPr>
      </w:pPr>
      <w:r>
        <w:rPr>
          <w:rFonts w:ascii="Arial" w:cs="Arial" w:eastAsia="Arial" w:hAnsi="Arial"/>
          <w:sz w:val="16"/>
          <w:szCs w:val="16"/>
          <w:color w:val="auto"/>
        </w:rPr>
        <w:t>37.3</w:t>
      </w:r>
      <w:r>
        <w:rPr>
          <w:sz w:val="20"/>
          <w:szCs w:val="20"/>
          <w:color w:val="auto"/>
        </w:rPr>
        <w:tab/>
      </w:r>
      <w:r>
        <w:rPr>
          <w:rFonts w:ascii="Arial" w:cs="Arial" w:eastAsia="Arial" w:hAnsi="Arial"/>
          <w:sz w:val="16"/>
          <w:szCs w:val="16"/>
          <w:color w:val="auto"/>
        </w:rPr>
        <w:t>In relation to each of the employees (and so far as relevant to each of its former employees) so far as the Warrantors are aware each Group Company has:</w:t>
      </w:r>
    </w:p>
    <w:p>
      <w:pPr>
        <w:spacing w:after="0" w:line="48" w:lineRule="exact"/>
        <w:rPr>
          <w:sz w:val="20"/>
          <w:szCs w:val="20"/>
          <w:color w:val="auto"/>
        </w:rPr>
      </w:pPr>
    </w:p>
    <w:p>
      <w:pPr>
        <w:ind w:left="1154" w:right="20" w:hanging="578"/>
        <w:spacing w:after="0" w:line="235" w:lineRule="auto"/>
        <w:tabs>
          <w:tab w:leader="none" w:pos="114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complied with all obligations imposed on it by all Applicable Laws relevant to the relations between it and any employee and any recognised trade union or other employee representative; and</w:t>
      </w:r>
    </w:p>
    <w:p>
      <w:pPr>
        <w:spacing w:after="0" w:line="47" w:lineRule="exact"/>
        <w:rPr>
          <w:rFonts w:ascii="Arial" w:cs="Arial" w:eastAsia="Arial" w:hAnsi="Arial"/>
          <w:sz w:val="16"/>
          <w:szCs w:val="16"/>
          <w:color w:val="auto"/>
        </w:rPr>
      </w:pPr>
    </w:p>
    <w:p>
      <w:pPr>
        <w:ind w:left="1134" w:hanging="558"/>
        <w:spacing w:after="0"/>
        <w:tabs>
          <w:tab w:leader="none" w:pos="1134" w:val="left"/>
        </w:tabs>
        <w:numPr>
          <w:ilvl w:val="0"/>
          <w:numId w:val="438"/>
        </w:numPr>
        <w:rPr>
          <w:rFonts w:ascii="Arial" w:cs="Arial" w:eastAsia="Arial" w:hAnsi="Arial"/>
          <w:sz w:val="16"/>
          <w:szCs w:val="16"/>
          <w:color w:val="auto"/>
        </w:rPr>
      </w:pPr>
      <w:r>
        <w:rPr>
          <w:rFonts w:ascii="Arial" w:cs="Arial" w:eastAsia="Arial" w:hAnsi="Arial"/>
          <w:sz w:val="16"/>
          <w:szCs w:val="16"/>
          <w:color w:val="auto"/>
        </w:rPr>
        <w:t>complied with all relevant orders and awards affecting the conditions of service of any employee.</w:t>
      </w:r>
    </w:p>
    <w:p>
      <w:pPr>
        <w:spacing w:after="0" w:line="68" w:lineRule="exact"/>
        <w:rPr>
          <w:sz w:val="20"/>
          <w:szCs w:val="20"/>
          <w:color w:val="auto"/>
        </w:rPr>
      </w:pPr>
    </w:p>
    <w:p>
      <w:pPr>
        <w:jc w:val="both"/>
        <w:ind w:left="574" w:hanging="575"/>
        <w:spacing w:after="0" w:line="219" w:lineRule="auto"/>
        <w:tabs>
          <w:tab w:leader="none" w:pos="554" w:val="left"/>
        </w:tabs>
        <w:rPr>
          <w:sz w:val="20"/>
          <w:szCs w:val="20"/>
          <w:color w:val="auto"/>
        </w:rPr>
      </w:pPr>
      <w:r>
        <w:rPr>
          <w:rFonts w:ascii="Arial" w:cs="Arial" w:eastAsia="Arial" w:hAnsi="Arial"/>
          <w:sz w:val="16"/>
          <w:szCs w:val="16"/>
          <w:color w:val="auto"/>
        </w:rPr>
        <w:t>37.4</w:t>
      </w:r>
      <w:r>
        <w:rPr>
          <w:sz w:val="20"/>
          <w:szCs w:val="20"/>
          <w:color w:val="auto"/>
        </w:rPr>
        <w:tab/>
      </w:r>
      <w:r>
        <w:rPr>
          <w:rFonts w:ascii="Arial" w:cs="Arial" w:eastAsia="Arial" w:hAnsi="Arial"/>
          <w:sz w:val="16"/>
          <w:szCs w:val="16"/>
          <w:color w:val="auto"/>
        </w:rPr>
        <w:t>InstaDeep Nigeria Limited has at all times complied in all material respects with its obligations in respect of the Nigeria Social Insurance Trust Fund (</w:t>
      </w:r>
      <w:r>
        <w:rPr>
          <w:rFonts w:ascii="Arial" w:cs="Arial" w:eastAsia="Arial" w:hAnsi="Arial"/>
          <w:sz w:val="16"/>
          <w:szCs w:val="16"/>
          <w:b w:val="1"/>
          <w:bCs w:val="1"/>
          <w:color w:val="auto"/>
        </w:rPr>
        <w:t>"NSITF"</w:t>
      </w:r>
      <w:r>
        <w:rPr>
          <w:rFonts w:ascii="Arial" w:cs="Arial" w:eastAsia="Arial" w:hAnsi="Arial"/>
          <w:sz w:val="16"/>
          <w:szCs w:val="16"/>
          <w:color w:val="auto"/>
        </w:rPr>
        <w:t>) and provisions of the Nigerian Employees Compensation Act 2010, and all returns which are required to have been submitted in respect of the NSITF for the years 2020, 2021 and 2022 have been submitted to the NSITF Management Board on or before the relevant submission dates.</w:t>
      </w:r>
    </w:p>
    <w:p>
      <w:pPr>
        <w:spacing w:after="0" w:line="49" w:lineRule="exact"/>
        <w:rPr>
          <w:sz w:val="20"/>
          <w:szCs w:val="20"/>
          <w:color w:val="auto"/>
        </w:rPr>
      </w:pPr>
    </w:p>
    <w:p>
      <w:pPr>
        <w:jc w:val="both"/>
        <w:ind w:left="574" w:right="20" w:hanging="575"/>
        <w:spacing w:after="0" w:line="224" w:lineRule="auto"/>
        <w:tabs>
          <w:tab w:leader="none" w:pos="554" w:val="left"/>
        </w:tabs>
        <w:rPr>
          <w:sz w:val="20"/>
          <w:szCs w:val="20"/>
          <w:color w:val="auto"/>
        </w:rPr>
      </w:pPr>
      <w:r>
        <w:rPr>
          <w:rFonts w:ascii="Arial" w:cs="Arial" w:eastAsia="Arial" w:hAnsi="Arial"/>
          <w:sz w:val="16"/>
          <w:szCs w:val="16"/>
          <w:color w:val="auto"/>
        </w:rPr>
        <w:t>37.5</w:t>
      </w:r>
      <w:r>
        <w:rPr>
          <w:sz w:val="20"/>
          <w:szCs w:val="20"/>
          <w:color w:val="auto"/>
        </w:rPr>
        <w:tab/>
      </w:r>
      <w:r>
        <w:rPr>
          <w:rFonts w:ascii="Arial" w:cs="Arial" w:eastAsia="Arial" w:hAnsi="Arial"/>
          <w:sz w:val="16"/>
          <w:szCs w:val="16"/>
          <w:color w:val="auto"/>
        </w:rPr>
        <w:t>InstaDeep Tunisia has at all times complied in all material respects with its obligations pursuant to Article 34 (new) of Law n°60-30 of 14 December 1960 on the organization of social security schemes, including but not limited to the declaration and payment of quarterly social contributions.</w:t>
      </w:r>
    </w:p>
    <w:p>
      <w:pPr>
        <w:spacing w:after="0" w:line="49" w:lineRule="exact"/>
        <w:rPr>
          <w:sz w:val="20"/>
          <w:szCs w:val="20"/>
          <w:color w:val="auto"/>
        </w:rPr>
      </w:pPr>
    </w:p>
    <w:p>
      <w:pPr>
        <w:jc w:val="both"/>
        <w:ind w:left="574" w:right="20" w:hanging="575"/>
        <w:spacing w:after="0" w:line="235" w:lineRule="auto"/>
        <w:tabs>
          <w:tab w:leader="none" w:pos="554" w:val="left"/>
        </w:tabs>
        <w:rPr>
          <w:sz w:val="20"/>
          <w:szCs w:val="20"/>
          <w:color w:val="auto"/>
        </w:rPr>
      </w:pPr>
      <w:r>
        <w:rPr>
          <w:rFonts w:ascii="Arial" w:cs="Arial" w:eastAsia="Arial" w:hAnsi="Arial"/>
          <w:sz w:val="16"/>
          <w:szCs w:val="16"/>
          <w:color w:val="auto"/>
        </w:rPr>
        <w:t>37.6</w:t>
      </w:r>
      <w:r>
        <w:rPr>
          <w:sz w:val="20"/>
          <w:szCs w:val="20"/>
          <w:color w:val="auto"/>
        </w:rPr>
        <w:tab/>
      </w:r>
      <w:r>
        <w:rPr>
          <w:rFonts w:ascii="Arial" w:cs="Arial" w:eastAsia="Arial" w:hAnsi="Arial"/>
          <w:sz w:val="16"/>
          <w:szCs w:val="16"/>
          <w:color w:val="auto"/>
        </w:rPr>
        <w:t>The Company has paid to HMRC and any other appropriate authority all Taxation, National Insurance contributions and other levies due in respect of any employee in respect of their employment by the Company.</w:t>
      </w:r>
    </w:p>
    <w:p>
      <w:pPr>
        <w:spacing w:after="0" w:line="48" w:lineRule="exact"/>
        <w:rPr>
          <w:sz w:val="20"/>
          <w:szCs w:val="20"/>
          <w:color w:val="auto"/>
        </w:rPr>
      </w:pPr>
    </w:p>
    <w:p>
      <w:pPr>
        <w:jc w:val="both"/>
        <w:ind w:left="574" w:right="20" w:hanging="575"/>
        <w:spacing w:after="0" w:line="235" w:lineRule="auto"/>
        <w:tabs>
          <w:tab w:leader="none" w:pos="554" w:val="left"/>
        </w:tabs>
        <w:rPr>
          <w:sz w:val="20"/>
          <w:szCs w:val="20"/>
          <w:color w:val="auto"/>
        </w:rPr>
      </w:pPr>
      <w:r>
        <w:rPr>
          <w:rFonts w:ascii="Arial" w:cs="Arial" w:eastAsia="Arial" w:hAnsi="Arial"/>
          <w:sz w:val="16"/>
          <w:szCs w:val="16"/>
          <w:color w:val="auto"/>
        </w:rPr>
        <w:t>37.7</w:t>
      </w:r>
      <w:r>
        <w:rPr>
          <w:sz w:val="20"/>
          <w:szCs w:val="20"/>
          <w:color w:val="auto"/>
        </w:rPr>
        <w:tab/>
      </w:r>
      <w:r>
        <w:rPr>
          <w:rFonts w:ascii="Arial" w:cs="Arial" w:eastAsia="Arial" w:hAnsi="Arial"/>
          <w:sz w:val="16"/>
          <w:szCs w:val="16"/>
          <w:color w:val="auto"/>
        </w:rPr>
        <w:t>The Company has obtained and maintained up to date, adequate and suitable records regarding each employee's eligibility to work in the United Kingdom (or the relevant Applicable Jurisdiction in which they are employed) in accordance with Section 8, Asylum and</w:t>
      </w:r>
    </w:p>
    <w:p>
      <w:pPr>
        <w:spacing w:after="0" w:line="200" w:lineRule="exact"/>
        <w:rPr>
          <w:sz w:val="20"/>
          <w:szCs w:val="20"/>
          <w:color w:val="auto"/>
        </w:rPr>
      </w:pPr>
    </w:p>
    <w:p>
      <w:pPr>
        <w:spacing w:after="0" w:line="225" w:lineRule="exact"/>
        <w:rPr>
          <w:sz w:val="20"/>
          <w:szCs w:val="20"/>
          <w:color w:val="auto"/>
        </w:rPr>
      </w:pPr>
    </w:p>
    <w:p>
      <w:pPr>
        <w:ind w:left="9594"/>
        <w:spacing w:after="0"/>
        <w:rPr>
          <w:sz w:val="20"/>
          <w:szCs w:val="20"/>
          <w:color w:val="auto"/>
        </w:rPr>
      </w:pPr>
      <w:r>
        <w:rPr>
          <w:rFonts w:ascii="Arial" w:cs="Arial" w:eastAsia="Arial" w:hAnsi="Arial"/>
          <w:sz w:val="10"/>
          <w:szCs w:val="10"/>
          <w:color w:val="auto"/>
        </w:rPr>
        <w:t>OC_UK/125258569.5</w:t>
      </w:r>
    </w:p>
    <w:p>
      <w:pPr>
        <w:ind w:left="4914"/>
        <w:spacing w:after="0"/>
        <w:rPr>
          <w:sz w:val="20"/>
          <w:szCs w:val="20"/>
          <w:color w:val="auto"/>
        </w:rPr>
      </w:pPr>
      <w:r>
        <w:rPr>
          <w:rFonts w:ascii="Arial" w:cs="Arial" w:eastAsia="Arial" w:hAnsi="Arial"/>
          <w:sz w:val="13"/>
          <w:szCs w:val="13"/>
          <w:color w:val="auto"/>
        </w:rPr>
        <w:t>74</w:t>
      </w:r>
    </w:p>
    <w:p>
      <w:pPr>
        <w:sectPr>
          <w:pgSz w:w="11900" w:h="16840" w:orient="portrait"/>
          <w:cols w:equalWidth="0" w:num="1">
            <w:col w:w="10574"/>
          </w:cols>
          <w:pgMar w:left="666" w:top="1440" w:right="660" w:bottom="1440" w:gutter="0" w:footer="0" w:header="0"/>
        </w:sectPr>
      </w:pPr>
    </w:p>
    <w:bookmarkStart w:id="425" w:name="page426"/>
    <w:bookmarkEnd w:id="425"/>
    <w:p>
      <w:pPr>
        <w:spacing w:after="0" w:line="331" w:lineRule="exact"/>
        <w:rPr>
          <w:sz w:val="20"/>
          <w:szCs w:val="20"/>
          <w:color w:val="auto"/>
        </w:rPr>
      </w:pPr>
    </w:p>
    <w:p>
      <w:pPr>
        <w:ind w:left="580" w:right="60"/>
        <w:spacing w:after="0" w:line="235" w:lineRule="auto"/>
        <w:rPr>
          <w:sz w:val="20"/>
          <w:szCs w:val="20"/>
          <w:color w:val="auto"/>
        </w:rPr>
      </w:pPr>
      <w:r>
        <w:rPr>
          <w:rFonts w:ascii="Arial" w:cs="Arial" w:eastAsia="Arial" w:hAnsi="Arial"/>
          <w:sz w:val="16"/>
          <w:szCs w:val="16"/>
          <w:color w:val="auto"/>
        </w:rPr>
        <w:t>Immigration Act 1996, the Immigration, Asylum and Nationality Act 2006 and/or the Immigration (Restrictions on Employment) Order 2007 (or equivalent legislation in any relevant jurisdiction).</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37.8</w:t>
      </w:r>
      <w:r>
        <w:rPr>
          <w:sz w:val="20"/>
          <w:szCs w:val="20"/>
          <w:color w:val="auto"/>
        </w:rPr>
        <w:tab/>
      </w:r>
      <w:r>
        <w:rPr>
          <w:rFonts w:ascii="Arial" w:cs="Arial" w:eastAsia="Arial" w:hAnsi="Arial"/>
          <w:sz w:val="16"/>
          <w:szCs w:val="16"/>
          <w:color w:val="auto"/>
        </w:rPr>
        <w:t>All employees of the Company have a valid and subsisting permission or authority to remain in the country in which they are employed and work for the Company.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37.9</w:t>
      </w:r>
      <w:r>
        <w:rPr>
          <w:sz w:val="20"/>
          <w:szCs w:val="20"/>
          <w:color w:val="auto"/>
        </w:rPr>
        <w:tab/>
      </w:r>
      <w:r>
        <w:rPr>
          <w:rFonts w:ascii="Arial" w:cs="Arial" w:eastAsia="Arial" w:hAnsi="Arial"/>
          <w:sz w:val="14"/>
          <w:szCs w:val="14"/>
          <w:color w:val="auto"/>
        </w:rPr>
        <w:t>There is currently no employee who is a sponsored migrant under Tier 2 of the Points Based System.</w:t>
      </w:r>
    </w:p>
    <w:p>
      <w:pPr>
        <w:spacing w:after="0" w:line="6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37.10</w:t>
      </w:r>
      <w:r>
        <w:rPr>
          <w:sz w:val="20"/>
          <w:szCs w:val="20"/>
          <w:color w:val="auto"/>
        </w:rPr>
        <w:tab/>
      </w:r>
      <w:r>
        <w:rPr>
          <w:rFonts w:ascii="Arial" w:cs="Arial" w:eastAsia="Arial" w:hAnsi="Arial"/>
          <w:sz w:val="14"/>
          <w:szCs w:val="14"/>
          <w:color w:val="auto"/>
        </w:rPr>
        <w:t>The Company has complied with its reporting obligations in relation to any current and former employees that are sponsored migrants.</w:t>
      </w:r>
    </w:p>
    <w:p>
      <w:pPr>
        <w:spacing w:after="0" w:line="68" w:lineRule="exact"/>
        <w:rPr>
          <w:sz w:val="20"/>
          <w:szCs w:val="20"/>
          <w:color w:val="auto"/>
        </w:rPr>
      </w:pPr>
    </w:p>
    <w:p>
      <w:pPr>
        <w:ind w:left="560" w:hanging="575"/>
        <w:spacing w:after="0" w:line="241" w:lineRule="auto"/>
        <w:tabs>
          <w:tab w:leader="none" w:pos="540" w:val="left"/>
        </w:tabs>
        <w:rPr>
          <w:sz w:val="20"/>
          <w:szCs w:val="20"/>
          <w:color w:val="auto"/>
        </w:rPr>
      </w:pPr>
      <w:r>
        <w:rPr>
          <w:rFonts w:ascii="Arial" w:cs="Arial" w:eastAsia="Arial" w:hAnsi="Arial"/>
          <w:sz w:val="16"/>
          <w:szCs w:val="16"/>
          <w:color w:val="auto"/>
        </w:rPr>
        <w:t>37.11</w:t>
        <w:tab/>
        <w:t xml:space="preserve">The Company has maintained up to date adequate and suitable records for the purposes of the Working Time Regulations and has complied with all other obligations to its workers (as </w:t>
      </w:r>
      <w:r>
        <w:rPr>
          <w:rFonts w:ascii="Arial" w:cs="Arial" w:eastAsia="Arial" w:hAnsi="Arial"/>
          <w:sz w:val="16"/>
          <w:szCs w:val="16"/>
          <w:b w:val="1"/>
          <w:bCs w:val="1"/>
          <w:color w:val="auto"/>
        </w:rPr>
        <w:t>"workers"</w:t>
      </w:r>
      <w:r>
        <w:rPr>
          <w:rFonts w:ascii="Arial" w:cs="Arial" w:eastAsia="Arial" w:hAnsi="Arial"/>
          <w:sz w:val="16"/>
          <w:szCs w:val="16"/>
          <w:color w:val="auto"/>
        </w:rPr>
        <w:t xml:space="preserve"> is defined in Regulation 2, Working Time Regulations).</w:t>
      </w:r>
    </w:p>
    <w:p>
      <w:pPr>
        <w:spacing w:after="0" w:line="39" w:lineRule="exact"/>
        <w:rPr>
          <w:sz w:val="20"/>
          <w:szCs w:val="20"/>
          <w:color w:val="auto"/>
        </w:rPr>
      </w:pPr>
    </w:p>
    <w:p>
      <w:pPr>
        <w:jc w:val="both"/>
        <w:ind w:left="560" w:right="20" w:hanging="575"/>
        <w:spacing w:after="0" w:line="265" w:lineRule="auto"/>
        <w:tabs>
          <w:tab w:leader="none" w:pos="540" w:val="left"/>
        </w:tabs>
        <w:rPr>
          <w:sz w:val="20"/>
          <w:szCs w:val="20"/>
          <w:color w:val="auto"/>
        </w:rPr>
      </w:pPr>
      <w:r>
        <w:rPr>
          <w:rFonts w:ascii="Arial" w:cs="Arial" w:eastAsia="Arial" w:hAnsi="Arial"/>
          <w:sz w:val="16"/>
          <w:szCs w:val="16"/>
          <w:color w:val="auto"/>
        </w:rPr>
        <w:t>37.12</w:t>
      </w:r>
      <w:r>
        <w:rPr>
          <w:sz w:val="20"/>
          <w:szCs w:val="20"/>
          <w:color w:val="auto"/>
        </w:rPr>
        <w:tab/>
      </w:r>
      <w:r>
        <w:rPr>
          <w:rFonts w:ascii="Arial" w:cs="Arial" w:eastAsia="Arial" w:hAnsi="Arial"/>
          <w:sz w:val="14"/>
          <w:szCs w:val="14"/>
          <w:color w:val="auto"/>
        </w:rPr>
        <w:t>The Company has complied in all material respects with its obligations under the Agency Workers Regulations 2010 (or equivalent legislation in the relevant Applicable Jurisdiction). The Company has no reasonable grounds to believe that it is in breach of the Agency Workers Regulations 2010 and/or that any agency worker or former agency worker may bring a claim against the Company for breach of those Regulations.</w:t>
      </w:r>
    </w:p>
    <w:p>
      <w:pPr>
        <w:spacing w:after="0" w:line="31" w:lineRule="exact"/>
        <w:rPr>
          <w:sz w:val="20"/>
          <w:szCs w:val="20"/>
          <w:color w:val="auto"/>
        </w:rPr>
      </w:pPr>
    </w:p>
    <w:p>
      <w:pPr>
        <w:jc w:val="both"/>
        <w:ind w:left="560" w:hanging="575"/>
        <w:spacing w:after="0" w:line="224" w:lineRule="auto"/>
        <w:tabs>
          <w:tab w:leader="none" w:pos="540" w:val="left"/>
        </w:tabs>
        <w:rPr>
          <w:sz w:val="20"/>
          <w:szCs w:val="20"/>
          <w:color w:val="auto"/>
        </w:rPr>
      </w:pPr>
      <w:r>
        <w:rPr>
          <w:rFonts w:ascii="Arial" w:cs="Arial" w:eastAsia="Arial" w:hAnsi="Arial"/>
          <w:sz w:val="16"/>
          <w:szCs w:val="16"/>
          <w:color w:val="auto"/>
        </w:rPr>
        <w:t>37.13</w:t>
        <w:tab/>
        <w:t>No agreements entered into by InstaDeep SAS with third parties (including consultants or fixed-term employees) could entitle such third parties to claim for requalification of their relationship with InstaDeep SAS or any Group Company as an employment agreement as defined by French Applicable Law.</w:t>
      </w:r>
    </w:p>
    <w:p>
      <w:pPr>
        <w:spacing w:after="0" w:line="49"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37.14</w:t>
        <w:tab/>
        <w:t>Neither the Company nor InstaDeep SAS is subject to any claim outstanding or threatened in writing or, so far as the Warrantors are aware, pending, in respect of working time monitoring or overtime of any employee pursuant to the French Labour Code.</w:t>
      </w:r>
    </w:p>
    <w:p>
      <w:pPr>
        <w:spacing w:after="0" w:line="48" w:lineRule="exact"/>
        <w:rPr>
          <w:sz w:val="20"/>
          <w:szCs w:val="20"/>
          <w:color w:val="auto"/>
        </w:rPr>
      </w:pPr>
    </w:p>
    <w:p>
      <w:pPr>
        <w:jc w:val="both"/>
        <w:ind w:left="560" w:right="20" w:hanging="575"/>
        <w:spacing w:after="0" w:line="235" w:lineRule="auto"/>
        <w:tabs>
          <w:tab w:leader="none" w:pos="540" w:val="left"/>
        </w:tabs>
        <w:rPr>
          <w:sz w:val="20"/>
          <w:szCs w:val="20"/>
          <w:color w:val="auto"/>
        </w:rPr>
      </w:pPr>
      <w:r>
        <w:rPr>
          <w:rFonts w:ascii="Arial" w:cs="Arial" w:eastAsia="Arial" w:hAnsi="Arial"/>
          <w:sz w:val="16"/>
          <w:szCs w:val="16"/>
          <w:color w:val="auto"/>
        </w:rPr>
        <w:t>37.15</w:t>
        <w:tab/>
        <w:t>Each Group Company has complied in all material respects with their respective obligations in respect of employee whistle-blowing policies, practices and procedures pursuant to Applicable Law, including but not limited to:</w:t>
      </w:r>
    </w:p>
    <w:p>
      <w:pPr>
        <w:spacing w:after="0" w:line="46" w:lineRule="exact"/>
        <w:rPr>
          <w:sz w:val="20"/>
          <w:szCs w:val="20"/>
          <w:color w:val="auto"/>
        </w:rPr>
      </w:pPr>
    </w:p>
    <w:p>
      <w:pPr>
        <w:ind w:left="1160" w:right="20" w:hanging="578"/>
        <w:spacing w:after="0" w:line="244" w:lineRule="auto"/>
        <w:tabs>
          <w:tab w:leader="none" w:pos="1148"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in respect of InstaDeep SAS, n° 2016-1691 of 9/12/2016 ( </w:t>
      </w:r>
      <w:r>
        <w:rPr>
          <w:rFonts w:ascii="Arial" w:cs="Arial" w:eastAsia="Arial" w:hAnsi="Arial"/>
          <w:sz w:val="16"/>
          <w:szCs w:val="16"/>
          <w:b w:val="1"/>
          <w:bCs w:val="1"/>
          <w:color w:val="auto"/>
        </w:rPr>
        <w:t>"Sapin 2 Act"</w:t>
      </w:r>
      <w:r>
        <w:rPr>
          <w:rFonts w:ascii="Arial" w:cs="Arial" w:eastAsia="Arial" w:hAnsi="Arial"/>
          <w:sz w:val="16"/>
          <w:szCs w:val="16"/>
          <w:color w:val="auto"/>
        </w:rPr>
        <w:t>) and its implementing Decree n° 2022-1284 of 3 October 2022 (</w:t>
      </w:r>
      <w:r>
        <w:rPr>
          <w:rFonts w:ascii="Arial" w:cs="Arial" w:eastAsia="Arial" w:hAnsi="Arial"/>
          <w:sz w:val="16"/>
          <w:szCs w:val="16"/>
          <w:b w:val="1"/>
          <w:bCs w:val="1"/>
          <w:color w:val="auto"/>
        </w:rPr>
        <w:t>"Implementing Decree"</w:t>
      </w:r>
      <w:r>
        <w:rPr>
          <w:rFonts w:ascii="Arial" w:cs="Arial" w:eastAsia="Arial" w:hAnsi="Arial"/>
          <w:sz w:val="16"/>
          <w:szCs w:val="16"/>
          <w:color w:val="auto"/>
        </w:rPr>
        <w:t>); and</w:t>
      </w:r>
    </w:p>
    <w:p>
      <w:pPr>
        <w:spacing w:after="0" w:line="36" w:lineRule="exact"/>
        <w:rPr>
          <w:rFonts w:ascii="Arial" w:cs="Arial" w:eastAsia="Arial" w:hAnsi="Arial"/>
          <w:sz w:val="16"/>
          <w:szCs w:val="16"/>
          <w:color w:val="auto"/>
        </w:rPr>
      </w:pPr>
    </w:p>
    <w:p>
      <w:pPr>
        <w:ind w:left="1140" w:hanging="558"/>
        <w:spacing w:after="0"/>
        <w:tabs>
          <w:tab w:leader="none" w:pos="114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in respect of South Africa, the Protected Disclosures Act 26 of 2000.</w:t>
      </w:r>
    </w:p>
    <w:p>
      <w:pPr>
        <w:spacing w:after="0" w:line="68" w:lineRule="exact"/>
        <w:rPr>
          <w:sz w:val="20"/>
          <w:szCs w:val="20"/>
          <w:color w:val="auto"/>
        </w:rPr>
      </w:pPr>
    </w:p>
    <w:p>
      <w:pPr>
        <w:jc w:val="both"/>
        <w:ind w:left="560" w:right="20" w:hanging="575"/>
        <w:spacing w:after="0" w:line="216" w:lineRule="auto"/>
        <w:tabs>
          <w:tab w:leader="none" w:pos="540" w:val="left"/>
        </w:tabs>
        <w:rPr>
          <w:sz w:val="20"/>
          <w:szCs w:val="20"/>
          <w:color w:val="auto"/>
        </w:rPr>
      </w:pPr>
      <w:r>
        <w:rPr>
          <w:rFonts w:ascii="Arial" w:cs="Arial" w:eastAsia="Arial" w:hAnsi="Arial"/>
          <w:sz w:val="16"/>
          <w:szCs w:val="16"/>
          <w:color w:val="auto"/>
        </w:rPr>
        <w:t>37.16</w:t>
        <w:tab/>
        <w:t>The Company has complied in all material respects with its obligations under Applicable Laws concerning the health and safety of its officers, employees and workers (including but not limited to compliance with The Health Protection (Coronavirus, Restrictions) (England) Regulations 2020, the carrying out of any necessary risk assessments and introduction of any "COVID-19 secure" measures) and so far as the Warrantors are aware, there are no claims, investigations or audits pending or threatened by any officer, employee, worker or third party in respect of any accident or injury which are not fully covered by insurance.</w:t>
      </w:r>
    </w:p>
    <w:p>
      <w:pPr>
        <w:spacing w:after="0" w:line="48" w:lineRule="exact"/>
        <w:rPr>
          <w:sz w:val="20"/>
          <w:szCs w:val="20"/>
          <w:color w:val="auto"/>
        </w:rPr>
      </w:pPr>
    </w:p>
    <w:p>
      <w:pPr>
        <w:jc w:val="both"/>
        <w:ind w:left="560" w:right="20" w:hanging="575"/>
        <w:spacing w:after="0" w:line="224" w:lineRule="auto"/>
        <w:tabs>
          <w:tab w:leader="none" w:pos="540" w:val="left"/>
        </w:tabs>
        <w:rPr>
          <w:sz w:val="20"/>
          <w:szCs w:val="20"/>
          <w:color w:val="auto"/>
        </w:rPr>
      </w:pPr>
      <w:r>
        <w:rPr>
          <w:rFonts w:ascii="Arial" w:cs="Arial" w:eastAsia="Arial" w:hAnsi="Arial"/>
          <w:sz w:val="16"/>
          <w:szCs w:val="16"/>
          <w:color w:val="auto"/>
        </w:rPr>
        <w:t>37.17</w:t>
        <w:tab/>
        <w:t xml:space="preserve">InstaDeep SAS complies with, and have complied in all aspects with laws and regulations relating to the implementation of put in furlough </w:t>
      </w:r>
      <w:r>
        <w:rPr>
          <w:rFonts w:ascii="Arial" w:cs="Arial" w:eastAsia="Arial" w:hAnsi="Arial"/>
          <w:sz w:val="16"/>
          <w:szCs w:val="16"/>
          <w:i w:val="1"/>
          <w:iCs w:val="1"/>
          <w:color w:val="auto"/>
        </w:rPr>
        <w:t xml:space="preserve">(activité partielle) </w:t>
      </w:r>
      <w:r>
        <w:rPr>
          <w:rFonts w:ascii="Arial" w:cs="Arial" w:eastAsia="Arial" w:hAnsi="Arial"/>
          <w:sz w:val="16"/>
          <w:szCs w:val="16"/>
          <w:color w:val="auto"/>
        </w:rPr>
        <w:t>relating to the French Covid -19 crisis measures since March 1, 2020, until the date hereof in such a way, notably but not only,</w:t>
      </w:r>
      <w:r>
        <w:rPr>
          <w:rFonts w:ascii="Arial" w:cs="Arial" w:eastAsia="Arial" w:hAnsi="Arial"/>
          <w:sz w:val="16"/>
          <w:szCs w:val="16"/>
          <w:i w:val="1"/>
          <w:iCs w:val="1"/>
          <w:color w:val="auto"/>
        </w:rPr>
        <w:t xml:space="preserve"> </w:t>
      </w:r>
      <w:r>
        <w:rPr>
          <w:rFonts w:ascii="Arial" w:cs="Arial" w:eastAsia="Arial" w:hAnsi="Arial"/>
          <w:sz w:val="16"/>
          <w:szCs w:val="16"/>
          <w:color w:val="auto"/>
        </w:rPr>
        <w:t>that no reimbursement could be required from any of the Group Companies in this respect.</w:t>
      </w:r>
    </w:p>
    <w:p>
      <w:pPr>
        <w:spacing w:after="0" w:line="47" w:lineRule="exact"/>
        <w:rPr>
          <w:sz w:val="20"/>
          <w:szCs w:val="20"/>
          <w:color w:val="auto"/>
        </w:rPr>
      </w:pPr>
    </w:p>
    <w:p>
      <w:pPr>
        <w:ind w:left="580" w:hanging="574"/>
        <w:spacing w:after="0"/>
        <w:tabs>
          <w:tab w:leader="none" w:pos="580" w:val="left"/>
        </w:tabs>
        <w:numPr>
          <w:ilvl w:val="0"/>
          <w:numId w:val="440"/>
        </w:numPr>
        <w:rPr>
          <w:rFonts w:ascii="Arial" w:cs="Arial" w:eastAsia="Arial" w:hAnsi="Arial"/>
          <w:sz w:val="16"/>
          <w:szCs w:val="16"/>
          <w:color w:val="auto"/>
        </w:rPr>
      </w:pPr>
      <w:r>
        <w:rPr>
          <w:rFonts w:ascii="Arial" w:cs="Arial" w:eastAsia="Arial" w:hAnsi="Arial"/>
          <w:sz w:val="16"/>
          <w:szCs w:val="16"/>
          <w:b w:val="1"/>
          <w:bCs w:val="1"/>
          <w:color w:val="auto"/>
        </w:rPr>
        <w:t>Termination of employment</w:t>
      </w:r>
    </w:p>
    <w:p>
      <w:pPr>
        <w:spacing w:after="0" w:line="70"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38.1</w:t>
      </w:r>
      <w:r>
        <w:rPr>
          <w:sz w:val="20"/>
          <w:szCs w:val="20"/>
          <w:color w:val="auto"/>
        </w:rPr>
        <w:tab/>
      </w:r>
      <w:r>
        <w:rPr>
          <w:rFonts w:ascii="Arial" w:cs="Arial" w:eastAsia="Arial" w:hAnsi="Arial"/>
          <w:sz w:val="16"/>
          <w:szCs w:val="16"/>
          <w:color w:val="auto"/>
        </w:rPr>
        <w:t>No officer or employee of the Company has given notice or is under notice of dismissal or will be entitled to give notice solely as a result of the provisions of this Agreement.</w:t>
      </w:r>
    </w:p>
    <w:p>
      <w:pPr>
        <w:spacing w:after="0" w:line="48"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38.2</w:t>
      </w:r>
      <w:r>
        <w:rPr>
          <w:sz w:val="20"/>
          <w:szCs w:val="20"/>
          <w:color w:val="auto"/>
        </w:rPr>
        <w:tab/>
      </w:r>
      <w:r>
        <w:rPr>
          <w:rFonts w:ascii="Arial" w:cs="Arial" w:eastAsia="Arial" w:hAnsi="Arial"/>
          <w:sz w:val="16"/>
          <w:szCs w:val="16"/>
          <w:color w:val="auto"/>
        </w:rPr>
        <w:t>All service contracts between the Company and its officers or employees can be terminated by the Company by [***] weeks' notice or less without giving rise to a claim for damages or compensation (other than a statutory redundancy payment or statutory compensation for unfair dismissal).</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38.3</w:t>
      </w:r>
      <w:r>
        <w:rPr>
          <w:sz w:val="20"/>
          <w:szCs w:val="20"/>
          <w:color w:val="auto"/>
        </w:rPr>
        <w:tab/>
      </w:r>
      <w:r>
        <w:rPr>
          <w:rFonts w:ascii="Arial" w:cs="Arial" w:eastAsia="Arial" w:hAnsi="Arial"/>
          <w:sz w:val="16"/>
          <w:szCs w:val="16"/>
          <w:color w:val="auto"/>
        </w:rPr>
        <w:t>Details of all employees who have been dismissed or who have resigned in the last [***] months, together with the reason for or an explanation of the dismissal or resignation have been Disclosed.</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38.4</w:t>
      </w:r>
      <w:r>
        <w:rPr>
          <w:sz w:val="20"/>
          <w:szCs w:val="20"/>
          <w:color w:val="auto"/>
        </w:rPr>
        <w:tab/>
      </w:r>
      <w:r>
        <w:rPr>
          <w:rFonts w:ascii="Arial" w:cs="Arial" w:eastAsia="Arial" w:hAnsi="Arial"/>
          <w:sz w:val="16"/>
          <w:szCs w:val="16"/>
          <w:color w:val="auto"/>
        </w:rPr>
        <w:t>There is no agreement, arrangement, scheme or obligation (whether legal or moral) for the payment of any pensions allowances lump sums or other like benefits on retirement or on death or during periods of sickness or disablement for the benefit of any employee or former employees or for the benefit of dependants of such persons.</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75</w:t>
      </w:r>
    </w:p>
    <w:p>
      <w:pPr>
        <w:sectPr>
          <w:pgSz w:w="11900" w:h="16840" w:orient="portrait"/>
          <w:cols w:equalWidth="0" w:num="1">
            <w:col w:w="10580"/>
          </w:cols>
          <w:pgMar w:left="660" w:top="1440" w:right="660" w:bottom="1440" w:gutter="0" w:footer="0" w:header="0"/>
        </w:sectPr>
      </w:pPr>
    </w:p>
    <w:bookmarkStart w:id="426" w:name="page427"/>
    <w:bookmarkEnd w:id="426"/>
    <w:p>
      <w:pPr>
        <w:spacing w:after="0" w:line="329" w:lineRule="exact"/>
        <w:rPr>
          <w:sz w:val="20"/>
          <w:szCs w:val="20"/>
          <w:color w:val="auto"/>
        </w:rPr>
      </w:pPr>
    </w:p>
    <w:p>
      <w:pPr>
        <w:ind w:left="580" w:hanging="574"/>
        <w:spacing w:after="0"/>
        <w:tabs>
          <w:tab w:leader="none" w:pos="580" w:val="left"/>
        </w:tabs>
        <w:numPr>
          <w:ilvl w:val="0"/>
          <w:numId w:val="441"/>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70"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39.1</w:t>
      </w:r>
      <w:r>
        <w:rPr>
          <w:sz w:val="20"/>
          <w:szCs w:val="20"/>
          <w:color w:val="auto"/>
        </w:rPr>
        <w:tab/>
      </w:r>
      <w:r>
        <w:rPr>
          <w:rFonts w:ascii="Arial" w:cs="Arial" w:eastAsia="Arial" w:hAnsi="Arial"/>
          <w:sz w:val="16"/>
          <w:szCs w:val="16"/>
          <w:color w:val="auto"/>
        </w:rPr>
        <w:t>Details of any employee who is currently absent from work (including but not limited to those on secondments, maternity leave, paternity leave, adoption leave, shared parental leave, parental leave or absent for any other reason) or who is anticipated to be absent from work for any reason for a period of [***] month or more have been Disclosed.</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39.2</w:t>
      </w:r>
      <w:r>
        <w:rPr>
          <w:sz w:val="20"/>
          <w:szCs w:val="20"/>
          <w:color w:val="auto"/>
        </w:rPr>
        <w:tab/>
      </w:r>
      <w:r>
        <w:rPr>
          <w:rFonts w:ascii="Arial" w:cs="Arial" w:eastAsia="Arial" w:hAnsi="Arial"/>
          <w:sz w:val="16"/>
          <w:szCs w:val="16"/>
          <w:color w:val="auto"/>
        </w:rPr>
        <w:t>Details of any disciplinary action (including warnings, suspension with or without pay, demotion and performance management or monitoring) taken by the Company against any employee within the previous [***] months have been Disclosed.</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39.3</w:t>
      </w:r>
      <w:r>
        <w:rPr>
          <w:sz w:val="20"/>
          <w:szCs w:val="20"/>
          <w:color w:val="auto"/>
        </w:rPr>
        <w:tab/>
      </w:r>
      <w:r>
        <w:rPr>
          <w:rFonts w:ascii="Arial" w:cs="Arial" w:eastAsia="Arial" w:hAnsi="Arial"/>
          <w:sz w:val="14"/>
          <w:szCs w:val="14"/>
          <w:color w:val="auto"/>
        </w:rPr>
        <w:t>Details of any grievance made by any employee within the previous [***] months have been Disclosed.</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39.4</w:t>
      </w:r>
      <w:r>
        <w:rPr>
          <w:sz w:val="20"/>
          <w:szCs w:val="20"/>
          <w:color w:val="auto"/>
        </w:rPr>
        <w:tab/>
      </w:r>
      <w:r>
        <w:rPr>
          <w:rFonts w:ascii="Arial" w:cs="Arial" w:eastAsia="Arial" w:hAnsi="Arial"/>
          <w:sz w:val="14"/>
          <w:szCs w:val="14"/>
          <w:color w:val="auto"/>
        </w:rPr>
        <w:t>The Company has not made any loan or advance to any employee which is outstanding.</w:t>
      </w:r>
    </w:p>
    <w:p>
      <w:pPr>
        <w:spacing w:after="0" w:line="66" w:lineRule="exact"/>
        <w:rPr>
          <w:sz w:val="20"/>
          <w:szCs w:val="20"/>
          <w:color w:val="auto"/>
        </w:rPr>
      </w:pPr>
    </w:p>
    <w:p>
      <w:pPr>
        <w:ind w:left="580" w:hanging="574"/>
        <w:spacing w:after="0"/>
        <w:tabs>
          <w:tab w:leader="none" w:pos="580" w:val="left"/>
        </w:tabs>
        <w:numPr>
          <w:ilvl w:val="0"/>
          <w:numId w:val="442"/>
        </w:numPr>
        <w:rPr>
          <w:rFonts w:ascii="Arial" w:cs="Arial" w:eastAsia="Arial" w:hAnsi="Arial"/>
          <w:sz w:val="16"/>
          <w:szCs w:val="16"/>
          <w:color w:val="auto"/>
        </w:rPr>
      </w:pPr>
      <w:r>
        <w:rPr>
          <w:rFonts w:ascii="Arial" w:cs="Arial" w:eastAsia="Arial" w:hAnsi="Arial"/>
          <w:sz w:val="16"/>
          <w:szCs w:val="16"/>
          <w:b w:val="1"/>
          <w:bCs w:val="1"/>
          <w:color w:val="auto"/>
        </w:rPr>
        <w:t>Industrial relations</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40.1</w:t>
      </w:r>
      <w:r>
        <w:rPr>
          <w:sz w:val="20"/>
          <w:szCs w:val="20"/>
          <w:color w:val="auto"/>
        </w:rPr>
        <w:tab/>
      </w:r>
      <w:r>
        <w:rPr>
          <w:rFonts w:ascii="Arial" w:cs="Arial" w:eastAsia="Arial" w:hAnsi="Arial"/>
          <w:sz w:val="14"/>
          <w:szCs w:val="14"/>
          <w:color w:val="auto"/>
        </w:rPr>
        <w:t>Details of any court or tribunal case, claim or action brought by any present or former officer, employee, worker or consultant within the previous</w:t>
      </w:r>
    </w:p>
    <w:p>
      <w:pPr>
        <w:ind w:left="580" w:right="20" w:firstLine="2"/>
        <w:spacing w:after="0" w:line="226" w:lineRule="auto"/>
        <w:tabs>
          <w:tab w:leader="none" w:pos="89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years and details of any court or tribunal case, any claim or action which the Warrantors have reasonable grounds to believe to the best of their knowledge, information and belief, that any such person may bring against the Company have been Disclosed.</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40.2</w:t>
      </w:r>
      <w:r>
        <w:rPr>
          <w:sz w:val="20"/>
          <w:szCs w:val="20"/>
          <w:color w:val="auto"/>
        </w:rPr>
        <w:tab/>
      </w:r>
      <w:r>
        <w:rPr>
          <w:rFonts w:ascii="Arial" w:cs="Arial" w:eastAsia="Arial" w:hAnsi="Arial"/>
          <w:sz w:val="14"/>
          <w:szCs w:val="14"/>
          <w:color w:val="auto"/>
        </w:rPr>
        <w:t>So far as the Warrantors are aware, none of the provisions of this Agreement is likely to lead to any industrial trade dispute.</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40.3</w:t>
      </w:r>
      <w:r>
        <w:rPr>
          <w:sz w:val="20"/>
          <w:szCs w:val="20"/>
          <w:color w:val="auto"/>
        </w:rPr>
        <w:tab/>
      </w:r>
      <w:r>
        <w:rPr>
          <w:rFonts w:ascii="Arial" w:cs="Arial" w:eastAsia="Arial" w:hAnsi="Arial"/>
          <w:sz w:val="16"/>
          <w:szCs w:val="16"/>
          <w:color w:val="auto"/>
        </w:rPr>
        <w:t>The Company has not received a request for recognition pursuant to the Trade Union and Labour Relations (Consolidation) Act 1992 nor is the Company party to any contract, agreement or arrangement with any trade union or other body or organisation representing any of its employees nor has it done any act which might be construed as recognition of a trade union.</w:t>
      </w:r>
    </w:p>
    <w:p>
      <w:pPr>
        <w:spacing w:after="0" w:line="49"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40.4</w:t>
      </w:r>
      <w:r>
        <w:rPr>
          <w:sz w:val="20"/>
          <w:szCs w:val="20"/>
          <w:color w:val="auto"/>
        </w:rPr>
        <w:tab/>
      </w:r>
      <w:r>
        <w:rPr>
          <w:rFonts w:ascii="Arial" w:cs="Arial" w:eastAsia="Arial" w:hAnsi="Arial"/>
          <w:sz w:val="16"/>
          <w:szCs w:val="16"/>
          <w:color w:val="auto"/>
        </w:rPr>
        <w:t>The Company has in relation to its officers and employees and former officers and employees complied with all relevant legislation (including, without limitation, the TUPE Regulations and the Working Time Regulations), conditions of service, customs and practices and, where relevant, all collective agreements, recognition agreements, workforce agreements and relevant agreements for the time being.</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40.5</w:t>
      </w:r>
      <w:r>
        <w:rPr>
          <w:sz w:val="20"/>
          <w:szCs w:val="20"/>
          <w:color w:val="auto"/>
        </w:rPr>
        <w:tab/>
      </w:r>
      <w:r>
        <w:rPr>
          <w:rFonts w:ascii="Arial" w:cs="Arial" w:eastAsia="Arial" w:hAnsi="Arial"/>
          <w:sz w:val="16"/>
          <w:szCs w:val="16"/>
          <w:color w:val="auto"/>
        </w:rPr>
        <w:t>There has been no recommendation made by an Employment Tribunal in relation to the Company and/or any of its employees. Any recommendations made by an Employment Tribunal have been complied with.</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40.6</w:t>
      </w:r>
      <w:r>
        <w:rPr>
          <w:sz w:val="20"/>
          <w:szCs w:val="20"/>
          <w:color w:val="auto"/>
        </w:rPr>
        <w:tab/>
      </w:r>
      <w:r>
        <w:rPr>
          <w:rFonts w:ascii="Arial" w:cs="Arial" w:eastAsia="Arial" w:hAnsi="Arial"/>
          <w:sz w:val="16"/>
          <w:szCs w:val="16"/>
          <w:color w:val="auto"/>
        </w:rPr>
        <w:t>In the [***] months preceding the date of this Agreement, the Company has not given notice of any redundancies to the Secretary of State or started consultations with any appropriate representatives in respect of any employees.</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40.7</w:t>
      </w:r>
      <w:r>
        <w:rPr>
          <w:sz w:val="20"/>
          <w:szCs w:val="20"/>
          <w:color w:val="auto"/>
        </w:rPr>
        <w:tab/>
      </w:r>
      <w:r>
        <w:rPr>
          <w:rFonts w:ascii="Arial" w:cs="Arial" w:eastAsia="Arial" w:hAnsi="Arial"/>
          <w:sz w:val="16"/>
          <w:szCs w:val="16"/>
          <w:color w:val="auto"/>
        </w:rPr>
        <w:t>The Company has not been a party to any relevant transfer as defined in the TUPE Regulations and no employee has been dismissed or is under notice of termination by reason of or in connection with the TUPE Regulations and the Company has not purported to vary any contract of employment where the sole or principal reason for the change is the transfer.</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40.8</w:t>
      </w:r>
      <w:r>
        <w:rPr>
          <w:sz w:val="20"/>
          <w:szCs w:val="20"/>
          <w:color w:val="auto"/>
        </w:rPr>
        <w:tab/>
      </w:r>
      <w:r>
        <w:rPr>
          <w:rFonts w:ascii="Arial" w:cs="Arial" w:eastAsia="Arial" w:hAnsi="Arial"/>
          <w:sz w:val="16"/>
          <w:szCs w:val="16"/>
          <w:color w:val="auto"/>
        </w:rPr>
        <w:t>No dispute has arisen between the Company and a material number or category of its employees or workers nor are there any present circumstances known to the Warrantors which are likely to give rise to any such dispute.</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40.9</w:t>
      </w:r>
      <w:r>
        <w:rPr>
          <w:sz w:val="20"/>
          <w:szCs w:val="20"/>
          <w:color w:val="auto"/>
        </w:rPr>
        <w:tab/>
      </w:r>
      <w:r>
        <w:rPr>
          <w:rFonts w:ascii="Arial" w:cs="Arial" w:eastAsia="Arial" w:hAnsi="Arial"/>
          <w:sz w:val="16"/>
          <w:szCs w:val="16"/>
          <w:color w:val="auto"/>
        </w:rPr>
        <w:t>Details of any collective agreement (whether with a trade union, staff association or any other body representing workers and whether legally binding or not) have been Disclosed.</w:t>
      </w:r>
    </w:p>
    <w:p>
      <w:pPr>
        <w:spacing w:after="0" w:line="48" w:lineRule="exact"/>
        <w:rPr>
          <w:sz w:val="20"/>
          <w:szCs w:val="20"/>
          <w:color w:val="auto"/>
        </w:rPr>
      </w:pPr>
    </w:p>
    <w:p>
      <w:pPr>
        <w:jc w:val="both"/>
        <w:ind w:left="560" w:hanging="575"/>
        <w:spacing w:after="0" w:line="235" w:lineRule="auto"/>
        <w:tabs>
          <w:tab w:leader="none" w:pos="540" w:val="left"/>
        </w:tabs>
        <w:rPr>
          <w:sz w:val="20"/>
          <w:szCs w:val="20"/>
          <w:color w:val="auto"/>
        </w:rPr>
      </w:pPr>
      <w:r>
        <w:rPr>
          <w:rFonts w:ascii="Arial" w:cs="Arial" w:eastAsia="Arial" w:hAnsi="Arial"/>
          <w:sz w:val="16"/>
          <w:szCs w:val="16"/>
          <w:color w:val="auto"/>
        </w:rPr>
        <w:t>40.10</w:t>
        <w:tab/>
        <w:t>No training schemes, arrangements or proposals exist nor have there been any such schemes, arrangements or proposals in the past [***] years in respect of which a levy may become payable by the Company under the Industrial Training Act 1982.</w:t>
      </w:r>
    </w:p>
    <w:p>
      <w:pPr>
        <w:spacing w:after="0" w:line="48" w:lineRule="exact"/>
        <w:rPr>
          <w:sz w:val="20"/>
          <w:szCs w:val="20"/>
          <w:color w:val="auto"/>
        </w:rPr>
      </w:pPr>
    </w:p>
    <w:p>
      <w:pPr>
        <w:jc w:val="both"/>
        <w:ind w:left="560" w:hanging="575"/>
        <w:spacing w:after="0" w:line="219" w:lineRule="auto"/>
        <w:tabs>
          <w:tab w:leader="none" w:pos="540" w:val="left"/>
        </w:tabs>
        <w:rPr>
          <w:sz w:val="20"/>
          <w:szCs w:val="20"/>
          <w:color w:val="auto"/>
        </w:rPr>
      </w:pPr>
      <w:r>
        <w:rPr>
          <w:rFonts w:ascii="Arial" w:cs="Arial" w:eastAsia="Arial" w:hAnsi="Arial"/>
          <w:sz w:val="16"/>
          <w:szCs w:val="16"/>
          <w:color w:val="auto"/>
        </w:rPr>
        <w:t>40.11</w:t>
        <w:tab/>
        <w:t>No investigation is in progress or, so far as the Warrantors are aware, planned to be made in respect of the Company by the Health and Safety Executive, the Equality and Human Rights Commission and/or any similar body. The Company is not and has not been subject to any enforcement order made by the Health and Safety Executive, the Equality and Human Rights Commission and/or any similar body and there is no outstanding liability to any such body for any penalty, fine or otherwise.</w:t>
      </w:r>
    </w:p>
    <w:p>
      <w:pPr>
        <w:spacing w:after="0" w:line="49" w:lineRule="exact"/>
        <w:rPr>
          <w:sz w:val="20"/>
          <w:szCs w:val="20"/>
          <w:color w:val="auto"/>
        </w:rPr>
      </w:pPr>
    </w:p>
    <w:p>
      <w:pPr>
        <w:jc w:val="both"/>
        <w:ind w:left="560" w:hanging="575"/>
        <w:spacing w:after="0" w:line="224" w:lineRule="auto"/>
        <w:tabs>
          <w:tab w:leader="none" w:pos="540" w:val="left"/>
        </w:tabs>
        <w:rPr>
          <w:sz w:val="20"/>
          <w:szCs w:val="20"/>
          <w:color w:val="auto"/>
        </w:rPr>
      </w:pPr>
      <w:r>
        <w:rPr>
          <w:rFonts w:ascii="Arial" w:cs="Arial" w:eastAsia="Arial" w:hAnsi="Arial"/>
          <w:sz w:val="16"/>
          <w:szCs w:val="16"/>
          <w:color w:val="auto"/>
        </w:rPr>
        <w:t>40.12</w:t>
        <w:tab/>
        <w:t>No outstanding liability has been incurred by the Company for breach of any contract of employment or redundancy payments, protective awards, compensation for wrongful dismissal or unfair dismissal or for failure to comply with any order for reinstatement or re engagement of any person or in respect of any other liability arising out of termination of any contract of employment or contract for services.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Pensions</w:t>
      </w:r>
    </w:p>
    <w:p>
      <w:pPr>
        <w:spacing w:after="0" w:line="200" w:lineRule="exact"/>
        <w:rPr>
          <w:sz w:val="20"/>
          <w:szCs w:val="20"/>
          <w:color w:val="auto"/>
        </w:rPr>
      </w:pPr>
    </w:p>
    <w:p>
      <w:pPr>
        <w:spacing w:after="0" w:line="247"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76</w:t>
      </w:r>
    </w:p>
    <w:p>
      <w:pPr>
        <w:sectPr>
          <w:pgSz w:w="11900" w:h="16840" w:orient="portrait"/>
          <w:cols w:equalWidth="0" w:num="1">
            <w:col w:w="10580"/>
          </w:cols>
          <w:pgMar w:left="660" w:top="1440" w:right="660" w:bottom="1440" w:gutter="0" w:footer="0" w:header="0"/>
        </w:sectPr>
      </w:pPr>
    </w:p>
    <w:bookmarkStart w:id="427" w:name="page428"/>
    <w:bookmarkEnd w:id="427"/>
    <w:p>
      <w:pPr>
        <w:spacing w:after="0" w:line="329" w:lineRule="exact"/>
        <w:rPr>
          <w:sz w:val="20"/>
          <w:szCs w:val="20"/>
          <w:color w:val="auto"/>
        </w:rPr>
      </w:pPr>
    </w:p>
    <w:p>
      <w:pPr>
        <w:ind w:left="580" w:hanging="574"/>
        <w:spacing w:after="0"/>
        <w:tabs>
          <w:tab w:leader="none" w:pos="580" w:val="left"/>
        </w:tabs>
        <w:numPr>
          <w:ilvl w:val="0"/>
          <w:numId w:val="444"/>
        </w:numPr>
        <w:rPr>
          <w:rFonts w:ascii="Arial" w:cs="Arial" w:eastAsia="Arial" w:hAnsi="Arial"/>
          <w:sz w:val="16"/>
          <w:szCs w:val="16"/>
          <w:color w:val="auto"/>
        </w:rPr>
      </w:pPr>
      <w:r>
        <w:rPr>
          <w:rFonts w:ascii="Arial" w:cs="Arial" w:eastAsia="Arial" w:hAnsi="Arial"/>
          <w:sz w:val="16"/>
          <w:szCs w:val="16"/>
          <w:b w:val="1"/>
          <w:bCs w:val="1"/>
          <w:color w:val="auto"/>
        </w:rPr>
        <w:t>Company pension schemes or other retirement benefit schemes</w:t>
      </w:r>
    </w:p>
    <w:p>
      <w:pPr>
        <w:spacing w:after="0" w:line="70" w:lineRule="exact"/>
        <w:rPr>
          <w:sz w:val="20"/>
          <w:szCs w:val="20"/>
          <w:color w:val="auto"/>
        </w:rPr>
      </w:pPr>
    </w:p>
    <w:p>
      <w:pPr>
        <w:jc w:val="both"/>
        <w:ind w:left="580" w:hanging="575"/>
        <w:spacing w:after="0" w:line="243" w:lineRule="auto"/>
        <w:tabs>
          <w:tab w:leader="none" w:pos="56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4"/>
          <w:szCs w:val="14"/>
          <w:color w:val="auto"/>
        </w:rPr>
        <w:t>Save for the Pension Scheme(s), there is not in operation by the Company and there has not, at any time, been in operation by the Company (and no proposal has been announced by the Company to enter into or establish) and the Company has no liability in respect of any plan, scheme, agreement, arrangement, custom or practice (whether legally enforceable or not or whether or not approved or registered by HMRC) for the payment of (or for the payment of any contribution towards), any pensions, allowances, lump sum or other like benefits payable on retirement, death, termination of employment (whether voluntary or not or whether arising from a transfer of an undertaking within the meaning of the TUPE Regulations or otherwise) or during periods of sickness or disablement, for the benefit of any of the employees (or ex-employees) or directors (or ex-directors) of the Company or for the benefit of the dependants of any of such employees or directors of the Company.</w:t>
      </w:r>
    </w:p>
    <w:p>
      <w:pPr>
        <w:spacing w:after="0" w:line="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4"/>
          <w:szCs w:val="14"/>
          <w:color w:val="auto"/>
        </w:rPr>
        <w:t>In relation to the Pension Scheme(s) and each plan, scheme or arrangement Disclosed:</w:t>
      </w:r>
    </w:p>
    <w:p>
      <w:pPr>
        <w:spacing w:after="0" w:line="68" w:lineRule="exact"/>
        <w:rPr>
          <w:sz w:val="20"/>
          <w:szCs w:val="20"/>
          <w:color w:val="auto"/>
        </w:rPr>
      </w:pPr>
    </w:p>
    <w:p>
      <w:pPr>
        <w:ind w:left="1160" w:right="20" w:hanging="578"/>
        <w:spacing w:after="0" w:line="235" w:lineRule="auto"/>
        <w:tabs>
          <w:tab w:leader="none" w:pos="114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full details of all of its current and former participating employers and all employees and ex-employees who are members of it at Completion have been Disclosed;</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all contributions which are payable by the Company in respect of it and all contributions due from the employees as members of it which have fallen due to be paid, and all fees, charges and expenses due have been duly paid in accordance with Applicable Law;</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every person who has had a right to join, or apply to join, it has been properly advised of that right and no employee of the Company has been excluded from membership of it or from any of the benefits under it in contravention of any of its provisions, any employment contract;</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it has been administered in all material respects in accordance with Applicable Law;</w:t>
      </w:r>
    </w:p>
    <w:p>
      <w:pPr>
        <w:spacing w:after="0" w:line="68" w:lineRule="exact"/>
        <w:rPr>
          <w:rFonts w:ascii="Arial" w:cs="Arial" w:eastAsia="Arial" w:hAnsi="Arial"/>
          <w:sz w:val="16"/>
          <w:szCs w:val="16"/>
          <w:color w:val="auto"/>
        </w:rPr>
      </w:pPr>
    </w:p>
    <w:p>
      <w:pPr>
        <w:jc w:val="both"/>
        <w:ind w:left="1160" w:hanging="578"/>
        <w:spacing w:after="0" w:line="249" w:lineRule="auto"/>
        <w:tabs>
          <w:tab w:leader="none" w:pos="1148" w:val="left"/>
        </w:tabs>
        <w:numPr>
          <w:ilvl w:val="1"/>
          <w:numId w:val="445"/>
        </w:numPr>
        <w:rPr>
          <w:rFonts w:ascii="Arial" w:cs="Arial" w:eastAsia="Arial" w:hAnsi="Arial"/>
          <w:sz w:val="14"/>
          <w:szCs w:val="14"/>
          <w:color w:val="auto"/>
        </w:rPr>
      </w:pPr>
      <w:r>
        <w:rPr>
          <w:rFonts w:ascii="Arial" w:cs="Arial" w:eastAsia="Arial" w:hAnsi="Arial"/>
          <w:sz w:val="14"/>
          <w:szCs w:val="14"/>
          <w:color w:val="auto"/>
        </w:rPr>
        <w:t>all benefits (other than a refund of contributions with interest where appropriate, spouses' death in service and ill health early retirement pensions) payable on the death of a member while in service, or during a period of sickness or disability of a member, are fully insured under a policy effected with an insurance company to which section 275 of the Finance Act 2004 applies and all insurance premiums due have been paid and the Warrantors are not aware of any circumstances in which such insurance would be invalidated. Each member has been covered for that insurance at the insurance company's usual rates and on its usual terms for persons in good health;</w:t>
      </w:r>
    </w:p>
    <w:p>
      <w:pPr>
        <w:spacing w:after="0" w:line="41" w:lineRule="exact"/>
        <w:rPr>
          <w:rFonts w:ascii="Arial" w:cs="Arial" w:eastAsia="Arial" w:hAnsi="Arial"/>
          <w:sz w:val="14"/>
          <w:szCs w:val="14"/>
          <w:color w:val="auto"/>
        </w:rPr>
      </w:pPr>
    </w:p>
    <w:p>
      <w:pPr>
        <w:jc w:val="both"/>
        <w:ind w:left="1160" w:right="40" w:hanging="578"/>
        <w:spacing w:after="0" w:line="224" w:lineRule="auto"/>
        <w:tabs>
          <w:tab w:leader="none" w:pos="114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prior to 6 April 2006 it has at all times been a personal pension plan (within the meaning of Chapter IV Part XIV of ICTA), and with effect from 6 April 2006 it has been a registered pension scheme within the meaning of Chapter 2 of the Finance Act 2004, and nothing has been done or omitted to be done which will or may result in the cessation of such approval or registration;</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no undertakings or assurances have been given to any of the employees of the Company as to the continuance, introduction, increase or improvement of any rights or entitlements in relation to pension, death, disability or retirement;</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it provides only money purchase benefits as defined in section 181 Pension Schemes Act 1993; and</w:t>
      </w:r>
    </w:p>
    <w:p>
      <w:pPr>
        <w:spacing w:after="0" w:line="68" w:lineRule="exact"/>
        <w:rPr>
          <w:rFonts w:ascii="Arial" w:cs="Arial" w:eastAsia="Arial" w:hAnsi="Arial"/>
          <w:sz w:val="16"/>
          <w:szCs w:val="16"/>
          <w:color w:val="auto"/>
        </w:rPr>
      </w:pPr>
    </w:p>
    <w:p>
      <w:pPr>
        <w:jc w:val="both"/>
        <w:ind w:left="1160" w:hanging="578"/>
        <w:spacing w:after="0" w:line="219" w:lineRule="auto"/>
        <w:tabs>
          <w:tab w:leader="none" w:pos="116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no claim or complaint has been threatened or made or litigation commenced against the Company (or its trustees, administrators or principal employer or any other person whom the Company is liable to indemnify or compensate) in respect of any matter arising out of or in connection with it and so far as the Warrantors are aware there are no circumstances which may give rise to any such claim or litigation.</w:t>
      </w:r>
    </w:p>
    <w:p>
      <w:pPr>
        <w:spacing w:after="0" w:line="46" w:lineRule="exact"/>
        <w:rPr>
          <w:rFonts w:ascii="Arial" w:cs="Arial" w:eastAsia="Arial" w:hAnsi="Arial"/>
          <w:sz w:val="16"/>
          <w:szCs w:val="16"/>
          <w:color w:val="auto"/>
        </w:rPr>
      </w:pPr>
    </w:p>
    <w:p>
      <w:pPr>
        <w:ind w:left="580" w:hanging="574"/>
        <w:spacing w:after="0"/>
        <w:tabs>
          <w:tab w:leader="none" w:pos="580" w:val="left"/>
        </w:tabs>
        <w:numPr>
          <w:ilvl w:val="0"/>
          <w:numId w:val="446"/>
        </w:numPr>
        <w:rPr>
          <w:rFonts w:ascii="Arial" w:cs="Arial" w:eastAsia="Arial" w:hAnsi="Arial"/>
          <w:sz w:val="16"/>
          <w:szCs w:val="16"/>
          <w:color w:val="auto"/>
        </w:rPr>
      </w:pPr>
      <w:r>
        <w:rPr>
          <w:rFonts w:ascii="Arial" w:cs="Arial" w:eastAsia="Arial" w:hAnsi="Arial"/>
          <w:sz w:val="16"/>
          <w:szCs w:val="16"/>
          <w:b w:val="1"/>
          <w:bCs w:val="1"/>
          <w:color w:val="auto"/>
        </w:rPr>
        <w:t>Compliance relating to stakeholder pension schemes and auto-enrolment</w:t>
      </w:r>
    </w:p>
    <w:p>
      <w:pPr>
        <w:spacing w:after="0" w:line="70" w:lineRule="exact"/>
        <w:rPr>
          <w:rFonts w:ascii="Arial" w:cs="Arial" w:eastAsia="Arial" w:hAnsi="Arial"/>
          <w:sz w:val="16"/>
          <w:szCs w:val="16"/>
          <w:color w:val="auto"/>
        </w:rPr>
      </w:pPr>
    </w:p>
    <w:p>
      <w:pPr>
        <w:ind w:left="580" w:right="20"/>
        <w:spacing w:after="0" w:line="235" w:lineRule="auto"/>
        <w:rPr>
          <w:rFonts w:ascii="Arial" w:cs="Arial" w:eastAsia="Arial" w:hAnsi="Arial"/>
          <w:sz w:val="16"/>
          <w:szCs w:val="16"/>
          <w:color w:val="auto"/>
        </w:rPr>
      </w:pPr>
      <w:r>
        <w:rPr>
          <w:rFonts w:ascii="Arial" w:cs="Arial" w:eastAsia="Arial" w:hAnsi="Arial"/>
          <w:sz w:val="16"/>
          <w:szCs w:val="16"/>
          <w:color w:val="auto"/>
        </w:rPr>
        <w:t>The Company has complied with all its obligations relating to automatic enrolment including without limitation under the Pensions Act 2008 and regulations made thereunder.</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446"/>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70" w:lineRule="exact"/>
        <w:rPr>
          <w:sz w:val="20"/>
          <w:szCs w:val="20"/>
          <w:color w:val="auto"/>
        </w:rPr>
      </w:pPr>
    </w:p>
    <w:p>
      <w:pPr>
        <w:ind w:left="580"/>
        <w:spacing w:after="0" w:line="235" w:lineRule="auto"/>
        <w:rPr>
          <w:sz w:val="20"/>
          <w:szCs w:val="20"/>
          <w:color w:val="auto"/>
        </w:rPr>
      </w:pPr>
      <w:r>
        <w:rPr>
          <w:rFonts w:ascii="Arial" w:cs="Arial" w:eastAsia="Arial" w:hAnsi="Arial"/>
          <w:sz w:val="16"/>
          <w:szCs w:val="16"/>
          <w:color w:val="auto"/>
        </w:rPr>
        <w:t>None of the employees of the Company has been transferred to it in connection with a business transfer to which the TUPE Regulations may have applied.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Properties</w:t>
      </w:r>
    </w:p>
    <w:p>
      <w:pPr>
        <w:spacing w:after="0" w:line="68" w:lineRule="exact"/>
        <w:rPr>
          <w:sz w:val="20"/>
          <w:szCs w:val="20"/>
          <w:color w:val="auto"/>
        </w:rPr>
      </w:pPr>
    </w:p>
    <w:p>
      <w:pPr>
        <w:ind w:left="580" w:hanging="574"/>
        <w:spacing w:after="0"/>
        <w:tabs>
          <w:tab w:leader="none" w:pos="580" w:val="left"/>
        </w:tabs>
        <w:numPr>
          <w:ilvl w:val="0"/>
          <w:numId w:val="447"/>
        </w:numPr>
        <w:rPr>
          <w:rFonts w:ascii="Arial" w:cs="Arial" w:eastAsia="Arial" w:hAnsi="Arial"/>
          <w:sz w:val="16"/>
          <w:szCs w:val="16"/>
          <w:color w:val="auto"/>
        </w:rPr>
      </w:pPr>
      <w:r>
        <w:rPr>
          <w:rFonts w:ascii="Arial" w:cs="Arial" w:eastAsia="Arial" w:hAnsi="Arial"/>
          <w:sz w:val="16"/>
          <w:szCs w:val="16"/>
          <w:b w:val="1"/>
          <w:bCs w:val="1"/>
          <w:color w:val="auto"/>
        </w:rPr>
        <w:t>Title</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44.1</w:t>
      </w:r>
      <w:r>
        <w:rPr>
          <w:sz w:val="20"/>
          <w:szCs w:val="20"/>
          <w:color w:val="auto"/>
        </w:rPr>
        <w:tab/>
      </w:r>
      <w:r>
        <w:rPr>
          <w:rFonts w:ascii="Arial" w:cs="Arial" w:eastAsia="Arial" w:hAnsi="Arial"/>
          <w:sz w:val="14"/>
          <w:szCs w:val="14"/>
          <w:color w:val="auto"/>
        </w:rPr>
        <w:t>The Properties comprise all the properties presently leased, occupied, held or otherwise used by the Company.</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77</w:t>
      </w:r>
    </w:p>
    <w:p>
      <w:pPr>
        <w:sectPr>
          <w:pgSz w:w="11900" w:h="16840" w:orient="portrait"/>
          <w:cols w:equalWidth="0" w:num="1">
            <w:col w:w="10580"/>
          </w:cols>
          <w:pgMar w:left="660" w:top="1440" w:right="660" w:bottom="1440" w:gutter="0" w:footer="0" w:header="0"/>
        </w:sectPr>
      </w:pPr>
    </w:p>
    <w:bookmarkStart w:id="428" w:name="page429"/>
    <w:bookmarkEnd w:id="428"/>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44.2</w:t>
      </w:r>
      <w:r>
        <w:rPr>
          <w:sz w:val="20"/>
          <w:szCs w:val="20"/>
          <w:color w:val="auto"/>
        </w:rPr>
        <w:tab/>
      </w:r>
      <w:r>
        <w:rPr>
          <w:rFonts w:ascii="Arial" w:cs="Arial" w:eastAsia="Arial" w:hAnsi="Arial"/>
          <w:sz w:val="14"/>
          <w:szCs w:val="14"/>
          <w:color w:val="auto"/>
        </w:rPr>
        <w:t>No Group Company owns any freehold property.</w:t>
      </w:r>
    </w:p>
    <w:p>
      <w:pPr>
        <w:spacing w:after="0" w:line="68" w:lineRule="exact"/>
        <w:rPr>
          <w:sz w:val="20"/>
          <w:szCs w:val="20"/>
          <w:color w:val="auto"/>
        </w:rPr>
      </w:pPr>
    </w:p>
    <w:p>
      <w:pPr>
        <w:jc w:val="both"/>
        <w:ind w:left="580" w:right="40" w:hanging="575"/>
        <w:spacing w:after="0" w:line="224" w:lineRule="auto"/>
        <w:tabs>
          <w:tab w:leader="none" w:pos="560" w:val="left"/>
        </w:tabs>
        <w:rPr>
          <w:sz w:val="20"/>
          <w:szCs w:val="20"/>
          <w:color w:val="auto"/>
        </w:rPr>
      </w:pPr>
      <w:r>
        <w:rPr>
          <w:rFonts w:ascii="Arial" w:cs="Arial" w:eastAsia="Arial" w:hAnsi="Arial"/>
          <w:sz w:val="16"/>
          <w:szCs w:val="16"/>
          <w:color w:val="auto"/>
        </w:rPr>
        <w:t>44.3</w:t>
      </w:r>
      <w:r>
        <w:rPr>
          <w:sz w:val="20"/>
          <w:szCs w:val="20"/>
          <w:color w:val="auto"/>
        </w:rPr>
        <w:tab/>
      </w:r>
      <w:r>
        <w:rPr>
          <w:rFonts w:ascii="Arial" w:cs="Arial" w:eastAsia="Arial" w:hAnsi="Arial"/>
          <w:sz w:val="16"/>
          <w:szCs w:val="16"/>
          <w:color w:val="auto"/>
        </w:rPr>
        <w:t>Each of the Properties is occupied or otherwise used by the Company under the Leases, the terms of which permit its occupation or use as tenant and there are no outstanding circumstances which would restrict the continued possession and enjoyment of any of the Properties or any part of them.</w:t>
      </w:r>
    </w:p>
    <w:p>
      <w:pPr>
        <w:spacing w:after="0" w:line="49" w:lineRule="exact"/>
        <w:rPr>
          <w:sz w:val="20"/>
          <w:szCs w:val="20"/>
          <w:color w:val="auto"/>
        </w:rPr>
      </w:pPr>
    </w:p>
    <w:p>
      <w:pPr>
        <w:jc w:val="both"/>
        <w:ind w:left="580" w:right="40" w:hanging="575"/>
        <w:spacing w:after="0" w:line="224" w:lineRule="auto"/>
        <w:tabs>
          <w:tab w:leader="none" w:pos="560" w:val="left"/>
        </w:tabs>
        <w:rPr>
          <w:sz w:val="20"/>
          <w:szCs w:val="20"/>
          <w:color w:val="auto"/>
        </w:rPr>
      </w:pPr>
      <w:r>
        <w:rPr>
          <w:rFonts w:ascii="Arial" w:cs="Arial" w:eastAsia="Arial" w:hAnsi="Arial"/>
          <w:sz w:val="16"/>
          <w:szCs w:val="16"/>
          <w:color w:val="auto"/>
        </w:rPr>
        <w:t>44.4</w:t>
      </w:r>
      <w:r>
        <w:rPr>
          <w:sz w:val="20"/>
          <w:szCs w:val="20"/>
          <w:color w:val="auto"/>
        </w:rPr>
        <w:tab/>
      </w:r>
      <w:r>
        <w:rPr>
          <w:rFonts w:ascii="Arial" w:cs="Arial" w:eastAsia="Arial" w:hAnsi="Arial"/>
          <w:sz w:val="16"/>
          <w:szCs w:val="16"/>
          <w:color w:val="auto"/>
        </w:rPr>
        <w:t>The Company has not had occasion to make any claim or complaint in relation to any neighbouring property or its use or occupation and there are no disputes, claims, actions, demands or complaints in respect of any Property which are ongoing nor so far as the Warrantors are aware anticipated and no notices materially affecting any Property have been given or received by the Company and not complied with.</w:t>
      </w:r>
    </w:p>
    <w:p>
      <w:pPr>
        <w:spacing w:after="0" w:line="47" w:lineRule="exact"/>
        <w:rPr>
          <w:sz w:val="20"/>
          <w:szCs w:val="20"/>
          <w:color w:val="auto"/>
        </w:rPr>
      </w:pPr>
    </w:p>
    <w:p>
      <w:pPr>
        <w:ind w:left="580" w:hanging="574"/>
        <w:spacing w:after="0"/>
        <w:tabs>
          <w:tab w:leader="none" w:pos="580" w:val="left"/>
        </w:tabs>
        <w:numPr>
          <w:ilvl w:val="0"/>
          <w:numId w:val="448"/>
        </w:numPr>
        <w:rPr>
          <w:rFonts w:ascii="Arial" w:cs="Arial" w:eastAsia="Arial" w:hAnsi="Arial"/>
          <w:sz w:val="16"/>
          <w:szCs w:val="16"/>
          <w:color w:val="auto"/>
        </w:rPr>
      </w:pPr>
      <w:r>
        <w:rPr>
          <w:rFonts w:ascii="Arial" w:cs="Arial" w:eastAsia="Arial" w:hAnsi="Arial"/>
          <w:sz w:val="16"/>
          <w:szCs w:val="16"/>
          <w:b w:val="1"/>
          <w:bCs w:val="1"/>
          <w:color w:val="auto"/>
        </w:rPr>
        <w:t>Encumbrances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45.1</w:t>
      </w:r>
      <w:r>
        <w:rPr>
          <w:sz w:val="20"/>
          <w:szCs w:val="20"/>
          <w:color w:val="auto"/>
        </w:rPr>
        <w:tab/>
      </w:r>
      <w:r>
        <w:rPr>
          <w:rFonts w:ascii="Arial" w:cs="Arial" w:eastAsia="Arial" w:hAnsi="Arial"/>
          <w:sz w:val="14"/>
          <w:szCs w:val="14"/>
          <w:color w:val="auto"/>
        </w:rPr>
        <w:t>No Property is subject to any outgoings other than rent, insurance rent and service charges.</w:t>
      </w:r>
    </w:p>
    <w:p>
      <w:pPr>
        <w:spacing w:after="0" w:line="6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45.2</w:t>
      </w:r>
      <w:r>
        <w:rPr>
          <w:sz w:val="20"/>
          <w:szCs w:val="20"/>
          <w:color w:val="auto"/>
        </w:rPr>
        <w:tab/>
      </w:r>
      <w:r>
        <w:rPr>
          <w:rFonts w:ascii="Arial" w:cs="Arial" w:eastAsia="Arial" w:hAnsi="Arial"/>
          <w:sz w:val="16"/>
          <w:szCs w:val="16"/>
          <w:color w:val="auto"/>
        </w:rPr>
        <w:t>So far as the Warrantors are aware, no matter exists which is registered or is properly capable of registration against any Property as a Land Charge, Local Land Charge, notice or restriction.</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45.3</w:t>
      </w:r>
      <w:r>
        <w:rPr>
          <w:sz w:val="20"/>
          <w:szCs w:val="20"/>
          <w:color w:val="auto"/>
        </w:rPr>
        <w:tab/>
      </w:r>
      <w:r>
        <w:rPr>
          <w:rFonts w:ascii="Arial" w:cs="Arial" w:eastAsia="Arial" w:hAnsi="Arial"/>
          <w:sz w:val="16"/>
          <w:szCs w:val="16"/>
          <w:color w:val="auto"/>
        </w:rPr>
        <w:t>Where any matter has been Disclosed against sub-paragraphs 45.1 to 45.2 45.2 (inclusive), the obligations and liabilities imposed and arising under the Disclosed matter have been observed and performed in all material respects and any payments in respect of it which are due and payable have been duly paid.</w:t>
      </w:r>
    </w:p>
    <w:p>
      <w:pPr>
        <w:spacing w:after="0" w:line="47" w:lineRule="exact"/>
        <w:rPr>
          <w:sz w:val="20"/>
          <w:szCs w:val="20"/>
          <w:color w:val="auto"/>
        </w:rPr>
      </w:pPr>
    </w:p>
    <w:p>
      <w:pPr>
        <w:ind w:left="580" w:hanging="574"/>
        <w:spacing w:after="0"/>
        <w:tabs>
          <w:tab w:leader="none" w:pos="580" w:val="left"/>
        </w:tabs>
        <w:numPr>
          <w:ilvl w:val="0"/>
          <w:numId w:val="449"/>
        </w:numPr>
        <w:rPr>
          <w:rFonts w:ascii="Arial" w:cs="Arial" w:eastAsia="Arial" w:hAnsi="Arial"/>
          <w:sz w:val="16"/>
          <w:szCs w:val="16"/>
          <w:color w:val="auto"/>
        </w:rPr>
      </w:pPr>
      <w:r>
        <w:rPr>
          <w:rFonts w:ascii="Arial" w:cs="Arial" w:eastAsia="Arial" w:hAnsi="Arial"/>
          <w:sz w:val="16"/>
          <w:szCs w:val="16"/>
          <w:b w:val="1"/>
          <w:bCs w:val="1"/>
          <w:color w:val="auto"/>
        </w:rPr>
        <w:t>Leasehold properties</w:t>
      </w:r>
    </w:p>
    <w:p>
      <w:pPr>
        <w:spacing w:after="0" w:line="70" w:lineRule="exact"/>
        <w:rPr>
          <w:sz w:val="20"/>
          <w:szCs w:val="20"/>
          <w:color w:val="auto"/>
        </w:rPr>
      </w:pPr>
    </w:p>
    <w:p>
      <w:pPr>
        <w:jc w:val="both"/>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46.1</w:t>
      </w:r>
      <w:r>
        <w:rPr>
          <w:sz w:val="20"/>
          <w:szCs w:val="20"/>
          <w:color w:val="auto"/>
        </w:rPr>
        <w:tab/>
      </w:r>
      <w:r>
        <w:rPr>
          <w:rFonts w:ascii="Arial" w:cs="Arial" w:eastAsia="Arial" w:hAnsi="Arial"/>
          <w:sz w:val="16"/>
          <w:szCs w:val="16"/>
          <w:color w:val="auto"/>
        </w:rPr>
        <w:t>Each Lease is valid and in full force and there are no circumstances which would entitle any landlord or other person to exercise any power of entry or take possession of any of the Properties.</w:t>
      </w:r>
    </w:p>
    <w:p>
      <w:pPr>
        <w:spacing w:after="0" w:line="48"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46.2</w:t>
      </w:r>
      <w:r>
        <w:rPr>
          <w:sz w:val="20"/>
          <w:szCs w:val="20"/>
          <w:color w:val="auto"/>
        </w:rPr>
        <w:tab/>
      </w:r>
      <w:r>
        <w:rPr>
          <w:rFonts w:ascii="Arial" w:cs="Arial" w:eastAsia="Arial" w:hAnsi="Arial"/>
          <w:sz w:val="16"/>
          <w:szCs w:val="16"/>
          <w:color w:val="auto"/>
        </w:rPr>
        <w:t>The Company, and each Group Company as applicable, has paid the rent and observed and performed the covenants on the part of the tenant and the conditions contained in any Lease to which it is a party.</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46.3</w:t>
      </w:r>
      <w:r>
        <w:rPr>
          <w:sz w:val="20"/>
          <w:szCs w:val="20"/>
          <w:color w:val="auto"/>
        </w:rPr>
        <w:tab/>
      </w:r>
      <w:r>
        <w:rPr>
          <w:rFonts w:ascii="Arial" w:cs="Arial" w:eastAsia="Arial" w:hAnsi="Arial"/>
          <w:sz w:val="16"/>
          <w:szCs w:val="16"/>
          <w:color w:val="auto"/>
        </w:rPr>
        <w:t>All licences, consents and approvals required from the landlords and any superior landlords for the grant of the Leases and during the continuance of the Leases have been obtained and any covenants on the part of the tenant contained in those licences, consents and approvals have been duly performed and observed.</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46.4</w:t>
      </w:r>
      <w:r>
        <w:rPr>
          <w:sz w:val="20"/>
          <w:szCs w:val="20"/>
          <w:color w:val="auto"/>
        </w:rPr>
        <w:tab/>
      </w:r>
      <w:r>
        <w:rPr>
          <w:rFonts w:ascii="Arial" w:cs="Arial" w:eastAsia="Arial" w:hAnsi="Arial"/>
          <w:sz w:val="14"/>
          <w:szCs w:val="14"/>
          <w:color w:val="auto"/>
        </w:rPr>
        <w:t>So far as the Warrantors are aware, there are no rent reviews outstanding or in progress under any Lease.</w:t>
      </w:r>
    </w:p>
    <w:p>
      <w:pPr>
        <w:spacing w:after="0" w:line="68" w:lineRule="exact"/>
        <w:rPr>
          <w:sz w:val="20"/>
          <w:szCs w:val="20"/>
          <w:color w:val="auto"/>
        </w:rPr>
      </w:pPr>
    </w:p>
    <w:p>
      <w:pPr>
        <w:jc w:val="both"/>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46.5</w:t>
      </w:r>
      <w:r>
        <w:rPr>
          <w:sz w:val="20"/>
          <w:szCs w:val="20"/>
          <w:color w:val="auto"/>
        </w:rPr>
        <w:tab/>
      </w:r>
      <w:r>
        <w:rPr>
          <w:rFonts w:ascii="Arial" w:cs="Arial" w:eastAsia="Arial" w:hAnsi="Arial"/>
          <w:sz w:val="16"/>
          <w:szCs w:val="16"/>
          <w:color w:val="auto"/>
        </w:rPr>
        <w:t>There is no obligation to reinstate any Property by removing or dismantling any alteration made to it by the Company and the Company has not incurred any liability for dilapidation.</w:t>
      </w:r>
    </w:p>
    <w:p>
      <w:pPr>
        <w:spacing w:after="0" w:line="48"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46.6</w:t>
      </w:r>
      <w:r>
        <w:rPr>
          <w:sz w:val="20"/>
          <w:szCs w:val="20"/>
          <w:color w:val="auto"/>
        </w:rPr>
        <w:tab/>
      </w:r>
      <w:r>
        <w:rPr>
          <w:rFonts w:ascii="Arial" w:cs="Arial" w:eastAsia="Arial" w:hAnsi="Arial"/>
          <w:sz w:val="16"/>
          <w:szCs w:val="16"/>
          <w:color w:val="auto"/>
        </w:rPr>
        <w:t xml:space="preserve">The Company has not in the past [***] years been the tenant of or guarantor of any leasehold premises not listed in Schedule 3 ( </w:t>
      </w:r>
      <w:r>
        <w:rPr>
          <w:rFonts w:ascii="Arial" w:cs="Arial" w:eastAsia="Arial" w:hAnsi="Arial"/>
          <w:sz w:val="16"/>
          <w:szCs w:val="16"/>
          <w:i w:val="1"/>
          <w:iCs w:val="1"/>
          <w:color w:val="auto"/>
        </w:rPr>
        <w:t>The Properties</w:t>
      </w:r>
      <w:r>
        <w:rPr>
          <w:rFonts w:ascii="Arial" w:cs="Arial" w:eastAsia="Arial" w:hAnsi="Arial"/>
          <w:sz w:val="16"/>
          <w:szCs w:val="16"/>
          <w:color w:val="auto"/>
        </w:rPr>
        <w:t>) in respect of which any obligations or liabilities could still accrue to the Company.</w:t>
      </w:r>
    </w:p>
    <w:p>
      <w:pPr>
        <w:spacing w:after="0" w:line="48"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46.7</w:t>
      </w:r>
      <w:r>
        <w:rPr>
          <w:sz w:val="20"/>
          <w:szCs w:val="20"/>
          <w:color w:val="auto"/>
        </w:rPr>
        <w:tab/>
      </w:r>
      <w:r>
        <w:rPr>
          <w:rFonts w:ascii="Arial" w:cs="Arial" w:eastAsia="Arial" w:hAnsi="Arial"/>
          <w:sz w:val="16"/>
          <w:szCs w:val="16"/>
          <w:color w:val="auto"/>
        </w:rPr>
        <w:t>The sale of the Completion Shares will not constitute an assignment or other dealing in respect of any of the Properties under the terms of the Leases.</w:t>
      </w:r>
    </w:p>
    <w:p>
      <w:pPr>
        <w:spacing w:after="0" w:line="46" w:lineRule="exact"/>
        <w:rPr>
          <w:sz w:val="20"/>
          <w:szCs w:val="20"/>
          <w:color w:val="auto"/>
        </w:rPr>
      </w:pPr>
    </w:p>
    <w:p>
      <w:pPr>
        <w:ind w:left="580" w:hanging="574"/>
        <w:spacing w:after="0"/>
        <w:tabs>
          <w:tab w:leader="none" w:pos="580" w:val="left"/>
        </w:tabs>
        <w:numPr>
          <w:ilvl w:val="0"/>
          <w:numId w:val="450"/>
        </w:numPr>
        <w:rPr>
          <w:rFonts w:ascii="Arial" w:cs="Arial" w:eastAsia="Arial" w:hAnsi="Arial"/>
          <w:sz w:val="16"/>
          <w:szCs w:val="16"/>
          <w:color w:val="auto"/>
        </w:rPr>
      </w:pPr>
      <w:r>
        <w:rPr>
          <w:rFonts w:ascii="Arial" w:cs="Arial" w:eastAsia="Arial" w:hAnsi="Arial"/>
          <w:sz w:val="16"/>
          <w:szCs w:val="16"/>
          <w:b w:val="1"/>
          <w:bCs w:val="1"/>
          <w:color w:val="auto"/>
        </w:rPr>
        <w:t>Regulation S</w:t>
      </w:r>
    </w:p>
    <w:p>
      <w:pPr>
        <w:spacing w:after="0" w:line="70" w:lineRule="exact"/>
        <w:rPr>
          <w:sz w:val="20"/>
          <w:szCs w:val="20"/>
          <w:color w:val="auto"/>
        </w:rPr>
      </w:pPr>
    </w:p>
    <w:p>
      <w:pPr>
        <w:jc w:val="both"/>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47.1</w:t>
      </w:r>
      <w:r>
        <w:rPr>
          <w:sz w:val="20"/>
          <w:szCs w:val="20"/>
          <w:color w:val="auto"/>
        </w:rPr>
        <w:tab/>
      </w:r>
      <w:r>
        <w:rPr>
          <w:rFonts w:ascii="Arial" w:cs="Arial" w:eastAsia="Arial" w:hAnsi="Arial"/>
          <w:sz w:val="16"/>
          <w:szCs w:val="16"/>
          <w:color w:val="auto"/>
        </w:rPr>
        <w:t>No Non-US FME Shareholder is a "U.S. person" (as defined in Regulation S) under the Securities Act or an underwriter or dealer within the meaning of the Securities Act.</w:t>
      </w:r>
    </w:p>
    <w:p>
      <w:pPr>
        <w:spacing w:after="0" w:line="48" w:lineRule="exact"/>
        <w:rPr>
          <w:sz w:val="20"/>
          <w:szCs w:val="20"/>
          <w:color w:val="auto"/>
        </w:rPr>
      </w:pPr>
    </w:p>
    <w:p>
      <w:pPr>
        <w:jc w:val="both"/>
        <w:ind w:left="580" w:right="40" w:hanging="575"/>
        <w:spacing w:after="0" w:line="224" w:lineRule="auto"/>
        <w:tabs>
          <w:tab w:leader="none" w:pos="560" w:val="left"/>
        </w:tabs>
        <w:rPr>
          <w:sz w:val="20"/>
          <w:szCs w:val="20"/>
          <w:color w:val="auto"/>
        </w:rPr>
      </w:pPr>
      <w:r>
        <w:rPr>
          <w:rFonts w:ascii="Arial" w:cs="Arial" w:eastAsia="Arial" w:hAnsi="Arial"/>
          <w:sz w:val="16"/>
          <w:szCs w:val="16"/>
          <w:color w:val="auto"/>
        </w:rPr>
        <w:t>47.2</w:t>
      </w:r>
      <w:r>
        <w:rPr>
          <w:sz w:val="20"/>
          <w:szCs w:val="20"/>
          <w:color w:val="auto"/>
        </w:rPr>
        <w:tab/>
      </w:r>
      <w:r>
        <w:rPr>
          <w:rFonts w:ascii="Arial" w:cs="Arial" w:eastAsia="Arial" w:hAnsi="Arial"/>
          <w:sz w:val="16"/>
          <w:szCs w:val="16"/>
          <w:color w:val="auto"/>
        </w:rPr>
        <w:t>Each Non- US FME Shareholder is receiving Consideration Shares and Consideration ADSs for his, her or its own account for investment and not for the benefit of any U.S. person or with a view to any resale, distribution or other disposition of the Consideration Shares or Consideration ADSs.</w:t>
      </w:r>
    </w:p>
    <w:p>
      <w:pPr>
        <w:spacing w:after="0" w:line="49" w:lineRule="exact"/>
        <w:rPr>
          <w:sz w:val="20"/>
          <w:szCs w:val="20"/>
          <w:color w:val="auto"/>
        </w:rPr>
      </w:pPr>
    </w:p>
    <w:p>
      <w:pPr>
        <w:jc w:val="both"/>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47.3</w:t>
      </w:r>
      <w:r>
        <w:rPr>
          <w:sz w:val="20"/>
          <w:szCs w:val="20"/>
          <w:color w:val="auto"/>
        </w:rPr>
        <w:tab/>
      </w:r>
      <w:r>
        <w:rPr>
          <w:rFonts w:ascii="Arial" w:cs="Arial" w:eastAsia="Arial" w:hAnsi="Arial"/>
          <w:sz w:val="16"/>
          <w:szCs w:val="16"/>
          <w:color w:val="auto"/>
        </w:rPr>
        <w:t>Each Non- US FME Shareholder is acquiring the Consideration Shares and Consideration ADSs in an "offshore transaction" (as defined in Regulation S).</w:t>
      </w:r>
    </w:p>
    <w:p>
      <w:pPr>
        <w:spacing w:after="0" w:line="48" w:lineRule="exact"/>
        <w:rPr>
          <w:sz w:val="20"/>
          <w:szCs w:val="20"/>
          <w:color w:val="auto"/>
        </w:rPr>
      </w:pPr>
    </w:p>
    <w:p>
      <w:pPr>
        <w:jc w:val="both"/>
        <w:ind w:left="580" w:right="40" w:hanging="575"/>
        <w:spacing w:after="0" w:line="224" w:lineRule="auto"/>
        <w:tabs>
          <w:tab w:leader="none" w:pos="560" w:val="left"/>
        </w:tabs>
        <w:rPr>
          <w:sz w:val="20"/>
          <w:szCs w:val="20"/>
          <w:color w:val="auto"/>
        </w:rPr>
      </w:pPr>
      <w:r>
        <w:rPr>
          <w:rFonts w:ascii="Arial" w:cs="Arial" w:eastAsia="Arial" w:hAnsi="Arial"/>
          <w:sz w:val="16"/>
          <w:szCs w:val="16"/>
          <w:color w:val="auto"/>
        </w:rPr>
        <w:t>47.4</w:t>
      </w:r>
      <w:r>
        <w:rPr>
          <w:sz w:val="20"/>
          <w:szCs w:val="20"/>
          <w:color w:val="auto"/>
        </w:rPr>
        <w:tab/>
      </w:r>
      <w:r>
        <w:rPr>
          <w:rFonts w:ascii="Arial" w:cs="Arial" w:eastAsia="Arial" w:hAnsi="Arial"/>
          <w:sz w:val="16"/>
          <w:szCs w:val="16"/>
          <w:color w:val="auto"/>
        </w:rPr>
        <w:t>None of the Non-US FME Shareholders or their affiliates (as defined in Regulation 501 under the Securities Act), nor any persons acting on their behalf has engaged in any directed selling efforts (as defined in Regulation S) with respect to the Consideration Shares and the Consideration ADSs, and it and they have complied and will comply with the offering restrictions of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78</w:t>
      </w:r>
    </w:p>
    <w:p>
      <w:pPr>
        <w:sectPr>
          <w:pgSz w:w="11900" w:h="16840" w:orient="portrait"/>
          <w:cols w:equalWidth="0" w:num="1">
            <w:col w:w="10600"/>
          </w:cols>
          <w:pgMar w:left="660" w:top="1440" w:right="640" w:bottom="1440" w:gutter="0" w:footer="0" w:header="0"/>
        </w:sectPr>
      </w:pPr>
    </w:p>
    <w:bookmarkStart w:id="429" w:name="page430"/>
    <w:bookmarkEnd w:id="429"/>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5</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(Limitations on liability)</w:t>
      </w:r>
    </w:p>
    <w:p>
      <w:pPr>
        <w:spacing w:after="0" w:line="70" w:lineRule="exact"/>
        <w:rPr>
          <w:sz w:val="20"/>
          <w:szCs w:val="20"/>
          <w:color w:val="auto"/>
        </w:rPr>
      </w:pPr>
    </w:p>
    <w:p>
      <w:pPr>
        <w:ind w:left="580" w:right="20" w:hanging="574"/>
        <w:spacing w:after="0" w:line="235" w:lineRule="auto"/>
        <w:tabs>
          <w:tab w:leader="none" w:pos="568"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liability of the Warrantors under the Warranties shall be reduced if and to the extent that the loss shall have been recovered under the Tax Covenant (and vice versa).</w:t>
      </w:r>
    </w:p>
    <w:p>
      <w:pPr>
        <w:spacing w:after="0" w:line="47" w:lineRule="exact"/>
        <w:rPr>
          <w:rFonts w:ascii="Arial" w:cs="Arial" w:eastAsia="Arial" w:hAnsi="Arial"/>
          <w:sz w:val="16"/>
          <w:szCs w:val="16"/>
          <w:color w:val="auto"/>
        </w:rPr>
      </w:pPr>
    </w:p>
    <w:p>
      <w:pPr>
        <w:jc w:val="both"/>
        <w:ind w:left="580" w:hanging="574"/>
        <w:spacing w:after="0" w:line="243" w:lineRule="auto"/>
        <w:tabs>
          <w:tab w:leader="none" w:pos="568" w:val="left"/>
        </w:tabs>
        <w:numPr>
          <w:ilvl w:val="0"/>
          <w:numId w:val="451"/>
        </w:numPr>
        <w:rPr>
          <w:rFonts w:ascii="Arial" w:cs="Arial" w:eastAsia="Arial" w:hAnsi="Arial"/>
          <w:sz w:val="14"/>
          <w:szCs w:val="14"/>
          <w:color w:val="auto"/>
        </w:rPr>
      </w:pPr>
      <w:r>
        <w:rPr>
          <w:rFonts w:ascii="Arial" w:cs="Arial" w:eastAsia="Arial" w:hAnsi="Arial"/>
          <w:sz w:val="14"/>
          <w:szCs w:val="14"/>
          <w:color w:val="auto"/>
        </w:rPr>
        <w:t>The Warrantors shall not be liable for any Warranty Claim if, and to the extent that, the fact, matter, circumstance or event giving rise to such Warranty Claim has been Disclosed in the Signing Disclosure Letter in respect of the Warranties given at the date of this Agreement and Disclosed pursuant to sub-clause 6.2 (</w:t>
      </w:r>
      <w:r>
        <w:rPr>
          <w:rFonts w:ascii="Arial" w:cs="Arial" w:eastAsia="Arial" w:hAnsi="Arial"/>
          <w:sz w:val="14"/>
          <w:szCs w:val="14"/>
          <w:i w:val="1"/>
          <w:iCs w:val="1"/>
          <w:color w:val="auto"/>
        </w:rPr>
        <w:t>Pre Completion obligations</w:t>
      </w:r>
      <w:r>
        <w:rPr>
          <w:rFonts w:ascii="Arial" w:cs="Arial" w:eastAsia="Arial" w:hAnsi="Arial"/>
          <w:sz w:val="14"/>
          <w:szCs w:val="14"/>
          <w:color w:val="auto"/>
        </w:rPr>
        <w:t>) or in the Completion Disclosure Letter in respect of the Warranties repeated on the Completion Date, provided that nothing in the Signing Disclosure Letter and/or the Completion Disclosure Letter shall limit the Warrantors' liability under the Tax Covenant. For the avoidance of doubt, where a disclosure in the Disclosure Documents includes any estimate, forecast or statement of opinion as to the amount of any liability, cost or expense then, provided such estimate, forecast or statement of opinion is given in good faith, the fact that the amount turns out to be inaccurate shall not of itself render the disclosure not Disclosed.</w:t>
      </w:r>
    </w:p>
    <w:p>
      <w:pPr>
        <w:spacing w:after="0" w:line="47" w:lineRule="exact"/>
        <w:rPr>
          <w:rFonts w:ascii="Arial" w:cs="Arial" w:eastAsia="Arial" w:hAnsi="Arial"/>
          <w:sz w:val="14"/>
          <w:szCs w:val="14"/>
          <w:color w:val="auto"/>
        </w:rPr>
      </w:pPr>
    </w:p>
    <w:p>
      <w:pPr>
        <w:ind w:left="580" w:hanging="574"/>
        <w:spacing w:after="0"/>
        <w:tabs>
          <w:tab w:leader="none" w:pos="58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Warrantors shall not be liable for a Claim unless:</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451"/>
        </w:numPr>
        <w:rPr>
          <w:rFonts w:ascii="Arial" w:cs="Arial" w:eastAsia="Arial" w:hAnsi="Arial"/>
          <w:sz w:val="16"/>
          <w:szCs w:val="16"/>
          <w:color w:val="auto"/>
        </w:rPr>
      </w:pPr>
      <w:r>
        <w:rPr>
          <w:rFonts w:ascii="Arial" w:cs="Arial" w:eastAsia="Arial" w:hAnsi="Arial"/>
          <w:sz w:val="16"/>
          <w:szCs w:val="16"/>
          <w:color w:val="auto"/>
        </w:rPr>
        <w:t>written notice from or on behalf of the Purchaser giving reasonable details of the Claim has been deemed served on the Warrantors in accordance with the provisions of clause 24 (</w:t>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1740" w:hanging="582"/>
        <w:spacing w:after="0"/>
        <w:tabs>
          <w:tab w:leader="none" w:pos="1740" w:val="left"/>
        </w:tabs>
        <w:numPr>
          <w:ilvl w:val="2"/>
          <w:numId w:val="451"/>
        </w:numPr>
        <w:rPr>
          <w:rFonts w:ascii="Arial" w:cs="Arial" w:eastAsia="Arial" w:hAnsi="Arial"/>
          <w:sz w:val="16"/>
          <w:szCs w:val="16"/>
          <w:color w:val="auto"/>
        </w:rPr>
      </w:pPr>
      <w:r>
        <w:rPr>
          <w:rFonts w:ascii="Arial" w:cs="Arial" w:eastAsia="Arial" w:hAnsi="Arial"/>
          <w:sz w:val="16"/>
          <w:szCs w:val="16"/>
          <w:color w:val="auto"/>
        </w:rPr>
        <w:t>in the case of any Non-Tax Claim, on or before the expiration of [***] years from Completion;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51"/>
        </w:numPr>
        <w:rPr>
          <w:rFonts w:ascii="Arial" w:cs="Arial" w:eastAsia="Arial" w:hAnsi="Arial"/>
          <w:sz w:val="16"/>
          <w:szCs w:val="16"/>
          <w:color w:val="auto"/>
        </w:rPr>
      </w:pPr>
      <w:r>
        <w:rPr>
          <w:rFonts w:ascii="Arial" w:cs="Arial" w:eastAsia="Arial" w:hAnsi="Arial"/>
          <w:sz w:val="16"/>
          <w:szCs w:val="16"/>
          <w:color w:val="auto"/>
        </w:rPr>
        <w:t>in the case of any Tax Claim, not later than [***] years from Completion;</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the amount of the Claim:</w:t>
      </w:r>
    </w:p>
    <w:p>
      <w:pPr>
        <w:spacing w:after="0" w:line="68" w:lineRule="exact"/>
        <w:rPr>
          <w:rFonts w:ascii="Arial" w:cs="Arial" w:eastAsia="Arial" w:hAnsi="Arial"/>
          <w:sz w:val="16"/>
          <w:szCs w:val="16"/>
          <w:color w:val="auto"/>
        </w:rPr>
      </w:pPr>
    </w:p>
    <w:p>
      <w:pPr>
        <w:jc w:val="both"/>
        <w:ind w:left="1740" w:right="20" w:hanging="582"/>
        <w:spacing w:after="0" w:line="224" w:lineRule="auto"/>
        <w:tabs>
          <w:tab w:leader="none" w:pos="1740" w:val="left"/>
        </w:tabs>
        <w:numPr>
          <w:ilvl w:val="2"/>
          <w:numId w:val="451"/>
        </w:numPr>
        <w:rPr>
          <w:rFonts w:ascii="Arial" w:cs="Arial" w:eastAsia="Arial" w:hAnsi="Arial"/>
          <w:sz w:val="16"/>
          <w:szCs w:val="16"/>
          <w:color w:val="auto"/>
        </w:rPr>
      </w:pPr>
      <w:r>
        <w:rPr>
          <w:rFonts w:ascii="Arial" w:cs="Arial" w:eastAsia="Arial" w:hAnsi="Arial"/>
          <w:sz w:val="16"/>
          <w:szCs w:val="16"/>
          <w:color w:val="auto"/>
        </w:rPr>
        <w:t>exceeds £[***], in which case the Warrantors shall be liable for the whole amount of the Claim and not simply the excess paid. For the purposes of this paragraph 3(b)(i), Claims arising from the same events or causes shall be regarded as a single Claim; and</w:t>
      </w:r>
    </w:p>
    <w:p>
      <w:pPr>
        <w:spacing w:after="0" w:line="48" w:lineRule="exact"/>
        <w:rPr>
          <w:rFonts w:ascii="Arial" w:cs="Arial" w:eastAsia="Arial" w:hAnsi="Arial"/>
          <w:sz w:val="16"/>
          <w:szCs w:val="16"/>
          <w:color w:val="auto"/>
        </w:rPr>
      </w:pPr>
    </w:p>
    <w:p>
      <w:pPr>
        <w:ind w:left="1740" w:hanging="582"/>
        <w:spacing w:after="0" w:line="235" w:lineRule="auto"/>
        <w:tabs>
          <w:tab w:leader="none" w:pos="1728" w:val="left"/>
        </w:tabs>
        <w:numPr>
          <w:ilvl w:val="2"/>
          <w:numId w:val="451"/>
        </w:numPr>
        <w:rPr>
          <w:rFonts w:ascii="Arial" w:cs="Arial" w:eastAsia="Arial" w:hAnsi="Arial"/>
          <w:sz w:val="16"/>
          <w:szCs w:val="16"/>
          <w:color w:val="auto"/>
        </w:rPr>
      </w:pPr>
      <w:r>
        <w:rPr>
          <w:rFonts w:ascii="Arial" w:cs="Arial" w:eastAsia="Arial" w:hAnsi="Arial"/>
          <w:sz w:val="16"/>
          <w:szCs w:val="16"/>
          <w:color w:val="auto"/>
        </w:rPr>
        <w:t>when aggregated with all other Claims made on the same occasion or previously, is equal to or exceeds £[***] (in which case the Warrantors shall be liable for the whole amount of all of the Claims and not simply the excess).</w:t>
      </w:r>
    </w:p>
    <w:p>
      <w:pPr>
        <w:spacing w:after="0" w:line="47" w:lineRule="exact"/>
        <w:rPr>
          <w:rFonts w:ascii="Arial" w:cs="Arial" w:eastAsia="Arial" w:hAnsi="Arial"/>
          <w:sz w:val="16"/>
          <w:szCs w:val="16"/>
          <w:color w:val="auto"/>
        </w:rPr>
      </w:pPr>
    </w:p>
    <w:p>
      <w:pPr>
        <w:jc w:val="both"/>
        <w:ind w:left="580" w:hanging="574"/>
        <w:spacing w:after="0" w:line="216" w:lineRule="auto"/>
        <w:tabs>
          <w:tab w:leader="none" w:pos="568"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Warrantors shall not be liable in respect of any Warranty Claim arising from any matter if, on or before the date falling [***] Business Days after the day on which notice of that claim is given under paragraph 3(a) above, the Warrantors either prevented the Purchaser from suffering any losses in respect of that matter or have caused any losses so suffered by the Purchaser to be made good. The Purchaser shall comply with all reasonable requests made by the Warrantors during that period for the purposes of preventing any such losses or causing them to be made good.</w:t>
      </w:r>
    </w:p>
    <w:p>
      <w:pPr>
        <w:spacing w:after="0" w:line="48" w:lineRule="exact"/>
        <w:rPr>
          <w:rFonts w:ascii="Arial" w:cs="Arial" w:eastAsia="Arial" w:hAnsi="Arial"/>
          <w:sz w:val="16"/>
          <w:szCs w:val="16"/>
          <w:color w:val="auto"/>
        </w:rPr>
      </w:pPr>
    </w:p>
    <w:p>
      <w:pPr>
        <w:jc w:val="both"/>
        <w:ind w:left="580" w:hanging="574"/>
        <w:spacing w:after="0" w:line="219" w:lineRule="auto"/>
        <w:tabs>
          <w:tab w:leader="none" w:pos="568"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Warrantors shall not be liable in respect of any Warranty Claim unless legal proceedings in relation to that Warranty Claim are validly issued and served on the relevant Warrantors on or before the [***] anniversary of the last date on which notice of that Warranty Claim can be given under paragraph 3(a)(ii). For the purposes of this Agreement, legal proceedings shall be regarded as having been served when the relevant step referred to in the Civil Procedure Rule 7.5(1) has been completed.</w:t>
      </w:r>
    </w:p>
    <w:p>
      <w:pPr>
        <w:spacing w:after="0" w:line="48" w:lineRule="exact"/>
        <w:rPr>
          <w:rFonts w:ascii="Arial" w:cs="Arial" w:eastAsia="Arial" w:hAnsi="Arial"/>
          <w:sz w:val="16"/>
          <w:szCs w:val="16"/>
          <w:color w:val="auto"/>
        </w:rPr>
      </w:pPr>
    </w:p>
    <w:p>
      <w:pPr>
        <w:ind w:left="580" w:hanging="574"/>
        <w:spacing w:after="0"/>
        <w:tabs>
          <w:tab w:leader="none" w:pos="58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Except as provided in paragraph 16 below, the aggregate liability of the Warrantors in respect of all Claims, irrespective of whether: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the W&amp;I Policy continues in full force and effect or not;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the W&amp;I Insurer makes payment to the Purchaser in respect thereof,</w:t>
      </w:r>
    </w:p>
    <w:p>
      <w:pPr>
        <w:spacing w:after="0" w:line="68" w:lineRule="exact"/>
        <w:rPr>
          <w:sz w:val="20"/>
          <w:szCs w:val="20"/>
          <w:color w:val="auto"/>
        </w:rPr>
      </w:pPr>
    </w:p>
    <w:p>
      <w:pPr>
        <w:jc w:val="both"/>
        <w:ind w:left="580"/>
        <w:spacing w:after="0" w:line="224" w:lineRule="auto"/>
        <w:rPr>
          <w:sz w:val="20"/>
          <w:szCs w:val="20"/>
          <w:color w:val="auto"/>
        </w:rPr>
      </w:pPr>
      <w:r>
        <w:rPr>
          <w:rFonts w:ascii="Arial" w:cs="Arial" w:eastAsia="Arial" w:hAnsi="Arial"/>
          <w:sz w:val="16"/>
          <w:szCs w:val="16"/>
          <w:color w:val="auto"/>
        </w:rPr>
        <w:t>shall not exceed £[***] and subject to the other provisions of this Schedule 5 and the provisions of this Agreement, the parties agree that the Purchaser's sole right of recovery (if any) in excess of the cap on liability specified in this paragraph 6 of this Schedule 5 in respect of any and all Claims shall be under the W&amp;I Policy.</w:t>
      </w:r>
    </w:p>
    <w:p>
      <w:pPr>
        <w:spacing w:after="0" w:line="49" w:lineRule="exact"/>
        <w:rPr>
          <w:sz w:val="20"/>
          <w:szCs w:val="20"/>
          <w:color w:val="auto"/>
        </w:rPr>
      </w:pPr>
    </w:p>
    <w:p>
      <w:pPr>
        <w:ind w:left="580" w:hanging="574"/>
        <w:spacing w:after="0"/>
        <w:tabs>
          <w:tab w:leader="none" w:pos="58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Warrantors shall not be liable for any Non-Tax Claim:</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to the extent that such Non-Tax Claim arises or is increased as a result of:</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2"/>
          <w:numId w:val="452"/>
        </w:numPr>
        <w:rPr>
          <w:rFonts w:ascii="Arial" w:cs="Arial" w:eastAsia="Arial" w:hAnsi="Arial"/>
          <w:sz w:val="16"/>
          <w:szCs w:val="16"/>
          <w:color w:val="auto"/>
        </w:rPr>
      </w:pPr>
      <w:r>
        <w:rPr>
          <w:rFonts w:ascii="Arial" w:cs="Arial" w:eastAsia="Arial" w:hAnsi="Arial"/>
          <w:sz w:val="16"/>
          <w:szCs w:val="16"/>
          <w:color w:val="auto"/>
        </w:rPr>
        <w:t>any act, omission, transaction, arrangement or other event occurring at the request or with the consent of the Purchaser before Completion, or pursuant to or in compliance with any Transaction Document;</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79</w:t>
      </w:r>
    </w:p>
    <w:p>
      <w:pPr>
        <w:sectPr>
          <w:pgSz w:w="11900" w:h="16840" w:orient="portrait"/>
          <w:cols w:equalWidth="0" w:num="1">
            <w:col w:w="10580"/>
          </w:cols>
          <w:pgMar w:left="660" w:top="1440" w:right="660" w:bottom="1440" w:gutter="0" w:footer="0" w:header="0"/>
        </w:sectPr>
      </w:pPr>
    </w:p>
    <w:bookmarkStart w:id="430" w:name="page431"/>
    <w:bookmarkEnd w:id="430"/>
    <w:p>
      <w:pPr>
        <w:spacing w:after="0" w:line="331" w:lineRule="exact"/>
        <w:rPr>
          <w:sz w:val="20"/>
          <w:szCs w:val="20"/>
          <w:color w:val="auto"/>
        </w:rPr>
      </w:pPr>
    </w:p>
    <w:p>
      <w:pPr>
        <w:ind w:left="1734" w:right="20" w:hanging="582"/>
        <w:spacing w:after="0" w:line="235" w:lineRule="auto"/>
        <w:tabs>
          <w:tab w:leader="none" w:pos="1722" w:val="left"/>
        </w:tabs>
        <w:numPr>
          <w:ilvl w:val="2"/>
          <w:numId w:val="453"/>
        </w:numPr>
        <w:rPr>
          <w:rFonts w:ascii="Arial" w:cs="Arial" w:eastAsia="Arial" w:hAnsi="Arial"/>
          <w:sz w:val="16"/>
          <w:szCs w:val="16"/>
          <w:color w:val="auto"/>
        </w:rPr>
      </w:pPr>
      <w:r>
        <w:rPr>
          <w:rFonts w:ascii="Arial" w:cs="Arial" w:eastAsia="Arial" w:hAnsi="Arial"/>
          <w:sz w:val="16"/>
          <w:szCs w:val="16"/>
          <w:color w:val="auto"/>
        </w:rPr>
        <w:t>or would have been reduced but for, the Purchaser failing to act (or to procure that the relevant Group Company acts) as it is required to under this Agreement;</w:t>
      </w:r>
    </w:p>
    <w:p>
      <w:pPr>
        <w:spacing w:after="0" w:line="47" w:lineRule="exact"/>
        <w:rPr>
          <w:rFonts w:ascii="Arial" w:cs="Arial" w:eastAsia="Arial" w:hAnsi="Arial"/>
          <w:sz w:val="16"/>
          <w:szCs w:val="16"/>
          <w:color w:val="auto"/>
        </w:rPr>
      </w:pPr>
    </w:p>
    <w:p>
      <w:pPr>
        <w:ind w:left="1714" w:hanging="562"/>
        <w:spacing w:after="0"/>
        <w:tabs>
          <w:tab w:leader="none" w:pos="1714" w:val="left"/>
        </w:tabs>
        <w:numPr>
          <w:ilvl w:val="2"/>
          <w:numId w:val="453"/>
        </w:numPr>
        <w:rPr>
          <w:rFonts w:ascii="Arial" w:cs="Arial" w:eastAsia="Arial" w:hAnsi="Arial"/>
          <w:sz w:val="16"/>
          <w:szCs w:val="16"/>
          <w:color w:val="auto"/>
        </w:rPr>
      </w:pPr>
      <w:r>
        <w:rPr>
          <w:rFonts w:ascii="Arial" w:cs="Arial" w:eastAsia="Arial" w:hAnsi="Arial"/>
          <w:sz w:val="16"/>
          <w:szCs w:val="16"/>
          <w:color w:val="auto"/>
        </w:rPr>
        <w:t>the passing or coming into force of, or any change in, or in the interpretation, application or enforcement of, any legislation; or</w:t>
      </w:r>
    </w:p>
    <w:p>
      <w:pPr>
        <w:spacing w:after="0" w:line="68" w:lineRule="exact"/>
        <w:rPr>
          <w:rFonts w:ascii="Arial" w:cs="Arial" w:eastAsia="Arial" w:hAnsi="Arial"/>
          <w:sz w:val="16"/>
          <w:szCs w:val="16"/>
          <w:color w:val="auto"/>
        </w:rPr>
      </w:pPr>
    </w:p>
    <w:p>
      <w:pPr>
        <w:ind w:left="1714" w:hanging="562"/>
        <w:spacing w:after="0"/>
        <w:tabs>
          <w:tab w:leader="none" w:pos="1714" w:val="left"/>
        </w:tabs>
        <w:numPr>
          <w:ilvl w:val="2"/>
          <w:numId w:val="453"/>
        </w:numPr>
        <w:rPr>
          <w:rFonts w:ascii="Arial" w:cs="Arial" w:eastAsia="Arial" w:hAnsi="Arial"/>
          <w:sz w:val="14"/>
          <w:szCs w:val="14"/>
          <w:color w:val="auto"/>
        </w:rPr>
      </w:pPr>
      <w:r>
        <w:rPr>
          <w:rFonts w:ascii="Arial" w:cs="Arial" w:eastAsia="Arial" w:hAnsi="Arial"/>
          <w:sz w:val="14"/>
          <w:szCs w:val="14"/>
          <w:color w:val="auto"/>
        </w:rPr>
        <w:t>any change in any accounting policies or practice or in the accounting reference date of any Group Company or the Purchaser;</w:t>
      </w:r>
    </w:p>
    <w:p>
      <w:pPr>
        <w:spacing w:after="0" w:line="91" w:lineRule="exact"/>
        <w:rPr>
          <w:rFonts w:ascii="Arial" w:cs="Arial" w:eastAsia="Arial" w:hAnsi="Arial"/>
          <w:sz w:val="14"/>
          <w:szCs w:val="14"/>
          <w:color w:val="auto"/>
        </w:rPr>
      </w:pPr>
    </w:p>
    <w:p>
      <w:pPr>
        <w:ind w:left="1154" w:hanging="578"/>
        <w:spacing w:after="0" w:line="298" w:lineRule="auto"/>
        <w:tabs>
          <w:tab w:leader="none" w:pos="1142" w:val="left"/>
        </w:tabs>
        <w:numPr>
          <w:ilvl w:val="1"/>
          <w:numId w:val="454"/>
        </w:numPr>
        <w:rPr>
          <w:rFonts w:ascii="Arial" w:cs="Arial" w:eastAsia="Arial" w:hAnsi="Arial"/>
          <w:sz w:val="14"/>
          <w:szCs w:val="14"/>
          <w:color w:val="auto"/>
        </w:rPr>
      </w:pPr>
      <w:r>
        <w:rPr>
          <w:rFonts w:ascii="Arial" w:cs="Arial" w:eastAsia="Arial" w:hAnsi="Arial"/>
          <w:sz w:val="14"/>
          <w:szCs w:val="14"/>
          <w:color w:val="auto"/>
        </w:rPr>
        <w:t>if, and to the extent that, a liability arises or is increased as a result of any voluntary act or deliberate omission of the Purchaser (or any persons deriving title from it) or the Group after Completion done or suffered outside the ordinary course of business and other than:</w:t>
      </w:r>
    </w:p>
    <w:p>
      <w:pPr>
        <w:spacing w:after="0" w:line="8" w:lineRule="exact"/>
        <w:rPr>
          <w:rFonts w:ascii="Arial" w:cs="Arial" w:eastAsia="Arial" w:hAnsi="Arial"/>
          <w:sz w:val="14"/>
          <w:szCs w:val="14"/>
          <w:color w:val="auto"/>
        </w:rPr>
      </w:pPr>
    </w:p>
    <w:p>
      <w:pPr>
        <w:ind w:left="1734" w:hanging="582"/>
        <w:spacing w:after="0"/>
        <w:tabs>
          <w:tab w:leader="none" w:pos="1734" w:val="left"/>
        </w:tabs>
        <w:numPr>
          <w:ilvl w:val="2"/>
          <w:numId w:val="454"/>
        </w:numPr>
        <w:rPr>
          <w:rFonts w:ascii="Arial" w:cs="Arial" w:eastAsia="Arial" w:hAnsi="Arial"/>
          <w:sz w:val="16"/>
          <w:szCs w:val="16"/>
          <w:color w:val="auto"/>
        </w:rPr>
      </w:pPr>
      <w:r>
        <w:rPr>
          <w:rFonts w:ascii="Arial" w:cs="Arial" w:eastAsia="Arial" w:hAnsi="Arial"/>
          <w:sz w:val="16"/>
          <w:szCs w:val="16"/>
          <w:color w:val="auto"/>
        </w:rPr>
        <w:t>pursuant to a legally binding obligation entered into by any Group Company before Completion; or</w:t>
      </w:r>
    </w:p>
    <w:p>
      <w:pPr>
        <w:spacing w:after="0" w:line="68" w:lineRule="exact"/>
        <w:rPr>
          <w:rFonts w:ascii="Arial" w:cs="Arial" w:eastAsia="Arial" w:hAnsi="Arial"/>
          <w:sz w:val="16"/>
          <w:szCs w:val="16"/>
          <w:color w:val="auto"/>
        </w:rPr>
      </w:pPr>
    </w:p>
    <w:p>
      <w:pPr>
        <w:ind w:left="1714" w:hanging="562"/>
        <w:spacing w:after="0"/>
        <w:tabs>
          <w:tab w:leader="none" w:pos="1714" w:val="left"/>
        </w:tabs>
        <w:numPr>
          <w:ilvl w:val="2"/>
          <w:numId w:val="454"/>
        </w:numPr>
        <w:rPr>
          <w:rFonts w:ascii="Arial" w:cs="Arial" w:eastAsia="Arial" w:hAnsi="Arial"/>
          <w:sz w:val="16"/>
          <w:szCs w:val="16"/>
          <w:color w:val="auto"/>
        </w:rPr>
      </w:pPr>
      <w:r>
        <w:rPr>
          <w:rFonts w:ascii="Arial" w:cs="Arial" w:eastAsia="Arial" w:hAnsi="Arial"/>
          <w:sz w:val="16"/>
          <w:szCs w:val="16"/>
          <w:color w:val="auto"/>
        </w:rPr>
        <w:t>in order to comply with any law; or</w:t>
      </w:r>
    </w:p>
    <w:p>
      <w:pPr>
        <w:spacing w:after="0" w:line="68" w:lineRule="exact"/>
        <w:rPr>
          <w:rFonts w:ascii="Arial" w:cs="Arial" w:eastAsia="Arial" w:hAnsi="Arial"/>
          <w:sz w:val="16"/>
          <w:szCs w:val="16"/>
          <w:color w:val="auto"/>
        </w:rPr>
      </w:pPr>
    </w:p>
    <w:p>
      <w:pPr>
        <w:ind w:left="1714" w:hanging="562"/>
        <w:spacing w:after="0"/>
        <w:tabs>
          <w:tab w:leader="none" w:pos="1714" w:val="left"/>
        </w:tabs>
        <w:numPr>
          <w:ilvl w:val="2"/>
          <w:numId w:val="454"/>
        </w:numPr>
        <w:rPr>
          <w:rFonts w:ascii="Arial" w:cs="Arial" w:eastAsia="Arial" w:hAnsi="Arial"/>
          <w:sz w:val="16"/>
          <w:szCs w:val="16"/>
          <w:color w:val="auto"/>
        </w:rPr>
      </w:pPr>
      <w:r>
        <w:rPr>
          <w:rFonts w:ascii="Arial" w:cs="Arial" w:eastAsia="Arial" w:hAnsi="Arial"/>
          <w:sz w:val="16"/>
          <w:szCs w:val="16"/>
          <w:color w:val="auto"/>
        </w:rPr>
        <w:t>at the request of or with the consent of the Warrantors;</w:t>
      </w:r>
    </w:p>
    <w:p>
      <w:pPr>
        <w:spacing w:after="0" w:line="68" w:lineRule="exact"/>
        <w:rPr>
          <w:rFonts w:ascii="Arial" w:cs="Arial" w:eastAsia="Arial" w:hAnsi="Arial"/>
          <w:sz w:val="16"/>
          <w:szCs w:val="16"/>
          <w:color w:val="auto"/>
        </w:rPr>
      </w:pPr>
    </w:p>
    <w:p>
      <w:pPr>
        <w:ind w:left="1154" w:hanging="578"/>
        <w:spacing w:after="0" w:line="235" w:lineRule="auto"/>
        <w:tabs>
          <w:tab w:leader="none" w:pos="1142" w:val="left"/>
        </w:tabs>
        <w:numPr>
          <w:ilvl w:val="1"/>
          <w:numId w:val="454"/>
        </w:numPr>
        <w:rPr>
          <w:rFonts w:ascii="Arial" w:cs="Arial" w:eastAsia="Arial" w:hAnsi="Arial"/>
          <w:sz w:val="16"/>
          <w:szCs w:val="16"/>
          <w:color w:val="auto"/>
        </w:rPr>
      </w:pPr>
      <w:r>
        <w:rPr>
          <w:rFonts w:ascii="Arial" w:cs="Arial" w:eastAsia="Arial" w:hAnsi="Arial"/>
          <w:sz w:val="16"/>
          <w:szCs w:val="16"/>
          <w:color w:val="auto"/>
        </w:rPr>
        <w:t>based on a liability which is contingent only unless and until such contingent liability becomes an actual liability and is due and payable and capable of being quantified; or</w:t>
      </w:r>
    </w:p>
    <w:p>
      <w:pPr>
        <w:spacing w:after="0" w:line="47" w:lineRule="exact"/>
        <w:rPr>
          <w:rFonts w:ascii="Arial" w:cs="Arial" w:eastAsia="Arial" w:hAnsi="Arial"/>
          <w:sz w:val="16"/>
          <w:szCs w:val="16"/>
          <w:color w:val="auto"/>
        </w:rPr>
      </w:pPr>
    </w:p>
    <w:p>
      <w:pPr>
        <w:ind w:left="1154" w:right="20" w:hanging="578"/>
        <w:spacing w:after="0" w:line="235" w:lineRule="auto"/>
        <w:tabs>
          <w:tab w:leader="none" w:pos="1142" w:val="left"/>
        </w:tabs>
        <w:numPr>
          <w:ilvl w:val="1"/>
          <w:numId w:val="454"/>
        </w:numPr>
        <w:rPr>
          <w:rFonts w:ascii="Arial" w:cs="Arial" w:eastAsia="Arial" w:hAnsi="Arial"/>
          <w:sz w:val="16"/>
          <w:szCs w:val="16"/>
          <w:color w:val="auto"/>
        </w:rPr>
      </w:pPr>
      <w:r>
        <w:rPr>
          <w:rFonts w:ascii="Arial" w:cs="Arial" w:eastAsia="Arial" w:hAnsi="Arial"/>
          <w:sz w:val="16"/>
          <w:szCs w:val="16"/>
          <w:color w:val="auto"/>
        </w:rPr>
        <w:t>if, and to the extent that, the loss in respect of which the Non-Tax Claim is made is recovered under an insurance policy of the Group in force on the date of such loss save to the extent that such recovery results in an increase in insurance premiums;</w:t>
      </w:r>
    </w:p>
    <w:p>
      <w:pPr>
        <w:spacing w:after="0" w:line="47" w:lineRule="exact"/>
        <w:rPr>
          <w:rFonts w:ascii="Arial" w:cs="Arial" w:eastAsia="Arial" w:hAnsi="Arial"/>
          <w:sz w:val="16"/>
          <w:szCs w:val="16"/>
          <w:color w:val="auto"/>
        </w:rPr>
      </w:pPr>
    </w:p>
    <w:p>
      <w:pPr>
        <w:ind w:left="574" w:right="20" w:hanging="574"/>
        <w:spacing w:after="0" w:line="235" w:lineRule="auto"/>
        <w:tabs>
          <w:tab w:leader="none" w:pos="56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Warrantors' liability in respect of any Non-Tax Claim shall be reduced by an amount equal to the amount of any specific provision or specific accrual made in the Accounts and/or the Management Accounts for the matter giving rise to that Non-Tax Claim.</w:t>
      </w:r>
    </w:p>
    <w:p>
      <w:pPr>
        <w:spacing w:after="0" w:line="47" w:lineRule="exact"/>
        <w:rPr>
          <w:rFonts w:ascii="Arial" w:cs="Arial" w:eastAsia="Arial" w:hAnsi="Arial"/>
          <w:sz w:val="16"/>
          <w:szCs w:val="16"/>
          <w:color w:val="auto"/>
        </w:rPr>
      </w:pPr>
    </w:p>
    <w:p>
      <w:pPr>
        <w:jc w:val="both"/>
        <w:ind w:left="574" w:hanging="574"/>
        <w:spacing w:after="0" w:line="216" w:lineRule="auto"/>
        <w:tabs>
          <w:tab w:leader="none" w:pos="56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If the Warrantors and/or the W&amp;I Insurer make any payment to the Purchaser or the Company or any Group Company in relation to any Non-Tax Claim and the Purchaser or the Company or any Group Company subsequently receives from a third party (other than the W&amp;I Insurer) any amount referable to, or any benefit which would not have been received but for the circumstances giving rise to, the subject matter of that Non-Tax Claim, the Purchaser shall, once it or the Company or other Group Company has received such amount or benefit, immediately pay or procure the payment to the Warrantors and/or the W&amp;I Insurer (as appropriate) of either:</w:t>
      </w:r>
    </w:p>
    <w:p>
      <w:pPr>
        <w:spacing w:after="0" w:line="48" w:lineRule="exact"/>
        <w:rPr>
          <w:rFonts w:ascii="Arial" w:cs="Arial" w:eastAsia="Arial" w:hAnsi="Arial"/>
          <w:sz w:val="16"/>
          <w:szCs w:val="16"/>
          <w:color w:val="auto"/>
        </w:rPr>
      </w:pPr>
    </w:p>
    <w:p>
      <w:pPr>
        <w:ind w:left="1154" w:right="20" w:hanging="578"/>
        <w:spacing w:after="0" w:line="235" w:lineRule="auto"/>
        <w:tabs>
          <w:tab w:leader="none" w:pos="114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amount of such receipt (after deducting an amount equal to the reasonable costs of the Purchaser and the Company and any member of the Group incurred in recovering such receipt and any Taxation payable on it); or if lesser;</w:t>
      </w:r>
    </w:p>
    <w:p>
      <w:pPr>
        <w:spacing w:after="0" w:line="47" w:lineRule="exact"/>
        <w:rPr>
          <w:rFonts w:ascii="Arial" w:cs="Arial" w:eastAsia="Arial" w:hAnsi="Arial"/>
          <w:sz w:val="16"/>
          <w:szCs w:val="16"/>
          <w:color w:val="auto"/>
        </w:rPr>
      </w:pPr>
    </w:p>
    <w:p>
      <w:pPr>
        <w:ind w:left="1134" w:hanging="558"/>
        <w:spacing w:after="0"/>
        <w:tabs>
          <w:tab w:leader="none" w:pos="113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amount paid by the Warrantors and/or W&amp;I Insurer,</w:t>
      </w:r>
    </w:p>
    <w:p>
      <w:pPr>
        <w:spacing w:after="0" w:line="68" w:lineRule="exact"/>
        <w:rPr>
          <w:sz w:val="20"/>
          <w:szCs w:val="20"/>
          <w:color w:val="auto"/>
        </w:rPr>
      </w:pPr>
    </w:p>
    <w:p>
      <w:pPr>
        <w:jc w:val="both"/>
        <w:ind w:left="574"/>
        <w:spacing w:after="0" w:line="265" w:lineRule="auto"/>
        <w:rPr>
          <w:sz w:val="20"/>
          <w:szCs w:val="20"/>
          <w:color w:val="auto"/>
        </w:rPr>
      </w:pPr>
      <w:r>
        <w:rPr>
          <w:rFonts w:ascii="Arial" w:cs="Arial" w:eastAsia="Arial" w:hAnsi="Arial"/>
          <w:sz w:val="14"/>
          <w:szCs w:val="14"/>
          <w:color w:val="auto"/>
        </w:rPr>
        <w:t>together with any interest or repayment supplement paid to the Purchaser or the Company or any other Group Company in respect of it. Any payment made, or procured to be made by the Purchaser under this paragraph 9 shall be made to the Warrantors and/or the W&amp;I Insurer in the same proportions as the amounts paid by the Warrantors and/or the W&amp;I Insurer to the Purchaser or the Company or other Group Company.</w:t>
      </w:r>
    </w:p>
    <w:p>
      <w:pPr>
        <w:spacing w:after="0" w:line="31" w:lineRule="exact"/>
        <w:rPr>
          <w:sz w:val="20"/>
          <w:szCs w:val="20"/>
          <w:color w:val="auto"/>
        </w:rPr>
      </w:pPr>
    </w:p>
    <w:p>
      <w:pPr>
        <w:ind w:left="574" w:hanging="574"/>
        <w:spacing w:after="0" w:line="235" w:lineRule="auto"/>
        <w:tabs>
          <w:tab w:leader="none" w:pos="562"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In the absence of fraud or dishonesty or wilful non-disclosure on the part of any of the Warrantors, and without prejudice to the terms of clause 16 </w:t>
      </w:r>
      <w:r>
        <w:rPr>
          <w:rFonts w:ascii="Arial" w:cs="Arial" w:eastAsia="Arial" w:hAnsi="Arial"/>
          <w:sz w:val="16"/>
          <w:szCs w:val="16"/>
          <w:i w:val="1"/>
          <w:iCs w:val="1"/>
          <w:color w:val="auto"/>
        </w:rPr>
        <w:t xml:space="preserve">(The W&amp;I Policy), </w:t>
      </w:r>
      <w:r>
        <w:rPr>
          <w:rFonts w:ascii="Arial" w:cs="Arial" w:eastAsia="Arial" w:hAnsi="Arial"/>
          <w:sz w:val="16"/>
          <w:szCs w:val="16"/>
          <w:color w:val="auto"/>
        </w:rPr>
        <w:t>if the W&amp;I Insurer:</w:t>
      </w:r>
    </w:p>
    <w:p>
      <w:pPr>
        <w:spacing w:after="0" w:line="47" w:lineRule="exact"/>
        <w:rPr>
          <w:rFonts w:ascii="Arial" w:cs="Arial" w:eastAsia="Arial" w:hAnsi="Arial"/>
          <w:sz w:val="16"/>
          <w:szCs w:val="16"/>
          <w:color w:val="auto"/>
        </w:rPr>
      </w:pPr>
    </w:p>
    <w:p>
      <w:pPr>
        <w:ind w:left="1134" w:hanging="558"/>
        <w:spacing w:after="0"/>
        <w:tabs>
          <w:tab w:leader="none" w:pos="113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avoids the W&amp;I Policy; and or</w:t>
      </w:r>
    </w:p>
    <w:p>
      <w:pPr>
        <w:spacing w:after="0" w:line="68" w:lineRule="exact"/>
        <w:rPr>
          <w:rFonts w:ascii="Arial" w:cs="Arial" w:eastAsia="Arial" w:hAnsi="Arial"/>
          <w:sz w:val="16"/>
          <w:szCs w:val="16"/>
          <w:color w:val="auto"/>
        </w:rPr>
      </w:pPr>
    </w:p>
    <w:p>
      <w:pPr>
        <w:ind w:left="1134" w:hanging="558"/>
        <w:spacing w:after="0"/>
        <w:tabs>
          <w:tab w:leader="none" w:pos="113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rescinds the W&amp;I Policy; and/or</w:t>
      </w:r>
    </w:p>
    <w:p>
      <w:pPr>
        <w:spacing w:after="0" w:line="68" w:lineRule="exact"/>
        <w:rPr>
          <w:rFonts w:ascii="Arial" w:cs="Arial" w:eastAsia="Arial" w:hAnsi="Arial"/>
          <w:sz w:val="16"/>
          <w:szCs w:val="16"/>
          <w:color w:val="auto"/>
        </w:rPr>
      </w:pPr>
    </w:p>
    <w:p>
      <w:pPr>
        <w:ind w:left="1134" w:hanging="558"/>
        <w:spacing w:after="0"/>
        <w:tabs>
          <w:tab w:leader="none" w:pos="113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denies coverage pursuant to the terms of the W&amp;I Policy; and/or</w:t>
      </w:r>
    </w:p>
    <w:p>
      <w:pPr>
        <w:spacing w:after="0" w:line="68" w:lineRule="exact"/>
        <w:rPr>
          <w:rFonts w:ascii="Arial" w:cs="Arial" w:eastAsia="Arial" w:hAnsi="Arial"/>
          <w:sz w:val="16"/>
          <w:szCs w:val="16"/>
          <w:color w:val="auto"/>
        </w:rPr>
      </w:pPr>
    </w:p>
    <w:p>
      <w:pPr>
        <w:ind w:left="1134" w:hanging="558"/>
        <w:spacing w:after="0"/>
        <w:tabs>
          <w:tab w:leader="none" w:pos="1134" w:val="left"/>
        </w:tabs>
        <w:numPr>
          <w:ilvl w:val="1"/>
          <w:numId w:val="456"/>
        </w:numPr>
        <w:rPr>
          <w:rFonts w:ascii="Arial" w:cs="Arial" w:eastAsia="Arial" w:hAnsi="Arial"/>
          <w:sz w:val="16"/>
          <w:szCs w:val="16"/>
          <w:color w:val="auto"/>
        </w:rPr>
      </w:pPr>
      <w:r>
        <w:rPr>
          <w:rFonts w:ascii="Arial" w:cs="Arial" w:eastAsia="Arial" w:hAnsi="Arial"/>
          <w:sz w:val="16"/>
          <w:szCs w:val="16"/>
          <w:color w:val="auto"/>
        </w:rPr>
        <w:t>in any way refuses to meet any claim under the W&amp;I Policy thereby denying the Purchaser the benefit of the W&amp;I Policy,</w:t>
      </w:r>
    </w:p>
    <w:p>
      <w:pPr>
        <w:spacing w:after="0" w:line="68" w:lineRule="exact"/>
        <w:rPr>
          <w:sz w:val="20"/>
          <w:szCs w:val="20"/>
          <w:color w:val="auto"/>
        </w:rPr>
      </w:pPr>
    </w:p>
    <w:p>
      <w:pPr>
        <w:ind w:left="574"/>
        <w:spacing w:after="0" w:line="235" w:lineRule="auto"/>
        <w:rPr>
          <w:sz w:val="20"/>
          <w:szCs w:val="20"/>
          <w:color w:val="auto"/>
        </w:rPr>
      </w:pPr>
      <w:r>
        <w:rPr>
          <w:rFonts w:ascii="Arial" w:cs="Arial" w:eastAsia="Arial" w:hAnsi="Arial"/>
          <w:sz w:val="16"/>
          <w:szCs w:val="16"/>
          <w:color w:val="auto"/>
        </w:rPr>
        <w:t>then the Purchaser shall not pursue the Warrantors for any amounts that it would otherwise have been entitled to receive from the W&amp;I Insurer pursuant to the terms of the W&amp;I Policy.</w:t>
      </w:r>
    </w:p>
    <w:p>
      <w:pPr>
        <w:spacing w:after="0" w:line="48" w:lineRule="exact"/>
        <w:rPr>
          <w:sz w:val="20"/>
          <w:szCs w:val="20"/>
          <w:color w:val="auto"/>
        </w:rPr>
      </w:pPr>
    </w:p>
    <w:p>
      <w:pPr>
        <w:ind w:left="574" w:right="20" w:hanging="574"/>
        <w:spacing w:after="0" w:line="235" w:lineRule="auto"/>
        <w:tabs>
          <w:tab w:leader="none" w:pos="56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Without limiting any obligations it may have at law or in equity, the Purchaser shall mitigate, and shall cause each Group Company to mitigate, any loss or liability which may give rise to a Claim.</w:t>
      </w:r>
    </w:p>
    <w:p>
      <w:pPr>
        <w:spacing w:after="0" w:line="47" w:lineRule="exact"/>
        <w:rPr>
          <w:rFonts w:ascii="Arial" w:cs="Arial" w:eastAsia="Arial" w:hAnsi="Arial"/>
          <w:sz w:val="16"/>
          <w:szCs w:val="16"/>
          <w:color w:val="auto"/>
        </w:rPr>
      </w:pPr>
    </w:p>
    <w:p>
      <w:pPr>
        <w:ind w:left="574" w:right="20" w:hanging="574"/>
        <w:spacing w:after="0" w:line="235" w:lineRule="auto"/>
        <w:tabs>
          <w:tab w:leader="none" w:pos="56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Neither the Purchaser nor any Purchaser Group Company shall be entitled to recover damages or otherwise claim reimbursement or restitution in respect of damages, if and to the</w:t>
      </w:r>
    </w:p>
    <w:p>
      <w:pPr>
        <w:spacing w:after="0" w:line="200" w:lineRule="exact"/>
        <w:rPr>
          <w:sz w:val="20"/>
          <w:szCs w:val="20"/>
          <w:color w:val="auto"/>
        </w:rPr>
      </w:pPr>
    </w:p>
    <w:p>
      <w:pPr>
        <w:spacing w:after="0" w:line="225" w:lineRule="exact"/>
        <w:rPr>
          <w:sz w:val="20"/>
          <w:szCs w:val="20"/>
          <w:color w:val="auto"/>
        </w:rPr>
      </w:pPr>
    </w:p>
    <w:p>
      <w:pPr>
        <w:ind w:left="9594"/>
        <w:spacing w:after="0"/>
        <w:rPr>
          <w:sz w:val="20"/>
          <w:szCs w:val="20"/>
          <w:color w:val="auto"/>
        </w:rPr>
      </w:pPr>
      <w:r>
        <w:rPr>
          <w:rFonts w:ascii="Arial" w:cs="Arial" w:eastAsia="Arial" w:hAnsi="Arial"/>
          <w:sz w:val="10"/>
          <w:szCs w:val="10"/>
          <w:color w:val="auto"/>
        </w:rPr>
        <w:t>OC_UK/125258569.5</w:t>
      </w:r>
    </w:p>
    <w:p>
      <w:pPr>
        <w:ind w:left="4914"/>
        <w:spacing w:after="0"/>
        <w:rPr>
          <w:sz w:val="20"/>
          <w:szCs w:val="20"/>
          <w:color w:val="auto"/>
        </w:rPr>
      </w:pPr>
      <w:r>
        <w:rPr>
          <w:rFonts w:ascii="Arial" w:cs="Arial" w:eastAsia="Arial" w:hAnsi="Arial"/>
          <w:sz w:val="13"/>
          <w:szCs w:val="13"/>
          <w:color w:val="auto"/>
        </w:rPr>
        <w:t>80</w:t>
      </w:r>
    </w:p>
    <w:p>
      <w:pPr>
        <w:sectPr>
          <w:pgSz w:w="11900" w:h="16840" w:orient="portrait"/>
          <w:cols w:equalWidth="0" w:num="1">
            <w:col w:w="10574"/>
          </w:cols>
          <w:pgMar w:left="666" w:top="1440" w:right="660" w:bottom="1440" w:gutter="0" w:footer="0" w:header="0"/>
        </w:sectPr>
      </w:pPr>
    </w:p>
    <w:bookmarkStart w:id="431" w:name="page432"/>
    <w:bookmarkEnd w:id="431"/>
    <w:p>
      <w:pPr>
        <w:spacing w:after="0" w:line="331" w:lineRule="exact"/>
        <w:rPr>
          <w:sz w:val="20"/>
          <w:szCs w:val="20"/>
          <w:color w:val="auto"/>
        </w:rPr>
      </w:pPr>
    </w:p>
    <w:p>
      <w:pPr>
        <w:ind w:left="574"/>
        <w:spacing w:after="0"/>
        <w:rPr>
          <w:sz w:val="20"/>
          <w:szCs w:val="20"/>
          <w:color w:val="auto"/>
        </w:rPr>
      </w:pPr>
      <w:r>
        <w:rPr>
          <w:rFonts w:ascii="Arial" w:cs="Arial" w:eastAsia="Arial" w:hAnsi="Arial"/>
          <w:sz w:val="16"/>
          <w:szCs w:val="16"/>
          <w:color w:val="auto"/>
        </w:rPr>
        <w:t>extent of the amount the Purchaser or any Purchaser Group Company has already recovered in respect of the same damage or loss.</w:t>
      </w:r>
    </w:p>
    <w:p>
      <w:pPr>
        <w:spacing w:after="0" w:line="68" w:lineRule="exact"/>
        <w:rPr>
          <w:sz w:val="20"/>
          <w:szCs w:val="20"/>
          <w:color w:val="auto"/>
        </w:rPr>
      </w:pPr>
    </w:p>
    <w:p>
      <w:pPr>
        <w:ind w:left="574" w:right="80" w:hanging="574"/>
        <w:spacing w:after="0" w:line="235" w:lineRule="auto"/>
        <w:tabs>
          <w:tab w:leader="none" w:pos="56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Sellers shall have no liability in respect of a Claim to the extent that it is based on or comprises indirect or consequential damages (including loss of revenue, income or profits to the extent that these are indirect or consequential damages).</w:t>
      </w:r>
    </w:p>
    <w:p>
      <w:pPr>
        <w:spacing w:after="0" w:line="47" w:lineRule="exact"/>
        <w:rPr>
          <w:rFonts w:ascii="Arial" w:cs="Arial" w:eastAsia="Arial" w:hAnsi="Arial"/>
          <w:sz w:val="16"/>
          <w:szCs w:val="16"/>
          <w:color w:val="auto"/>
        </w:rPr>
      </w:pPr>
    </w:p>
    <w:p>
      <w:pPr>
        <w:jc w:val="both"/>
        <w:ind w:left="574" w:right="100" w:hanging="574"/>
        <w:spacing w:after="0" w:line="249" w:lineRule="auto"/>
        <w:tabs>
          <w:tab w:leader="none" w:pos="562" w:val="left"/>
        </w:tabs>
        <w:numPr>
          <w:ilvl w:val="0"/>
          <w:numId w:val="458"/>
        </w:numPr>
        <w:rPr>
          <w:rFonts w:ascii="Arial" w:cs="Arial" w:eastAsia="Arial" w:hAnsi="Arial"/>
          <w:sz w:val="14"/>
          <w:szCs w:val="14"/>
          <w:color w:val="auto"/>
        </w:rPr>
      </w:pPr>
      <w:r>
        <w:rPr>
          <w:rFonts w:ascii="Arial" w:cs="Arial" w:eastAsia="Arial" w:hAnsi="Arial"/>
          <w:sz w:val="14"/>
          <w:szCs w:val="14"/>
          <w:color w:val="auto"/>
        </w:rPr>
        <w:t>The Purchaser waives any and all claims (including for negligence) that it might otherwise have against any officer, employee, agent, adviser or consultant of the Sellers (or any holding company, any subsidiary and any subsidiary undertaking of any Seller or such companies) (i) in respect of any information that any such person has in any capacity supplied to the Purchaser in connection with the Warranties and/or the information Disclosed; or (ii) otherwise in connection with the transactions contemplated by this Agreement. The Purchaser acknowledges any claims under this Agreement may only be made directly against the Sellers, the Warrantors and/or pursuant to the terms of the W&amp;I Policy (as applicable).</w:t>
      </w:r>
    </w:p>
    <w:p>
      <w:pPr>
        <w:spacing w:after="0" w:line="41" w:lineRule="exact"/>
        <w:rPr>
          <w:rFonts w:ascii="Arial" w:cs="Arial" w:eastAsia="Arial" w:hAnsi="Arial"/>
          <w:sz w:val="14"/>
          <w:szCs w:val="14"/>
          <w:color w:val="auto"/>
        </w:rPr>
      </w:pPr>
    </w:p>
    <w:p>
      <w:pPr>
        <w:jc w:val="both"/>
        <w:ind w:left="574" w:right="80" w:hanging="574"/>
        <w:spacing w:after="0" w:line="219" w:lineRule="auto"/>
        <w:tabs>
          <w:tab w:leader="none" w:pos="56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Except as otherwise expressly provided herein, the sole remedy against the Sellers and/or the Warrantors (as applicable) for any breach of any of the Warranties or any other provision of this Agreement shall be an action for damages for breach of contract (to the exclusion of any other remedy including those in tort or arising under statute) and the Purchaser irrevocably and unconditionally waives any right it may have to rescind or terminate this Agreement before or following Completion.</w:t>
      </w:r>
    </w:p>
    <w:p>
      <w:pPr>
        <w:spacing w:after="0" w:line="48" w:lineRule="exact"/>
        <w:rPr>
          <w:rFonts w:ascii="Arial" w:cs="Arial" w:eastAsia="Arial" w:hAnsi="Arial"/>
          <w:sz w:val="16"/>
          <w:szCs w:val="16"/>
          <w:color w:val="auto"/>
        </w:rPr>
      </w:pPr>
    </w:p>
    <w:p>
      <w:pPr>
        <w:ind w:left="574" w:hanging="574"/>
        <w:spacing w:after="0" w:line="224" w:lineRule="auto"/>
        <w:tabs>
          <w:tab w:leader="none" w:pos="56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The aggregate liability of the Warrantors in respect of all Claims in respect of the Warranties at paragraph 18.14 to 18.17 of Schedule 4 ( </w:t>
      </w:r>
      <w:r>
        <w:rPr>
          <w:rFonts w:ascii="Arial" w:cs="Arial" w:eastAsia="Arial" w:hAnsi="Arial"/>
          <w:sz w:val="16"/>
          <w:szCs w:val="16"/>
          <w:i w:val="1"/>
          <w:iCs w:val="1"/>
          <w:color w:val="auto"/>
        </w:rPr>
        <w:t>Non-Tax</w:t>
      </w:r>
      <w:r>
        <w:rPr>
          <w:rFonts w:ascii="Arial" w:cs="Arial" w:eastAsia="Arial" w:hAnsi="Arial"/>
          <w:sz w:val="16"/>
          <w:szCs w:val="16"/>
          <w:color w:val="auto"/>
        </w:rPr>
        <w:t xml:space="preserve"> </w:t>
      </w:r>
      <w:r>
        <w:rPr>
          <w:rFonts w:ascii="Arial" w:cs="Arial" w:eastAsia="Arial" w:hAnsi="Arial"/>
          <w:sz w:val="16"/>
          <w:szCs w:val="16"/>
          <w:i w:val="1"/>
          <w:iCs w:val="1"/>
          <w:color w:val="auto"/>
        </w:rPr>
        <w:t>Warranties</w:t>
      </w:r>
      <w:r>
        <w:rPr>
          <w:rFonts w:ascii="Arial" w:cs="Arial" w:eastAsia="Arial" w:hAnsi="Arial"/>
          <w:sz w:val="16"/>
          <w:szCs w:val="16"/>
          <w:color w:val="auto"/>
        </w:rPr>
        <w:t>), only in so far as they relate to matters occurring in [***], shall be capped at £[***], provided that for this purpose the words "so far as</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Warrantors are aware" shall be deemed to apply to all statements contained in those Warranties.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594"/>
        <w:spacing w:after="0"/>
        <w:rPr>
          <w:sz w:val="20"/>
          <w:szCs w:val="20"/>
          <w:color w:val="auto"/>
        </w:rPr>
      </w:pPr>
      <w:r>
        <w:rPr>
          <w:rFonts w:ascii="Arial" w:cs="Arial" w:eastAsia="Arial" w:hAnsi="Arial"/>
          <w:sz w:val="10"/>
          <w:szCs w:val="10"/>
          <w:color w:val="auto"/>
        </w:rPr>
        <w:t>OC_UK/125258569.5</w:t>
      </w:r>
    </w:p>
    <w:p>
      <w:pPr>
        <w:ind w:left="4914"/>
        <w:spacing w:after="0"/>
        <w:rPr>
          <w:sz w:val="20"/>
          <w:szCs w:val="20"/>
          <w:color w:val="auto"/>
        </w:rPr>
      </w:pPr>
      <w:r>
        <w:rPr>
          <w:rFonts w:ascii="Arial" w:cs="Arial" w:eastAsia="Arial" w:hAnsi="Arial"/>
          <w:sz w:val="13"/>
          <w:szCs w:val="13"/>
          <w:color w:val="auto"/>
        </w:rPr>
        <w:t>81</w:t>
      </w:r>
    </w:p>
    <w:p>
      <w:pPr>
        <w:sectPr>
          <w:pgSz w:w="11900" w:h="16840" w:orient="portrait"/>
          <w:cols w:equalWidth="0" w:num="1">
            <w:col w:w="10654"/>
          </w:cols>
          <w:pgMar w:left="666" w:top="1440" w:right="580" w:bottom="1440" w:gutter="0" w:footer="0" w:header="0"/>
        </w:sectPr>
      </w:pPr>
    </w:p>
    <w:bookmarkStart w:id="432" w:name="page433"/>
    <w:bookmarkEnd w:id="432"/>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Schedule 6</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(Tax Schedule)</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(Definitions and Interpretation)</w:t>
      </w:r>
    </w:p>
    <w:p>
      <w:pPr>
        <w:spacing w:after="0" w:line="68" w:lineRule="exact"/>
        <w:rPr>
          <w:sz w:val="20"/>
          <w:szCs w:val="20"/>
          <w:color w:val="auto"/>
        </w:rPr>
      </w:pPr>
    </w:p>
    <w:p>
      <w:pPr>
        <w:ind w:left="280" w:hanging="274"/>
        <w:spacing w:after="0"/>
        <w:tabs>
          <w:tab w:leader="none" w:pos="280" w:val="left"/>
        </w:tabs>
        <w:numPr>
          <w:ilvl w:val="0"/>
          <w:numId w:val="459"/>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this Agreement, unless the context otherwise requires, the following words have the following meanings: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"Accounts Relief" </w:t>
      </w:r>
      <w:r>
        <w:rPr>
          <w:rFonts w:ascii="Arial" w:cs="Arial" w:eastAsia="Arial" w:hAnsi="Arial"/>
          <w:sz w:val="16"/>
          <w:szCs w:val="16"/>
          <w:color w:val="auto"/>
        </w:rPr>
        <w:t>means any Relief which:</w:t>
      </w:r>
    </w:p>
    <w:p>
      <w:pPr>
        <w:spacing w:after="0" w:line="70" w:lineRule="exact"/>
        <w:rPr>
          <w:sz w:val="20"/>
          <w:szCs w:val="20"/>
          <w:color w:val="auto"/>
        </w:rPr>
      </w:pPr>
    </w:p>
    <w:p>
      <w:pPr>
        <w:ind w:left="1140" w:hanging="558"/>
        <w:spacing w:after="0"/>
        <w:tabs>
          <w:tab w:leader="none" w:pos="114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has been shown as an asset in the Completion Accounts; or</w:t>
      </w:r>
    </w:p>
    <w:p>
      <w:pPr>
        <w:spacing w:after="0" w:line="68"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460"/>
        </w:numPr>
        <w:rPr>
          <w:rFonts w:ascii="Arial" w:cs="Arial" w:eastAsia="Arial" w:hAnsi="Arial"/>
          <w:sz w:val="16"/>
          <w:szCs w:val="16"/>
          <w:color w:val="auto"/>
        </w:rPr>
      </w:pPr>
      <w:r>
        <w:rPr>
          <w:rFonts w:ascii="Arial" w:cs="Arial" w:eastAsia="Arial" w:hAnsi="Arial"/>
          <w:sz w:val="16"/>
          <w:szCs w:val="16"/>
          <w:color w:val="auto"/>
        </w:rPr>
        <w:t>has been taken into account in computing (and so reducing or obviating) any provision for deferred Taxation which appears or which but for the availability or presumed availability of the Relief would have appeared in the Completion Accounts.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"COVID-19" </w:t>
      </w:r>
      <w:r>
        <w:rPr>
          <w:rFonts w:ascii="Arial" w:cs="Arial" w:eastAsia="Arial" w:hAnsi="Arial"/>
          <w:sz w:val="16"/>
          <w:szCs w:val="16"/>
          <w:color w:val="auto"/>
        </w:rPr>
        <w:t>means the 2019 outbreak of the novel coronavirus disease.</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"CFA" </w:t>
      </w:r>
      <w:r>
        <w:rPr>
          <w:rFonts w:ascii="Arial" w:cs="Arial" w:eastAsia="Arial" w:hAnsi="Arial"/>
          <w:sz w:val="16"/>
          <w:szCs w:val="16"/>
          <w:color w:val="auto"/>
        </w:rPr>
        <w:t>means the Criminal Finances Act 2017.</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"Coronavirus Support Payment" </w:t>
      </w:r>
      <w:r>
        <w:rPr>
          <w:rFonts w:ascii="Arial" w:cs="Arial" w:eastAsia="Arial" w:hAnsi="Arial"/>
          <w:sz w:val="16"/>
          <w:szCs w:val="16"/>
          <w:color w:val="auto"/>
        </w:rPr>
        <w:t>has the meaning given to it in Section 106(2) of the Finance Act 2020.</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"CTA 2009" </w:t>
      </w:r>
      <w:r>
        <w:rPr>
          <w:rFonts w:ascii="Arial" w:cs="Arial" w:eastAsia="Arial" w:hAnsi="Arial"/>
          <w:sz w:val="16"/>
          <w:szCs w:val="16"/>
          <w:color w:val="auto"/>
        </w:rPr>
        <w:t>means the Corporation Tax Act 2009.</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"CTA 2010" </w:t>
      </w:r>
      <w:r>
        <w:rPr>
          <w:rFonts w:ascii="Arial" w:cs="Arial" w:eastAsia="Arial" w:hAnsi="Arial"/>
          <w:sz w:val="16"/>
          <w:szCs w:val="16"/>
          <w:color w:val="auto"/>
        </w:rPr>
        <w:t>means the Corporation Tax Act 2010.</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"Deemed Taxation Liability" </w:t>
      </w:r>
      <w:r>
        <w:rPr>
          <w:rFonts w:ascii="Arial" w:cs="Arial" w:eastAsia="Arial" w:hAnsi="Arial"/>
          <w:sz w:val="16"/>
          <w:szCs w:val="16"/>
          <w:color w:val="auto"/>
        </w:rPr>
        <w:t>means any Liability to Taxation falling within either limb (b) or limb (c) of that definition.</w:t>
      </w:r>
    </w:p>
    <w:p>
      <w:pPr>
        <w:spacing w:after="0" w:line="68" w:lineRule="exact"/>
        <w:rPr>
          <w:sz w:val="20"/>
          <w:szCs w:val="20"/>
          <w:color w:val="auto"/>
        </w:rPr>
      </w:pPr>
    </w:p>
    <w:p>
      <w:pPr>
        <w:jc w:val="both"/>
        <w:ind w:left="580" w:right="40"/>
        <w:spacing w:after="0" w:line="220" w:lineRule="auto"/>
        <w:rPr>
          <w:sz w:val="20"/>
          <w:szCs w:val="20"/>
          <w:color w:val="auto"/>
        </w:rPr>
      </w:pPr>
      <w:r>
        <w:rPr>
          <w:rFonts w:ascii="Arial" w:cs="Arial" w:eastAsia="Arial" w:hAnsi="Arial"/>
          <w:sz w:val="16"/>
          <w:szCs w:val="16"/>
          <w:b w:val="1"/>
          <w:bCs w:val="1"/>
          <w:color w:val="auto"/>
        </w:rPr>
        <w:t xml:space="preserve">"Event" </w:t>
      </w:r>
      <w:r>
        <w:rPr>
          <w:rFonts w:ascii="Arial" w:cs="Arial" w:eastAsia="Arial" w:hAnsi="Arial"/>
          <w:sz w:val="16"/>
          <w:szCs w:val="16"/>
          <w:color w:val="auto"/>
        </w:rPr>
        <w:t>means any event, act, omission, circumstance or transaction whatsoever, including without limitation the execution and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expiry of a period of time, any Group Company becoming or ceasing to be associated with any other person for any Tax purpose or ceasing to be, or becoming, resident in any country for any Tax purpose, the death, winding up or dissolution of any person or the incurring of any loss or expenditure.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"ITEPA" </w:t>
      </w:r>
      <w:r>
        <w:rPr>
          <w:rFonts w:ascii="Arial" w:cs="Arial" w:eastAsia="Arial" w:hAnsi="Arial"/>
          <w:sz w:val="16"/>
          <w:szCs w:val="16"/>
          <w:color w:val="auto"/>
        </w:rPr>
        <w:t>means the Income Tax (Earnings and Pensions) Act 2003.</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"Liability to Taxation" </w:t>
      </w:r>
      <w:r>
        <w:rPr>
          <w:rFonts w:ascii="Arial" w:cs="Arial" w:eastAsia="Arial" w:hAnsi="Arial"/>
          <w:sz w:val="16"/>
          <w:szCs w:val="16"/>
          <w:color w:val="auto"/>
        </w:rPr>
        <w:t>means:</w:t>
      </w:r>
    </w:p>
    <w:p>
      <w:pPr>
        <w:spacing w:after="0" w:line="70" w:lineRule="exact"/>
        <w:rPr>
          <w:sz w:val="20"/>
          <w:szCs w:val="20"/>
          <w:color w:val="auto"/>
        </w:rPr>
      </w:pPr>
    </w:p>
    <w:p>
      <w:pPr>
        <w:jc w:val="both"/>
        <w:ind w:left="1160" w:hanging="578"/>
        <w:spacing w:after="0" w:line="219" w:lineRule="auto"/>
        <w:tabs>
          <w:tab w:leader="none" w:pos="1148"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any liability to make a payment or increased payment of or in respect of Taxation or any liability to repay a payment received in respect of Tax [***] received by a Group Company (including by way of set-off), together with any interest and penalties in respect thereof, in each case regardless of whether the liability has been paid or discharged on or before Completion and regardless of whether such liability is chargeable or attributable directly or primarily to a Group Company or to any other person;</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Loss of any Accounts Relief; or</w:t>
      </w:r>
    </w:p>
    <w:p>
      <w:pPr>
        <w:spacing w:after="0" w:line="68" w:lineRule="exact"/>
        <w:rPr>
          <w:rFonts w:ascii="Arial" w:cs="Arial" w:eastAsia="Arial" w:hAnsi="Arial"/>
          <w:sz w:val="16"/>
          <w:szCs w:val="16"/>
          <w:color w:val="auto"/>
        </w:rPr>
      </w:pPr>
    </w:p>
    <w:p>
      <w:pPr>
        <w:jc w:val="both"/>
        <w:ind w:left="1160" w:right="40" w:hanging="578"/>
        <w:spacing w:after="0" w:line="219" w:lineRule="auto"/>
        <w:tabs>
          <w:tab w:leader="none" w:pos="1148"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use or setting off against any liability to Taxation, or against Profits earned, accrued or received, of any Purchaser's Relief in circumstances where, but for the use or setting off, any Group Company would have had a liability to Taxation in respect of which the Purchaser (ignoring the financial limitations on claims in Schedule 5 to this Agreement) would have been able to make a claim under the Tax Covenant.</w:t>
      </w:r>
    </w:p>
    <w:p>
      <w:pPr>
        <w:spacing w:after="0" w:line="47" w:lineRule="exact"/>
        <w:rPr>
          <w:sz w:val="20"/>
          <w:szCs w:val="20"/>
          <w:color w:val="auto"/>
        </w:rPr>
      </w:pPr>
    </w:p>
    <w:p>
      <w:pPr>
        <w:ind w:left="580" w:right="40"/>
        <w:spacing w:after="0" w:line="244" w:lineRule="auto"/>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means any reduction, loss, absence, non-existence, non -availability, counteraction, nullification, disallowance, withdrawal or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whatever reason (other than by way of utilisation or effluxion of time) and </w:t>
      </w:r>
      <w:r>
        <w:rPr>
          <w:rFonts w:ascii="Arial" w:cs="Arial" w:eastAsia="Arial" w:hAnsi="Arial"/>
          <w:sz w:val="16"/>
          <w:szCs w:val="16"/>
          <w:b w:val="1"/>
          <w:bCs w:val="1"/>
          <w:color w:val="auto"/>
        </w:rPr>
        <w:t>"lost"</w:t>
      </w:r>
      <w:r>
        <w:rPr>
          <w:rFonts w:ascii="Arial" w:cs="Arial" w:eastAsia="Arial" w:hAnsi="Arial"/>
          <w:sz w:val="16"/>
          <w:szCs w:val="16"/>
          <w:color w:val="auto"/>
        </w:rPr>
        <w:t xml:space="preserve"> shall be construed accordingly.</w:t>
      </w:r>
    </w:p>
    <w:p>
      <w:pPr>
        <w:spacing w:after="0" w:line="34" w:lineRule="exact"/>
        <w:rPr>
          <w:sz w:val="20"/>
          <w:szCs w:val="20"/>
          <w:color w:val="auto"/>
        </w:rPr>
      </w:pPr>
    </w:p>
    <w:p>
      <w:pPr>
        <w:ind w:left="580" w:right="80"/>
        <w:spacing w:after="0" w:line="236" w:lineRule="auto"/>
        <w:rPr>
          <w:sz w:val="20"/>
          <w:szCs w:val="20"/>
          <w:color w:val="auto"/>
        </w:rPr>
      </w:pPr>
      <w:r>
        <w:rPr>
          <w:rFonts w:ascii="Arial" w:cs="Arial" w:eastAsia="Arial" w:hAnsi="Arial"/>
          <w:sz w:val="16"/>
          <w:szCs w:val="16"/>
          <w:b w:val="1"/>
          <w:bCs w:val="1"/>
          <w:color w:val="auto"/>
        </w:rPr>
        <w:t xml:space="preserve">"PAYE" </w:t>
      </w:r>
      <w:r>
        <w:rPr>
          <w:rFonts w:ascii="Arial" w:cs="Arial" w:eastAsia="Arial" w:hAnsi="Arial"/>
          <w:sz w:val="16"/>
          <w:szCs w:val="16"/>
          <w:color w:val="auto"/>
        </w:rPr>
        <w:t>means pay as you earn as it applies to income tax pursuant to ITEPA and the PAYE regulations referred to in it and as it applies for</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insurance contribution purposes under the Social Security Contributions and Benefits Act 1992 and regulations referred to in it.</w:t>
      </w:r>
    </w:p>
    <w:p>
      <w:pPr>
        <w:spacing w:after="0" w:line="46" w:lineRule="exact"/>
        <w:rPr>
          <w:sz w:val="20"/>
          <w:szCs w:val="20"/>
          <w:color w:val="auto"/>
        </w:rPr>
      </w:pPr>
    </w:p>
    <w:p>
      <w:pPr>
        <w:ind w:left="580" w:right="20"/>
        <w:spacing w:after="0" w:line="236" w:lineRule="auto"/>
        <w:rPr>
          <w:sz w:val="20"/>
          <w:szCs w:val="20"/>
          <w:color w:val="auto"/>
        </w:rPr>
      </w:pPr>
      <w:r>
        <w:rPr>
          <w:rFonts w:ascii="Arial" w:cs="Arial" w:eastAsia="Arial" w:hAnsi="Arial"/>
          <w:sz w:val="16"/>
          <w:szCs w:val="16"/>
          <w:b w:val="1"/>
          <w:bCs w:val="1"/>
          <w:color w:val="auto"/>
        </w:rPr>
        <w:t xml:space="preserve">"Profits" </w:t>
      </w:r>
      <w:r>
        <w:rPr>
          <w:rFonts w:ascii="Arial" w:cs="Arial" w:eastAsia="Arial" w:hAnsi="Arial"/>
          <w:sz w:val="16"/>
          <w:szCs w:val="16"/>
          <w:color w:val="auto"/>
        </w:rPr>
        <w:t>means income, profits and gains, the value of any supply and any other consideration, value, measure or receipt used or charged for</w:t>
      </w:r>
      <w:r>
        <w:rPr>
          <w:rFonts w:ascii="Arial" w:cs="Arial" w:eastAsia="Arial" w:hAnsi="Arial"/>
          <w:sz w:val="16"/>
          <w:szCs w:val="16"/>
          <w:b w:val="1"/>
          <w:bCs w:val="1"/>
          <w:color w:val="auto"/>
        </w:rPr>
        <w:t xml:space="preserve"> </w:t>
      </w:r>
      <w:r>
        <w:rPr>
          <w:rFonts w:ascii="Arial" w:cs="Arial" w:eastAsia="Arial" w:hAnsi="Arial"/>
          <w:sz w:val="16"/>
          <w:szCs w:val="16"/>
          <w:color w:val="auto"/>
        </w:rPr>
        <w:t>Tax purposes.</w:t>
      </w:r>
    </w:p>
    <w:p>
      <w:pPr>
        <w:spacing w:after="0" w:line="46" w:lineRule="exact"/>
        <w:rPr>
          <w:sz w:val="20"/>
          <w:szCs w:val="20"/>
          <w:color w:val="auto"/>
        </w:rPr>
      </w:pPr>
    </w:p>
    <w:p>
      <w:pPr>
        <w:ind w:left="580" w:right="20"/>
        <w:spacing w:after="0" w:line="236" w:lineRule="auto"/>
        <w:rPr>
          <w:sz w:val="20"/>
          <w:szCs w:val="20"/>
          <w:color w:val="auto"/>
        </w:rPr>
      </w:pPr>
      <w:r>
        <w:rPr>
          <w:rFonts w:ascii="Arial" w:cs="Arial" w:eastAsia="Arial" w:hAnsi="Arial"/>
          <w:sz w:val="16"/>
          <w:szCs w:val="16"/>
          <w:b w:val="1"/>
          <w:bCs w:val="1"/>
          <w:color w:val="auto"/>
        </w:rPr>
        <w:t xml:space="preserve">"Purchaser's Tax Group" </w:t>
      </w:r>
      <w:r>
        <w:rPr>
          <w:rFonts w:ascii="Arial" w:cs="Arial" w:eastAsia="Arial" w:hAnsi="Arial"/>
          <w:sz w:val="16"/>
          <w:szCs w:val="16"/>
          <w:color w:val="auto"/>
        </w:rPr>
        <w:t>means the Purchaser and any other company or companies that are, from time to time, treated as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group as, or otherwise connected or associated in any way with, the Purchaser for any Tax purpose.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"Purchaser's Relief" </w:t>
      </w:r>
      <w:r>
        <w:rPr>
          <w:rFonts w:ascii="Arial" w:cs="Arial" w:eastAsia="Arial" w:hAnsi="Arial"/>
          <w:sz w:val="16"/>
          <w:szCs w:val="16"/>
          <w:color w:val="auto"/>
        </w:rPr>
        <w:t>means:</w:t>
      </w:r>
    </w:p>
    <w:p>
      <w:pPr>
        <w:spacing w:after="0" w:line="70" w:lineRule="exact"/>
        <w:rPr>
          <w:sz w:val="20"/>
          <w:szCs w:val="20"/>
          <w:color w:val="auto"/>
        </w:rPr>
      </w:pPr>
    </w:p>
    <w:p>
      <w:pPr>
        <w:ind w:left="1140" w:hanging="558"/>
        <w:spacing w:after="0"/>
        <w:tabs>
          <w:tab w:leader="none" w:pos="114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 Accounts Relief;</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82</w:t>
      </w:r>
    </w:p>
    <w:p>
      <w:pPr>
        <w:sectPr>
          <w:pgSz w:w="11900" w:h="16840" w:orient="portrait"/>
          <w:cols w:equalWidth="0" w:num="1">
            <w:col w:w="10600"/>
          </w:cols>
          <w:pgMar w:left="660" w:top="1440" w:right="640" w:bottom="1440" w:gutter="0" w:footer="0" w:header="0"/>
        </w:sectPr>
      </w:pPr>
    </w:p>
    <w:bookmarkStart w:id="433" w:name="page434"/>
    <w:bookmarkEnd w:id="433"/>
    <w:p>
      <w:pPr>
        <w:spacing w:after="0" w:line="331" w:lineRule="exact"/>
        <w:rPr>
          <w:sz w:val="20"/>
          <w:szCs w:val="20"/>
          <w:color w:val="auto"/>
        </w:rPr>
      </w:pPr>
    </w:p>
    <w:p>
      <w:pPr>
        <w:ind w:left="1160" w:right="20" w:hanging="578"/>
        <w:spacing w:after="0" w:line="235" w:lineRule="auto"/>
        <w:tabs>
          <w:tab w:leader="none" w:pos="1148"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any Relief which arises to any Group Company in respect of any period after Completion or any Relief which arises in respect of any Event occurring after Completion; and/or</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any Relief arising to any member of the Purchaser's Tax Group (other than a Group Company) at any time.</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ind w:left="580" w:right="40"/>
        <w:spacing w:after="0" w:line="236" w:lineRule="auto"/>
        <w:rPr>
          <w:sz w:val="20"/>
          <w:szCs w:val="20"/>
          <w:color w:val="auto"/>
        </w:rPr>
      </w:pPr>
      <w:r>
        <w:rPr>
          <w:rFonts w:ascii="Arial" w:cs="Arial" w:eastAsia="Arial" w:hAnsi="Arial"/>
          <w:sz w:val="16"/>
          <w:szCs w:val="16"/>
          <w:b w:val="1"/>
          <w:bCs w:val="1"/>
          <w:color w:val="auto"/>
        </w:rPr>
        <w:t xml:space="preserve">"Relief" </w:t>
      </w:r>
      <w:r>
        <w:rPr>
          <w:rFonts w:ascii="Arial" w:cs="Arial" w:eastAsia="Arial" w:hAnsi="Arial"/>
          <w:sz w:val="16"/>
          <w:szCs w:val="16"/>
          <w:color w:val="auto"/>
        </w:rPr>
        <w:t>means any relief, loss, allowance, set -off or credit for Taxation or any deduction in computing Profits for the purposes of Taxation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repayment of Taxation or to a payment in respect of Taxation [***].</w:t>
      </w:r>
    </w:p>
    <w:p>
      <w:pPr>
        <w:spacing w:after="0" w:line="46" w:lineRule="exact"/>
        <w:rPr>
          <w:sz w:val="20"/>
          <w:szCs w:val="20"/>
          <w:color w:val="auto"/>
        </w:rPr>
      </w:pPr>
    </w:p>
    <w:p>
      <w:pPr>
        <w:jc w:val="both"/>
        <w:ind w:left="580" w:right="20"/>
        <w:spacing w:after="0" w:line="236" w:lineRule="auto"/>
        <w:rPr>
          <w:sz w:val="20"/>
          <w:szCs w:val="20"/>
          <w:color w:val="auto"/>
        </w:rPr>
      </w:pPr>
      <w:r>
        <w:rPr>
          <w:rFonts w:ascii="Arial" w:cs="Arial" w:eastAsia="Arial" w:hAnsi="Arial"/>
          <w:sz w:val="16"/>
          <w:szCs w:val="16"/>
          <w:b w:val="1"/>
          <w:bCs w:val="1"/>
          <w:color w:val="auto"/>
        </w:rPr>
        <w:t xml:space="preserve">"Seller Associate" </w:t>
      </w:r>
      <w:r>
        <w:rPr>
          <w:rFonts w:ascii="Arial" w:cs="Arial" w:eastAsia="Arial" w:hAnsi="Arial"/>
          <w:sz w:val="16"/>
          <w:szCs w:val="16"/>
          <w:color w:val="auto"/>
        </w:rPr>
        <w:t>means any Seller and any other person with whom the Seller and/or (prior to Completion) any Group Company is or was</w:t>
      </w:r>
      <w:r>
        <w:rPr>
          <w:rFonts w:ascii="Arial" w:cs="Arial" w:eastAsia="Arial" w:hAnsi="Arial"/>
          <w:sz w:val="16"/>
          <w:szCs w:val="16"/>
          <w:b w:val="1"/>
          <w:bCs w:val="1"/>
          <w:color w:val="auto"/>
        </w:rPr>
        <w:t xml:space="preserve"> </w:t>
      </w:r>
      <w:r>
        <w:rPr>
          <w:rFonts w:ascii="Arial" w:cs="Arial" w:eastAsia="Arial" w:hAnsi="Arial"/>
          <w:sz w:val="16"/>
          <w:szCs w:val="16"/>
          <w:color w:val="auto"/>
        </w:rPr>
        <w:t>either associated or connected for any Tax purpose.</w:t>
      </w:r>
    </w:p>
    <w:p>
      <w:pPr>
        <w:spacing w:after="0" w:line="46" w:lineRule="exact"/>
        <w:rPr>
          <w:sz w:val="20"/>
          <w:szCs w:val="20"/>
          <w:color w:val="auto"/>
        </w:rPr>
      </w:pPr>
    </w:p>
    <w:p>
      <w:pPr>
        <w:jc w:val="both"/>
        <w:ind w:left="580" w:right="20"/>
        <w:spacing w:after="0" w:line="216" w:lineRule="auto"/>
        <w:rPr>
          <w:sz w:val="20"/>
          <w:szCs w:val="20"/>
          <w:color w:val="auto"/>
        </w:rPr>
      </w:pPr>
      <w:r>
        <w:rPr>
          <w:rFonts w:ascii="Arial" w:cs="Arial" w:eastAsia="Arial" w:hAnsi="Arial"/>
          <w:sz w:val="16"/>
          <w:szCs w:val="16"/>
          <w:b w:val="1"/>
          <w:bCs w:val="1"/>
          <w:color w:val="auto"/>
        </w:rPr>
        <w:t xml:space="preserve">"Tax" </w:t>
      </w:r>
      <w:r>
        <w:rPr>
          <w:rFonts w:ascii="Arial" w:cs="Arial" w:eastAsia="Arial" w:hAnsi="Arial"/>
          <w:sz w:val="16"/>
          <w:szCs w:val="16"/>
          <w:color w:val="auto"/>
        </w:rPr>
        <w:t>or</w:t>
      </w:r>
      <w:r>
        <w:rPr>
          <w:rFonts w:ascii="Arial" w:cs="Arial" w:eastAsia="Arial" w:hAnsi="Arial"/>
          <w:sz w:val="16"/>
          <w:szCs w:val="16"/>
          <w:b w:val="1"/>
          <w:bCs w:val="1"/>
          <w:color w:val="auto"/>
        </w:rPr>
        <w:t xml:space="preserve"> "Taxation" </w:t>
      </w:r>
      <w:r>
        <w:rPr>
          <w:rFonts w:ascii="Arial" w:cs="Arial" w:eastAsia="Arial" w:hAnsi="Arial"/>
          <w:sz w:val="16"/>
          <w:szCs w:val="16"/>
          <w:color w:val="auto"/>
        </w:rPr>
        <w:t>means any and all forms of taxes, contributions, levies, imposts, duties or charges in the nature of Taxation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withholdings or deductions in respect thereof of any nature whenever created or imposed and whether of the UK or any other jurisdiction, and all penalties, fines, charges, surcharges, costs and interest relating to such or which arises as a result of the failure to pay any Taxation on the due date for payment or to comply with any obligation relating to Taxation, together with the cost of removing any related charge or other encumbrance.</w:t>
      </w:r>
    </w:p>
    <w:p>
      <w:pPr>
        <w:spacing w:after="0" w:line="48" w:lineRule="exact"/>
        <w:rPr>
          <w:sz w:val="20"/>
          <w:szCs w:val="20"/>
          <w:color w:val="auto"/>
        </w:rPr>
      </w:pPr>
    </w:p>
    <w:p>
      <w:pPr>
        <w:jc w:val="both"/>
        <w:ind w:left="580" w:right="20"/>
        <w:spacing w:after="0" w:line="220" w:lineRule="auto"/>
        <w:rPr>
          <w:sz w:val="20"/>
          <w:szCs w:val="20"/>
          <w:color w:val="auto"/>
        </w:rPr>
      </w:pPr>
      <w:r>
        <w:rPr>
          <w:rFonts w:ascii="Arial" w:cs="Arial" w:eastAsia="Arial" w:hAnsi="Arial"/>
          <w:sz w:val="16"/>
          <w:szCs w:val="16"/>
          <w:b w:val="1"/>
          <w:bCs w:val="1"/>
          <w:color w:val="auto"/>
        </w:rPr>
        <w:t xml:space="preserve">"Tax Assessment" </w:t>
      </w:r>
      <w:r>
        <w:rPr>
          <w:rFonts w:ascii="Arial" w:cs="Arial" w:eastAsia="Arial" w:hAnsi="Arial"/>
          <w:sz w:val="16"/>
          <w:szCs w:val="16"/>
          <w:color w:val="auto"/>
        </w:rPr>
        <w:t>means any notice, demand, assessment, self-assessment, letter or other document issued or action taken by or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Authority or any person (including any Group Company) indicating that any person is or may be placed or sought to be placed under a Liability to Taxation for any pre-Completion period (or any other liability under the Tax Covenant or in respect of which the Warrantors may be liable for breach of the Tax Warranties).</w:t>
      </w:r>
    </w:p>
    <w:p>
      <w:pPr>
        <w:spacing w:after="0" w:line="46" w:lineRule="exact"/>
        <w:rPr>
          <w:sz w:val="20"/>
          <w:szCs w:val="20"/>
          <w:color w:val="auto"/>
        </w:rPr>
      </w:pPr>
    </w:p>
    <w:p>
      <w:pPr>
        <w:jc w:val="both"/>
        <w:ind w:left="580" w:right="60"/>
        <w:spacing w:after="0" w:line="236" w:lineRule="auto"/>
        <w:rPr>
          <w:sz w:val="20"/>
          <w:szCs w:val="20"/>
          <w:color w:val="auto"/>
        </w:rPr>
      </w:pPr>
      <w:r>
        <w:rPr>
          <w:rFonts w:ascii="Arial" w:cs="Arial" w:eastAsia="Arial" w:hAnsi="Arial"/>
          <w:sz w:val="16"/>
          <w:szCs w:val="16"/>
          <w:b w:val="1"/>
          <w:bCs w:val="1"/>
          <w:color w:val="auto"/>
        </w:rPr>
        <w:t xml:space="preserve">"Tax Authority" </w:t>
      </w:r>
      <w:r>
        <w:rPr>
          <w:rFonts w:ascii="Arial" w:cs="Arial" w:eastAsia="Arial" w:hAnsi="Arial"/>
          <w:sz w:val="16"/>
          <w:szCs w:val="16"/>
          <w:color w:val="auto"/>
        </w:rPr>
        <w:t>means any taxing or other authority, body or official competent to administer, impose, assess or collect any Taxation in the UK</w:t>
      </w:r>
      <w:r>
        <w:rPr>
          <w:rFonts w:ascii="Arial" w:cs="Arial" w:eastAsia="Arial" w:hAnsi="Arial"/>
          <w:sz w:val="16"/>
          <w:szCs w:val="16"/>
          <w:b w:val="1"/>
          <w:bCs w:val="1"/>
          <w:color w:val="auto"/>
        </w:rPr>
        <w:t xml:space="preserve"> </w:t>
      </w:r>
      <w:r>
        <w:rPr>
          <w:rFonts w:ascii="Arial" w:cs="Arial" w:eastAsia="Arial" w:hAnsi="Arial"/>
          <w:sz w:val="16"/>
          <w:szCs w:val="16"/>
          <w:color w:val="auto"/>
        </w:rPr>
        <w:t>or elsewhere.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"Tax Claim" </w:t>
      </w:r>
      <w:r>
        <w:rPr>
          <w:rFonts w:ascii="Arial" w:cs="Arial" w:eastAsia="Arial" w:hAnsi="Arial"/>
          <w:sz w:val="16"/>
          <w:szCs w:val="16"/>
          <w:color w:val="auto"/>
        </w:rPr>
        <w:t>means a claim by the Purchaser against the Warrantors under the Tax Covenant or for breach of any of the Tax Warranties.</w:t>
      </w:r>
    </w:p>
    <w:p>
      <w:pPr>
        <w:spacing w:after="0" w:line="68" w:lineRule="exact"/>
        <w:rPr>
          <w:sz w:val="20"/>
          <w:szCs w:val="20"/>
          <w:color w:val="auto"/>
        </w:rPr>
      </w:pPr>
    </w:p>
    <w:p>
      <w:pPr>
        <w:jc w:val="both"/>
        <w:ind w:left="580" w:right="40"/>
        <w:spacing w:after="0" w:line="225" w:lineRule="auto"/>
        <w:rPr>
          <w:sz w:val="20"/>
          <w:szCs w:val="20"/>
          <w:color w:val="auto"/>
        </w:rPr>
      </w:pPr>
      <w:r>
        <w:rPr>
          <w:rFonts w:ascii="Arial" w:cs="Arial" w:eastAsia="Arial" w:hAnsi="Arial"/>
          <w:sz w:val="16"/>
          <w:szCs w:val="16"/>
          <w:b w:val="1"/>
          <w:bCs w:val="1"/>
          <w:color w:val="auto"/>
        </w:rPr>
        <w:t xml:space="preserve">"VAT" </w:t>
      </w:r>
      <w:r>
        <w:rPr>
          <w:rFonts w:ascii="Arial" w:cs="Arial" w:eastAsia="Arial" w:hAnsi="Arial"/>
          <w:sz w:val="16"/>
          <w:szCs w:val="16"/>
          <w:color w:val="auto"/>
        </w:rPr>
        <w:t>means value added tax in the UK or equivalent Tax in any other jurisdiction and references to VAT shall include all law relating to value</w:t>
      </w:r>
      <w:r>
        <w:rPr>
          <w:rFonts w:ascii="Arial" w:cs="Arial" w:eastAsia="Arial" w:hAnsi="Arial"/>
          <w:sz w:val="16"/>
          <w:szCs w:val="16"/>
          <w:b w:val="1"/>
          <w:bCs w:val="1"/>
          <w:color w:val="auto"/>
        </w:rPr>
        <w:t xml:space="preserve"> </w:t>
      </w:r>
      <w:r>
        <w:rPr>
          <w:rFonts w:ascii="Arial" w:cs="Arial" w:eastAsia="Arial" w:hAnsi="Arial"/>
          <w:sz w:val="16"/>
          <w:szCs w:val="16"/>
          <w:color w:val="auto"/>
        </w:rPr>
        <w:t>added tax in the UK and any value added, turnover, sales, purchase or similar Tax of any other jurisdiction and references to value added tax shall be construed accordingly.</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Schedule:</w:t>
      </w:r>
    </w:p>
    <w:p>
      <w:pPr>
        <w:spacing w:after="0" w:line="68" w:lineRule="exact"/>
        <w:rPr>
          <w:sz w:val="20"/>
          <w:szCs w:val="20"/>
          <w:color w:val="auto"/>
        </w:rPr>
      </w:pPr>
    </w:p>
    <w:p>
      <w:pPr>
        <w:ind w:left="1160" w:right="20" w:hanging="578"/>
        <w:spacing w:after="0" w:line="235"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Profits earned, accrued or received shall include any Profits which are for the purpose of any Tax treated or regarded as earned, accrued or received;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Profits earned, accrued, or received on or before a particular time (including, without limitation, Completion) or in respect of a particular period shall include Profits which are for the purposes of any Tax treated as earned or accrued, arising or received on or before that time or in respect of that period;</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social security contributions shall also include references to national insurance contributions (and vice versa), and reference to either shall include apprenticeship levy or any similar Tax;</w:t>
      </w:r>
    </w:p>
    <w:p>
      <w:pPr>
        <w:spacing w:after="0" w:line="47"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any law shall include any statute, statutory instrument, law, regulation, treaty, notice, directive or similar provision relating to Taxation, whether of the UK or elsewhere;</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specific parts of the law of the UK shall be taken to include a reference to the law of any other jurisdiction so far as the same may apply to any Group Company and may be similar to or have a similar purpose or which most closely approximates to the law of the UK to which reference is made;</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the occurrence of Events on or before a particular date (including, without limitation, Completion) or in respect of a particular period shall include Events which are for the purposes of any Tax treated as having occurred or existed at or before that date or in respect of that period;</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references to a repayment of Tax shall include any repayment supplement or interest in respect of it;</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83</w:t>
      </w:r>
    </w:p>
    <w:p>
      <w:pPr>
        <w:sectPr>
          <w:pgSz w:w="11900" w:h="16840" w:orient="portrait"/>
          <w:cols w:equalWidth="0" w:num="1">
            <w:col w:w="10580"/>
          </w:cols>
          <w:pgMar w:left="660" w:top="1440" w:right="660" w:bottom="1440" w:gutter="0" w:footer="0" w:header="0"/>
        </w:sectPr>
      </w:pPr>
    </w:p>
    <w:bookmarkStart w:id="434" w:name="page435"/>
    <w:bookmarkEnd w:id="434"/>
    <w:p>
      <w:pPr>
        <w:spacing w:after="0" w:line="331" w:lineRule="exact"/>
        <w:rPr>
          <w:sz w:val="20"/>
          <w:szCs w:val="20"/>
          <w:color w:val="auto"/>
        </w:rPr>
      </w:pPr>
    </w:p>
    <w:p>
      <w:pPr>
        <w:jc w:val="both"/>
        <w:ind w:left="580" w:hanging="578"/>
        <w:spacing w:after="0" w:line="214" w:lineRule="auto"/>
        <w:tabs>
          <w:tab w:leader="none" w:pos="568"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any stamp duty charged on any document (or in the case of a document that is outside the UK, any stamp duty that would be charged on the document if it were brought into the UK) that is necessary to establish the title of any Group Company to any asset, and any interest, fine or penalty relating to the stamp duty, shall be deemed to be a liability of the relevant Group Company to make an actual payment of Tax because of an Event arising on the date of execution of the relevant document (and for the avoidance of doubt the payment of any stamp duty on any document, or the bringing into the UK of any document, shall not be considered a voluntary act for the purposes of paragraph 1(d) of Part 4 of this Schedule); and</w:t>
      </w:r>
    </w:p>
    <w:p>
      <w:pPr>
        <w:spacing w:after="0" w:line="45" w:lineRule="exact"/>
        <w:rPr>
          <w:rFonts w:ascii="Arial" w:cs="Arial" w:eastAsia="Arial" w:hAnsi="Arial"/>
          <w:sz w:val="16"/>
          <w:szCs w:val="16"/>
          <w:color w:val="auto"/>
        </w:rPr>
      </w:pPr>
    </w:p>
    <w:p>
      <w:pPr>
        <w:jc w:val="both"/>
        <w:ind w:left="580" w:right="20" w:hanging="578"/>
        <w:spacing w:after="0" w:line="220" w:lineRule="auto"/>
        <w:tabs>
          <w:tab w:leader="none" w:pos="58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references to the </w:t>
      </w:r>
      <w:r>
        <w:rPr>
          <w:rFonts w:ascii="Arial" w:cs="Arial" w:eastAsia="Arial" w:hAnsi="Arial"/>
          <w:sz w:val="16"/>
          <w:szCs w:val="16"/>
          <w:b w:val="1"/>
          <w:bCs w:val="1"/>
          <w:color w:val="auto"/>
        </w:rPr>
        <w:t>due date for payment</w:t>
      </w:r>
      <w:r>
        <w:rPr>
          <w:rFonts w:ascii="Arial" w:cs="Arial" w:eastAsia="Arial" w:hAnsi="Arial"/>
          <w:sz w:val="16"/>
          <w:szCs w:val="16"/>
          <w:color w:val="auto"/>
        </w:rPr>
        <w:t xml:space="preserve"> of any Tax shall be read and construed as a reference to the last day on which such Tax may by law be paid without incurring a penalty or liability for any interest, charge, surcharge, penalty, fine or other similar imposition accruing or without a surcharge liability notice being liable to be issued (after taking into account any postponement of such date which is obtained for such Tax).</w:t>
      </w:r>
    </w:p>
    <w:p>
      <w:pPr>
        <w:spacing w:after="0" w:line="48" w:lineRule="exact"/>
        <w:rPr>
          <w:sz w:val="20"/>
          <w:szCs w:val="20"/>
          <w:color w:val="auto"/>
        </w:rPr>
      </w:pPr>
    </w:p>
    <w:p>
      <w:pPr>
        <w:jc w:val="both"/>
        <w:ind w:right="20" w:hanging="575"/>
        <w:spacing w:after="0" w:line="265" w:lineRule="auto"/>
        <w:rPr>
          <w:sz w:val="20"/>
          <w:szCs w:val="20"/>
          <w:color w:val="auto"/>
        </w:rPr>
      </w:pPr>
      <w:r>
        <w:rPr>
          <w:rFonts w:ascii="Arial" w:cs="Arial" w:eastAsia="Arial" w:hAnsi="Arial"/>
          <w:sz w:val="16"/>
          <w:szCs w:val="16"/>
          <w:color w:val="auto"/>
        </w:rPr>
        <w:t>1.3</w:t>
      </w:r>
      <w:r>
        <w:rPr>
          <w:sz w:val="20"/>
          <w:szCs w:val="20"/>
          <w:color w:val="auto"/>
        </w:rPr>
        <w:t xml:space="preserve"> </w:t>
      </w:r>
      <w:r>
        <w:rPr>
          <w:rFonts w:ascii="Arial" w:cs="Arial" w:eastAsia="Arial" w:hAnsi="Arial"/>
          <w:sz w:val="14"/>
          <w:szCs w:val="14"/>
          <w:color w:val="auto"/>
        </w:rPr>
        <w:t>It shall be assumed for all of the purposes of this Tax Schedule (and in particular for calculating any liability to Taxation or any Relief) that the date of Completion is the end of an accounting period for the purposes of any relevant Tax and all such adjustments and apportionments as may be required consequent on such assumption shall be made in assessing any liability or in making any calculation required under this Schedule.</w:t>
      </w:r>
    </w:p>
    <w:p>
      <w:pPr>
        <w:spacing w:after="0" w:line="31" w:lineRule="exact"/>
        <w:rPr>
          <w:sz w:val="20"/>
          <w:szCs w:val="20"/>
          <w:color w:val="auto"/>
        </w:rPr>
      </w:pPr>
    </w:p>
    <w:p>
      <w:pPr>
        <w:jc w:val="both"/>
        <w:ind w:hanging="575"/>
        <w:spacing w:after="0" w:line="219" w:lineRule="auto"/>
        <w:rPr>
          <w:sz w:val="20"/>
          <w:szCs w:val="20"/>
          <w:color w:val="auto"/>
        </w:rPr>
      </w:pPr>
      <w:r>
        <w:rPr>
          <w:rFonts w:ascii="Arial" w:cs="Arial" w:eastAsia="Arial" w:hAnsi="Arial"/>
          <w:sz w:val="16"/>
          <w:szCs w:val="16"/>
          <w:color w:val="auto"/>
        </w:rPr>
        <w:t>1.4</w:t>
      </w:r>
      <w:r>
        <w:rPr>
          <w:sz w:val="20"/>
          <w:szCs w:val="20"/>
          <w:color w:val="auto"/>
        </w:rPr>
        <w:t xml:space="preserve"> </w:t>
      </w:r>
      <w:r>
        <w:rPr>
          <w:rFonts w:ascii="Arial" w:cs="Arial" w:eastAsia="Arial" w:hAnsi="Arial"/>
          <w:sz w:val="16"/>
          <w:szCs w:val="16"/>
          <w:color w:val="auto"/>
        </w:rPr>
        <w:t>Any payments made by the Warrantors pursuant to or under or in respect of the Tax Covenant or for breach of any Warranty shall, so far as possible, be treated as an adjustment to the consideration paid by the Purchaser for the Shares (and so far as is possible, a reduction pro-rata of such consideration) provided always that this paragraph shall not operate in any way to limit the liability of the Warrantors under this Schedule or the Agreement or otherwise.</w:t>
      </w:r>
    </w:p>
    <w:p>
      <w:pPr>
        <w:spacing w:after="0" w:line="49" w:lineRule="exact"/>
        <w:rPr>
          <w:sz w:val="20"/>
          <w:szCs w:val="20"/>
          <w:color w:val="auto"/>
        </w:rPr>
      </w:pPr>
    </w:p>
    <w:p>
      <w:pPr>
        <w:jc w:val="both"/>
        <w:ind w:hanging="575"/>
        <w:spacing w:after="0" w:line="224" w:lineRule="auto"/>
        <w:rPr>
          <w:sz w:val="20"/>
          <w:szCs w:val="20"/>
          <w:color w:val="auto"/>
        </w:rPr>
      </w:pPr>
      <w:r>
        <w:rPr>
          <w:rFonts w:ascii="Arial" w:cs="Arial" w:eastAsia="Arial" w:hAnsi="Arial"/>
          <w:sz w:val="16"/>
          <w:szCs w:val="16"/>
          <w:color w:val="auto"/>
        </w:rPr>
        <w:t>1.5</w:t>
      </w:r>
      <w:r>
        <w:rPr>
          <w:sz w:val="20"/>
          <w:szCs w:val="20"/>
          <w:color w:val="auto"/>
        </w:rPr>
        <w:t xml:space="preserve"> </w:t>
      </w:r>
      <w:r>
        <w:rPr>
          <w:rFonts w:ascii="Arial" w:cs="Arial" w:eastAsia="Arial" w:hAnsi="Arial"/>
          <w:sz w:val="16"/>
          <w:szCs w:val="16"/>
          <w:color w:val="auto"/>
        </w:rPr>
        <w:t>Any covenant, indemnity or other requirement to pay costs and/or expenses in this Agreement (including by way of deduction of such costs and/or expenses from any payment due to another party) shall be treated as excluding any VAT on such costs and/or expenses to the extent that the party incurring such costs is able to obtain an input tax credit in respect of such VAT.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020"/>
        <w:spacing w:after="0"/>
        <w:rPr>
          <w:sz w:val="20"/>
          <w:szCs w:val="20"/>
          <w:color w:val="auto"/>
        </w:rPr>
      </w:pPr>
      <w:r>
        <w:rPr>
          <w:rFonts w:ascii="Arial" w:cs="Arial" w:eastAsia="Arial" w:hAnsi="Arial"/>
          <w:sz w:val="10"/>
          <w:szCs w:val="10"/>
          <w:color w:val="auto"/>
        </w:rPr>
        <w:t>OC_UK/125258569.5</w:t>
      </w:r>
    </w:p>
    <w:p>
      <w:pPr>
        <w:ind w:left="4340"/>
        <w:spacing w:after="0"/>
        <w:rPr>
          <w:sz w:val="20"/>
          <w:szCs w:val="20"/>
          <w:color w:val="auto"/>
        </w:rPr>
      </w:pPr>
      <w:r>
        <w:rPr>
          <w:rFonts w:ascii="Arial" w:cs="Arial" w:eastAsia="Arial" w:hAnsi="Arial"/>
          <w:sz w:val="13"/>
          <w:szCs w:val="13"/>
          <w:color w:val="auto"/>
        </w:rPr>
        <w:t>84</w:t>
      </w:r>
    </w:p>
    <w:p>
      <w:pPr>
        <w:sectPr>
          <w:pgSz w:w="11900" w:h="16840" w:orient="portrait"/>
          <w:cols w:equalWidth="0" w:num="1">
            <w:col w:w="10000"/>
          </w:cols>
          <w:pgMar w:left="1240" w:top="1440" w:right="660" w:bottom="1440" w:gutter="0" w:footer="0" w:header="0"/>
        </w:sectPr>
      </w:pPr>
    </w:p>
    <w:bookmarkStart w:id="435" w:name="page436"/>
    <w:bookmarkEnd w:id="435"/>
    <w:p>
      <w:pPr>
        <w:spacing w:after="0" w:line="329"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(Tax Warranties)</w:t>
      </w:r>
    </w:p>
    <w:p>
      <w:pPr>
        <w:spacing w:after="0" w:line="392" w:lineRule="exact"/>
        <w:rPr>
          <w:sz w:val="20"/>
          <w:szCs w:val="20"/>
          <w:color w:val="auto"/>
        </w:rPr>
      </w:pPr>
    </w:p>
    <w:p>
      <w:pPr>
        <w:ind w:left="580" w:hanging="574"/>
        <w:spacing w:after="0"/>
        <w:tabs>
          <w:tab w:leader="none" w:pos="580" w:val="left"/>
        </w:tabs>
        <w:numPr>
          <w:ilvl w:val="0"/>
          <w:numId w:val="466"/>
        </w:numPr>
        <w:rPr>
          <w:rFonts w:ascii="Arial" w:cs="Arial" w:eastAsia="Arial" w:hAnsi="Arial"/>
          <w:sz w:val="16"/>
          <w:szCs w:val="16"/>
          <w:color w:val="auto"/>
        </w:rPr>
      </w:pPr>
      <w:r>
        <w:rPr>
          <w:rFonts w:ascii="Arial" w:cs="Arial" w:eastAsia="Arial" w:hAnsi="Arial"/>
          <w:sz w:val="16"/>
          <w:szCs w:val="16"/>
          <w:b w:val="1"/>
          <w:bCs w:val="1"/>
          <w:color w:val="auto"/>
        </w:rPr>
        <w:t>Tax Warranties</w:t>
      </w:r>
    </w:p>
    <w:p>
      <w:pPr>
        <w:spacing w:after="0" w:line="70"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Each Group Company has paid all Taxation for which it is liable and made all withholdings and deductions in respect, or on account, of any Taxation from any payments made by it which it is obliged to make and has paid to the appropriate Tax Authority all amounts so withheld or deducted by the due date for payment.</w:t>
      </w:r>
    </w:p>
    <w:p>
      <w:pPr>
        <w:spacing w:after="0" w:line="49"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Each Group Company has in the last [***] years (or in respect of any earlier period in respect of which any relevant Tax return is open for reassessment by any Tax Authority) prepared and submitted within applicable time limits all notices, returns accounts, computations, statements, assessments, claims, disclaimers, elections and applications for clearances or consents required for Tax purposes and provided complete and accurate information to any Tax Authority.</w:t>
      </w:r>
    </w:p>
    <w:p>
      <w:pPr>
        <w:spacing w:after="0" w:line="49"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Each Group Company has kept and maintained complete and accurate records, invoices and other documents and information of whatever nature required by law to be kept for Tax purposes and has sufficient such records, invoices and other documents and information relating to past Events to calculate its liability to Taxation up to Completion and any Relief which has arisen on any disposal or realisation of any assets before Completion.</w:t>
      </w:r>
    </w:p>
    <w:p>
      <w:pPr>
        <w:spacing w:after="0" w:line="49"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No Group Company is currently involved in a dispute with, or has any unsettled or outstanding assessments from, or is appealing to or against any Tax Authority in respect of Taxation and no Group Company has, within the last [***] years, been subject to any non-routine enquiry, audit, visit, inspection or other dispute with any Tax Authority and, so far as the Warrantors are aware, there are no circumstances which could give rise to a material risk of any such enquiry, audit, visit, inspection or dispute.</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No Group Company has, within the last [***] years, been liable to pay any material sum in respect of interest, penalty, or fine in respect of Taxation.</w:t>
      </w:r>
    </w:p>
    <w:p>
      <w:pPr>
        <w:spacing w:after="0" w:line="48"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No amount of Tax chargeable on any Group Company or subject to withholding or deduction by any Group Company during any accounting period ending on or within the last [***] years has to any material extent depended on any concession, agreement or, dispensation with any Tax Authority (other than in accordance with the generally applicable published guidance of such Tax Authority).</w:t>
      </w:r>
    </w:p>
    <w:p>
      <w:pPr>
        <w:spacing w:after="0" w:line="49" w:lineRule="exact"/>
        <w:rPr>
          <w:sz w:val="20"/>
          <w:szCs w:val="20"/>
          <w:color w:val="auto"/>
        </w:rPr>
      </w:pPr>
    </w:p>
    <w:p>
      <w:pPr>
        <w:jc w:val="both"/>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No circumstances exist under which any of the Shares or assets of any Group Company could be subject to any charge or other Encumbrance in respect of Taxation.</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The Accounts make proper provision or reserve in accordance with applicable generally accepted accounting principles for Tax in respect of which each Group Company was liable on the Accounts Date and proper provision has been made in the Accounts in accordance with such accounting principles for deferred tax.</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4"/>
          <w:szCs w:val="14"/>
          <w:color w:val="auto"/>
        </w:rPr>
        <w:t>Since the Accounts Date:</w:t>
      </w:r>
    </w:p>
    <w:p>
      <w:pPr>
        <w:spacing w:after="0" w:line="68" w:lineRule="exact"/>
        <w:rPr>
          <w:sz w:val="20"/>
          <w:szCs w:val="20"/>
          <w:color w:val="auto"/>
        </w:rPr>
      </w:pPr>
    </w:p>
    <w:p>
      <w:pPr>
        <w:jc w:val="both"/>
        <w:ind w:left="1160" w:hanging="578"/>
        <w:spacing w:after="0" w:line="219" w:lineRule="auto"/>
        <w:tabs>
          <w:tab w:leader="none" w:pos="1148" w:val="left"/>
        </w:tabs>
        <w:numPr>
          <w:ilvl w:val="0"/>
          <w:numId w:val="467"/>
        </w:numPr>
        <w:rPr>
          <w:rFonts w:ascii="Arial" w:cs="Arial" w:eastAsia="Arial" w:hAnsi="Arial"/>
          <w:sz w:val="16"/>
          <w:szCs w:val="16"/>
          <w:color w:val="auto"/>
        </w:rPr>
      </w:pPr>
      <w:r>
        <w:rPr>
          <w:rFonts w:ascii="Arial" w:cs="Arial" w:eastAsia="Arial" w:hAnsi="Arial"/>
          <w:sz w:val="16"/>
          <w:szCs w:val="16"/>
          <w:color w:val="auto"/>
        </w:rPr>
        <w:t>no Group Company has entered into any obligation to make any payment of an income or revenue nature after Completion outside the ordinary course of its business and exceeding £[***] in aggregate which, or to provide a benefit the cost of which, will be prevented from being deductible for Tax purposes, whether as a deduction in computing the profits of a trade or as an expense of management or as a charge on income or otherwise; and</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67"/>
        </w:numPr>
        <w:rPr>
          <w:rFonts w:ascii="Arial" w:cs="Arial" w:eastAsia="Arial" w:hAnsi="Arial"/>
          <w:sz w:val="16"/>
          <w:szCs w:val="16"/>
          <w:color w:val="auto"/>
        </w:rPr>
      </w:pPr>
      <w:r>
        <w:rPr>
          <w:rFonts w:ascii="Arial" w:cs="Arial" w:eastAsia="Arial" w:hAnsi="Arial"/>
          <w:sz w:val="16"/>
          <w:szCs w:val="16"/>
          <w:color w:val="auto"/>
        </w:rPr>
        <w:t>no Group Company has been a party to any Event for which any Tax clearance provided for by statute has been, or could have been, obtained.</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6"/>
          <w:szCs w:val="16"/>
          <w:color w:val="auto"/>
        </w:rPr>
        <w:t>No Company is, nor has at any time within the last [***] years been, a close company within the meaning of section 439 CTA 2010 and has no outstanding loans which have given rise to any liability under Chapter 3 or 3A, Part 10, CTA 2010 (loans to participators).</w:t>
      </w:r>
    </w:p>
    <w:p>
      <w:pPr>
        <w:spacing w:after="0" w:line="48" w:lineRule="exact"/>
        <w:rPr>
          <w:sz w:val="20"/>
          <w:szCs w:val="20"/>
          <w:color w:val="auto"/>
        </w:rPr>
      </w:pPr>
    </w:p>
    <w:p>
      <w:pPr>
        <w:ind w:left="580" w:hanging="575"/>
        <w:spacing w:after="0" w:line="235" w:lineRule="auto"/>
        <w:tabs>
          <w:tab w:leader="none" w:pos="56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No distribution has been made or deemed to have been made by any Group Company for Tax purposes other than dividends shown in the audited accounts of the relevant Group Company.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No Group Company has been a member of a group for any Tax purpose with any other company other than another Group Company.</w:t>
      </w:r>
    </w:p>
    <w:p>
      <w:pPr>
        <w:spacing w:after="0" w:line="6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Neither the execution nor completion of this Agreement, nor any other event since the Accounts Date, will result in the clawback or disallowance of any relief or allowance previously given.</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85</w:t>
      </w:r>
    </w:p>
    <w:p>
      <w:pPr>
        <w:sectPr>
          <w:pgSz w:w="11900" w:h="16840" w:orient="portrait"/>
          <w:cols w:equalWidth="0" w:num="1">
            <w:col w:w="10560"/>
          </w:cols>
          <w:pgMar w:left="660" w:top="1440" w:right="680" w:bottom="1440" w:gutter="0" w:footer="0" w:header="0"/>
        </w:sectPr>
      </w:pPr>
    </w:p>
    <w:bookmarkStart w:id="436" w:name="page437"/>
    <w:bookmarkEnd w:id="436"/>
    <w:p>
      <w:pPr>
        <w:spacing w:after="0" w:line="331"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No shares or securities have been issued by any Group Company, and no options have been granted or issued in respect of such shares or securities, such that any Group Company will or may be liable to account for income tax under the PAYE system or to collect or pay any national insurance contributions including without limitation on any payment made under this Agreement.</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There have been no arrangements that have given rise to any liability of a Group Company to account for income tax or social security contributions as a result of the application of Part 7A ITEPA and, so far as the Warrantors are aware, there are no arrangements in place that could give rise to any such liability.</w:t>
      </w:r>
    </w:p>
    <w:p>
      <w:pPr>
        <w:spacing w:after="0" w:line="49" w:lineRule="exact"/>
        <w:rPr>
          <w:sz w:val="20"/>
          <w:szCs w:val="20"/>
          <w:color w:val="auto"/>
        </w:rPr>
      </w:pPr>
    </w:p>
    <w:p>
      <w:pPr>
        <w:jc w:val="both"/>
        <w:ind w:left="580" w:hanging="575"/>
        <w:spacing w:after="0" w:line="224" w:lineRule="auto"/>
        <w:tabs>
          <w:tab w:leader="none" w:pos="56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No Group Company is or may be liable to deduct and/or account for income tax or social security contributions in respect of any persons directly or indirectly engaged otherwise than as employees of any Group Company (including through any personal service company or any managed service company).</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4"/>
          <w:szCs w:val="14"/>
          <w:color w:val="auto"/>
        </w:rPr>
        <w:t>Each Group Company:</w:t>
      </w:r>
    </w:p>
    <w:p>
      <w:pPr>
        <w:spacing w:after="0" w:line="68" w:lineRule="exact"/>
        <w:rPr>
          <w:sz w:val="20"/>
          <w:szCs w:val="20"/>
          <w:color w:val="auto"/>
        </w:rPr>
      </w:pPr>
    </w:p>
    <w:p>
      <w:pPr>
        <w:ind w:left="1160" w:right="60" w:hanging="578"/>
        <w:spacing w:after="0" w:line="235" w:lineRule="auto"/>
        <w:tabs>
          <w:tab w:leader="none" w:pos="1148" w:val="left"/>
        </w:tabs>
        <w:numPr>
          <w:ilvl w:val="0"/>
          <w:numId w:val="468"/>
        </w:numPr>
        <w:rPr>
          <w:rFonts w:ascii="Arial" w:cs="Arial" w:eastAsia="Arial" w:hAnsi="Arial"/>
          <w:sz w:val="16"/>
          <w:szCs w:val="16"/>
          <w:color w:val="auto"/>
        </w:rPr>
      </w:pPr>
      <w:r>
        <w:rPr>
          <w:rFonts w:ascii="Arial" w:cs="Arial" w:eastAsia="Arial" w:hAnsi="Arial"/>
          <w:sz w:val="16"/>
          <w:szCs w:val="16"/>
          <w:color w:val="auto"/>
        </w:rPr>
        <w:t>is registered for the purpose of, and has complied in all respects with, the Applicable Law in respect of VAT and is not subject to any conditions (including any requirement to provide security) imposed or agreed with any Tax Authority; and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is not, and has not within the last [***] years been, a member of a group for VAT purposes.</w:t>
      </w:r>
    </w:p>
    <w:p>
      <w:pPr>
        <w:spacing w:after="0" w:line="68" w:lineRule="exact"/>
        <w:rPr>
          <w:sz w:val="20"/>
          <w:szCs w:val="20"/>
          <w:color w:val="auto"/>
        </w:rPr>
      </w:pPr>
    </w:p>
    <w:p>
      <w:pPr>
        <w:jc w:val="both"/>
        <w:ind w:left="580" w:right="20" w:hanging="575"/>
        <w:spacing w:after="0" w:line="216" w:lineRule="auto"/>
        <w:tabs>
          <w:tab w:leader="none" w:pos="56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color w:val="auto"/>
        </w:rPr>
        <w:t>All transactions or arrangements made by each Group Company have been made on arm's length terms or with parties that were unrelated to the Group Company and the processes by which prices and terms have been arrived at have, where relevant for Tax purposes, been documented in accordance (where relevant) with all applicable transfer pricing rules. No notice, enquiry or adjustment has been made by any Tax Authority in connection with any such transactions or arrangement. The Disclosure Letter contains full details of any advance pricing agreements entered into by any Group Company with a Tax Authority.</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color w:val="auto"/>
        </w:rPr>
        <w:t>No Group Company has, within the last [***] years:</w:t>
      </w:r>
    </w:p>
    <w:p>
      <w:pPr>
        <w:spacing w:after="0" w:line="68" w:lineRule="exact"/>
        <w:rPr>
          <w:sz w:val="20"/>
          <w:szCs w:val="20"/>
          <w:color w:val="auto"/>
        </w:rPr>
      </w:pPr>
    </w:p>
    <w:p>
      <w:pPr>
        <w:ind w:left="1160" w:right="20" w:hanging="578"/>
        <w:spacing w:after="0" w:line="235" w:lineRule="auto"/>
        <w:tabs>
          <w:tab w:leader="none" w:pos="1148" w:val="left"/>
        </w:tabs>
        <w:numPr>
          <w:ilvl w:val="0"/>
          <w:numId w:val="469"/>
        </w:numPr>
        <w:rPr>
          <w:rFonts w:ascii="Arial" w:cs="Arial" w:eastAsia="Arial" w:hAnsi="Arial"/>
          <w:sz w:val="16"/>
          <w:szCs w:val="16"/>
          <w:color w:val="auto"/>
        </w:rPr>
      </w:pPr>
      <w:r>
        <w:rPr>
          <w:rFonts w:ascii="Arial" w:cs="Arial" w:eastAsia="Arial" w:hAnsi="Arial"/>
          <w:sz w:val="16"/>
          <w:szCs w:val="16"/>
          <w:color w:val="auto"/>
        </w:rPr>
        <w:t>entered into, or been party to, any arrangement the main purpose or one of the main purposes of which was to avoid Taxation or to obtain a Tax advantage; or</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entered into any arrangements which need to be disclosed to a Tax Authority under any legislation relating to tax avoidance.</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1.20</w:t>
      </w:r>
      <w:r>
        <w:rPr>
          <w:sz w:val="20"/>
          <w:szCs w:val="20"/>
          <w:color w:val="auto"/>
        </w:rPr>
        <w:tab/>
      </w:r>
      <w:r>
        <w:rPr>
          <w:rFonts w:ascii="Arial" w:cs="Arial" w:eastAsia="Arial" w:hAnsi="Arial"/>
          <w:sz w:val="16"/>
          <w:szCs w:val="16"/>
          <w:color w:val="auto"/>
        </w:rPr>
        <w:t>No Event has occurred in the last [***] years in consequence of which any Group Company has incurred a Liability to Taxation primarily chargeable against some other person (other than another Group Company) and no Group Company is otherwise liable to be assessed to Tax as agent for, or on account of, or otherwise on behalf of, any other person.</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Any document that may be necessary in proving the title of any Group Company to any asset which is owned by the relevant Group Company at the date of this Agreement, is duly stamped for stamp duty purposes or has had any applicable transfer or registration Tax due in respect of it paid.</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No Group Company would be treated as land rich for the purposes of any transfer tax according to Section 726 of the French tax code.</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Each Group Company has at all times been resident for Tax purposes in its jurisdiction of incorporation and has had no permanent establishment in any other jurisdiction and has not during the past [***] years paid or been registered for, nor been liable to pay or be registered for, Tax in any other jurisdiction.</w:t>
      </w:r>
    </w:p>
    <w:p>
      <w:pPr>
        <w:spacing w:after="0" w:line="49"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So far as the Warrantors are aware, no person acting in the capacity of an associated person (as defined in section 44(4) CFA) of any Group Company has committed:</w:t>
      </w:r>
    </w:p>
    <w:p>
      <w:pPr>
        <w:spacing w:after="0" w:line="48" w:lineRule="exact"/>
        <w:rPr>
          <w:sz w:val="20"/>
          <w:szCs w:val="20"/>
          <w:color w:val="auto"/>
        </w:rPr>
      </w:pPr>
    </w:p>
    <w:p>
      <w:pPr>
        <w:ind w:left="1140" w:hanging="558"/>
        <w:spacing w:after="0"/>
        <w:tabs>
          <w:tab w:leader="none" w:pos="11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a UK tax evasion facilitation offence under section 45(5), CFA; or</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a foreign tax evasion facilitation offence under section 46(6), CFA.</w:t>
      </w:r>
    </w:p>
    <w:p>
      <w:pPr>
        <w:spacing w:after="0" w:line="6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Each Group Company has in place (and has had in place at all times since [***]) such prevention procedures (as defined in sections 45(3) and 46(4) CFA) as, so far as the Warrantors are aware, are proportionate to its business risk and are in line with any guidance published from time to time pursuant to section 47 CFA.</w:t>
      </w:r>
    </w:p>
    <w:p>
      <w:pPr>
        <w:spacing w:after="0" w:line="49"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No employee or officer of any Group Company has been required to carry out their duties in a jurisdiction other than their usual jurisdiction of residence, or other than the jurisdiction in which they typically carry out their duties, for a material length of time as a result of COVID-19 related travel restrictions.</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4"/>
          <w:szCs w:val="14"/>
          <w:color w:val="auto"/>
        </w:rPr>
        <w:t>No Group Company has received any Coronavirus Support Payment.</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86</w:t>
      </w:r>
    </w:p>
    <w:p>
      <w:pPr>
        <w:sectPr>
          <w:pgSz w:w="11900" w:h="16840" w:orient="portrait"/>
          <w:cols w:equalWidth="0" w:num="1">
            <w:col w:w="10580"/>
          </w:cols>
          <w:pgMar w:left="660" w:top="1440" w:right="660" w:bottom="1440" w:gutter="0" w:footer="0" w:header="0"/>
        </w:sectPr>
      </w:pPr>
    </w:p>
    <w:bookmarkStart w:id="437" w:name="page438"/>
    <w:bookmarkEnd w:id="4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4140"/>
        <w:spacing w:after="0"/>
        <w:rPr>
          <w:sz w:val="20"/>
          <w:szCs w:val="20"/>
          <w:color w:val="auto"/>
        </w:rPr>
      </w:pPr>
      <w:r>
        <w:rPr>
          <w:rFonts w:ascii="Arial" w:cs="Arial" w:eastAsia="Arial" w:hAnsi="Arial"/>
          <w:sz w:val="13"/>
          <w:szCs w:val="13"/>
          <w:color w:val="auto"/>
        </w:rPr>
        <w:t>87</w:t>
      </w:r>
    </w:p>
    <w:p>
      <w:pPr>
        <w:sectPr>
          <w:pgSz w:w="11900" w:h="16840" w:orient="portrait"/>
          <w:cols w:equalWidth="0" w:num="1">
            <w:col w:w="9740"/>
          </w:cols>
          <w:pgMar w:left="1440" w:top="1440" w:right="720" w:bottom="1440" w:gutter="0" w:footer="0" w:header="0"/>
        </w:sectPr>
      </w:pPr>
    </w:p>
    <w:bookmarkStart w:id="438" w:name="page439"/>
    <w:bookmarkEnd w:id="438"/>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3</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(Covenants to and from the Purchaser)</w:t>
      </w:r>
    </w:p>
    <w:p>
      <w:pPr>
        <w:spacing w:after="0" w:line="68" w:lineRule="exact"/>
        <w:rPr>
          <w:sz w:val="20"/>
          <w:szCs w:val="20"/>
          <w:color w:val="auto"/>
        </w:rPr>
      </w:pPr>
    </w:p>
    <w:p>
      <w:pPr>
        <w:ind w:left="580" w:hanging="574"/>
        <w:spacing w:after="0"/>
        <w:tabs>
          <w:tab w:leader="none" w:pos="580" w:val="left"/>
        </w:tabs>
        <w:numPr>
          <w:ilvl w:val="0"/>
          <w:numId w:val="471"/>
        </w:numPr>
        <w:rPr>
          <w:rFonts w:ascii="Arial" w:cs="Arial" w:eastAsia="Arial" w:hAnsi="Arial"/>
          <w:sz w:val="16"/>
          <w:szCs w:val="16"/>
          <w:color w:val="auto"/>
        </w:rPr>
      </w:pPr>
      <w:r>
        <w:rPr>
          <w:rFonts w:ascii="Arial" w:cs="Arial" w:eastAsia="Arial" w:hAnsi="Arial"/>
          <w:sz w:val="16"/>
          <w:szCs w:val="16"/>
          <w:b w:val="1"/>
          <w:bCs w:val="1"/>
          <w:color w:val="auto"/>
        </w:rPr>
        <w:t>Tax Covenant</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Subject to the provisions of Part 4 of this Schedule the Warrantors jointly and severally covenant to pay to the Purchaser an amount equal to:</w:t>
      </w:r>
    </w:p>
    <w:p>
      <w:pPr>
        <w:spacing w:after="0" w:line="68" w:lineRule="exact"/>
        <w:rPr>
          <w:sz w:val="20"/>
          <w:szCs w:val="20"/>
          <w:color w:val="auto"/>
        </w:rPr>
      </w:pPr>
    </w:p>
    <w:p>
      <w:pPr>
        <w:ind w:left="1140" w:hanging="558"/>
        <w:spacing w:after="0"/>
        <w:tabs>
          <w:tab w:leader="none" w:pos="11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of any Group Company arising:</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from any Event occurring on or before Completion;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in respect of, or by reference to, any Profits earned, accrued or received on or before Completion;</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Deemed Taxation Liability;</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of any Group Company which would not have arisen but for the failure of any person who is or has been a Seller Associate (other than a member of the Purchaser's Tax Group) to discharge a Liability to Taxation which falls upon such Seller Associate:</w:t>
      </w:r>
    </w:p>
    <w:p>
      <w:pPr>
        <w:spacing w:after="0" w:line="48" w:lineRule="exact"/>
        <w:rPr>
          <w:rFonts w:ascii="Arial" w:cs="Arial" w:eastAsia="Arial" w:hAnsi="Arial"/>
          <w:sz w:val="16"/>
          <w:szCs w:val="16"/>
          <w:color w:val="auto"/>
        </w:rPr>
      </w:pPr>
    </w:p>
    <w:p>
      <w:pPr>
        <w:ind w:left="1740" w:hanging="582"/>
        <w:spacing w:after="0"/>
        <w:tabs>
          <w:tab w:leader="none" w:pos="174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arising directly or indirectly from any Event occurring or deemed to have occurred at any time by such Seller Associate;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in respect of any profits earned, accrued or received at any time by such Seller Associate;</w:t>
      </w:r>
    </w:p>
    <w:p>
      <w:pPr>
        <w:spacing w:after="0" w:line="68" w:lineRule="exact"/>
        <w:rPr>
          <w:rFonts w:ascii="Arial" w:cs="Arial" w:eastAsia="Arial" w:hAnsi="Arial"/>
          <w:sz w:val="16"/>
          <w:szCs w:val="16"/>
          <w:color w:val="auto"/>
        </w:rPr>
      </w:pPr>
    </w:p>
    <w:p>
      <w:pPr>
        <w:jc w:val="both"/>
        <w:ind w:left="1160" w:right="20" w:hanging="578"/>
        <w:spacing w:after="0" w:line="249" w:lineRule="auto"/>
        <w:tabs>
          <w:tab w:leader="none" w:pos="1148" w:val="left"/>
        </w:tabs>
        <w:numPr>
          <w:ilvl w:val="0"/>
          <w:numId w:val="472"/>
        </w:numPr>
        <w:rPr>
          <w:rFonts w:ascii="Arial" w:cs="Arial" w:eastAsia="Arial" w:hAnsi="Arial"/>
          <w:sz w:val="14"/>
          <w:szCs w:val="14"/>
          <w:color w:val="auto"/>
        </w:rPr>
      </w:pPr>
      <w:r>
        <w:rPr>
          <w:rFonts w:ascii="Arial" w:cs="Arial" w:eastAsia="Arial" w:hAnsi="Arial"/>
          <w:sz w:val="14"/>
          <w:szCs w:val="14"/>
          <w:color w:val="auto"/>
        </w:rPr>
        <w:t>any Liability to Taxation which is a liability of any Group Company or any member of the Purchaser's Tax Group to account for income tax or national insurance contributions, whether arising before, on or after Completion, in respect of the grant, exercise, surrender, exchange or other disposal of an option or other right to acquire securities, or in respect of any acquisition, holding, variation or disposal of, or any other Event occurring in relation to, employment-related securities (as defined for the purposes of Part 7, ITEPA) where the acquisition of the security or the grant of the option, or other right to acquire the security occurred on or before Completion;</w:t>
      </w:r>
    </w:p>
    <w:p>
      <w:pPr>
        <w:spacing w:after="0" w:line="41" w:lineRule="exact"/>
        <w:rPr>
          <w:rFonts w:ascii="Arial" w:cs="Arial" w:eastAsia="Arial" w:hAnsi="Arial"/>
          <w:sz w:val="14"/>
          <w:szCs w:val="14"/>
          <w:color w:val="auto"/>
        </w:rPr>
      </w:pPr>
    </w:p>
    <w:p>
      <w:pPr>
        <w:jc w:val="both"/>
        <w:ind w:left="1160" w:hanging="578"/>
        <w:spacing w:after="0" w:line="214" w:lineRule="auto"/>
        <w:tabs>
          <w:tab w:leader="none" w:pos="114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under Part 7A, ITEPA which is a liability of any Group Company or any member of the Purchaser's Tax Group, whether arising before, on or after Completion, including any liability arising as a consequence of any payments or loans made to, any assets made available or transferred to, or any assets earmarked (however informally) for the benefit of any employee or former employee of any Group Company, or for the benefit of any relevant person, by an employee benefit trust or another third party where the arrangement giving rise to the charge was entered into at a time when the third party was acting on the instructions of, or for the benefit of, a Seller Associate;</w:t>
      </w:r>
    </w:p>
    <w:p>
      <w:pPr>
        <w:spacing w:after="0" w:line="47"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which is a liability of the Purchaser or any Group Company or any member of the Purchaser's Tax Group to account for income tax or social security contributions arising as a result of the sale of the Shares, or the payment of (or obligation to pay), any part of the Consideration, or any agreement (whether formal or otherwise) between any of the Sellers or between any of the Sellers and any other person or persons in respect of the Consideration payable pursuant to this Agreement;</w:t>
      </w:r>
    </w:p>
    <w:p>
      <w:pPr>
        <w:spacing w:after="0" w:line="48" w:lineRule="exact"/>
        <w:rPr>
          <w:rFonts w:ascii="Arial" w:cs="Arial" w:eastAsia="Arial" w:hAnsi="Arial"/>
          <w:sz w:val="16"/>
          <w:szCs w:val="16"/>
          <w:color w:val="auto"/>
        </w:rPr>
      </w:pPr>
    </w:p>
    <w:p>
      <w:pPr>
        <w:jc w:val="both"/>
        <w:ind w:left="1160" w:hanging="578"/>
        <w:spacing w:after="0" w:line="216" w:lineRule="auto"/>
        <w:tabs>
          <w:tab w:leader="none" w:pos="114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arising due to a failure after Completion by any employee to make good to any Group Company (or any member of the Purchaser's Tax Group) any income tax or social security contributions for which any Group Company (or any member of the Purchaser's Tax Group) is required to account in respect of any notional payment as defined in section 222, ITEPA and arising in respect of any shares, options, rights, interests or arrangements referred to in sub-paragraph 1.1(d) or in respect of any payments, loans or assets referred to in sub-paragraph 1.1(e) or 1.1(f) above;</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any Liability to Taxation being a liability for inheritance tax which:</w:t>
      </w:r>
    </w:p>
    <w:p>
      <w:pPr>
        <w:spacing w:after="0" w:line="68" w:lineRule="exact"/>
        <w:rPr>
          <w:rFonts w:ascii="Arial" w:cs="Arial" w:eastAsia="Arial" w:hAnsi="Arial"/>
          <w:sz w:val="16"/>
          <w:szCs w:val="16"/>
          <w:color w:val="auto"/>
        </w:rPr>
      </w:pPr>
    </w:p>
    <w:p>
      <w:pPr>
        <w:ind w:left="1740" w:hanging="582"/>
        <w:spacing w:after="0" w:line="235" w:lineRule="auto"/>
        <w:tabs>
          <w:tab w:leader="none" w:pos="1740" w:val="left"/>
        </w:tabs>
        <w:numPr>
          <w:ilvl w:val="1"/>
          <w:numId w:val="472"/>
        </w:numPr>
        <w:rPr>
          <w:rFonts w:ascii="Arial" w:cs="Arial" w:eastAsia="Arial" w:hAnsi="Arial"/>
          <w:sz w:val="16"/>
          <w:szCs w:val="16"/>
          <w:color w:val="auto"/>
        </w:rPr>
      </w:pPr>
      <w:r>
        <w:rPr>
          <w:rFonts w:ascii="Arial" w:cs="Arial" w:eastAsia="Arial" w:hAnsi="Arial"/>
          <w:sz w:val="16"/>
          <w:szCs w:val="16"/>
          <w:color w:val="auto"/>
        </w:rPr>
        <w:t>is a liability of any Group Company which arises as a result of a transfer of value occurring or being deemed to occur on or before Completion (whether or not in conjunction with the death of any person whensoever occurring);</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472"/>
        </w:numPr>
        <w:rPr>
          <w:rFonts w:ascii="Arial" w:cs="Arial" w:eastAsia="Arial" w:hAnsi="Arial"/>
          <w:sz w:val="16"/>
          <w:szCs w:val="16"/>
          <w:color w:val="auto"/>
        </w:rPr>
      </w:pPr>
      <w:r>
        <w:rPr>
          <w:rFonts w:ascii="Arial" w:cs="Arial" w:eastAsia="Arial" w:hAnsi="Arial"/>
          <w:sz w:val="16"/>
          <w:szCs w:val="16"/>
          <w:color w:val="auto"/>
        </w:rPr>
        <w:t>has given rise before or on Completion to a charge on any of the shares in or assets of any Group Company or a power to sell, mortgage or charge any of the shares in or assets of the relevant Group Company; or</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1"/>
          <w:numId w:val="472"/>
        </w:numPr>
        <w:rPr>
          <w:rFonts w:ascii="Arial" w:cs="Arial" w:eastAsia="Arial" w:hAnsi="Arial"/>
          <w:sz w:val="16"/>
          <w:szCs w:val="16"/>
          <w:color w:val="auto"/>
        </w:rPr>
      </w:pPr>
      <w:r>
        <w:rPr>
          <w:rFonts w:ascii="Arial" w:cs="Arial" w:eastAsia="Arial" w:hAnsi="Arial"/>
          <w:sz w:val="16"/>
          <w:szCs w:val="16"/>
          <w:color w:val="auto"/>
        </w:rPr>
        <w:t>gives rise at any time after Completion to a charge on or to a power to sell, mortgage or charge any of the shares in or assets of any Group Company as</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88</w:t>
      </w:r>
    </w:p>
    <w:p>
      <w:pPr>
        <w:sectPr>
          <w:pgSz w:w="11900" w:h="16840" w:orient="portrait"/>
          <w:cols w:equalWidth="0" w:num="1">
            <w:col w:w="10580"/>
          </w:cols>
          <w:pgMar w:left="660" w:top="1440" w:right="660" w:bottom="1440" w:gutter="0" w:footer="0" w:header="0"/>
        </w:sectPr>
      </w:pPr>
    </w:p>
    <w:bookmarkStart w:id="439" w:name="page440"/>
    <w:bookmarkEnd w:id="439"/>
    <w:p>
      <w:pPr>
        <w:spacing w:after="0" w:line="331"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 result of the death of any person within [***] years of a transfer of value which occurred before Completion,</w:t>
      </w:r>
    </w:p>
    <w:p>
      <w:pPr>
        <w:spacing w:after="0" w:line="68" w:lineRule="exact"/>
        <w:rPr>
          <w:sz w:val="20"/>
          <w:szCs w:val="20"/>
          <w:color w:val="auto"/>
        </w:rPr>
      </w:pPr>
    </w:p>
    <w:p>
      <w:pPr>
        <w:jc w:val="both"/>
        <w:ind w:left="1160"/>
        <w:spacing w:after="0" w:line="216" w:lineRule="auto"/>
        <w:rPr>
          <w:sz w:val="20"/>
          <w:szCs w:val="20"/>
          <w:color w:val="auto"/>
        </w:rPr>
      </w:pPr>
      <w:r>
        <w:rPr>
          <w:rFonts w:ascii="Arial" w:cs="Arial" w:eastAsia="Arial" w:hAnsi="Arial"/>
          <w:sz w:val="16"/>
          <w:szCs w:val="16"/>
          <w:color w:val="auto"/>
        </w:rPr>
        <w:t>and in determining for the purposes of this sub-paragraph 1.1(h) whether a charge on or power to sell, mortgage or charge any of the shares in or assets of the relevant Group Company exists at any time, the fact that the inheritance tax is not yet payable, or may be paid by instalments, shall be disregarded and such inheritance tax shall be treated as becoming due, and a charge or power to sell, mortgage or charge as arising, on the date of the transfer of value or other date or event on or in respect of which it becomes payable or arises, and the provisions of section 213, Inheritance Tax Act 1984 shall not apply;</w:t>
      </w:r>
    </w:p>
    <w:p>
      <w:pPr>
        <w:spacing w:after="0" w:line="48" w:lineRule="exact"/>
        <w:rPr>
          <w:sz w:val="20"/>
          <w:szCs w:val="20"/>
          <w:color w:val="auto"/>
        </w:rPr>
      </w:pPr>
    </w:p>
    <w:p>
      <w:pPr>
        <w:ind w:left="1160" w:right="20" w:hanging="578"/>
        <w:spacing w:after="0" w:line="235" w:lineRule="auto"/>
        <w:tabs>
          <w:tab w:leader="none" w:pos="11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any liability to Taxation of any Group Company arising where any Group Company is not entitled (either wholly or partially) to, or is required to repay, any Coronavirus Support Payment claimed on or before Completion;</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any liability of any Group Company to make a payment or repayment under any indemnity, covenant, warranty, mortgage, guarantee or charge entered into or created on or before Completion of a sum equivalent to or by reference to another person's liability to Taxation; and</w:t>
      </w:r>
    </w:p>
    <w:p>
      <w:pPr>
        <w:spacing w:after="0" w:line="48"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any Liability to Taxation of any Group Company arising in relation to any claims for [***] submitted to any Tax Authority prior to Completion,</w:t>
      </w:r>
    </w:p>
    <w:p>
      <w:pPr>
        <w:spacing w:after="0" w:line="48" w:lineRule="exact"/>
        <w:rPr>
          <w:sz w:val="20"/>
          <w:szCs w:val="20"/>
          <w:color w:val="auto"/>
        </w:rPr>
      </w:pPr>
    </w:p>
    <w:p>
      <w:pPr>
        <w:jc w:val="both"/>
        <w:ind w:left="580" w:right="20"/>
        <w:spacing w:after="0" w:line="224" w:lineRule="auto"/>
        <w:rPr>
          <w:sz w:val="20"/>
          <w:szCs w:val="20"/>
          <w:color w:val="auto"/>
        </w:rPr>
      </w:pPr>
      <w:r>
        <w:rPr>
          <w:rFonts w:ascii="Arial" w:cs="Arial" w:eastAsia="Arial" w:hAnsi="Arial"/>
          <w:sz w:val="16"/>
          <w:szCs w:val="16"/>
          <w:color w:val="auto"/>
        </w:rPr>
        <w:t>together with all costs and expenses reasonably and properly incurred by any Group Company or any member of the Purchaser's Tax Group in connection with the Liability to Taxation or other liability (including any related Tax Assessment) which is the subject of a successful claim under sub-paragraph 1.1 above or in taking or defending any successful action under this Schedule.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for payment</w:t>
      </w:r>
    </w:p>
    <w:p>
      <w:pPr>
        <w:spacing w:after="0" w:line="70"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Where the Warrantors become liable to make any payment under this Schedule or for breach of the Tax Warranties, the due date for the making of that payment (which shall be in cleared funds) shall be the later of [***] Business Days following a written demand from the Purchaser to the FME Shareholders' Representative and:</w:t>
      </w:r>
    </w:p>
    <w:p>
      <w:pPr>
        <w:spacing w:after="0" w:line="49" w:lineRule="exact"/>
        <w:rPr>
          <w:sz w:val="20"/>
          <w:szCs w:val="20"/>
          <w:color w:val="auto"/>
        </w:rPr>
      </w:pPr>
    </w:p>
    <w:p>
      <w:pPr>
        <w:ind w:left="1160" w:right="20" w:hanging="578"/>
        <w:spacing w:after="0" w:line="235" w:lineRule="auto"/>
        <w:tabs>
          <w:tab w:leader="none" w:pos="1148"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a case that involves an actual payment of or in respect of Taxation, the date falling [***] Business Days before the due date for payment;</w:t>
      </w:r>
    </w:p>
    <w:p>
      <w:pPr>
        <w:spacing w:after="0" w:line="47"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a case that involves the loss of a Relief (other than a right to repayment of or in respect of Taxation, [***]), the date falling [***] Business Days before the due date for payment of the Taxation which is payable as a result of such Loss of Relief (on the assumption that the relevant Group Company would have been able to utilise fully the Relief in the accounting period during which the Relief was lost);</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a case that involves the loss of a right to repayment of, or in respect of, Tax [***], the earliest date that the repayment (or payment) would have been made by the relevant Tax Authority (whether by actual repayment (or payment), credit or set-off);</w:t>
      </w:r>
    </w:p>
    <w:p>
      <w:pPr>
        <w:spacing w:after="0" w:line="47" w:lineRule="exact"/>
        <w:rPr>
          <w:rFonts w:ascii="Arial" w:cs="Arial" w:eastAsia="Arial" w:hAnsi="Arial"/>
          <w:sz w:val="16"/>
          <w:szCs w:val="16"/>
          <w:color w:val="auto"/>
        </w:rPr>
      </w:pPr>
    </w:p>
    <w:p>
      <w:pPr>
        <w:ind w:left="1160" w:right="40" w:hanging="578"/>
        <w:spacing w:after="0" w:line="235" w:lineRule="auto"/>
        <w:tabs>
          <w:tab w:leader="none" w:pos="1148"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a case that falls within sub-paragraph (c) of the definition of Liability to Taxation, the date on which the Taxation saved (in consequence of the use or setting-off) would otherwise have become payable to the relevant Tax Authority; and</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in any other case (including costs and expenses incurred under sub-paragraph 1.1) which is not covered by the preceding paragraphs,</w:t>
      </w:r>
    </w:p>
    <w:p>
      <w:pPr>
        <w:spacing w:after="0" w:line="9" w:lineRule="exact"/>
        <w:rPr>
          <w:rFonts w:ascii="Arial" w:cs="Arial" w:eastAsia="Arial" w:hAnsi="Arial"/>
          <w:sz w:val="14"/>
          <w:szCs w:val="14"/>
          <w:color w:val="auto"/>
        </w:rPr>
      </w:pPr>
    </w:p>
    <w:p>
      <w:pPr>
        <w:ind w:left="1480" w:hanging="322"/>
        <w:spacing w:after="0"/>
        <w:tabs>
          <w:tab w:leader="none" w:pos="148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Business Days following a written demand from the Purchaser to the FME Shareholders' Representative.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of Liability to Taxation</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The amount of any liability under sub-paragraph 1.1 of this Tax Covenant shall be:</w:t>
      </w:r>
    </w:p>
    <w:p>
      <w:pPr>
        <w:spacing w:after="0" w:line="68" w:lineRule="exact"/>
        <w:rPr>
          <w:sz w:val="20"/>
          <w:szCs w:val="20"/>
          <w:color w:val="auto"/>
        </w:rPr>
      </w:pPr>
    </w:p>
    <w:p>
      <w:pPr>
        <w:ind w:left="1140" w:hanging="558"/>
        <w:spacing w:after="0"/>
        <w:tabs>
          <w:tab w:leader="none" w:pos="11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in the case of a liability under sub-paragraph (a) of the definition of Liability to Taxation, the amount of the payment so made;</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in the case of a liability under sub-paragraph (b) of the definition of Liability to Taxation:</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40" w:val="left"/>
        </w:tabs>
        <w:numPr>
          <w:ilvl w:val="1"/>
          <w:numId w:val="475"/>
        </w:numPr>
        <w:rPr>
          <w:rFonts w:ascii="Arial" w:cs="Arial" w:eastAsia="Arial" w:hAnsi="Arial"/>
          <w:sz w:val="16"/>
          <w:szCs w:val="16"/>
          <w:color w:val="auto"/>
        </w:rPr>
      </w:pPr>
      <w:r>
        <w:rPr>
          <w:rFonts w:ascii="Arial" w:cs="Arial" w:eastAsia="Arial" w:hAnsi="Arial"/>
          <w:sz w:val="16"/>
          <w:szCs w:val="16"/>
          <w:color w:val="auto"/>
        </w:rPr>
        <w:t>if the Accounts Relief is a right to repayment of or in respect of Taxation [***], the amount of the repayment or payment (as the case may be) that is Lost;</w:t>
      </w:r>
    </w:p>
    <w:p>
      <w:pPr>
        <w:spacing w:after="0" w:line="47" w:lineRule="exact"/>
        <w:rPr>
          <w:rFonts w:ascii="Arial" w:cs="Arial" w:eastAsia="Arial" w:hAnsi="Arial"/>
          <w:sz w:val="16"/>
          <w:szCs w:val="16"/>
          <w:color w:val="auto"/>
        </w:rPr>
      </w:pPr>
    </w:p>
    <w:p>
      <w:pPr>
        <w:jc w:val="both"/>
        <w:ind w:left="1740" w:right="20" w:hanging="582"/>
        <w:spacing w:after="0" w:line="224" w:lineRule="auto"/>
        <w:tabs>
          <w:tab w:leader="none" w:pos="1728" w:val="left"/>
        </w:tabs>
        <w:numPr>
          <w:ilvl w:val="1"/>
          <w:numId w:val="475"/>
        </w:numPr>
        <w:rPr>
          <w:rFonts w:ascii="Arial" w:cs="Arial" w:eastAsia="Arial" w:hAnsi="Arial"/>
          <w:sz w:val="16"/>
          <w:szCs w:val="16"/>
          <w:color w:val="auto"/>
        </w:rPr>
      </w:pPr>
      <w:r>
        <w:rPr>
          <w:rFonts w:ascii="Arial" w:cs="Arial" w:eastAsia="Arial" w:hAnsi="Arial"/>
          <w:sz w:val="16"/>
          <w:szCs w:val="16"/>
          <w:color w:val="auto"/>
        </w:rPr>
        <w:t>in any other case, the amount of Taxation that would have been saved but for the Loss of the Accounts Relief on the assumption that the relevant Group Company would have been able to fully utilise the Accounts Relief in the accounting period during which the Accounts Relief was lost; and</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89</w:t>
      </w:r>
    </w:p>
    <w:p>
      <w:pPr>
        <w:sectPr>
          <w:pgSz w:w="11900" w:h="16840" w:orient="portrait"/>
          <w:cols w:equalWidth="0" w:num="1">
            <w:col w:w="10580"/>
          </w:cols>
          <w:pgMar w:left="660" w:top="1440" w:right="660" w:bottom="1440" w:gutter="0" w:footer="0" w:header="0"/>
        </w:sectPr>
      </w:pPr>
    </w:p>
    <w:bookmarkStart w:id="440" w:name="page441"/>
    <w:bookmarkEnd w:id="440"/>
    <w:p>
      <w:pPr>
        <w:spacing w:after="0" w:line="331" w:lineRule="exact"/>
        <w:rPr>
          <w:sz w:val="20"/>
          <w:szCs w:val="20"/>
          <w:color w:val="auto"/>
        </w:rPr>
      </w:pPr>
    </w:p>
    <w:p>
      <w:pPr>
        <w:ind w:left="1160" w:right="40" w:hanging="578"/>
        <w:spacing w:after="0" w:line="235" w:lineRule="auto"/>
        <w:tabs>
          <w:tab w:leader="none" w:pos="1148" w:val="left"/>
        </w:tabs>
        <w:numPr>
          <w:ilvl w:val="0"/>
          <w:numId w:val="476"/>
        </w:numPr>
        <w:rPr>
          <w:rFonts w:ascii="Arial" w:cs="Arial" w:eastAsia="Arial" w:hAnsi="Arial"/>
          <w:sz w:val="16"/>
          <w:szCs w:val="16"/>
          <w:color w:val="auto"/>
        </w:rPr>
      </w:pPr>
      <w:r>
        <w:rPr>
          <w:rFonts w:ascii="Arial" w:cs="Arial" w:eastAsia="Arial" w:hAnsi="Arial"/>
          <w:sz w:val="16"/>
          <w:szCs w:val="16"/>
          <w:color w:val="auto"/>
        </w:rPr>
        <w:t>in the case of a liability under sub-paragraph (c) of the definition of Liability to Taxation, the amount of Taxation that has been saved in consequence of the use or setting off.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Grossing up</w:t>
      </w:r>
    </w:p>
    <w:p>
      <w:pPr>
        <w:spacing w:after="0" w:line="70" w:lineRule="exact"/>
        <w:rPr>
          <w:sz w:val="20"/>
          <w:szCs w:val="20"/>
          <w:color w:val="auto"/>
        </w:rPr>
      </w:pPr>
    </w:p>
    <w:p>
      <w:pPr>
        <w:ind w:left="580" w:right="40" w:hanging="575"/>
        <w:spacing w:after="0" w:line="235"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All sums payable under this Agreement (including, but not limited to, the Tax Covenant) shall be paid in full, without any set-off, counterclaim, deduction or withholding in respect of Taxation (other than any deduction or withholding required by law).</w:t>
      </w:r>
    </w:p>
    <w:p>
      <w:pPr>
        <w:spacing w:after="0" w:line="48" w:lineRule="exact"/>
        <w:rPr>
          <w:sz w:val="20"/>
          <w:szCs w:val="20"/>
          <w:color w:val="auto"/>
        </w:rPr>
      </w:pPr>
    </w:p>
    <w:p>
      <w:pPr>
        <w:jc w:val="both"/>
        <w:ind w:left="580" w:hanging="575"/>
        <w:spacing w:after="0" w:line="219" w:lineRule="auto"/>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If any deductions or withholdings are required by law to be made from any of the sums payable by any Warrantor under this Agreement, the relevant Warrantor making the deduction or withholding shall provide any evidence of the relevant withholding as the Purchaser may reasonably require and shall pay to the Purchaser such additional amount as shall ensure that the net amount received by the Purchaser will equal the full amount that would have been received had no such deduction or withholding been required to be made.</w:t>
      </w:r>
    </w:p>
    <w:p>
      <w:pPr>
        <w:spacing w:after="0" w:line="49" w:lineRule="exact"/>
        <w:rPr>
          <w:sz w:val="20"/>
          <w:szCs w:val="20"/>
          <w:color w:val="auto"/>
        </w:rPr>
      </w:pPr>
    </w:p>
    <w:p>
      <w:pPr>
        <w:jc w:val="both"/>
        <w:ind w:left="580" w:right="20" w:hanging="575"/>
        <w:spacing w:after="0" w:line="219" w:lineRule="auto"/>
        <w:tabs>
          <w:tab w:leader="none" w:pos="56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If any sum payable by any Warrantor to the Purchaser under this Agreement (including, but not limited to, the Tax Covenant) is subject to Taxation in the hands of the Purchaser the amount to be paid to the Purchaser by the Warrantors making that payment shall be increased by such additional amount as will ensure that the net amount received by the Purchaser after such Taxation has been taken into account is equal to the full amount which would be receivable by the Purchaser had the amount not been subject to Taxation.</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4"/>
          <w:szCs w:val="14"/>
          <w:color w:val="auto"/>
        </w:rPr>
        <w:t>The provisions of sub-paragraphs 1.5 and 1.6 shall not apply if and to the extent that:</w:t>
      </w:r>
    </w:p>
    <w:p>
      <w:pPr>
        <w:spacing w:after="0" w:line="68" w:lineRule="exact"/>
        <w:rPr>
          <w:sz w:val="20"/>
          <w:szCs w:val="20"/>
          <w:color w:val="auto"/>
        </w:rPr>
      </w:pPr>
    </w:p>
    <w:p>
      <w:pPr>
        <w:ind w:left="1160" w:right="20" w:hanging="578"/>
        <w:spacing w:after="0" w:line="235" w:lineRule="auto"/>
        <w:tabs>
          <w:tab w:leader="none" w:pos="114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amount payable in respect of or in connection with the Claim or other obligation giving rise to the payment includes an amount in respect of or otherwise taken into account such Taxation; and</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Purchaser (including any other recipient of the payment) is at any time resident for Tax purposes in a jurisdiction other than Germany and the amount payable (if any) pursuant to or in consequence of sub-paragraphs 1.5 and 1.6 would have been less had the Purchaser (or other recipient) been at all times so resident only in Germany.</w:t>
      </w:r>
    </w:p>
    <w:p>
      <w:pPr>
        <w:spacing w:after="0" w:line="49" w:lineRule="exact"/>
        <w:rPr>
          <w:sz w:val="20"/>
          <w:szCs w:val="20"/>
          <w:color w:val="auto"/>
        </w:rPr>
      </w:pPr>
    </w:p>
    <w:p>
      <w:pPr>
        <w:jc w:val="both"/>
        <w:ind w:left="580" w:hanging="575"/>
        <w:spacing w:after="0" w:line="214" w:lineRule="auto"/>
        <w:tabs>
          <w:tab w:leader="none" w:pos="56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Purchaser shall be entitled to deduct any income tax or social security contributions, other than employer social security contributions, from any payments of Consideration to the extent it or any Group Company is obliged to account for such Taxes in respect of any payment of Consideration and the making of such deduction is not prohibited as a matter of law. The Purchaser shall consult in good faith with the FME Shareholders' Representative prior to seeking any ruling or guidance from any Tax Authority as to whether there is or will be such an obligation and if the Purchaser considers that it is or may be obliged to account for any such Taxes it shall in good faith consult with the FME Shareholders' Representative Sellers prior to any making any such deduction.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90</w:t>
      </w:r>
    </w:p>
    <w:p>
      <w:pPr>
        <w:sectPr>
          <w:pgSz w:w="11900" w:h="16840" w:orient="portrait"/>
          <w:cols w:equalWidth="0" w:num="1">
            <w:col w:w="10580"/>
          </w:cols>
          <w:pgMar w:left="660" w:top="1440" w:right="660" w:bottom="1440" w:gutter="0" w:footer="0" w:header="0"/>
        </w:sectPr>
      </w:pPr>
    </w:p>
    <w:bookmarkStart w:id="441" w:name="page442"/>
    <w:bookmarkEnd w:id="441"/>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4</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(Limitations and general)</w:t>
      </w:r>
    </w:p>
    <w:p>
      <w:pPr>
        <w:spacing w:after="0" w:line="68" w:lineRule="exact"/>
        <w:rPr>
          <w:sz w:val="20"/>
          <w:szCs w:val="20"/>
          <w:color w:val="auto"/>
        </w:rPr>
      </w:pPr>
    </w:p>
    <w:p>
      <w:pPr>
        <w:ind w:left="580" w:hanging="574"/>
        <w:spacing w:after="0"/>
        <w:tabs>
          <w:tab w:leader="none" w:pos="580" w:val="left"/>
        </w:tabs>
        <w:numPr>
          <w:ilvl w:val="0"/>
          <w:numId w:val="478"/>
        </w:numPr>
        <w:rPr>
          <w:rFonts w:ascii="Arial" w:cs="Arial" w:eastAsia="Arial" w:hAnsi="Arial"/>
          <w:sz w:val="16"/>
          <w:szCs w:val="16"/>
          <w:color w:val="auto"/>
        </w:rPr>
      </w:pPr>
      <w:r>
        <w:rPr>
          <w:rFonts w:ascii="Arial" w:cs="Arial" w:eastAsia="Arial" w:hAnsi="Arial"/>
          <w:sz w:val="16"/>
          <w:szCs w:val="16"/>
          <w:b w:val="1"/>
          <w:bCs w:val="1"/>
          <w:color w:val="auto"/>
        </w:rPr>
        <w:t>Limitations on liability</w:t>
      </w:r>
    </w:p>
    <w:p>
      <w:pPr>
        <w:spacing w:after="0" w:line="70"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Warrantors shall not be liable under the covenant contained in sub-paragraph 1.1 of Part 3 of this Schedule or for breach of the Tax Warranties if and to the extent that:</w:t>
      </w:r>
    </w:p>
    <w:p>
      <w:pPr>
        <w:spacing w:after="0" w:line="48" w:lineRule="exact"/>
        <w:rPr>
          <w:sz w:val="20"/>
          <w:szCs w:val="20"/>
          <w:color w:val="auto"/>
        </w:rPr>
      </w:pPr>
    </w:p>
    <w:p>
      <w:pPr>
        <w:ind w:left="1140" w:hanging="558"/>
        <w:spacing w:after="0"/>
        <w:tabs>
          <w:tab w:leader="none" w:pos="114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allowance, provision or reserve in respect of the liability in question was made in the Completion Accounts;</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79"/>
        </w:numPr>
        <w:rPr>
          <w:rFonts w:ascii="Arial" w:cs="Arial" w:eastAsia="Arial" w:hAnsi="Arial"/>
          <w:sz w:val="16"/>
          <w:szCs w:val="16"/>
          <w:color w:val="auto"/>
        </w:rPr>
      </w:pPr>
      <w:r>
        <w:rPr>
          <w:rFonts w:ascii="Arial" w:cs="Arial" w:eastAsia="Arial" w:hAnsi="Arial"/>
          <w:sz w:val="16"/>
          <w:szCs w:val="16"/>
          <w:color w:val="auto"/>
        </w:rPr>
        <w:t>payment or discharge of the liability in question was taken into account in calculating the net assets of the Company in the preparation of the Completion Accounts;</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the liability in question arises or is increased as a result of:</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increase in rates of Taxation;</w:t>
      </w:r>
    </w:p>
    <w:p>
      <w:pPr>
        <w:spacing w:after="0" w:line="68" w:lineRule="exact"/>
        <w:rPr>
          <w:rFonts w:ascii="Arial" w:cs="Arial" w:eastAsia="Arial" w:hAnsi="Arial"/>
          <w:sz w:val="16"/>
          <w:szCs w:val="16"/>
          <w:color w:val="auto"/>
        </w:rPr>
      </w:pPr>
    </w:p>
    <w:p>
      <w:pPr>
        <w:ind w:left="1740" w:right="40" w:hanging="582"/>
        <w:spacing w:after="0" w:line="235" w:lineRule="auto"/>
        <w:tabs>
          <w:tab w:leader="none" w:pos="1728"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change in law or in the judicial interpretation of the law or in the published practice of any Tax Authority (other than a change targeted specifically at counteracting any tax avoidance scheme);</w:t>
      </w:r>
    </w:p>
    <w:p>
      <w:pPr>
        <w:spacing w:after="0" w:line="47" w:lineRule="exact"/>
        <w:rPr>
          <w:rFonts w:ascii="Arial" w:cs="Arial" w:eastAsia="Arial" w:hAnsi="Arial"/>
          <w:sz w:val="16"/>
          <w:szCs w:val="16"/>
          <w:color w:val="auto"/>
        </w:rPr>
      </w:pPr>
    </w:p>
    <w:p>
      <w:pPr>
        <w:jc w:val="both"/>
        <w:ind w:left="1740" w:hanging="582"/>
        <w:spacing w:after="0" w:line="224" w:lineRule="auto"/>
        <w:tabs>
          <w:tab w:leader="none" w:pos="1728"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change in accounting practice or principles or any change in the bases on which the accounts of the relevant Group Company are prepared except, in either case, in order to comply with generally accepted accounting principles to the extent applicable to the relevant Group Company immediately before Completion; or</w:t>
      </w:r>
    </w:p>
    <w:p>
      <w:pPr>
        <w:spacing w:after="0" w:line="48" w:lineRule="exact"/>
        <w:rPr>
          <w:rFonts w:ascii="Arial" w:cs="Arial" w:eastAsia="Arial" w:hAnsi="Arial"/>
          <w:sz w:val="16"/>
          <w:szCs w:val="16"/>
          <w:color w:val="auto"/>
        </w:rPr>
      </w:pPr>
    </w:p>
    <w:p>
      <w:pPr>
        <w:ind w:left="1720" w:hanging="562"/>
        <w:spacing w:after="0"/>
        <w:tabs>
          <w:tab w:leader="none" w:pos="172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any change in the date to which the relevant Group Company makes up its accounts,</w:t>
      </w:r>
    </w:p>
    <w:p>
      <w:pPr>
        <w:spacing w:after="0" w:line="68" w:lineRule="exact"/>
        <w:rPr>
          <w:sz w:val="20"/>
          <w:szCs w:val="20"/>
          <w:color w:val="auto"/>
        </w:rPr>
      </w:pPr>
    </w:p>
    <w:p>
      <w:pPr>
        <w:ind w:left="1160" w:right="20"/>
        <w:spacing w:after="0" w:line="235" w:lineRule="auto"/>
        <w:rPr>
          <w:sz w:val="20"/>
          <w:szCs w:val="20"/>
          <w:color w:val="auto"/>
        </w:rPr>
      </w:pPr>
      <w:r>
        <w:rPr>
          <w:rFonts w:ascii="Arial" w:cs="Arial" w:eastAsia="Arial" w:hAnsi="Arial"/>
          <w:sz w:val="16"/>
          <w:szCs w:val="16"/>
          <w:color w:val="auto"/>
        </w:rPr>
        <w:t>announced and coming in to force in any such case after Completion (provided that this paragraph (c) will not apply to a liability under sub-paragraph 1(f) and any related liability under 1.1(g) or any payment made under sub-paragraphs 1.5 or 1.6);</w:t>
      </w:r>
    </w:p>
    <w:p>
      <w:pPr>
        <w:spacing w:after="0" w:line="48" w:lineRule="exact"/>
        <w:rPr>
          <w:sz w:val="20"/>
          <w:szCs w:val="20"/>
          <w:color w:val="auto"/>
        </w:rPr>
      </w:pPr>
    </w:p>
    <w:p>
      <w:pPr>
        <w:jc w:val="both"/>
        <w:ind w:left="1160" w:right="20" w:hanging="578"/>
        <w:spacing w:after="0" w:line="224" w:lineRule="auto"/>
        <w:tabs>
          <w:tab w:leader="none" w:pos="1148"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 liability in question would not have arisen but for a voluntary act carried out or effected by the Purchaser or any member of the Purchaser's Tax Group at any time or by the relevant Group Company at any time after Completion which the Purchaser knew or ought reasonably to have known would give rise to the liability in question, other than any act carried out or effected:</w:t>
      </w:r>
    </w:p>
    <w:p>
      <w:pPr>
        <w:spacing w:after="0" w:line="48" w:lineRule="exact"/>
        <w:rPr>
          <w:rFonts w:ascii="Arial" w:cs="Arial" w:eastAsia="Arial" w:hAnsi="Arial"/>
          <w:sz w:val="16"/>
          <w:szCs w:val="16"/>
          <w:color w:val="auto"/>
        </w:rPr>
      </w:pPr>
    </w:p>
    <w:p>
      <w:pPr>
        <w:ind w:left="1740" w:hanging="582"/>
        <w:spacing w:after="0"/>
        <w:tabs>
          <w:tab w:leader="none" w:pos="174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under a legally binding commitment created on or before Completion;</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in order to comply with any law as it was immediately prior to Completion;</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in the ordinary course of the business of that Group Company as carried on immediately prior to Completion;</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in order to mitigate any penalty or interest (including without limitation, making a voluntary disclosure to any Tax Authority);</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at the written request of the FME Shareholders' Representative; or</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pursuant to the Agreement;</w:t>
      </w:r>
    </w:p>
    <w:p>
      <w:pPr>
        <w:spacing w:after="0" w:line="68" w:lineRule="exact"/>
        <w:rPr>
          <w:rFonts w:ascii="Arial" w:cs="Arial" w:eastAsia="Arial" w:hAnsi="Arial"/>
          <w:sz w:val="16"/>
          <w:szCs w:val="16"/>
          <w:color w:val="auto"/>
        </w:rPr>
      </w:pPr>
    </w:p>
    <w:p>
      <w:pPr>
        <w:jc w:val="both"/>
        <w:ind w:left="1160" w:hanging="578"/>
        <w:spacing w:after="0" w:line="214" w:lineRule="auto"/>
        <w:tabs>
          <w:tab w:leader="none" w:pos="1148"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 liability in question would not have arisen or been increased or would have been reduced or eliminated but for a failure or omission on the part of any Group Company after Completion to make any valid claim, election, surrender, or disclaimer or to give any valid notice or consent in circumstances where the making, giving or doing of which was taken into account in computing the allowance, provision or reserve for Taxation in the Completion Accounts but only to the extent that the Purchaser was aware or ought reasonably to have been aware by the due date for making the relevant claim, election, surrender, disclaimer, notice or consent that the relevant claim, election, surrender, disclaimer, notice or consent was so taken into account;</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there is available to any Group Company (at no cost to any Group Company or any member of the Purchaser's Tax Group) to relieve or mitigate the liability in question any Relief which is not a Purchaser's Relief and for these purposes it shall be assumed that any Group Company has made all such claims and elections required for such Relief to be so available; or</w:t>
      </w:r>
    </w:p>
    <w:p>
      <w:pPr>
        <w:spacing w:after="0" w:line="48"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 Purchaser or the relevant Group Company has already been compensated in respect of the liability in question under any other provision of this Agreement.</w:t>
      </w:r>
    </w:p>
    <w:p>
      <w:pPr>
        <w:spacing w:after="0" w:line="45" w:lineRule="exact"/>
        <w:rPr>
          <w:rFonts w:ascii="Arial" w:cs="Arial" w:eastAsia="Arial" w:hAnsi="Arial"/>
          <w:sz w:val="16"/>
          <w:szCs w:val="16"/>
          <w:color w:val="auto"/>
        </w:rPr>
      </w:pPr>
    </w:p>
    <w:p>
      <w:pPr>
        <w:ind w:left="580" w:hanging="574"/>
        <w:spacing w:after="0"/>
        <w:tabs>
          <w:tab w:leader="none" w:pos="580" w:val="left"/>
        </w:tabs>
        <w:numPr>
          <w:ilvl w:val="0"/>
          <w:numId w:val="481"/>
        </w:numPr>
        <w:rPr>
          <w:rFonts w:ascii="Arial" w:cs="Arial" w:eastAsia="Arial" w:hAnsi="Arial"/>
          <w:sz w:val="16"/>
          <w:szCs w:val="16"/>
          <w:color w:val="auto"/>
        </w:rPr>
      </w:pPr>
      <w:r>
        <w:rPr>
          <w:rFonts w:ascii="Arial" w:cs="Arial" w:eastAsia="Arial" w:hAnsi="Arial"/>
          <w:sz w:val="16"/>
          <w:szCs w:val="16"/>
          <w:b w:val="1"/>
          <w:bCs w:val="1"/>
          <w:color w:val="auto"/>
        </w:rPr>
        <w:t>Claims</w:t>
      </w:r>
    </w:p>
    <w:p>
      <w:pPr>
        <w:spacing w:after="0" w:line="70" w:lineRule="exact"/>
        <w:rPr>
          <w:rFonts w:ascii="Arial" w:cs="Arial" w:eastAsia="Arial" w:hAnsi="Arial"/>
          <w:sz w:val="16"/>
          <w:szCs w:val="16"/>
          <w:color w:val="auto"/>
        </w:rPr>
      </w:pPr>
    </w:p>
    <w:p>
      <w:pPr>
        <w:ind w:left="580" w:right="40"/>
        <w:spacing w:after="0" w:line="235" w:lineRule="auto"/>
        <w:rPr>
          <w:rFonts w:ascii="Arial" w:cs="Arial" w:eastAsia="Arial" w:hAnsi="Arial"/>
          <w:sz w:val="16"/>
          <w:szCs w:val="16"/>
          <w:color w:val="auto"/>
        </w:rPr>
      </w:pPr>
      <w:r>
        <w:rPr>
          <w:rFonts w:ascii="Arial" w:cs="Arial" w:eastAsia="Arial" w:hAnsi="Arial"/>
          <w:sz w:val="16"/>
          <w:szCs w:val="16"/>
          <w:color w:val="auto"/>
        </w:rPr>
        <w:t>On the Purchaser or any Group Company becoming aware of a Tax Assessment, the Purchaser shall, or shall procure that the relevant Group Company shall as soon as</w:t>
      </w:r>
    </w:p>
    <w:p>
      <w:pPr>
        <w:spacing w:after="0" w:line="200" w:lineRule="exact"/>
        <w:rPr>
          <w:sz w:val="20"/>
          <w:szCs w:val="20"/>
          <w:color w:val="auto"/>
        </w:rPr>
      </w:pPr>
    </w:p>
    <w:p>
      <w:pPr>
        <w:spacing w:after="0" w:line="22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91</w:t>
      </w:r>
    </w:p>
    <w:p>
      <w:pPr>
        <w:sectPr>
          <w:pgSz w:w="11900" w:h="16840" w:orient="portrait"/>
          <w:cols w:equalWidth="0" w:num="1">
            <w:col w:w="10580"/>
          </w:cols>
          <w:pgMar w:left="660" w:top="1440" w:right="660" w:bottom="1440" w:gutter="0" w:footer="0" w:header="0"/>
        </w:sectPr>
      </w:pPr>
    </w:p>
    <w:bookmarkStart w:id="442" w:name="page443"/>
    <w:bookmarkEnd w:id="442"/>
    <w:p>
      <w:pPr>
        <w:spacing w:after="0" w:line="331" w:lineRule="exact"/>
        <w:rPr>
          <w:sz w:val="20"/>
          <w:szCs w:val="20"/>
          <w:color w:val="auto"/>
        </w:rPr>
      </w:pPr>
    </w:p>
    <w:p>
      <w:pPr>
        <w:jc w:val="both"/>
        <w:ind w:left="580" w:right="40"/>
        <w:spacing w:after="0" w:line="219" w:lineRule="auto"/>
        <w:rPr>
          <w:sz w:val="20"/>
          <w:szCs w:val="20"/>
          <w:color w:val="auto"/>
        </w:rPr>
      </w:pPr>
      <w:r>
        <w:rPr>
          <w:rFonts w:ascii="Arial" w:cs="Arial" w:eastAsia="Arial" w:hAnsi="Arial"/>
          <w:sz w:val="16"/>
          <w:szCs w:val="16"/>
          <w:color w:val="auto"/>
        </w:rPr>
        <w:t>reasonably practicable give written notice of that Tax Assessment to the FME Shareholders' Representative and shall procure that the FME Shareholders' Representative is promptly provided with copies of any correspondence with the Tax Authority and kept fully informed of any actual or proposed material developments (including meetings with a Tax Authority) relating to the Tax Assessment. This paragraph shall not apply where the provisions of clauses 4.9 to 4.12 apply.</w:t>
      </w:r>
    </w:p>
    <w:p>
      <w:pPr>
        <w:spacing w:after="0" w:line="47" w:lineRule="exact"/>
        <w:rPr>
          <w:sz w:val="20"/>
          <w:szCs w:val="20"/>
          <w:color w:val="auto"/>
        </w:rPr>
      </w:pPr>
    </w:p>
    <w:p>
      <w:pPr>
        <w:ind w:left="580" w:hanging="574"/>
        <w:spacing w:after="0"/>
        <w:tabs>
          <w:tab w:leader="none" w:pos="580" w:val="left"/>
        </w:tabs>
        <w:numPr>
          <w:ilvl w:val="0"/>
          <w:numId w:val="482"/>
        </w:numPr>
        <w:rPr>
          <w:rFonts w:ascii="Arial" w:cs="Arial" w:eastAsia="Arial" w:hAnsi="Arial"/>
          <w:sz w:val="16"/>
          <w:szCs w:val="16"/>
          <w:color w:val="auto"/>
        </w:rPr>
      </w:pPr>
      <w:r>
        <w:rPr>
          <w:rFonts w:ascii="Arial" w:cs="Arial" w:eastAsia="Arial" w:hAnsi="Arial"/>
          <w:sz w:val="16"/>
          <w:szCs w:val="16"/>
          <w:b w:val="1"/>
          <w:bCs w:val="1"/>
          <w:color w:val="auto"/>
        </w:rPr>
        <w:t>Tax Returns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The Purchaser shall (or shall procure that the relevant Group Company shall):</w:t>
      </w:r>
    </w:p>
    <w:p>
      <w:pPr>
        <w:spacing w:after="0" w:line="68" w:lineRule="exact"/>
        <w:rPr>
          <w:sz w:val="20"/>
          <w:szCs w:val="20"/>
          <w:color w:val="auto"/>
        </w:rPr>
      </w:pPr>
    </w:p>
    <w:p>
      <w:pPr>
        <w:jc w:val="both"/>
        <w:ind w:left="1160" w:hanging="578"/>
        <w:spacing w:after="0" w:line="228" w:lineRule="auto"/>
        <w:tabs>
          <w:tab w:leader="none" w:pos="114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keep the FME Shareholders' Representative informed of all material matters relating to the submission, negotiation and agreement of the corporation tax returns and computations of each Group Company for all accounting periods ended on or prior to Completion and the pre-Completion part of the accounting period current at Completion (the </w:t>
      </w:r>
      <w:r>
        <w:rPr>
          <w:rFonts w:ascii="Arial" w:cs="Arial" w:eastAsia="Arial" w:hAnsi="Arial"/>
          <w:sz w:val="16"/>
          <w:szCs w:val="16"/>
          <w:b w:val="1"/>
          <w:bCs w:val="1"/>
          <w:color w:val="auto"/>
        </w:rPr>
        <w:t>"Relevant Accounting Periods"</w:t>
      </w:r>
      <w:r>
        <w:rPr>
          <w:rFonts w:ascii="Arial" w:cs="Arial" w:eastAsia="Arial" w:hAnsi="Arial"/>
          <w:sz w:val="16"/>
          <w:szCs w:val="16"/>
          <w:color w:val="auto"/>
        </w:rPr>
        <w:t>); and</w:t>
      </w:r>
    </w:p>
    <w:p>
      <w:pPr>
        <w:spacing w:after="0" w:line="39" w:lineRule="exact"/>
        <w:rPr>
          <w:rFonts w:ascii="Arial" w:cs="Arial" w:eastAsia="Arial" w:hAnsi="Arial"/>
          <w:sz w:val="16"/>
          <w:szCs w:val="16"/>
          <w:color w:val="auto"/>
        </w:rPr>
      </w:pPr>
    </w:p>
    <w:p>
      <w:pPr>
        <w:jc w:val="both"/>
        <w:ind w:left="1160" w:hanging="578"/>
        <w:spacing w:after="0" w:line="216" w:lineRule="auto"/>
        <w:tabs>
          <w:tab w:leader="none" w:pos="114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ensure that no such computations or returns nor any material correspondence relating to such computations or returns for the Relevant Accounting Periods shall be transmitted to any Tax Authority without giving the FME Shareholders' Representative a reasonable opportunity to make representations thereon and the Purchaser shall take into account such representations and shall not unreasonably refuse to incorporate any reasonable comments of the FME Shareholders' Representative that are provided to the Purchaser in writing and on a timely basis.</w:t>
      </w:r>
    </w:p>
    <w:p>
      <w:pPr>
        <w:spacing w:after="0" w:line="48" w:lineRule="exact"/>
        <w:rPr>
          <w:sz w:val="20"/>
          <w:szCs w:val="20"/>
          <w:color w:val="auto"/>
        </w:rPr>
      </w:pPr>
    </w:p>
    <w:p>
      <w:pPr>
        <w:jc w:val="both"/>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Warrantors shall provide the Purchaser and each Group Company with all reasonable assistance, co-operation and information in relation to the preparation and agreement of the tax returns for Relevant Accounting Periods and any matter arising therefrom.</w:t>
      </w:r>
    </w:p>
    <w:p>
      <w:pPr>
        <w:spacing w:after="0" w:line="48" w:lineRule="exact"/>
        <w:rPr>
          <w:sz w:val="20"/>
          <w:szCs w:val="20"/>
          <w:color w:val="auto"/>
        </w:rPr>
      </w:pPr>
    </w:p>
    <w:p>
      <w:pPr>
        <w:jc w:val="both"/>
        <w:ind w:left="580" w:right="20" w:hanging="575"/>
        <w:spacing w:after="0" w:line="216" w:lineRule="auto"/>
        <w:tabs>
          <w:tab w:leader="none" w:pos="5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Where any matter relates to a Tax Assessment which is likely to or may give rise to a liability under this Schedule or in respect of the Tax Warranties (ignoring the financial limitations on claims in Schedule 5 to this Agreement), the provisions of the W&amp;I Policy (including the conduct of claims provisions set-out therein) shall take precedence over the provisions of paragraph 3.1(b) and nothing in this paragraph 3 shall oblige the Purchaser to do anything which would lead to a breach of, or which would otherwise prejudice or adversely impact its rights under, the W&amp;I Policy.</w:t>
      </w:r>
    </w:p>
    <w:p>
      <w:pPr>
        <w:spacing w:after="0" w:line="46" w:lineRule="exact"/>
        <w:rPr>
          <w:sz w:val="20"/>
          <w:szCs w:val="20"/>
          <w:color w:val="auto"/>
        </w:rPr>
      </w:pPr>
    </w:p>
    <w:p>
      <w:pPr>
        <w:ind w:left="580" w:hanging="574"/>
        <w:spacing w:after="0"/>
        <w:tabs>
          <w:tab w:leader="none" w:pos="580" w:val="left"/>
        </w:tabs>
        <w:numPr>
          <w:ilvl w:val="0"/>
          <w:numId w:val="484"/>
        </w:numPr>
        <w:rPr>
          <w:rFonts w:ascii="Arial" w:cs="Arial" w:eastAsia="Arial" w:hAnsi="Arial"/>
          <w:sz w:val="16"/>
          <w:szCs w:val="16"/>
          <w:color w:val="auto"/>
        </w:rPr>
      </w:pPr>
      <w:r>
        <w:rPr>
          <w:rFonts w:ascii="Arial" w:cs="Arial" w:eastAsia="Arial" w:hAnsi="Arial"/>
          <w:sz w:val="16"/>
          <w:szCs w:val="16"/>
          <w:b w:val="1"/>
          <w:bCs w:val="1"/>
          <w:color w:val="auto"/>
        </w:rPr>
        <w:t>Warrantors' Access to information</w:t>
      </w:r>
    </w:p>
    <w:p>
      <w:pPr>
        <w:spacing w:after="0" w:line="70" w:lineRule="exact"/>
        <w:rPr>
          <w:rFonts w:ascii="Arial" w:cs="Arial" w:eastAsia="Arial" w:hAnsi="Arial"/>
          <w:sz w:val="16"/>
          <w:szCs w:val="16"/>
          <w:color w:val="auto"/>
        </w:rPr>
      </w:pPr>
    </w:p>
    <w:p>
      <w:pPr>
        <w:jc w:val="both"/>
        <w:ind w:left="580"/>
        <w:spacing w:after="0" w:line="212" w:lineRule="auto"/>
        <w:rPr>
          <w:rFonts w:ascii="Arial" w:cs="Arial" w:eastAsia="Arial" w:hAnsi="Arial"/>
          <w:sz w:val="16"/>
          <w:szCs w:val="16"/>
          <w:color w:val="auto"/>
        </w:rPr>
      </w:pPr>
      <w:r>
        <w:rPr>
          <w:rFonts w:ascii="Arial" w:cs="Arial" w:eastAsia="Arial" w:hAnsi="Arial"/>
          <w:sz w:val="16"/>
          <w:szCs w:val="16"/>
          <w:color w:val="auto"/>
        </w:rPr>
        <w:t>The Purchaser shall procure that all material books and records of each Group Company relating to the period prior to Completion are preserved for [***] years following Completion and are retained in the jurisdiction of incorporation of the relevant Group Company. The Purchaser shall make available to any Warrantor any such books and records of the relevant Group Company (or, if practicable, the relevant parts of such books and records) which are reasonably required by that Warrantor for the purpose of dealing with its or his Tax affairs and, accordingly, the Purchaser shall, upon being given reasonable notice by any Warrantor and subject to that Warrantor giving such undertaking as to confidentiality as the Purchaser shall reasonably require, procure that such books and records are made available to that Warrantor for inspection (during normal working hours) and copying for and only to the extent necessary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92</w:t>
      </w:r>
    </w:p>
    <w:p>
      <w:pPr>
        <w:sectPr>
          <w:pgSz w:w="11900" w:h="16840" w:orient="portrait"/>
          <w:cols w:equalWidth="0" w:num="1">
            <w:col w:w="10580"/>
          </w:cols>
          <w:pgMar w:left="660" w:top="1440" w:right="660" w:bottom="1440" w:gutter="0" w:footer="0" w:header="0"/>
        </w:sectPr>
      </w:pPr>
    </w:p>
    <w:bookmarkStart w:id="443" w:name="page444"/>
    <w:bookmarkEnd w:id="443"/>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7</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(Completion obligations)</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(Sellers' obligations)</w:t>
      </w:r>
    </w:p>
    <w:p>
      <w:pPr>
        <w:spacing w:after="0" w:line="70" w:lineRule="exact"/>
        <w:rPr>
          <w:sz w:val="20"/>
          <w:szCs w:val="20"/>
          <w:color w:val="auto"/>
        </w:rPr>
      </w:pPr>
    </w:p>
    <w:p>
      <w:pPr>
        <w:ind w:left="580" w:hanging="574"/>
        <w:spacing w:after="0"/>
        <w:tabs>
          <w:tab w:leader="none" w:pos="5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On Completion:</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Each Seller shall deliver (or procure the delivery of) to the Purchaser:</w:t>
      </w:r>
    </w:p>
    <w:p>
      <w:pPr>
        <w:spacing w:after="0" w:line="68" w:lineRule="exact"/>
        <w:rPr>
          <w:sz w:val="20"/>
          <w:szCs w:val="20"/>
          <w:color w:val="auto"/>
        </w:rPr>
      </w:pPr>
    </w:p>
    <w:p>
      <w:pPr>
        <w:jc w:val="both"/>
        <w:ind w:left="1160" w:right="20" w:hanging="578"/>
        <w:spacing w:after="0" w:line="224" w:lineRule="auto"/>
        <w:tabs>
          <w:tab w:leader="none" w:pos="1148" w:val="left"/>
        </w:tabs>
        <w:numPr>
          <w:ilvl w:val="0"/>
          <w:numId w:val="486"/>
        </w:numPr>
        <w:rPr>
          <w:rFonts w:ascii="Arial" w:cs="Arial" w:eastAsia="Arial" w:hAnsi="Arial"/>
          <w:sz w:val="16"/>
          <w:szCs w:val="16"/>
          <w:color w:val="auto"/>
        </w:rPr>
      </w:pPr>
      <w:r>
        <w:rPr>
          <w:rFonts w:ascii="Arial" w:cs="Arial" w:eastAsia="Arial" w:hAnsi="Arial"/>
          <w:sz w:val="16"/>
          <w:szCs w:val="16"/>
          <w:color w:val="auto"/>
        </w:rPr>
        <w:t>stock transfer forms, duly completed and executed by the registered holders, in favour of the Purchaser (or as it may direct) in respect of the Completion Shares together with the relevant share certificate(s) (or, where such certificate(s) have been lost or destroyed, an indemnity in a form satisfactory to the Purchaser in respect of such certificate(s));</w:t>
      </w:r>
    </w:p>
    <w:p>
      <w:pPr>
        <w:spacing w:after="0" w:line="4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in so far as that Seller (other than the Founder Sellers) has the right to nominate directors of a Group Company, letters of resignation in a form to be agreed between the applicable Seller and the Purchaser acting reasonably, from each of the directors and the company secretary (as applicable) of each Group Company that such Seller nominated;</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486"/>
        </w:numPr>
        <w:rPr>
          <w:rFonts w:ascii="Arial" w:cs="Arial" w:eastAsia="Arial" w:hAnsi="Arial"/>
          <w:sz w:val="14"/>
          <w:szCs w:val="14"/>
          <w:color w:val="auto"/>
        </w:rPr>
      </w:pPr>
      <w:r>
        <w:rPr>
          <w:rFonts w:ascii="Arial" w:cs="Arial" w:eastAsia="Arial" w:hAnsi="Arial"/>
          <w:sz w:val="14"/>
          <w:szCs w:val="14"/>
          <w:color w:val="auto"/>
        </w:rPr>
        <w:t>a copy of each power of attorney under which any document to be delivered to the Purchaser by it on Completion has been executed;</w:t>
      </w:r>
    </w:p>
    <w:p>
      <w:pPr>
        <w:spacing w:after="0" w:line="91" w:lineRule="exact"/>
        <w:rPr>
          <w:rFonts w:ascii="Arial" w:cs="Arial" w:eastAsia="Arial" w:hAnsi="Arial"/>
          <w:sz w:val="14"/>
          <w:szCs w:val="14"/>
          <w:color w:val="auto"/>
        </w:rPr>
      </w:pPr>
    </w:p>
    <w:p>
      <w:pPr>
        <w:ind w:left="1140" w:hanging="558"/>
        <w:spacing w:after="0"/>
        <w:tabs>
          <w:tab w:leader="none" w:pos="114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Option Exercise Documents duly executed by the parties thereto; and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86"/>
        </w:numPr>
        <w:rPr>
          <w:rFonts w:ascii="Arial" w:cs="Arial" w:eastAsia="Arial" w:hAnsi="Arial"/>
          <w:sz w:val="16"/>
          <w:szCs w:val="16"/>
          <w:color w:val="auto"/>
        </w:rPr>
      </w:pPr>
      <w:r>
        <w:rPr>
          <w:rFonts w:ascii="Arial" w:cs="Arial" w:eastAsia="Arial" w:hAnsi="Arial"/>
          <w:sz w:val="16"/>
          <w:szCs w:val="16"/>
          <w:color w:val="auto"/>
        </w:rPr>
        <w:t>a Deed of Adherence in respect of each New FME Shareholders, duly executed by the New FME Shareholder (or by a duly authorised attorney).</w:t>
      </w:r>
    </w:p>
    <w:p>
      <w:pPr>
        <w:spacing w:after="0" w:line="48" w:lineRule="exact"/>
        <w:rPr>
          <w:sz w:val="20"/>
          <w:szCs w:val="20"/>
          <w:color w:val="auto"/>
        </w:rPr>
      </w:pPr>
    </w:p>
    <w:p>
      <w:pPr>
        <w:ind w:left="580" w:right="20" w:hanging="575"/>
        <w:spacing w:after="0" w:line="235" w:lineRule="auto"/>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Each Non -US FME Shareholder shall deliver (or procure the delivery of) to the Purchaser (to the extent not provided prior to Completion), a duly executed Non-US FME Shareholders' ADS Letter of Representation.</w:t>
      </w:r>
    </w:p>
    <w:p>
      <w:pPr>
        <w:spacing w:after="0" w:line="4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The Founder Sellers shall deliver (or procure the delivery of) to the Purchaser (to the extent not provided prior to Completion):</w:t>
      </w:r>
    </w:p>
    <w:p>
      <w:pPr>
        <w:spacing w:after="0" w:line="68" w:lineRule="exact"/>
        <w:rPr>
          <w:sz w:val="20"/>
          <w:szCs w:val="20"/>
          <w:color w:val="auto"/>
        </w:rPr>
      </w:pPr>
    </w:p>
    <w:p>
      <w:pPr>
        <w:ind w:left="1140" w:hanging="558"/>
        <w:spacing w:after="0"/>
        <w:tabs>
          <w:tab w:leader="none" w:pos="114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Companies House webfiling authentication code for the Company;</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unless they are kept at a Property or held physically or electronically by a third party that is engaged by a Group Company, all cheque books, credit and charge cards held for the account of each Group Company;</w:t>
      </w:r>
    </w:p>
    <w:p>
      <w:pPr>
        <w:spacing w:after="0" w:line="47"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to the extent notified to the Founder Sellers by the Purchaser no later than [***] Business Days in advance of Completion, letters of resignation, in a form to be agreed between the Founder Sellers and the Purchaser acting reasonably, each of the persons and in respect of those positions held in one or more Group Companies, as is/are specified in such notice;</w:t>
      </w:r>
    </w:p>
    <w:p>
      <w:pPr>
        <w:spacing w:after="0" w:line="48" w:lineRule="exact"/>
        <w:rPr>
          <w:rFonts w:ascii="Arial" w:cs="Arial" w:eastAsia="Arial" w:hAnsi="Arial"/>
          <w:sz w:val="16"/>
          <w:szCs w:val="16"/>
          <w:color w:val="auto"/>
        </w:rPr>
      </w:pPr>
    </w:p>
    <w:p>
      <w:pPr>
        <w:jc w:val="both"/>
        <w:ind w:left="1160" w:hanging="578"/>
        <w:spacing w:after="0" w:line="224" w:lineRule="auto"/>
        <w:tabs>
          <w:tab w:leader="none" w:pos="114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letters of resignation, in a form to be agreed between the Founder Sellers and the Purchaser acting reasonably, from the auditors of each Group Company containing the statement specified in Section 519, CA2006 (or the equivalent legislation in each relevant jurisdiction);</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New Articles of Association;</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Completion Disclosure Letter duly signed (if applicable);</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Confirmatory IP Assignments, duly executed;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evidence satisfactory to the Purchaser that each Minority Share Transfer has been completed in accordance with all Applicable Law and is in full force and effect;</w:t>
      </w:r>
    </w:p>
    <w:p>
      <w:pPr>
        <w:spacing w:after="0" w:line="47" w:lineRule="exact"/>
        <w:rPr>
          <w:rFonts w:ascii="Arial" w:cs="Arial" w:eastAsia="Arial" w:hAnsi="Arial"/>
          <w:sz w:val="16"/>
          <w:szCs w:val="16"/>
          <w:color w:val="auto"/>
        </w:rPr>
      </w:pPr>
    </w:p>
    <w:p>
      <w:pPr>
        <w:jc w:val="both"/>
        <w:ind w:left="1160" w:hanging="578"/>
        <w:spacing w:after="0" w:line="219" w:lineRule="auto"/>
        <w:tabs>
          <w:tab w:leader="none" w:pos="11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an amended service agreement between the Company and [***] including (i) a provision whereby no commissions are due to by the Company [***] with effect from Completion; and (ii) any other changes as may be agreed between [***] and the Company between the date of this Agreement and Completion, such amended service agreement duly signed by [***] and the Company, to take effect from Completion;</w:t>
      </w:r>
    </w:p>
    <w:p>
      <w:pPr>
        <w:spacing w:after="0" w:line="48" w:lineRule="exact"/>
        <w:rPr>
          <w:rFonts w:ascii="Arial" w:cs="Arial" w:eastAsia="Arial" w:hAnsi="Arial"/>
          <w:sz w:val="16"/>
          <w:szCs w:val="16"/>
          <w:color w:val="auto"/>
        </w:rPr>
      </w:pPr>
    </w:p>
    <w:p>
      <w:pPr>
        <w:jc w:val="both"/>
        <w:ind w:left="1160" w:right="20" w:hanging="578"/>
        <w:spacing w:after="0" w:line="224" w:lineRule="auto"/>
        <w:tabs>
          <w:tab w:leader="none" w:pos="11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to the extent the terms of a service agreement between [***] and the Company (or any other Group Company) is agreed between the date of this Agreement and Completion, such service agreement (in a form to be agreed between [***] and the Purchaser acting reasonably) duly signed by [***] and the Company (or any other respective Group Company), to take effect from Completion;</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93</w:t>
      </w:r>
    </w:p>
    <w:p>
      <w:pPr>
        <w:sectPr>
          <w:pgSz w:w="11900" w:h="16840" w:orient="portrait"/>
          <w:cols w:equalWidth="0" w:num="1">
            <w:col w:w="10580"/>
          </w:cols>
          <w:pgMar w:left="660" w:top="1440" w:right="660" w:bottom="1440" w:gutter="0" w:footer="0" w:header="0"/>
        </w:sectPr>
      </w:pPr>
    </w:p>
    <w:bookmarkStart w:id="444" w:name="page445"/>
    <w:bookmarkEnd w:id="444"/>
    <w:p>
      <w:pPr>
        <w:spacing w:after="0" w:line="331" w:lineRule="exact"/>
        <w:rPr>
          <w:sz w:val="20"/>
          <w:szCs w:val="20"/>
          <w:color w:val="auto"/>
        </w:rPr>
      </w:pPr>
    </w:p>
    <w:p>
      <w:pPr>
        <w:ind w:left="1140" w:hanging="558"/>
        <w:spacing w:after="0"/>
        <w:tabs>
          <w:tab w:leader="none" w:pos="114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the Post-Completion Management Agreement, duly signed by the Founder Sellers and the Company;</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6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 copy of each power of attorney under which any document to be delivered to the Purchaser by a Seller Founder on Completion has been executed;</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88"/>
        </w:numPr>
        <w:rPr>
          <w:rFonts w:ascii="Arial" w:cs="Arial" w:eastAsia="Arial" w:hAnsi="Arial"/>
          <w:sz w:val="16"/>
          <w:szCs w:val="16"/>
          <w:color w:val="auto"/>
        </w:rPr>
      </w:pPr>
      <w:r>
        <w:rPr>
          <w:rFonts w:ascii="Arial" w:cs="Arial" w:eastAsia="Arial" w:hAnsi="Arial"/>
          <w:sz w:val="16"/>
          <w:szCs w:val="16"/>
          <w:color w:val="auto"/>
        </w:rPr>
        <w:t>copies of any shareholder and/or director resolution of any Group Company for which it is required in connection to Completion, together with copies of all other consents or approvals (if any) referred to in such resolutions;</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all elections by the Optionholders taken under Section 431(1), ITEPA, duly executed; and</w:t>
      </w:r>
    </w:p>
    <w:p>
      <w:pPr>
        <w:spacing w:after="0" w:line="68" w:lineRule="exact"/>
        <w:rPr>
          <w:rFonts w:ascii="Arial" w:cs="Arial" w:eastAsia="Arial" w:hAnsi="Arial"/>
          <w:sz w:val="16"/>
          <w:szCs w:val="16"/>
          <w:color w:val="auto"/>
        </w:rPr>
      </w:pPr>
    </w:p>
    <w:p>
      <w:pPr>
        <w:jc w:val="both"/>
        <w:ind w:left="1160" w:right="20" w:hanging="578"/>
        <w:spacing w:after="0" w:line="254" w:lineRule="auto"/>
        <w:tabs>
          <w:tab w:leader="none" w:pos="1148" w:val="left"/>
        </w:tabs>
        <w:numPr>
          <w:ilvl w:val="0"/>
          <w:numId w:val="488"/>
        </w:numPr>
        <w:rPr>
          <w:rFonts w:ascii="Arial" w:cs="Arial" w:eastAsia="Arial" w:hAnsi="Arial"/>
          <w:sz w:val="14"/>
          <w:szCs w:val="14"/>
          <w:color w:val="auto"/>
        </w:rPr>
      </w:pPr>
      <w:r>
        <w:rPr>
          <w:rFonts w:ascii="Arial" w:cs="Arial" w:eastAsia="Arial" w:hAnsi="Arial"/>
          <w:sz w:val="14"/>
          <w:szCs w:val="14"/>
          <w:color w:val="auto"/>
        </w:rPr>
        <w:t>board resolution of the Company in the Dubai Digital Authority's prescribed format approving the resignation of the general manager of the InstaDeep Dubai branch and a board resolution of the Company in the ADGM prescribed format approving the resignation of the authorised signatory of the InstaDeep Abu Dhabi branch and the appointment of the relevant replacements as directed by the Purchaser for these branches. Such resolutions must be legalised, notarised and attested up to UAE embassy level in the UK, as applicable.</w:t>
      </w: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The Sellers’ Representatives shall:</w:t>
      </w:r>
    </w:p>
    <w:p>
      <w:pPr>
        <w:spacing w:after="0" w:line="68" w:lineRule="exact"/>
        <w:rPr>
          <w:sz w:val="20"/>
          <w:szCs w:val="20"/>
          <w:color w:val="auto"/>
        </w:rPr>
      </w:pPr>
    </w:p>
    <w:p>
      <w:pPr>
        <w:ind w:left="1140" w:hanging="558"/>
        <w:spacing w:after="0"/>
        <w:tabs>
          <w:tab w:leader="none" w:pos="114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deliver the Paying Agent Agreements, duly signed by them and the Company; and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deliver to [***] a duly signed counterpart of the Payment Notice in respect of the Initial Disbursement Amount (as each term is defined in the Paying Agent Agreement for paying agency services).</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The Sellers shall procure, in so far as it is in their respective power as shareholders of the Company to do so, that a duly convened and quorate board and/or shareholder meeting (or equivalent written resolution) of any Group Company for which the Purchaser and the FME Shareholders' Representative agree is required, is held at which (to the extent relevant):</w:t>
      </w:r>
    </w:p>
    <w:p>
      <w:pPr>
        <w:spacing w:after="0" w:line="49" w:lineRule="exact"/>
        <w:rPr>
          <w:sz w:val="20"/>
          <w:szCs w:val="20"/>
          <w:color w:val="auto"/>
        </w:rPr>
      </w:pPr>
    </w:p>
    <w:p>
      <w:pPr>
        <w:ind w:left="1160" w:right="20" w:hanging="578"/>
        <w:spacing w:after="0" w:line="235" w:lineRule="auto"/>
        <w:tabs>
          <w:tab w:leader="none" w:pos="114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stock transfer forms referred to in sub-paragraph 1.1(a) are approved and (subject to them being appropriately stamped) registered in the Company's books;</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such director and/or general manager and/or authorised signatories and/or secretary of a Group Company as have been notified by the Purchaser in advance of Completion cease to be an officer of the relevant Group Company with immediate effect;</w:t>
      </w:r>
    </w:p>
    <w:p>
      <w:pPr>
        <w:spacing w:after="0" w:line="47" w:lineRule="exact"/>
        <w:rPr>
          <w:rFonts w:ascii="Arial" w:cs="Arial" w:eastAsia="Arial" w:hAnsi="Arial"/>
          <w:sz w:val="16"/>
          <w:szCs w:val="16"/>
          <w:color w:val="auto"/>
        </w:rPr>
      </w:pPr>
    </w:p>
    <w:p>
      <w:pPr>
        <w:ind w:left="1160" w:hanging="578"/>
        <w:spacing w:after="0" w:line="235" w:lineRule="auto"/>
        <w:tabs>
          <w:tab w:leader="none" w:pos="114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persons nominated by the Purchaser are appointed as director and/or general manager and/or authorised signatory and/or the secretary (as applicable) of any relevant Group Company;</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any service agreements referred to in sub-paragraph 1.3(i) and 1.3(j) are approved;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mandates given by each Group Company to its bankers are revoked or revised as the Purchaser may require; and</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execution and completion of the other documents to be entered into by each Group Company under this Agreement is approved as appropriate.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94</w:t>
      </w:r>
    </w:p>
    <w:p>
      <w:pPr>
        <w:sectPr>
          <w:pgSz w:w="11900" w:h="16840" w:orient="portrait"/>
          <w:cols w:equalWidth="0" w:num="1">
            <w:col w:w="10580"/>
          </w:cols>
          <w:pgMar w:left="660" w:top="1440" w:right="660" w:bottom="1440" w:gutter="0" w:footer="0" w:header="0"/>
        </w:sectPr>
      </w:pPr>
    </w:p>
    <w:bookmarkStart w:id="445" w:name="page446"/>
    <w:bookmarkEnd w:id="445"/>
    <w:p>
      <w:pPr>
        <w:spacing w:after="0" w:line="329"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(Purchaser's obligations)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On Completion, the Purchaser shall deliver (or procure the delivery of) to the Sellers (to the extent not provided prior to Completion):</w:t>
      </w:r>
    </w:p>
    <w:p>
      <w:pPr>
        <w:spacing w:after="0" w:line="68" w:lineRule="exact"/>
        <w:rPr>
          <w:sz w:val="20"/>
          <w:szCs w:val="20"/>
          <w:color w:val="auto"/>
        </w:rPr>
      </w:pPr>
    </w:p>
    <w:p>
      <w:pPr>
        <w:ind w:left="1140" w:hanging="558"/>
        <w:spacing w:after="0"/>
        <w:tabs>
          <w:tab w:leader="none" w:pos="114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Post-Completion Management Agreement, duly signed by the Purchaser;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Paying Agent Agreements, duly signed by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jc w:val="center"/>
        <w:ind w:right="520"/>
        <w:spacing w:after="0"/>
        <w:rPr>
          <w:sz w:val="20"/>
          <w:szCs w:val="20"/>
          <w:color w:val="auto"/>
        </w:rPr>
      </w:pPr>
      <w:r>
        <w:rPr>
          <w:rFonts w:ascii="Arial" w:cs="Arial" w:eastAsia="Arial" w:hAnsi="Arial"/>
          <w:sz w:val="13"/>
          <w:szCs w:val="13"/>
          <w:color w:val="auto"/>
        </w:rPr>
        <w:t>95</w:t>
      </w:r>
    </w:p>
    <w:p>
      <w:pPr>
        <w:sectPr>
          <w:pgSz w:w="11900" w:h="16840" w:orient="portrait"/>
          <w:cols w:equalWidth="0" w:num="1">
            <w:col w:w="10520"/>
          </w:cols>
          <w:pgMar w:left="660" w:top="1440" w:right="720" w:bottom="1440" w:gutter="0" w:footer="0" w:header="0"/>
        </w:sectPr>
      </w:pPr>
    </w:p>
    <w:bookmarkStart w:id="446" w:name="page447"/>
    <w:bookmarkEnd w:id="446"/>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8</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(Pre Completion obligations)</w:t>
      </w:r>
    </w:p>
    <w:p>
      <w:pPr>
        <w:spacing w:after="0" w:line="70" w:lineRule="exact"/>
        <w:rPr>
          <w:sz w:val="20"/>
          <w:szCs w:val="20"/>
          <w:color w:val="auto"/>
        </w:rPr>
      </w:pPr>
    </w:p>
    <w:p>
      <w:pPr>
        <w:ind w:left="580" w:right="40" w:hanging="574"/>
        <w:spacing w:after="0" w:line="235" w:lineRule="auto"/>
        <w:tabs>
          <w:tab w:leader="none" w:pos="568" w:val="left"/>
        </w:tabs>
        <w:numPr>
          <w:ilvl w:val="0"/>
          <w:numId w:val="492"/>
        </w:numPr>
        <w:rPr>
          <w:rFonts w:ascii="Arial" w:cs="Arial" w:eastAsia="Arial" w:hAnsi="Arial"/>
          <w:sz w:val="16"/>
          <w:szCs w:val="16"/>
          <w:color w:val="auto"/>
        </w:rPr>
      </w:pPr>
      <w:r>
        <w:rPr>
          <w:rFonts w:ascii="Arial" w:cs="Arial" w:eastAsia="Arial" w:hAnsi="Arial"/>
          <w:sz w:val="16"/>
          <w:szCs w:val="16"/>
          <w:color w:val="auto"/>
        </w:rPr>
        <w:t>Between the date of this Agreement and Completion each Seller shall, in so far as it is in its power to do so as a shareholder of the Company, procure that (save with the prior written consent of the Purchaser):</w:t>
      </w:r>
    </w:p>
    <w:p>
      <w:pPr>
        <w:spacing w:after="0" w:line="47" w:lineRule="exact"/>
        <w:rPr>
          <w:rFonts w:ascii="Arial" w:cs="Arial" w:eastAsia="Arial" w:hAnsi="Arial"/>
          <w:sz w:val="16"/>
          <w:szCs w:val="16"/>
          <w:color w:val="auto"/>
        </w:rPr>
      </w:pPr>
    </w:p>
    <w:p>
      <w:pPr>
        <w:ind w:left="1140" w:hanging="558"/>
        <w:spacing w:after="0"/>
        <w:tabs>
          <w:tab w:leader="none" w:pos="114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the Group shall carry on business in the normal and ordinary course;</w:t>
      </w:r>
    </w:p>
    <w:p>
      <w:pPr>
        <w:spacing w:after="0" w:line="68"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492"/>
        </w:numPr>
        <w:rPr>
          <w:rFonts w:ascii="Arial" w:cs="Arial" w:eastAsia="Arial" w:hAnsi="Arial"/>
          <w:sz w:val="16"/>
          <w:szCs w:val="16"/>
          <w:color w:val="auto"/>
        </w:rPr>
      </w:pPr>
      <w:r>
        <w:rPr>
          <w:rFonts w:ascii="Arial" w:cs="Arial" w:eastAsia="Arial" w:hAnsi="Arial"/>
          <w:sz w:val="16"/>
          <w:szCs w:val="16"/>
          <w:color w:val="auto"/>
        </w:rPr>
        <w:t>reasonable advance notice is given to the Purchaser of any meeting of the board of directors of each Group Company (together with an agenda of the business to be transacted at such meeting and all supporting documents) and that a duly authorised representative of the Purchaser is permitted to attend as an observer at such meeting;</w:t>
      </w:r>
    </w:p>
    <w:p>
      <w:pPr>
        <w:spacing w:after="0" w:line="48" w:lineRule="exact"/>
        <w:rPr>
          <w:rFonts w:ascii="Arial" w:cs="Arial" w:eastAsia="Arial" w:hAnsi="Arial"/>
          <w:sz w:val="16"/>
          <w:szCs w:val="16"/>
          <w:color w:val="auto"/>
        </w:rPr>
      </w:pPr>
    </w:p>
    <w:p>
      <w:pPr>
        <w:jc w:val="both"/>
        <w:ind w:left="1160" w:hanging="578"/>
        <w:spacing w:after="0" w:line="219" w:lineRule="auto"/>
        <w:tabs>
          <w:tab w:leader="none" w:pos="1148" w:val="left"/>
        </w:tabs>
        <w:numPr>
          <w:ilvl w:val="1"/>
          <w:numId w:val="492"/>
        </w:numPr>
        <w:rPr>
          <w:rFonts w:ascii="Arial" w:cs="Arial" w:eastAsia="Arial" w:hAnsi="Arial"/>
          <w:sz w:val="16"/>
          <w:szCs w:val="16"/>
          <w:color w:val="auto"/>
        </w:rPr>
      </w:pPr>
      <w:r>
        <w:rPr>
          <w:rFonts w:ascii="Arial" w:cs="Arial" w:eastAsia="Arial" w:hAnsi="Arial"/>
          <w:sz w:val="16"/>
          <w:szCs w:val="16"/>
          <w:color w:val="auto"/>
        </w:rPr>
        <w:t>each Group Company does not conduct its affairs in a manner which could reasonably be considered as damaging or otherwise prejudicial to the goodwill of the Group or its relationship with its customers, suppliers or employees and that no adverse representations about the Purchaser are made by any Group Company or any of its employees, directly or indirectly to any third parties who are suppliers to or customers of the Group or otherwise;</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no Group Company shall, save in the normal and ordinary course of business:</w:t>
      </w:r>
    </w:p>
    <w:p>
      <w:pPr>
        <w:spacing w:after="0" w:line="68" w:lineRule="exact"/>
        <w:rPr>
          <w:rFonts w:ascii="Arial" w:cs="Arial" w:eastAsia="Arial" w:hAnsi="Arial"/>
          <w:sz w:val="16"/>
          <w:szCs w:val="16"/>
          <w:color w:val="auto"/>
        </w:rPr>
      </w:pPr>
    </w:p>
    <w:p>
      <w:pPr>
        <w:jc w:val="both"/>
        <w:ind w:left="1740" w:hanging="582"/>
        <w:spacing w:after="0" w:line="224" w:lineRule="auto"/>
        <w:tabs>
          <w:tab w:leader="none" w:pos="174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lend any monies, other than advances (i) to any Group Company; or (ii) by way of deposit with a bank or other financial institution whose normal business includes the acceptance of deposits; or (iii) to any individual employee for the purposes contemplated by and in accordance with that employee's terms of employment;</w:t>
      </w:r>
    </w:p>
    <w:p>
      <w:pPr>
        <w:spacing w:after="0" w:line="48" w:lineRule="exact"/>
        <w:rPr>
          <w:rFonts w:ascii="Arial" w:cs="Arial" w:eastAsia="Arial" w:hAnsi="Arial"/>
          <w:sz w:val="16"/>
          <w:szCs w:val="16"/>
          <w:color w:val="auto"/>
        </w:rPr>
      </w:pPr>
    </w:p>
    <w:p>
      <w:pPr>
        <w:jc w:val="both"/>
        <w:ind w:left="1740" w:right="20" w:hanging="582"/>
        <w:spacing w:after="0" w:line="224"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borrow any monies or otherwise create any indebtedness except in relation to the operation of bank overdrafts within existing limits or term loan from its bankers not exceeding £[***] as required in the ordinary course of business or otherwise amend the terms of any indebtedness;</w:t>
      </w:r>
    </w:p>
    <w:p>
      <w:pPr>
        <w:spacing w:after="0" w:line="48"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give or allow to exist any further Encumbrance over any of its assets or undertaking;</w:t>
      </w:r>
    </w:p>
    <w:p>
      <w:pPr>
        <w:spacing w:after="0" w:line="68" w:lineRule="exact"/>
        <w:rPr>
          <w:rFonts w:ascii="Arial" w:cs="Arial" w:eastAsia="Arial" w:hAnsi="Arial"/>
          <w:sz w:val="16"/>
          <w:szCs w:val="16"/>
          <w:color w:val="auto"/>
        </w:rPr>
      </w:pPr>
    </w:p>
    <w:p>
      <w:pPr>
        <w:ind w:left="1740" w:hanging="582"/>
        <w:spacing w:after="0" w:line="235"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enter into capital expenditure commitments, hire purchase, leasing, rental or conditional sale agreements or arrangements for an aggregate amount in excess of £[***];</w:t>
      </w:r>
    </w:p>
    <w:p>
      <w:pPr>
        <w:spacing w:after="0" w:line="47" w:lineRule="exact"/>
        <w:rPr>
          <w:rFonts w:ascii="Arial" w:cs="Arial" w:eastAsia="Arial" w:hAnsi="Arial"/>
          <w:sz w:val="16"/>
          <w:szCs w:val="16"/>
          <w:color w:val="auto"/>
        </w:rPr>
      </w:pPr>
    </w:p>
    <w:p>
      <w:pPr>
        <w:jc w:val="both"/>
        <w:ind w:left="1740" w:hanging="582"/>
        <w:spacing w:after="0" w:line="219"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enter into any agreement or arrangement which is outside the ordinary course of its business or not capable, in accordance with its terms, of being performed in full within twelve months of the date on which it is entered into or incurred or which cannot be terminated by the relevant Group Company by giving notice or where more than [***] months need to lapse before the relevant Group Company can terminate;</w:t>
      </w:r>
    </w:p>
    <w:p>
      <w:pPr>
        <w:spacing w:after="0" w:line="48" w:lineRule="exact"/>
        <w:rPr>
          <w:rFonts w:ascii="Arial" w:cs="Arial" w:eastAsia="Arial" w:hAnsi="Arial"/>
          <w:sz w:val="16"/>
          <w:szCs w:val="16"/>
          <w:color w:val="auto"/>
        </w:rPr>
      </w:pPr>
    </w:p>
    <w:p>
      <w:pPr>
        <w:jc w:val="both"/>
        <w:ind w:left="1740" w:hanging="582"/>
        <w:spacing w:after="0" w:line="219"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declare, make or pay any dividend or other distribution or allot, issue, grant any options over, redeem, purchase, consolidate, convert, reclassify, sub-divide or reduce or otherwise reorganise or change any share or loan capital or issue any share warrants or securities convertible into shares, except for granting New Awards (provided that the New Awards will not cause the number of Completion Fully-Diluted Shares to exceed [***]);</w:t>
      </w:r>
    </w:p>
    <w:p>
      <w:pPr>
        <w:spacing w:after="0" w:line="48" w:lineRule="exact"/>
        <w:rPr>
          <w:rFonts w:ascii="Arial" w:cs="Arial" w:eastAsia="Arial" w:hAnsi="Arial"/>
          <w:sz w:val="16"/>
          <w:szCs w:val="16"/>
          <w:color w:val="auto"/>
        </w:rPr>
      </w:pPr>
    </w:p>
    <w:p>
      <w:pPr>
        <w:ind w:left="1740" w:right="20" w:hanging="582"/>
        <w:spacing w:after="0" w:line="235"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sell, transfer or otherwise dispose of the whole or any part of its business, undertakings or assets or otherwise make any change to its business structure or organisation;</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give any financial or other guarantees, securities or indemnities for any purpose;</w:t>
      </w:r>
    </w:p>
    <w:p>
      <w:pPr>
        <w:spacing w:after="0" w:line="68" w:lineRule="exact"/>
        <w:rPr>
          <w:rFonts w:ascii="Arial" w:cs="Arial" w:eastAsia="Arial" w:hAnsi="Arial"/>
          <w:sz w:val="16"/>
          <w:szCs w:val="16"/>
          <w:color w:val="auto"/>
        </w:rPr>
      </w:pPr>
    </w:p>
    <w:p>
      <w:pPr>
        <w:ind w:left="1740" w:right="20" w:hanging="582"/>
        <w:spacing w:after="0" w:line="235" w:lineRule="auto"/>
        <w:tabs>
          <w:tab w:leader="none" w:pos="172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commence any litigation or compromise or settle any claim, dispute or other matter in which it is involved which has a claim value in excess of £[***], except for debt collection in the ordinary course of business;</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change its auditors or its accounting reference date;</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register the transfer of any of the Shares;</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cancel, compromise, waive or release any debt of the Company or any Group Company in excess of £[***];</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2"/>
          <w:numId w:val="492"/>
        </w:numPr>
        <w:rPr>
          <w:rFonts w:ascii="Arial" w:cs="Arial" w:eastAsia="Arial" w:hAnsi="Arial"/>
          <w:sz w:val="16"/>
          <w:szCs w:val="16"/>
          <w:color w:val="auto"/>
        </w:rPr>
      </w:pPr>
      <w:r>
        <w:rPr>
          <w:rFonts w:ascii="Arial" w:cs="Arial" w:eastAsia="Arial" w:hAnsi="Arial"/>
          <w:sz w:val="16"/>
          <w:szCs w:val="16"/>
          <w:color w:val="auto"/>
        </w:rPr>
        <w:t>attempt to do any of the matters set out in sub-paragraphs (d)(i) to (x) (inclusive); or</w:t>
      </w:r>
    </w:p>
    <w:p>
      <w:pPr>
        <w:spacing w:after="0" w:line="200" w:lineRule="exact"/>
        <w:rPr>
          <w:sz w:val="20"/>
          <w:szCs w:val="20"/>
          <w:color w:val="auto"/>
        </w:rPr>
      </w:pPr>
    </w:p>
    <w:p>
      <w:pPr>
        <w:spacing w:after="0" w:line="245"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96</w:t>
      </w:r>
    </w:p>
    <w:p>
      <w:pPr>
        <w:sectPr>
          <w:pgSz w:w="11900" w:h="16840" w:orient="portrait"/>
          <w:cols w:equalWidth="0" w:num="1">
            <w:col w:w="10580"/>
          </w:cols>
          <w:pgMar w:left="660" w:top="1440" w:right="660" w:bottom="1440" w:gutter="0" w:footer="0" w:header="0"/>
        </w:sectPr>
      </w:pPr>
    </w:p>
    <w:bookmarkStart w:id="447" w:name="page448"/>
    <w:bookmarkEnd w:id="447"/>
    <w:p>
      <w:pPr>
        <w:spacing w:after="0" w:line="331" w:lineRule="exact"/>
        <w:rPr>
          <w:sz w:val="20"/>
          <w:szCs w:val="20"/>
          <w:color w:val="auto"/>
        </w:rPr>
      </w:pPr>
    </w:p>
    <w:p>
      <w:pPr>
        <w:ind w:left="1734" w:right="20" w:hanging="582"/>
        <w:spacing w:after="0" w:line="235" w:lineRule="auto"/>
        <w:tabs>
          <w:tab w:leader="none" w:pos="1722" w:val="left"/>
        </w:tabs>
        <w:numPr>
          <w:ilvl w:val="2"/>
          <w:numId w:val="493"/>
        </w:numPr>
        <w:rPr>
          <w:rFonts w:ascii="Arial" w:cs="Arial" w:eastAsia="Arial" w:hAnsi="Arial"/>
          <w:sz w:val="16"/>
          <w:szCs w:val="16"/>
          <w:color w:val="auto"/>
        </w:rPr>
      </w:pPr>
      <w:r>
        <w:rPr>
          <w:rFonts w:ascii="Arial" w:cs="Arial" w:eastAsia="Arial" w:hAnsi="Arial"/>
          <w:sz w:val="16"/>
          <w:szCs w:val="16"/>
          <w:color w:val="auto"/>
        </w:rPr>
        <w:t>increase any fees, earnings, remuneration or benefits paid or payable to any officer, employee, consultant or worker of a Group Company by more than [***]%.</w:t>
      </w:r>
    </w:p>
    <w:p>
      <w:pPr>
        <w:spacing w:after="0" w:line="47" w:lineRule="exact"/>
        <w:rPr>
          <w:rFonts w:ascii="Arial" w:cs="Arial" w:eastAsia="Arial" w:hAnsi="Arial"/>
          <w:sz w:val="16"/>
          <w:szCs w:val="16"/>
          <w:color w:val="auto"/>
        </w:rPr>
      </w:pPr>
    </w:p>
    <w:p>
      <w:pPr>
        <w:ind w:left="1134" w:hanging="558"/>
        <w:spacing w:after="0"/>
        <w:tabs>
          <w:tab w:leader="none" w:pos="1134" w:val="left"/>
        </w:tabs>
        <w:numPr>
          <w:ilvl w:val="1"/>
          <w:numId w:val="494"/>
        </w:numPr>
        <w:rPr>
          <w:rFonts w:ascii="Arial" w:cs="Arial" w:eastAsia="Arial" w:hAnsi="Arial"/>
          <w:sz w:val="16"/>
          <w:szCs w:val="16"/>
          <w:color w:val="auto"/>
        </w:rPr>
      </w:pPr>
      <w:r>
        <w:rPr>
          <w:rFonts w:ascii="Arial" w:cs="Arial" w:eastAsia="Arial" w:hAnsi="Arial"/>
          <w:sz w:val="16"/>
          <w:szCs w:val="16"/>
          <w:color w:val="auto"/>
        </w:rPr>
        <w:t>no additional directors shall be appointed to the board of directors of any Group Company;</w:t>
      </w:r>
    </w:p>
    <w:p>
      <w:pPr>
        <w:spacing w:after="0" w:line="68" w:lineRule="exact"/>
        <w:rPr>
          <w:rFonts w:ascii="Arial" w:cs="Arial" w:eastAsia="Arial" w:hAnsi="Arial"/>
          <w:sz w:val="16"/>
          <w:szCs w:val="16"/>
          <w:color w:val="auto"/>
        </w:rPr>
      </w:pPr>
    </w:p>
    <w:p>
      <w:pPr>
        <w:ind w:left="1134" w:hanging="558"/>
        <w:spacing w:after="0"/>
        <w:tabs>
          <w:tab w:leader="none" w:pos="1134" w:val="left"/>
        </w:tabs>
        <w:numPr>
          <w:ilvl w:val="1"/>
          <w:numId w:val="494"/>
        </w:numPr>
        <w:rPr>
          <w:rFonts w:ascii="Arial" w:cs="Arial" w:eastAsia="Arial" w:hAnsi="Arial"/>
          <w:sz w:val="16"/>
          <w:szCs w:val="16"/>
          <w:color w:val="auto"/>
        </w:rPr>
      </w:pPr>
      <w:r>
        <w:rPr>
          <w:rFonts w:ascii="Arial" w:cs="Arial" w:eastAsia="Arial" w:hAnsi="Arial"/>
          <w:sz w:val="16"/>
          <w:szCs w:val="16"/>
          <w:color w:val="auto"/>
        </w:rPr>
        <w:t>no resolution is passed by the shareholders of any Group Company;</w:t>
      </w:r>
    </w:p>
    <w:p>
      <w:pPr>
        <w:spacing w:after="0" w:line="68" w:lineRule="exact"/>
        <w:rPr>
          <w:rFonts w:ascii="Arial" w:cs="Arial" w:eastAsia="Arial" w:hAnsi="Arial"/>
          <w:sz w:val="16"/>
          <w:szCs w:val="16"/>
          <w:color w:val="auto"/>
        </w:rPr>
      </w:pPr>
    </w:p>
    <w:p>
      <w:pPr>
        <w:jc w:val="both"/>
        <w:ind w:left="1154" w:right="20" w:hanging="578"/>
        <w:spacing w:after="0" w:line="219" w:lineRule="auto"/>
        <w:tabs>
          <w:tab w:leader="none" w:pos="1142"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there shall be no material change in the terms and conditions of employment of any Senior Employee of any Group Company or of the terms of engagement of any contractor engaged by any Group Company for services with annual cost to the Company of £[***] or more and no Senior Employee's employment with any Group Company shall be terminated by such Group Company or new Senior Employees engaged by such Group Company;</w:t>
      </w:r>
    </w:p>
    <w:p>
      <w:pPr>
        <w:spacing w:after="0" w:line="48" w:lineRule="exact"/>
        <w:rPr>
          <w:rFonts w:ascii="Arial" w:cs="Arial" w:eastAsia="Arial" w:hAnsi="Arial"/>
          <w:sz w:val="16"/>
          <w:szCs w:val="16"/>
          <w:color w:val="auto"/>
        </w:rPr>
      </w:pPr>
    </w:p>
    <w:p>
      <w:pPr>
        <w:ind w:left="1134" w:hanging="558"/>
        <w:spacing w:after="0"/>
        <w:tabs>
          <w:tab w:leader="none" w:pos="1134"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 Group maintains in force all insurance policies that are in force on the date of this Agreement; and</w:t>
      </w:r>
    </w:p>
    <w:p>
      <w:pPr>
        <w:spacing w:after="0" w:line="68" w:lineRule="exact"/>
        <w:rPr>
          <w:rFonts w:ascii="Arial" w:cs="Arial" w:eastAsia="Arial" w:hAnsi="Arial"/>
          <w:sz w:val="16"/>
          <w:szCs w:val="16"/>
          <w:color w:val="auto"/>
        </w:rPr>
      </w:pPr>
    </w:p>
    <w:p>
      <w:pPr>
        <w:ind w:left="1154" w:hanging="578"/>
        <w:spacing w:after="0"/>
        <w:tabs>
          <w:tab w:leader="none" w:pos="1154" w:val="left"/>
        </w:tabs>
        <w:numPr>
          <w:ilvl w:val="1"/>
          <w:numId w:val="494"/>
        </w:numPr>
        <w:rPr>
          <w:rFonts w:ascii="Arial" w:cs="Arial" w:eastAsia="Arial" w:hAnsi="Arial"/>
          <w:sz w:val="14"/>
          <w:szCs w:val="14"/>
          <w:color w:val="auto"/>
        </w:rPr>
      </w:pPr>
      <w:r>
        <w:rPr>
          <w:rFonts w:ascii="Arial" w:cs="Arial" w:eastAsia="Arial" w:hAnsi="Arial"/>
          <w:sz w:val="14"/>
          <w:szCs w:val="14"/>
          <w:color w:val="auto"/>
        </w:rPr>
        <w:t>each Group Company pays its creditors in the ordinary course of its business or within the normal terms of payment of such creditors.</w:t>
      </w:r>
    </w:p>
    <w:p>
      <w:pPr>
        <w:spacing w:after="0" w:line="91" w:lineRule="exact"/>
        <w:rPr>
          <w:rFonts w:ascii="Arial" w:cs="Arial" w:eastAsia="Arial" w:hAnsi="Arial"/>
          <w:sz w:val="14"/>
          <w:szCs w:val="14"/>
          <w:color w:val="auto"/>
        </w:rPr>
      </w:pPr>
    </w:p>
    <w:p>
      <w:pPr>
        <w:jc w:val="both"/>
        <w:ind w:left="574" w:right="20" w:hanging="574"/>
        <w:spacing w:after="0" w:line="224" w:lineRule="auto"/>
        <w:tabs>
          <w:tab w:leader="none" w:pos="562"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Any Group Company may take all or any of the following actions without breach by the Sellers of paragraph 1, provided the Sellers' Representatives notify the Purchaser and, where timing is not of the essence, allow the Purchaser the opportunity to provide its views and comments on the proposed actions:</w:t>
      </w:r>
    </w:p>
    <w:p>
      <w:pPr>
        <w:spacing w:after="0" w:line="48" w:lineRule="exact"/>
        <w:rPr>
          <w:rFonts w:ascii="Arial" w:cs="Arial" w:eastAsia="Arial" w:hAnsi="Arial"/>
          <w:sz w:val="16"/>
          <w:szCs w:val="16"/>
          <w:color w:val="auto"/>
        </w:rPr>
      </w:pPr>
    </w:p>
    <w:p>
      <w:pPr>
        <w:ind w:left="1154" w:right="20" w:hanging="578"/>
        <w:spacing w:after="0" w:line="235" w:lineRule="auto"/>
        <w:tabs>
          <w:tab w:leader="none" w:pos="114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any action required to be taken in order to comply with any applicable law or regulation (including any action taken by any director of a Group Company to ensure compliance with his duties as a director);</w:t>
      </w:r>
    </w:p>
    <w:p>
      <w:pPr>
        <w:spacing w:after="0" w:line="47" w:lineRule="exact"/>
        <w:rPr>
          <w:rFonts w:ascii="Arial" w:cs="Arial" w:eastAsia="Arial" w:hAnsi="Arial"/>
          <w:sz w:val="16"/>
          <w:szCs w:val="16"/>
          <w:color w:val="auto"/>
        </w:rPr>
      </w:pPr>
    </w:p>
    <w:p>
      <w:pPr>
        <w:ind w:left="1154" w:hanging="578"/>
        <w:spacing w:after="0" w:line="235" w:lineRule="auto"/>
        <w:tabs>
          <w:tab w:leader="none" w:pos="114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completion or performance of any obligations pursuant to any contract or arrangement entered into before the date of this Agreement;</w:t>
      </w:r>
    </w:p>
    <w:p>
      <w:pPr>
        <w:spacing w:after="0" w:line="47" w:lineRule="exact"/>
        <w:rPr>
          <w:rFonts w:ascii="Arial" w:cs="Arial" w:eastAsia="Arial" w:hAnsi="Arial"/>
          <w:sz w:val="16"/>
          <w:szCs w:val="16"/>
          <w:color w:val="auto"/>
        </w:rPr>
      </w:pPr>
    </w:p>
    <w:p>
      <w:pPr>
        <w:ind w:left="1154" w:right="20" w:hanging="578"/>
        <w:spacing w:after="0" w:line="235" w:lineRule="auto"/>
        <w:tabs>
          <w:tab w:leader="none" w:pos="114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anything required to be done in order to effect the terms of this Agreement or any action taken at the request of the Purchaser and to which the Seller has agreed; and</w:t>
      </w:r>
    </w:p>
    <w:p>
      <w:pPr>
        <w:spacing w:after="0" w:line="47" w:lineRule="exact"/>
        <w:rPr>
          <w:rFonts w:ascii="Arial" w:cs="Arial" w:eastAsia="Arial" w:hAnsi="Arial"/>
          <w:sz w:val="16"/>
          <w:szCs w:val="16"/>
          <w:color w:val="auto"/>
        </w:rPr>
      </w:pPr>
    </w:p>
    <w:p>
      <w:pPr>
        <w:jc w:val="both"/>
        <w:ind w:left="1154" w:hanging="578"/>
        <w:spacing w:after="0" w:line="265" w:lineRule="auto"/>
        <w:tabs>
          <w:tab w:leader="none" w:pos="1142" w:val="left"/>
        </w:tabs>
        <w:numPr>
          <w:ilvl w:val="1"/>
          <w:numId w:val="495"/>
        </w:numPr>
        <w:rPr>
          <w:rFonts w:ascii="Arial" w:cs="Arial" w:eastAsia="Arial" w:hAnsi="Arial"/>
          <w:sz w:val="14"/>
          <w:szCs w:val="14"/>
          <w:color w:val="auto"/>
        </w:rPr>
      </w:pPr>
      <w:r>
        <w:rPr>
          <w:rFonts w:ascii="Arial" w:cs="Arial" w:eastAsia="Arial" w:hAnsi="Arial"/>
          <w:sz w:val="14"/>
          <w:szCs w:val="14"/>
          <w:color w:val="auto"/>
        </w:rPr>
        <w:t>any action reasonably taken in response to events (a) beyond the control of the Group Companies or any Seller; or (b) within the control of the Group Companies or of any Seller, but which require urgent response; in each case to the extent taken with the intention of minimising the adverse effect of those events on the business of the Group Companies or any member of the Seller Group.</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594"/>
        <w:spacing w:after="0"/>
        <w:rPr>
          <w:sz w:val="20"/>
          <w:szCs w:val="20"/>
          <w:color w:val="auto"/>
        </w:rPr>
      </w:pPr>
      <w:r>
        <w:rPr>
          <w:rFonts w:ascii="Arial" w:cs="Arial" w:eastAsia="Arial" w:hAnsi="Arial"/>
          <w:sz w:val="10"/>
          <w:szCs w:val="10"/>
          <w:color w:val="auto"/>
        </w:rPr>
        <w:t>OC_UK/125258569.5</w:t>
      </w:r>
    </w:p>
    <w:p>
      <w:pPr>
        <w:ind w:left="4914"/>
        <w:spacing w:after="0"/>
        <w:rPr>
          <w:sz w:val="20"/>
          <w:szCs w:val="20"/>
          <w:color w:val="auto"/>
        </w:rPr>
      </w:pPr>
      <w:r>
        <w:rPr>
          <w:rFonts w:ascii="Arial" w:cs="Arial" w:eastAsia="Arial" w:hAnsi="Arial"/>
          <w:sz w:val="13"/>
          <w:szCs w:val="13"/>
          <w:color w:val="auto"/>
        </w:rPr>
        <w:t>97</w:t>
      </w:r>
    </w:p>
    <w:p>
      <w:pPr>
        <w:sectPr>
          <w:pgSz w:w="11900" w:h="16840" w:orient="portrait"/>
          <w:cols w:equalWidth="0" w:num="1">
            <w:col w:w="10574"/>
          </w:cols>
          <w:pgMar w:left="666" w:top="1440" w:right="660" w:bottom="1440" w:gutter="0" w:footer="0" w:header="0"/>
        </w:sectPr>
      </w:pPr>
    </w:p>
    <w:bookmarkStart w:id="448" w:name="page449"/>
    <w:bookmarkEnd w:id="448"/>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9</w:t>
      </w:r>
    </w:p>
    <w:p>
      <w:pPr>
        <w:spacing w:after="0" w:line="6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(Completion Accounts)</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(Preparation)</w:t>
      </w:r>
    </w:p>
    <w:p>
      <w:pPr>
        <w:spacing w:after="0" w:line="70" w:lineRule="exact"/>
        <w:rPr>
          <w:sz w:val="20"/>
          <w:szCs w:val="20"/>
          <w:color w:val="auto"/>
        </w:rPr>
      </w:pPr>
    </w:p>
    <w:p>
      <w:pPr>
        <w:ind w:left="580" w:right="20" w:hanging="574"/>
        <w:spacing w:after="0" w:line="235" w:lineRule="auto"/>
        <w:tabs>
          <w:tab w:leader="none" w:pos="568" w:val="left"/>
        </w:tabs>
        <w:numPr>
          <w:ilvl w:val="0"/>
          <w:numId w:val="496"/>
        </w:numPr>
        <w:rPr>
          <w:rFonts w:ascii="Arial" w:cs="Arial" w:eastAsia="Arial" w:hAnsi="Arial"/>
          <w:sz w:val="16"/>
          <w:szCs w:val="16"/>
          <w:color w:val="auto"/>
        </w:rPr>
      </w:pPr>
      <w:r>
        <w:rPr>
          <w:rFonts w:ascii="Arial" w:cs="Arial" w:eastAsia="Arial" w:hAnsi="Arial"/>
          <w:sz w:val="16"/>
          <w:szCs w:val="16"/>
          <w:color w:val="auto"/>
        </w:rPr>
        <w:t>For the purposes of this Schedule 9, notification to and/or by the Sellers shall be satisfied by notification (in accordance with the relevant paragraph of this Schedule 9) to or by the Sellers' Representatives.</w:t>
      </w:r>
    </w:p>
    <w:p>
      <w:pPr>
        <w:spacing w:after="0" w:line="47" w:lineRule="exact"/>
        <w:rPr>
          <w:rFonts w:ascii="Arial" w:cs="Arial" w:eastAsia="Arial" w:hAnsi="Arial"/>
          <w:sz w:val="16"/>
          <w:szCs w:val="16"/>
          <w:color w:val="auto"/>
        </w:rPr>
      </w:pPr>
    </w:p>
    <w:p>
      <w:pPr>
        <w:ind w:left="580" w:hanging="574"/>
        <w:spacing w:after="0"/>
        <w:tabs>
          <w:tab w:leader="none" w:pos="58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Purchaser shall within [***] Business Days of Completion, prepare and deliver to the Sellers: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a draft income statement of the Group in respect of the period from [***] to the Effective Time;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a draft balance sheet of the Group as at the Effective Time,</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(such income statement and balance sheet being the </w:t>
      </w:r>
      <w:r>
        <w:rPr>
          <w:rFonts w:ascii="Arial" w:cs="Arial" w:eastAsia="Arial" w:hAnsi="Arial"/>
          <w:sz w:val="16"/>
          <w:szCs w:val="16"/>
          <w:b w:val="1"/>
          <w:bCs w:val="1"/>
          <w:color w:val="auto"/>
        </w:rPr>
        <w:t>"draft Completion Accounts"</w:t>
      </w:r>
      <w:r>
        <w:rPr>
          <w:rFonts w:ascii="Arial" w:cs="Arial" w:eastAsia="Arial" w:hAnsi="Arial"/>
          <w:sz w:val="16"/>
          <w:szCs w:val="16"/>
          <w:color w:val="auto"/>
        </w:rPr>
        <w:t>); and</w:t>
      </w:r>
    </w:p>
    <w:p>
      <w:pPr>
        <w:spacing w:after="0" w:line="70" w:lineRule="exact"/>
        <w:rPr>
          <w:sz w:val="20"/>
          <w:szCs w:val="20"/>
          <w:color w:val="auto"/>
        </w:rPr>
      </w:pPr>
    </w:p>
    <w:p>
      <w:pPr>
        <w:ind w:left="1140" w:hanging="558"/>
        <w:spacing w:after="0"/>
        <w:tabs>
          <w:tab w:leader="none" w:pos="1140"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the Purchaser's calculation of the Actual Adjustment Statement based on the draft Completion Accounts.</w:t>
      </w:r>
    </w:p>
    <w:p>
      <w:pPr>
        <w:spacing w:after="0" w:line="68" w:lineRule="exact"/>
        <w:rPr>
          <w:rFonts w:ascii="Arial" w:cs="Arial" w:eastAsia="Arial" w:hAnsi="Arial"/>
          <w:sz w:val="16"/>
          <w:szCs w:val="16"/>
          <w:color w:val="auto"/>
        </w:rPr>
      </w:pPr>
    </w:p>
    <w:p>
      <w:pPr>
        <w:jc w:val="both"/>
        <w:ind w:left="580" w:hanging="574"/>
        <w:spacing w:after="0" w:line="216" w:lineRule="auto"/>
        <w:tabs>
          <w:tab w:leader="none" w:pos="56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Founder Sellers shall procure (so far as it lies within their powers) that the Purchaser and the Purchaser's advisers and representatives shall be given full access (during normal business hours after having given reasonable advance notice provided that no such access shall unreasonably interfere with the normal business operations of the Purchaser or the Group) to the Group's accounts and records and shall be permitted to take copies of the same and generally be provided with such other information and assistance as they may reasonably require to prepare such draft Completion Accounts and in a timely fashion.</w:t>
      </w:r>
    </w:p>
    <w:p>
      <w:pPr>
        <w:spacing w:after="0" w:line="48" w:lineRule="exact"/>
        <w:rPr>
          <w:rFonts w:ascii="Arial" w:cs="Arial" w:eastAsia="Arial" w:hAnsi="Arial"/>
          <w:sz w:val="16"/>
          <w:szCs w:val="16"/>
          <w:color w:val="auto"/>
        </w:rPr>
      </w:pPr>
    </w:p>
    <w:p>
      <w:pPr>
        <w:jc w:val="both"/>
        <w:ind w:left="580" w:right="20" w:hanging="574"/>
        <w:spacing w:after="0" w:line="224" w:lineRule="auto"/>
        <w:tabs>
          <w:tab w:leader="none" w:pos="56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Purchaser shall procure that the draft Completion Accounts are prepared in accordance with the provisions of Part 2 of this schedule and that on their preparation the draft Completion Accounts shall be delivered to the Sellers for review in accordance with paragraph 2 of this schedule.</w:t>
      </w:r>
    </w:p>
    <w:p>
      <w:pPr>
        <w:spacing w:after="0" w:line="48" w:lineRule="exact"/>
        <w:rPr>
          <w:rFonts w:ascii="Arial" w:cs="Arial" w:eastAsia="Arial" w:hAnsi="Arial"/>
          <w:sz w:val="16"/>
          <w:szCs w:val="16"/>
          <w:color w:val="auto"/>
        </w:rPr>
      </w:pPr>
    </w:p>
    <w:p>
      <w:pPr>
        <w:ind w:left="580" w:hanging="574"/>
        <w:spacing w:after="0"/>
        <w:tabs>
          <w:tab w:leader="none" w:pos="58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In order to enable the Sellers to review the draft Completion Accounts, the Purchaser shall procure that:</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498"/>
        </w:numPr>
        <w:rPr>
          <w:rFonts w:ascii="Arial" w:cs="Arial" w:eastAsia="Arial" w:hAnsi="Arial"/>
          <w:sz w:val="16"/>
          <w:szCs w:val="16"/>
          <w:color w:val="auto"/>
        </w:rPr>
      </w:pPr>
      <w:r>
        <w:rPr>
          <w:rFonts w:ascii="Arial" w:cs="Arial" w:eastAsia="Arial" w:hAnsi="Arial"/>
          <w:sz w:val="16"/>
          <w:szCs w:val="16"/>
          <w:color w:val="auto"/>
        </w:rPr>
        <w:t>the Purchaser's advisers and/or representatives shall use all reasonable efforts to provide promptly upon request such information and explanations as they may request during the course of their review of the draft Completion Accounts;</w:t>
      </w:r>
    </w:p>
    <w:p>
      <w:pPr>
        <w:spacing w:after="0" w:line="47" w:lineRule="exact"/>
        <w:rPr>
          <w:rFonts w:ascii="Arial" w:cs="Arial" w:eastAsia="Arial" w:hAnsi="Arial"/>
          <w:sz w:val="16"/>
          <w:szCs w:val="16"/>
          <w:color w:val="auto"/>
        </w:rPr>
      </w:pPr>
    </w:p>
    <w:p>
      <w:pPr>
        <w:jc w:val="both"/>
        <w:ind w:left="1160" w:right="20" w:hanging="578"/>
        <w:spacing w:after="0" w:line="224" w:lineRule="auto"/>
        <w:tabs>
          <w:tab w:leader="none" w:pos="1148" w:val="left"/>
        </w:tabs>
        <w:numPr>
          <w:ilvl w:val="1"/>
          <w:numId w:val="498"/>
        </w:numPr>
        <w:rPr>
          <w:rFonts w:ascii="Arial" w:cs="Arial" w:eastAsia="Arial" w:hAnsi="Arial"/>
          <w:sz w:val="16"/>
          <w:szCs w:val="16"/>
          <w:color w:val="auto"/>
        </w:rPr>
      </w:pPr>
      <w:r>
        <w:rPr>
          <w:rFonts w:ascii="Arial" w:cs="Arial" w:eastAsia="Arial" w:hAnsi="Arial"/>
          <w:sz w:val="16"/>
          <w:szCs w:val="16"/>
          <w:color w:val="auto"/>
        </w:rPr>
        <w:t>the Sellers and the Sellers' advisers and/or representatives are given all reasonable access at all reasonable times and without delay to the books, records and working papers in their or their adviser's respective possession or control relating to the Group and to all its staff and shall permit the Sellers and the Sellers' advisers and/or representatives to take copies of such books and records; and</w:t>
      </w:r>
    </w:p>
    <w:p>
      <w:pPr>
        <w:spacing w:after="0" w:line="48"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498"/>
        </w:numPr>
        <w:rPr>
          <w:rFonts w:ascii="Arial" w:cs="Arial" w:eastAsia="Arial" w:hAnsi="Arial"/>
          <w:sz w:val="16"/>
          <w:szCs w:val="16"/>
          <w:color w:val="auto"/>
        </w:rPr>
      </w:pPr>
      <w:r>
        <w:rPr>
          <w:rFonts w:ascii="Arial" w:cs="Arial" w:eastAsia="Arial" w:hAnsi="Arial"/>
          <w:sz w:val="16"/>
          <w:szCs w:val="16"/>
          <w:color w:val="auto"/>
        </w:rPr>
        <w:t>generally provide the Sellers and the Sellers' advisors with such other information and assistance that they may reasonably require and in a timely fashion.</w:t>
      </w:r>
    </w:p>
    <w:p>
      <w:pPr>
        <w:spacing w:after="0" w:line="45" w:lineRule="exact"/>
        <w:rPr>
          <w:rFonts w:ascii="Arial" w:cs="Arial" w:eastAsia="Arial" w:hAnsi="Arial"/>
          <w:sz w:val="16"/>
          <w:szCs w:val="16"/>
          <w:color w:val="auto"/>
        </w:rPr>
      </w:pPr>
    </w:p>
    <w:p>
      <w:pPr>
        <w:jc w:val="both"/>
        <w:ind w:left="580" w:right="20" w:hanging="574"/>
        <w:spacing w:after="0" w:line="214" w:lineRule="auto"/>
        <w:tabs>
          <w:tab w:leader="none" w:pos="56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 xml:space="preserve">Unless the Sellers' Representatives serve a written notice (the </w:t>
      </w:r>
      <w:r>
        <w:rPr>
          <w:rFonts w:ascii="Arial" w:cs="Arial" w:eastAsia="Arial" w:hAnsi="Arial"/>
          <w:sz w:val="16"/>
          <w:szCs w:val="16"/>
          <w:b w:val="1"/>
          <w:bCs w:val="1"/>
          <w:color w:val="auto"/>
        </w:rPr>
        <w:t>"Notice"</w:t>
      </w:r>
      <w:r>
        <w:rPr>
          <w:rFonts w:ascii="Arial" w:cs="Arial" w:eastAsia="Arial" w:hAnsi="Arial"/>
          <w:sz w:val="16"/>
          <w:szCs w:val="16"/>
          <w:color w:val="auto"/>
        </w:rPr>
        <w:t>) on the Purchaser within [***] Business Days of delivery of the draft Completion Accounts pursuant to paragraph 2 that they do not accept the same, the parties shall at the end of that period be deemed to have accepted such draft Completion Accounts which shall then be final and binding on the parties and which together shall be the Completion Accounts for the purposes of this Agreement. For the avoidance of doubt, any line items not identified in the Notice as being in dispute will be deemed to be agreed for the purposes of this Agreement and will therefore be final and binding upon the parties, to the extent where such line item should be changed as a direct consequence of the agreement or determination of a disputed line item.</w:t>
      </w:r>
    </w:p>
    <w:p>
      <w:pPr>
        <w:spacing w:after="0" w:line="49" w:lineRule="exact"/>
        <w:rPr>
          <w:rFonts w:ascii="Arial" w:cs="Arial" w:eastAsia="Arial" w:hAnsi="Arial"/>
          <w:sz w:val="16"/>
          <w:szCs w:val="16"/>
          <w:color w:val="auto"/>
        </w:rPr>
      </w:pPr>
    </w:p>
    <w:p>
      <w:pPr>
        <w:ind w:left="580" w:right="20" w:hanging="574"/>
        <w:spacing w:after="0" w:line="235" w:lineRule="auto"/>
        <w:tabs>
          <w:tab w:leader="none" w:pos="56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A Notice (if any) served in accordance with paragraph 6 shall specify particulars of the dispute and any adjustments proposed to be made to the draft Completion Accounts.</w:t>
      </w:r>
    </w:p>
    <w:p>
      <w:pPr>
        <w:spacing w:after="0" w:line="47" w:lineRule="exact"/>
        <w:rPr>
          <w:rFonts w:ascii="Arial" w:cs="Arial" w:eastAsia="Arial" w:hAnsi="Arial"/>
          <w:sz w:val="16"/>
          <w:szCs w:val="16"/>
          <w:color w:val="auto"/>
        </w:rPr>
      </w:pPr>
    </w:p>
    <w:p>
      <w:pPr>
        <w:jc w:val="both"/>
        <w:ind w:left="580" w:right="20" w:hanging="574"/>
        <w:spacing w:after="0" w:line="224" w:lineRule="auto"/>
        <w:tabs>
          <w:tab w:leader="none" w:pos="56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If the Sellers' Representatives serve a Notice, then the Sellers' Representatives and the Purchaser shall each use all reasonable endeavours to reach agreement upon the matter or matters in dispute. If agreement on all disputed matters cannot be reached within [***] Business Days of the date of the Notice, any matter still in dispute may upon the direction of</w:t>
      </w:r>
    </w:p>
    <w:p>
      <w:pPr>
        <w:spacing w:after="0" w:line="200" w:lineRule="exact"/>
        <w:rPr>
          <w:sz w:val="20"/>
          <w:szCs w:val="20"/>
          <w:color w:val="auto"/>
        </w:rPr>
      </w:pPr>
    </w:p>
    <w:p>
      <w:pPr>
        <w:spacing w:after="0" w:line="226" w:lineRule="exact"/>
        <w:rPr>
          <w:sz w:val="20"/>
          <w:szCs w:val="20"/>
          <w:color w:val="auto"/>
        </w:rPr>
      </w:pPr>
    </w:p>
    <w:p>
      <w:pPr>
        <w:ind w:left="9600"/>
        <w:spacing w:after="0"/>
        <w:rPr>
          <w:sz w:val="20"/>
          <w:szCs w:val="20"/>
          <w:color w:val="auto"/>
        </w:rPr>
      </w:pPr>
      <w:r>
        <w:rPr>
          <w:rFonts w:ascii="Arial" w:cs="Arial" w:eastAsia="Arial" w:hAnsi="Arial"/>
          <w:sz w:val="10"/>
          <w:szCs w:val="10"/>
          <w:color w:val="auto"/>
        </w:rPr>
        <w:t>OC_UK/125258569.5</w:t>
      </w:r>
    </w:p>
    <w:p>
      <w:pPr>
        <w:ind w:left="4920"/>
        <w:spacing w:after="0"/>
        <w:rPr>
          <w:sz w:val="20"/>
          <w:szCs w:val="20"/>
          <w:color w:val="auto"/>
        </w:rPr>
      </w:pPr>
      <w:r>
        <w:rPr>
          <w:rFonts w:ascii="Arial" w:cs="Arial" w:eastAsia="Arial" w:hAnsi="Arial"/>
          <w:sz w:val="13"/>
          <w:szCs w:val="13"/>
          <w:color w:val="auto"/>
        </w:rPr>
        <w:t>98</w:t>
      </w:r>
    </w:p>
    <w:p>
      <w:pPr>
        <w:sectPr>
          <w:pgSz w:w="11900" w:h="16840" w:orient="portrait"/>
          <w:cols w:equalWidth="0" w:num="1">
            <w:col w:w="10580"/>
          </w:cols>
          <w:pgMar w:left="660" w:top="1440" w:right="660" w:bottom="1440" w:gutter="0" w:footer="0" w:header="0"/>
        </w:sectPr>
      </w:pPr>
    </w:p>
    <w:bookmarkStart w:id="449" w:name="page450"/>
    <w:bookmarkEnd w:id="449"/>
    <w:p>
      <w:pPr>
        <w:spacing w:after="0" w:line="331" w:lineRule="exact"/>
        <w:rPr>
          <w:sz w:val="20"/>
          <w:szCs w:val="20"/>
          <w:color w:val="auto"/>
        </w:rPr>
      </w:pPr>
    </w:p>
    <w:p>
      <w:pPr>
        <w:ind w:left="574"/>
        <w:spacing w:after="0"/>
        <w:rPr>
          <w:sz w:val="20"/>
          <w:szCs w:val="20"/>
          <w:color w:val="auto"/>
        </w:rPr>
      </w:pPr>
      <w:r>
        <w:rPr>
          <w:rFonts w:ascii="Arial" w:cs="Arial" w:eastAsia="Arial" w:hAnsi="Arial"/>
          <w:sz w:val="16"/>
          <w:szCs w:val="16"/>
          <w:color w:val="auto"/>
        </w:rPr>
        <w:t>any party be referred to an Independent Expert for determination in accordance with sub-clause 19.11 and this Schedule 9.</w:t>
      </w:r>
    </w:p>
    <w:p>
      <w:pPr>
        <w:spacing w:after="0" w:line="68" w:lineRule="exact"/>
        <w:rPr>
          <w:sz w:val="20"/>
          <w:szCs w:val="20"/>
          <w:color w:val="auto"/>
        </w:rPr>
      </w:pPr>
    </w:p>
    <w:p>
      <w:pPr>
        <w:ind w:left="574" w:hanging="574"/>
        <w:spacing w:after="0" w:line="235" w:lineRule="auto"/>
        <w:tabs>
          <w:tab w:leader="none" w:pos="562" w:val="left"/>
        </w:tabs>
        <w:numPr>
          <w:ilvl w:val="0"/>
          <w:numId w:val="499"/>
        </w:numPr>
        <w:rPr>
          <w:rFonts w:ascii="Arial" w:cs="Arial" w:eastAsia="Arial" w:hAnsi="Arial"/>
          <w:sz w:val="16"/>
          <w:szCs w:val="16"/>
          <w:color w:val="auto"/>
        </w:rPr>
      </w:pPr>
      <w:r>
        <w:rPr>
          <w:rFonts w:ascii="Arial" w:cs="Arial" w:eastAsia="Arial" w:hAnsi="Arial"/>
          <w:sz w:val="16"/>
          <w:szCs w:val="16"/>
          <w:color w:val="auto"/>
        </w:rPr>
        <w:t>Upon the agreement or determination (as the case may be) of the disputed matter(s), such draft Completion Accounts shall then be the Completion Accounts for the purposes of this Agreement.</w:t>
      </w:r>
    </w:p>
    <w:p>
      <w:pPr>
        <w:spacing w:after="0" w:line="47" w:lineRule="exact"/>
        <w:rPr>
          <w:rFonts w:ascii="Arial" w:cs="Arial" w:eastAsia="Arial" w:hAnsi="Arial"/>
          <w:sz w:val="16"/>
          <w:szCs w:val="16"/>
          <w:color w:val="auto"/>
        </w:rPr>
      </w:pPr>
    </w:p>
    <w:p>
      <w:pPr>
        <w:ind w:left="574" w:hanging="574"/>
        <w:spacing w:after="0" w:line="235" w:lineRule="auto"/>
        <w:tabs>
          <w:tab w:leader="none" w:pos="562" w:val="left"/>
        </w:tabs>
        <w:numPr>
          <w:ilvl w:val="0"/>
          <w:numId w:val="499"/>
        </w:numPr>
        <w:rPr>
          <w:rFonts w:ascii="Arial" w:cs="Arial" w:eastAsia="Arial" w:hAnsi="Arial"/>
          <w:sz w:val="16"/>
          <w:szCs w:val="16"/>
          <w:color w:val="auto"/>
        </w:rPr>
      </w:pPr>
      <w:r>
        <w:rPr>
          <w:rFonts w:ascii="Arial" w:cs="Arial" w:eastAsia="Arial" w:hAnsi="Arial"/>
          <w:sz w:val="16"/>
          <w:szCs w:val="16"/>
          <w:color w:val="auto"/>
        </w:rPr>
        <w:t>Subject to sub-clause 19.11(k), the costs of the Sellers' advisors in relation to all matters arising from this schedule shall be borne by the Sellers and the costs of the Purchaser's advisors in relation to all matters arising from this schedule shall be borne by the Purchaser.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594"/>
        <w:spacing w:after="0"/>
        <w:rPr>
          <w:sz w:val="20"/>
          <w:szCs w:val="20"/>
          <w:color w:val="auto"/>
        </w:rPr>
      </w:pPr>
      <w:r>
        <w:rPr>
          <w:rFonts w:ascii="Arial" w:cs="Arial" w:eastAsia="Arial" w:hAnsi="Arial"/>
          <w:sz w:val="10"/>
          <w:szCs w:val="10"/>
          <w:color w:val="auto"/>
        </w:rPr>
        <w:t>OC_UK/125258569.5</w:t>
      </w:r>
    </w:p>
    <w:p>
      <w:pPr>
        <w:ind w:left="4914"/>
        <w:spacing w:after="0"/>
        <w:rPr>
          <w:sz w:val="20"/>
          <w:szCs w:val="20"/>
          <w:color w:val="auto"/>
        </w:rPr>
      </w:pPr>
      <w:r>
        <w:rPr>
          <w:rFonts w:ascii="Arial" w:cs="Arial" w:eastAsia="Arial" w:hAnsi="Arial"/>
          <w:sz w:val="13"/>
          <w:szCs w:val="13"/>
          <w:color w:val="auto"/>
        </w:rPr>
        <w:t>99</w:t>
      </w:r>
    </w:p>
    <w:p>
      <w:pPr>
        <w:sectPr>
          <w:pgSz w:w="11900" w:h="16840" w:orient="portrait"/>
          <w:cols w:equalWidth="0" w:num="1">
            <w:col w:w="10554"/>
          </w:cols>
          <w:pgMar w:left="666" w:top="1440" w:right="680" w:bottom="1440" w:gutter="0" w:footer="0" w:header="0"/>
        </w:sectPr>
      </w:pPr>
    </w:p>
    <w:bookmarkStart w:id="450" w:name="page451"/>
    <w:bookmarkEnd w:id="450"/>
    <w:p>
      <w:pPr>
        <w:spacing w:after="0" w:line="329"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(Basis of Preparation)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jc w:val="center"/>
        <w:ind w:right="540"/>
        <w:spacing w:after="0"/>
        <w:rPr>
          <w:sz w:val="20"/>
          <w:szCs w:val="20"/>
          <w:color w:val="auto"/>
        </w:rPr>
      </w:pPr>
      <w:r>
        <w:rPr>
          <w:rFonts w:ascii="Arial" w:cs="Arial" w:eastAsia="Arial" w:hAnsi="Arial"/>
          <w:sz w:val="13"/>
          <w:szCs w:val="13"/>
          <w:color w:val="auto"/>
        </w:rPr>
        <w:t>100</w:t>
      </w:r>
    </w:p>
    <w:p>
      <w:pPr>
        <w:sectPr>
          <w:pgSz w:w="11900" w:h="16840" w:orient="portrait"/>
          <w:cols w:equalWidth="0" w:num="1">
            <w:col w:w="10520"/>
          </w:cols>
          <w:pgMar w:left="660" w:top="1440" w:right="720" w:bottom="1440" w:gutter="0" w:footer="0" w:header="0"/>
        </w:sectPr>
      </w:pPr>
    </w:p>
    <w:bookmarkStart w:id="451" w:name="page452"/>
    <w:bookmarkEnd w:id="451"/>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Part 3</w:t>
      </w:r>
    </w:p>
    <w:p>
      <w:pPr>
        <w:spacing w:after="0" w:line="68"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(Illustration of Cash and Debt, as at 31 October 2022)</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OC_UK/125258569.5</w:t>
      </w:r>
    </w:p>
    <w:p>
      <w:pPr>
        <w:ind w:left="4460"/>
        <w:spacing w:after="0"/>
        <w:rPr>
          <w:sz w:val="20"/>
          <w:szCs w:val="20"/>
          <w:color w:val="auto"/>
        </w:rPr>
      </w:pPr>
      <w:r>
        <w:rPr>
          <w:rFonts w:ascii="Arial" w:cs="Arial" w:eastAsia="Arial" w:hAnsi="Arial"/>
          <w:sz w:val="13"/>
          <w:szCs w:val="13"/>
          <w:color w:val="auto"/>
        </w:rPr>
        <w:t>101</w:t>
      </w:r>
    </w:p>
    <w:p>
      <w:pPr>
        <w:sectPr>
          <w:pgSz w:w="11900" w:h="16840" w:orient="portrait"/>
          <w:cols w:equalWidth="0" w:num="1">
            <w:col w:w="10440"/>
          </w:cols>
          <w:pgMar w:left="660" w:top="1440" w:right="800" w:bottom="1440" w:gutter="0" w:footer="0" w:header="0"/>
        </w:sectPr>
      </w:pPr>
    </w:p>
    <w:bookmarkStart w:id="452" w:name="page453"/>
    <w:bookmarkEnd w:id="452"/>
    <w:p>
      <w:pPr>
        <w:spacing w:after="0" w:line="32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Schedule 10</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Part 1</w:t>
      </w:r>
    </w:p>
    <w:p>
      <w:pPr>
        <w:spacing w:after="0" w:line="68"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(Calculation of Earn-out Consideration)</w:t>
      </w:r>
    </w:p>
    <w:p>
      <w:pPr>
        <w:spacing w:after="0" w:line="70" w:lineRule="exact"/>
        <w:rPr>
          <w:sz w:val="20"/>
          <w:szCs w:val="20"/>
          <w:color w:val="auto"/>
        </w:rPr>
      </w:pPr>
    </w:p>
    <w:p>
      <w:pPr>
        <w:ind w:left="580" w:hanging="574"/>
        <w:spacing w:after="0"/>
        <w:tabs>
          <w:tab w:leader="none" w:pos="580" w:val="left"/>
        </w:tabs>
        <w:numPr>
          <w:ilvl w:val="0"/>
          <w:numId w:val="500"/>
        </w:numPr>
        <w:rPr>
          <w:rFonts w:ascii="Arial" w:cs="Arial" w:eastAsia="Arial" w:hAnsi="Arial"/>
          <w:sz w:val="16"/>
          <w:szCs w:val="16"/>
          <w:color w:val="auto"/>
        </w:rPr>
      </w:pPr>
      <w:r>
        <w:rPr>
          <w:rFonts w:ascii="Arial" w:cs="Arial" w:eastAsia="Arial" w:hAnsi="Arial"/>
          <w:sz w:val="16"/>
          <w:szCs w:val="16"/>
          <w:color w:val="auto"/>
        </w:rPr>
        <w:t>For the purposes of this Schedule 10, the following definitions shall apply:</w:t>
      </w:r>
    </w:p>
    <w:p>
      <w:pPr>
        <w:spacing w:after="0" w:line="66" w:lineRule="exact"/>
        <w:rPr>
          <w:rFonts w:ascii="Arial" w:cs="Arial" w:eastAsia="Arial" w:hAnsi="Arial"/>
          <w:sz w:val="16"/>
          <w:szCs w:val="16"/>
          <w:color w:val="auto"/>
        </w:rPr>
      </w:pPr>
    </w:p>
    <w:p>
      <w:pPr>
        <w:ind w:left="580" w:right="20"/>
        <w:spacing w:after="0" w:line="236" w:lineRule="auto"/>
        <w:rPr>
          <w:rFonts w:ascii="Arial" w:cs="Arial" w:eastAsia="Arial" w:hAnsi="Arial"/>
          <w:sz w:val="16"/>
          <w:szCs w:val="16"/>
          <w:color w:val="auto"/>
        </w:rPr>
      </w:pPr>
      <w:r>
        <w:rPr>
          <w:rFonts w:ascii="Arial" w:cs="Arial" w:eastAsia="Arial" w:hAnsi="Arial"/>
          <w:sz w:val="16"/>
          <w:szCs w:val="16"/>
          <w:b w:val="1"/>
          <w:bCs w:val="1"/>
          <w:color w:val="auto"/>
        </w:rPr>
        <w:t xml:space="preserve">"Aggregate Earn-out Payment" </w:t>
      </w:r>
      <w:r>
        <w:rPr>
          <w:rFonts w:ascii="Arial" w:cs="Arial" w:eastAsia="Arial" w:hAnsi="Arial"/>
          <w:sz w:val="16"/>
          <w:szCs w:val="16"/>
          <w:color w:val="auto"/>
        </w:rPr>
        <w:t>means the aggregate of the Earn-out Consideration payable in cash to the Sellers entitled to receive the Earn-out Consideration in accordance with this Schedule 10.</w:t>
      </w:r>
    </w:p>
    <w:p>
      <w:pPr>
        <w:spacing w:after="0" w:line="46" w:lineRule="exact"/>
        <w:rPr>
          <w:rFonts w:ascii="Arial" w:cs="Arial" w:eastAsia="Arial" w:hAnsi="Arial"/>
          <w:sz w:val="16"/>
          <w:szCs w:val="16"/>
          <w:color w:val="auto"/>
        </w:rPr>
      </w:pPr>
    </w:p>
    <w:p>
      <w:pPr>
        <w:ind w:left="580" w:right="3120"/>
        <w:spacing w:after="0" w:line="328" w:lineRule="auto"/>
        <w:rPr>
          <w:rFonts w:ascii="Arial" w:cs="Arial" w:eastAsia="Arial" w:hAnsi="Arial"/>
          <w:sz w:val="16"/>
          <w:szCs w:val="16"/>
          <w:color w:val="auto"/>
        </w:rPr>
      </w:pPr>
      <w:r>
        <w:rPr>
          <w:rFonts w:ascii="Arial" w:cs="Arial" w:eastAsia="Arial" w:hAnsi="Arial"/>
          <w:sz w:val="16"/>
          <w:szCs w:val="16"/>
          <w:b w:val="1"/>
          <w:bCs w:val="1"/>
          <w:color w:val="auto"/>
        </w:rPr>
        <w:t xml:space="preserve">"Budget" </w:t>
      </w:r>
      <w:r>
        <w:rPr>
          <w:rFonts w:ascii="Arial" w:cs="Arial" w:eastAsia="Arial" w:hAnsi="Arial"/>
          <w:sz w:val="16"/>
          <w:szCs w:val="16"/>
          <w:color w:val="auto"/>
        </w:rPr>
        <w:t>means any operating and capital budget and cash flow forecast of the Group Companies.</w:t>
      </w:r>
      <w:r>
        <w:rPr>
          <w:rFonts w:ascii="Arial" w:cs="Arial" w:eastAsia="Arial" w:hAnsi="Arial"/>
          <w:sz w:val="16"/>
          <w:szCs w:val="16"/>
          <w:b w:val="1"/>
          <w:bCs w:val="1"/>
          <w:color w:val="auto"/>
        </w:rPr>
        <w:t xml:space="preserve"> "Business Plan" </w:t>
      </w:r>
      <w:r>
        <w:rPr>
          <w:rFonts w:ascii="Arial" w:cs="Arial" w:eastAsia="Arial" w:hAnsi="Arial"/>
          <w:sz w:val="16"/>
          <w:szCs w:val="16"/>
          <w:color w:val="auto"/>
        </w:rPr>
        <w:t>means any business plan of the Group Companies.</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b w:val="1"/>
          <w:bCs w:val="1"/>
          <w:color w:val="auto"/>
        </w:rPr>
        <w:t xml:space="preserve">"Earn-out Consideration" </w:t>
      </w:r>
      <w:r>
        <w:rPr>
          <w:rFonts w:ascii="Arial" w:cs="Arial" w:eastAsia="Arial" w:hAnsi="Arial"/>
          <w:sz w:val="16"/>
          <w:szCs w:val="16"/>
          <w:color w:val="auto"/>
        </w:rPr>
        <w:t>means the aggregate of:</w:t>
      </w:r>
    </w:p>
    <w:p>
      <w:pPr>
        <w:spacing w:after="0" w:line="70" w:lineRule="exact"/>
        <w:rPr>
          <w:rFonts w:ascii="Arial" w:cs="Arial" w:eastAsia="Arial" w:hAnsi="Arial"/>
          <w:sz w:val="16"/>
          <w:szCs w:val="16"/>
          <w:color w:val="auto"/>
        </w:rPr>
      </w:pPr>
    </w:p>
    <w:p>
      <w:pPr>
        <w:ind w:left="1140" w:hanging="558"/>
        <w:spacing w:after="0"/>
        <w:tabs>
          <w:tab w:leader="none" w:pos="114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the Employee Earn-out Payment (if any);</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the IND Earn-out Payment (if any);</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the Project Earn-out Payment (if any);</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the Publication Earn-out Payment (if any);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1"/>
          <w:numId w:val="500"/>
        </w:numPr>
        <w:rPr>
          <w:rFonts w:ascii="Arial" w:cs="Arial" w:eastAsia="Arial" w:hAnsi="Arial"/>
          <w:sz w:val="16"/>
          <w:szCs w:val="16"/>
          <w:color w:val="auto"/>
        </w:rPr>
      </w:pPr>
      <w:r>
        <w:rPr>
          <w:rFonts w:ascii="Arial" w:cs="Arial" w:eastAsia="Arial" w:hAnsi="Arial"/>
          <w:sz w:val="16"/>
          <w:szCs w:val="16"/>
          <w:color w:val="auto"/>
        </w:rPr>
        <w:t>the QR Earn-out Payment (if any),</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 to a maximum payment equal to the pro-rata amount of £[***].</w:t>
      </w:r>
    </w:p>
    <w:p>
      <w:pPr>
        <w:spacing w:after="0" w:line="66" w:lineRule="exact"/>
        <w:rPr>
          <w:sz w:val="20"/>
          <w:szCs w:val="20"/>
          <w:color w:val="auto"/>
        </w:rPr>
      </w:pPr>
    </w:p>
    <w:p>
      <w:pPr>
        <w:ind w:left="580" w:right="20"/>
        <w:spacing w:after="0" w:line="236" w:lineRule="auto"/>
        <w:rPr>
          <w:sz w:val="20"/>
          <w:szCs w:val="20"/>
          <w:color w:val="auto"/>
        </w:rPr>
      </w:pPr>
      <w:r>
        <w:rPr>
          <w:rFonts w:ascii="Arial" w:cs="Arial" w:eastAsia="Arial" w:hAnsi="Arial"/>
          <w:sz w:val="16"/>
          <w:szCs w:val="16"/>
          <w:b w:val="1"/>
          <w:bCs w:val="1"/>
          <w:color w:val="auto"/>
        </w:rPr>
        <w:t xml:space="preserve">"Employee Earn-out Payment" </w:t>
      </w:r>
      <w:r>
        <w:rPr>
          <w:rFonts w:ascii="Arial" w:cs="Arial" w:eastAsia="Arial" w:hAnsi="Arial"/>
          <w:sz w:val="16"/>
          <w:szCs w:val="16"/>
          <w:color w:val="auto"/>
        </w:rPr>
        <w:t>means the aggregate payment of up to the pro-rata amount of £[***], to be paid in up to [***] equal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each tranche being conditional upon satisfaction of an Employment Milestone.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"Employment Milestone" </w:t>
      </w:r>
      <w:r>
        <w:rPr>
          <w:rFonts w:ascii="Arial" w:cs="Arial" w:eastAsia="Arial" w:hAnsi="Arial"/>
          <w:sz w:val="16"/>
          <w:szCs w:val="16"/>
          <w:color w:val="auto"/>
        </w:rPr>
        <w:t>means each of the following employment related milestones:</w:t>
      </w:r>
    </w:p>
    <w:p>
      <w:pPr>
        <w:spacing w:after="0" w:line="70" w:lineRule="exact"/>
        <w:rPr>
          <w:sz w:val="20"/>
          <w:szCs w:val="20"/>
          <w:color w:val="auto"/>
        </w:rPr>
      </w:pPr>
    </w:p>
    <w:p>
      <w:pPr>
        <w:ind w:left="1140" w:hanging="558"/>
        <w:spacing w:after="0"/>
        <w:tabs>
          <w:tab w:leader="none" w:pos="114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each of the following executives of the Group remain employed by the Purchaser or the Group for the duration of the Earn-out Period:</w:t>
      </w:r>
    </w:p>
    <w:p>
      <w:pPr>
        <w:spacing w:after="0" w:line="68" w:lineRule="exact"/>
        <w:rPr>
          <w:rFonts w:ascii="Arial" w:cs="Arial" w:eastAsia="Arial" w:hAnsi="Arial"/>
          <w:sz w:val="16"/>
          <w:szCs w:val="16"/>
          <w:color w:val="auto"/>
        </w:rPr>
      </w:pPr>
    </w:p>
    <w:p>
      <w:pPr>
        <w:ind w:left="1740" w:hanging="582"/>
        <w:spacing w:after="0"/>
        <w:tabs>
          <w:tab w:leader="none" w:pos="174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 and</w:t>
      </w:r>
    </w:p>
    <w:p>
      <w:pPr>
        <w:spacing w:after="0" w:line="68" w:lineRule="exact"/>
        <w:rPr>
          <w:rFonts w:ascii="Arial" w:cs="Arial" w:eastAsia="Arial" w:hAnsi="Arial"/>
          <w:sz w:val="16"/>
          <w:szCs w:val="16"/>
          <w:color w:val="auto"/>
        </w:rPr>
      </w:pPr>
    </w:p>
    <w:p>
      <w:pPr>
        <w:ind w:left="1720" w:hanging="562"/>
        <w:spacing w:after="0"/>
        <w:tabs>
          <w:tab w:leader="none" w:pos="1720" w:val="left"/>
        </w:tabs>
        <w:numPr>
          <w:ilvl w:val="1"/>
          <w:numId w:val="501"/>
        </w:numPr>
        <w:rPr>
          <w:rFonts w:ascii="Arial" w:cs="Arial" w:eastAsia="Arial" w:hAnsi="Arial"/>
          <w:sz w:val="16"/>
          <w:szCs w:val="16"/>
          <w:color w:val="auto"/>
        </w:rPr>
      </w:pP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no less than [***]% of the Key Employees remain employed by the Purchaser or the Group for the duration of Earn-Out Period; and</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the Hiring Target being achieved in accordance with the terms and conditions set out therein,</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(together the </w:t>
      </w:r>
      <w:r>
        <w:rPr>
          <w:rFonts w:ascii="Arial" w:cs="Arial" w:eastAsia="Arial" w:hAnsi="Arial"/>
          <w:sz w:val="16"/>
          <w:szCs w:val="16"/>
          <w:b w:val="1"/>
          <w:bCs w:val="1"/>
          <w:color w:val="auto"/>
        </w:rPr>
        <w:t>"Employment Milestones"</w:t>
      </w:r>
      <w:r>
        <w:rPr>
          <w:rFonts w:ascii="Arial" w:cs="Arial" w:eastAsia="Arial" w:hAnsi="Arial"/>
          <w:sz w:val="16"/>
          <w:szCs w:val="16"/>
          <w:color w:val="auto"/>
        </w:rPr>
        <w:t xml:space="preserve"> and each an </w:t>
      </w:r>
      <w:r>
        <w:rPr>
          <w:rFonts w:ascii="Arial" w:cs="Arial" w:eastAsia="Arial" w:hAnsi="Arial"/>
          <w:sz w:val="16"/>
          <w:szCs w:val="16"/>
          <w:b w:val="1"/>
          <w:bCs w:val="1"/>
          <w:color w:val="auto"/>
        </w:rPr>
        <w:t>"Employment Milestone"</w:t>
      </w:r>
      <w:r>
        <w:rPr>
          <w:rFonts w:ascii="Arial" w:cs="Arial" w:eastAsia="Arial" w:hAnsi="Arial"/>
          <w:sz w:val="16"/>
          <w:szCs w:val="16"/>
          <w:color w:val="auto"/>
        </w:rPr>
        <w:t>).</w:t>
      </w:r>
    </w:p>
    <w:p>
      <w:pPr>
        <w:spacing w:after="0" w:line="68" w:lineRule="exact"/>
        <w:rPr>
          <w:sz w:val="20"/>
          <w:szCs w:val="20"/>
          <w:color w:val="auto"/>
        </w:rPr>
      </w:pPr>
    </w:p>
    <w:p>
      <w:pPr>
        <w:jc w:val="both"/>
        <w:ind w:left="580"/>
        <w:spacing w:after="0" w:line="216" w:lineRule="auto"/>
        <w:rPr>
          <w:sz w:val="20"/>
          <w:szCs w:val="20"/>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means, in respect of revenue of the Group, the amount equal to (i) the difference between revenue of the sale of a product or a</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and direct costs related to such product or service sold (which direct costs are the salaries and other direct HR costs of the individuals working on such products or services (pro-rata to the time spent on the relevant project), the costs of delivery and/or distribution, costs of customer support services to the extent such customer support services are covered by revenues received, and the cost of cloud or internal cluster provision in connection with the relevant product or service); divided by (ii) revenue of the sale of such product or service.</w:t>
      </w:r>
    </w:p>
    <w:p>
      <w:pPr>
        <w:spacing w:after="0" w:line="48" w:lineRule="exact"/>
        <w:rPr>
          <w:sz w:val="20"/>
          <w:szCs w:val="20"/>
          <w:color w:val="auto"/>
        </w:rPr>
      </w:pPr>
    </w:p>
    <w:p>
      <w:pPr>
        <w:jc w:val="both"/>
        <w:ind w:left="580"/>
        <w:spacing w:after="0" w:line="225" w:lineRule="auto"/>
        <w:rPr>
          <w:sz w:val="20"/>
          <w:szCs w:val="20"/>
          <w:color w:val="auto"/>
        </w:rPr>
      </w:pPr>
      <w:r>
        <w:rPr>
          <w:rFonts w:ascii="Arial" w:cs="Arial" w:eastAsia="Arial" w:hAnsi="Arial"/>
          <w:sz w:val="16"/>
          <w:szCs w:val="16"/>
          <w:b w:val="1"/>
          <w:bCs w:val="1"/>
          <w:color w:val="auto"/>
        </w:rPr>
        <w:t xml:space="preserve">"Hiring Target" </w:t>
      </w:r>
      <w:r>
        <w:rPr>
          <w:rFonts w:ascii="Arial" w:cs="Arial" w:eastAsia="Arial" w:hAnsi="Arial"/>
          <w:sz w:val="16"/>
          <w:szCs w:val="16"/>
          <w:color w:val="auto"/>
        </w:rPr>
        <w:t>means the Group, by the end of the [***] year period following Completion, employing in aggregate [***] full-time employees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avoidance of doubt excluding interns), or such other number of employees as may agreed from time to time in writing between the FME Shareholders' Representative and the Purchaser.</w:t>
      </w:r>
    </w:p>
    <w:p>
      <w:pPr>
        <w:spacing w:after="0" w:line="47" w:lineRule="exact"/>
        <w:rPr>
          <w:sz w:val="20"/>
          <w:szCs w:val="20"/>
          <w:color w:val="auto"/>
        </w:rPr>
      </w:pPr>
    </w:p>
    <w:p>
      <w:pPr>
        <w:jc w:val="both"/>
        <w:ind w:left="580"/>
        <w:spacing w:after="0" w:line="236" w:lineRule="auto"/>
        <w:rPr>
          <w:sz w:val="20"/>
          <w:szCs w:val="20"/>
          <w:color w:val="auto"/>
        </w:rPr>
      </w:pPr>
      <w:r>
        <w:rPr>
          <w:rFonts w:ascii="Arial" w:cs="Arial" w:eastAsia="Arial" w:hAnsi="Arial"/>
          <w:sz w:val="16"/>
          <w:szCs w:val="16"/>
          <w:b w:val="1"/>
          <w:bCs w:val="1"/>
          <w:color w:val="auto"/>
        </w:rPr>
        <w:t xml:space="preserve">"IND Earn-out Payment" </w:t>
      </w:r>
      <w:r>
        <w:rPr>
          <w:rFonts w:ascii="Arial" w:cs="Arial" w:eastAsia="Arial" w:hAnsi="Arial"/>
          <w:sz w:val="16"/>
          <w:szCs w:val="16"/>
          <w:color w:val="auto"/>
        </w:rPr>
        <w:t>means the maximum aggregate payment of up to the pro-rata amount of £[***], to be paid in tranches of £[***], each</w:t>
      </w:r>
      <w:r>
        <w:rPr>
          <w:rFonts w:ascii="Arial" w:cs="Arial" w:eastAsia="Arial" w:hAnsi="Arial"/>
          <w:sz w:val="16"/>
          <w:szCs w:val="16"/>
          <w:b w:val="1"/>
          <w:bCs w:val="1"/>
          <w:color w:val="auto"/>
        </w:rPr>
        <w:t xml:space="preserve"> </w:t>
      </w:r>
      <w:r>
        <w:rPr>
          <w:rFonts w:ascii="Arial" w:cs="Arial" w:eastAsia="Arial" w:hAnsi="Arial"/>
          <w:sz w:val="16"/>
          <w:szCs w:val="16"/>
          <w:color w:val="auto"/>
        </w:rPr>
        <w:t>tranche being conditional upon satisfaction of one IND Milestone [***].</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"IND Milestones" </w:t>
      </w:r>
      <w:r>
        <w:rPr>
          <w:rFonts w:ascii="Arial" w:cs="Arial" w:eastAsia="Arial" w:hAnsi="Arial"/>
          <w:sz w:val="16"/>
          <w:szCs w:val="16"/>
          <w:color w:val="auto"/>
        </w:rPr>
        <w:t>means, [***].</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"Lighthouse Projects" </w:t>
      </w:r>
      <w:r>
        <w:rPr>
          <w:rFonts w:ascii="Arial" w:cs="Arial" w:eastAsia="Arial" w:hAnsi="Arial"/>
          <w:sz w:val="16"/>
          <w:szCs w:val="16"/>
          <w:color w:val="auto"/>
        </w:rPr>
        <w:t>means [***] (and examples of such Lighthouse Projects include [***]).</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"Milestones" </w:t>
      </w:r>
      <w:r>
        <w:rPr>
          <w:rFonts w:ascii="Arial" w:cs="Arial" w:eastAsia="Arial" w:hAnsi="Arial"/>
          <w:sz w:val="16"/>
          <w:szCs w:val="16"/>
          <w:color w:val="auto"/>
        </w:rPr>
        <w:t>means:</w:t>
      </w:r>
    </w:p>
    <w:p>
      <w:pPr>
        <w:spacing w:after="0" w:line="70" w:lineRule="exact"/>
        <w:rPr>
          <w:sz w:val="20"/>
          <w:szCs w:val="20"/>
          <w:color w:val="auto"/>
        </w:rPr>
      </w:pPr>
    </w:p>
    <w:p>
      <w:pPr>
        <w:ind w:left="1140" w:hanging="558"/>
        <w:spacing w:after="0"/>
        <w:tabs>
          <w:tab w:leader="none" w:pos="114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Employment Milestones;</w:t>
      </w: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102</w:t>
      </w:r>
    </w:p>
    <w:p>
      <w:pPr>
        <w:sectPr>
          <w:pgSz w:w="11900" w:h="16840" w:orient="portrait"/>
          <w:cols w:equalWidth="0" w:num="1">
            <w:col w:w="10580"/>
          </w:cols>
          <w:pgMar w:left="660" w:top="1440" w:right="660" w:bottom="1440" w:gutter="0" w:footer="0" w:header="0"/>
        </w:sectPr>
      </w:pPr>
    </w:p>
    <w:bookmarkStart w:id="453" w:name="page454"/>
    <w:bookmarkEnd w:id="453"/>
    <w:p>
      <w:pPr>
        <w:spacing w:after="0" w:line="331" w:lineRule="exact"/>
        <w:rPr>
          <w:sz w:val="20"/>
          <w:szCs w:val="20"/>
          <w:color w:val="auto"/>
        </w:rPr>
      </w:pPr>
    </w:p>
    <w:p>
      <w:pPr>
        <w:ind w:left="1140" w:hanging="558"/>
        <w:spacing w:after="0"/>
        <w:tabs>
          <w:tab w:leader="none" w:pos="11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IND Milestones;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Project Milestones;</w:t>
      </w:r>
    </w:p>
    <w:p>
      <w:pPr>
        <w:spacing w:after="0" w:line="68" w:lineRule="exact"/>
        <w:rPr>
          <w:rFonts w:ascii="Arial" w:cs="Arial" w:eastAsia="Arial" w:hAnsi="Arial"/>
          <w:sz w:val="16"/>
          <w:szCs w:val="16"/>
          <w:color w:val="auto"/>
        </w:rPr>
      </w:pPr>
    </w:p>
    <w:p>
      <w:pPr>
        <w:ind w:left="1140" w:hanging="558"/>
        <w:spacing w:after="0"/>
        <w:tabs>
          <w:tab w:leader="none" w:pos="11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Publication Milestones; and</w:t>
      </w:r>
    </w:p>
    <w:p>
      <w:pPr>
        <w:spacing w:after="0" w:line="68" w:lineRule="exact"/>
        <w:rPr>
          <w:rFonts w:ascii="Arial" w:cs="Arial" w:eastAsia="Arial" w:hAnsi="Arial"/>
          <w:sz w:val="16"/>
          <w:szCs w:val="16"/>
          <w:color w:val="auto"/>
        </w:rPr>
      </w:pPr>
    </w:p>
    <w:p>
      <w:pPr>
        <w:ind w:left="580" w:right="6540" w:firstLine="2"/>
        <w:spacing w:after="0" w:line="374" w:lineRule="auto"/>
        <w:tabs>
          <w:tab w:leader="none" w:pos="1144" w:val="left"/>
        </w:tabs>
        <w:numPr>
          <w:ilvl w:val="0"/>
          <w:numId w:val="503"/>
        </w:numPr>
        <w:rPr>
          <w:rFonts w:ascii="Arial" w:cs="Arial" w:eastAsia="Arial" w:hAnsi="Arial"/>
          <w:sz w:val="14"/>
          <w:szCs w:val="14"/>
          <w:color w:val="auto"/>
        </w:rPr>
      </w:pPr>
      <w:r>
        <w:rPr>
          <w:rFonts w:ascii="Arial" w:cs="Arial" w:eastAsia="Arial" w:hAnsi="Arial"/>
          <w:sz w:val="14"/>
          <w:szCs w:val="14"/>
          <w:color w:val="auto"/>
        </w:rPr>
        <w:t xml:space="preserve">milestones for the QR Earn-Out Payment, and </w:t>
      </w:r>
      <w:r>
        <w:rPr>
          <w:rFonts w:ascii="Arial" w:cs="Arial" w:eastAsia="Arial" w:hAnsi="Arial"/>
          <w:sz w:val="14"/>
          <w:szCs w:val="14"/>
          <w:b w:val="1"/>
          <w:bCs w:val="1"/>
          <w:color w:val="auto"/>
        </w:rPr>
        <w:t>"Milestone"</w:t>
      </w:r>
      <w:r>
        <w:rPr>
          <w:rFonts w:ascii="Arial" w:cs="Arial" w:eastAsia="Arial" w:hAnsi="Arial"/>
          <w:sz w:val="14"/>
          <w:szCs w:val="14"/>
          <w:color w:val="auto"/>
        </w:rPr>
        <w:t xml:space="preserve"> means each of them.</w:t>
      </w:r>
    </w:p>
    <w:p>
      <w:pPr>
        <w:ind w:left="580" w:right="20"/>
        <w:spacing w:after="0" w:line="236" w:lineRule="auto"/>
        <w:rPr>
          <w:sz w:val="20"/>
          <w:szCs w:val="20"/>
          <w:color w:val="auto"/>
        </w:rPr>
      </w:pPr>
      <w:r>
        <w:rPr>
          <w:rFonts w:ascii="Arial" w:cs="Arial" w:eastAsia="Arial" w:hAnsi="Arial"/>
          <w:sz w:val="16"/>
          <w:szCs w:val="16"/>
          <w:b w:val="1"/>
          <w:bCs w:val="1"/>
          <w:color w:val="auto"/>
        </w:rPr>
        <w:t xml:space="preserve">"Project Earn-out Payment" </w:t>
      </w:r>
      <w:r>
        <w:rPr>
          <w:rFonts w:ascii="Arial" w:cs="Arial" w:eastAsia="Arial" w:hAnsi="Arial"/>
          <w:sz w:val="16"/>
          <w:szCs w:val="16"/>
          <w:color w:val="auto"/>
        </w:rPr>
        <w:t>means the maximum aggregate payment of up to the pro-rata amount of £[***], to be paid in equal tranches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amount divided by [***], each tranche being conditional upon satisfaction of one Project Milestone.</w:t>
      </w:r>
    </w:p>
    <w:p>
      <w:pPr>
        <w:spacing w:after="0" w:line="46" w:lineRule="exact"/>
        <w:rPr>
          <w:sz w:val="20"/>
          <w:szCs w:val="20"/>
          <w:color w:val="auto"/>
        </w:rPr>
      </w:pPr>
    </w:p>
    <w:p>
      <w:pPr>
        <w:ind w:left="580" w:right="20"/>
        <w:spacing w:after="0" w:line="244" w:lineRule="auto"/>
        <w:rPr>
          <w:sz w:val="20"/>
          <w:szCs w:val="20"/>
          <w:color w:val="auto"/>
        </w:rPr>
      </w:pPr>
      <w:r>
        <w:rPr>
          <w:rFonts w:ascii="Arial" w:cs="Arial" w:eastAsia="Arial" w:hAnsi="Arial"/>
          <w:sz w:val="16"/>
          <w:szCs w:val="16"/>
          <w:b w:val="1"/>
          <w:bCs w:val="1"/>
          <w:color w:val="auto"/>
        </w:rPr>
        <w:t xml:space="preserve">"Project Milestones" </w:t>
      </w:r>
      <w:r>
        <w:rPr>
          <w:rFonts w:ascii="Arial" w:cs="Arial" w:eastAsia="Arial" w:hAnsi="Arial"/>
          <w:sz w:val="16"/>
          <w:szCs w:val="16"/>
          <w:color w:val="auto"/>
        </w:rPr>
        <w:t>means completion of Lighthouse Projects during the Earn-Out Period, each of which Lighthouse Project satisfies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following requirements (each a </w:t>
      </w:r>
      <w:r>
        <w:rPr>
          <w:rFonts w:ascii="Arial" w:cs="Arial" w:eastAsia="Arial" w:hAnsi="Arial"/>
          <w:sz w:val="16"/>
          <w:szCs w:val="16"/>
          <w:b w:val="1"/>
          <w:bCs w:val="1"/>
          <w:color w:val="auto"/>
        </w:rPr>
        <w:t>"Project Milestone"</w:t>
      </w:r>
      <w:r>
        <w:rPr>
          <w:rFonts w:ascii="Arial" w:cs="Arial" w:eastAsia="Arial" w:hAnsi="Arial"/>
          <w:sz w:val="16"/>
          <w:szCs w:val="16"/>
          <w:color w:val="auto"/>
        </w:rPr>
        <w:t>):</w:t>
      </w:r>
    </w:p>
    <w:p>
      <w:pPr>
        <w:spacing w:after="0" w:line="34" w:lineRule="exact"/>
        <w:rPr>
          <w:sz w:val="20"/>
          <w:szCs w:val="20"/>
          <w:color w:val="auto"/>
        </w:rPr>
      </w:pPr>
    </w:p>
    <w:p>
      <w:pPr>
        <w:ind w:left="1160" w:right="20" w:hanging="578"/>
        <w:spacing w:after="0" w:line="236" w:lineRule="auto"/>
        <w:tabs>
          <w:tab w:leader="none" w:pos="1148" w:val="left"/>
        </w:tabs>
        <w:numPr>
          <w:ilvl w:val="0"/>
          <w:numId w:val="504"/>
        </w:numPr>
        <w:rPr>
          <w:rFonts w:ascii="Arial" w:cs="Arial" w:eastAsia="Arial" w:hAnsi="Arial"/>
          <w:sz w:val="16"/>
          <w:szCs w:val="16"/>
          <w:color w:val="auto"/>
        </w:rPr>
      </w:pPr>
      <w:r>
        <w:rPr>
          <w:rFonts w:ascii="Arial" w:cs="Arial" w:eastAsia="Arial" w:hAnsi="Arial"/>
          <w:sz w:val="16"/>
          <w:szCs w:val="16"/>
          <w:color w:val="auto"/>
        </w:rPr>
        <w:t xml:space="preserve">the Lighthouse Project must utilise no less than the equivalent of [***] Working Days where each </w:t>
      </w:r>
      <w:r>
        <w:rPr>
          <w:rFonts w:ascii="Arial" w:cs="Arial" w:eastAsia="Arial" w:hAnsi="Arial"/>
          <w:sz w:val="16"/>
          <w:szCs w:val="16"/>
          <w:b w:val="1"/>
          <w:bCs w:val="1"/>
          <w:color w:val="auto"/>
        </w:rPr>
        <w:t>"Working Day"</w:t>
      </w:r>
      <w:r>
        <w:rPr>
          <w:rFonts w:ascii="Arial" w:cs="Arial" w:eastAsia="Arial" w:hAnsi="Arial"/>
          <w:sz w:val="16"/>
          <w:szCs w:val="16"/>
          <w:color w:val="auto"/>
        </w:rPr>
        <w:t xml:space="preserve"> is defined as an employee of the Company working on a full-time basis during normal business hours on a business day;</w:t>
      </w:r>
    </w:p>
    <w:p>
      <w:pPr>
        <w:spacing w:after="0" w:line="48" w:lineRule="exact"/>
        <w:rPr>
          <w:rFonts w:ascii="Arial" w:cs="Arial" w:eastAsia="Arial" w:hAnsi="Arial"/>
          <w:sz w:val="16"/>
          <w:szCs w:val="16"/>
          <w:color w:val="auto"/>
        </w:rPr>
      </w:pPr>
    </w:p>
    <w:p>
      <w:pPr>
        <w:ind w:left="1140" w:hanging="558"/>
        <w:spacing w:after="0"/>
        <w:tabs>
          <w:tab w:leader="none" w:pos="114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Lighthouse Project must not utilise [***];</w:t>
      </w:r>
    </w:p>
    <w:p>
      <w:pPr>
        <w:spacing w:after="0" w:line="68" w:lineRule="exact"/>
        <w:rPr>
          <w:rFonts w:ascii="Arial" w:cs="Arial" w:eastAsia="Arial" w:hAnsi="Arial"/>
          <w:sz w:val="16"/>
          <w:szCs w:val="16"/>
          <w:color w:val="auto"/>
        </w:rPr>
      </w:pPr>
    </w:p>
    <w:p>
      <w:pPr>
        <w:ind w:left="1160" w:right="20" w:hanging="578"/>
        <w:spacing w:after="0" w:line="235" w:lineRule="auto"/>
        <w:tabs>
          <w:tab w:leader="none" w:pos="1148"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Lighthouse Project must achieve its written, quantifiable success objectives, in each case defined prior to initiation of the relevant Lighthouse Project, and any final reports and project deliverables are actually delivered; and</w:t>
      </w:r>
    </w:p>
    <w:p>
      <w:pPr>
        <w:spacing w:after="0" w:line="47" w:lineRule="exact"/>
        <w:rPr>
          <w:rFonts w:ascii="Arial" w:cs="Arial" w:eastAsia="Arial" w:hAnsi="Arial"/>
          <w:sz w:val="16"/>
          <w:szCs w:val="16"/>
          <w:color w:val="auto"/>
        </w:rPr>
      </w:pPr>
    </w:p>
    <w:p>
      <w:pPr>
        <w:jc w:val="both"/>
        <w:ind w:left="1160" w:hanging="578"/>
        <w:spacing w:after="0" w:line="265" w:lineRule="auto"/>
        <w:tabs>
          <w:tab w:leader="none" w:pos="1148" w:val="left"/>
        </w:tabs>
        <w:numPr>
          <w:ilvl w:val="0"/>
          <w:numId w:val="504"/>
        </w:numPr>
        <w:rPr>
          <w:rFonts w:ascii="Arial" w:cs="Arial" w:eastAsia="Arial" w:hAnsi="Arial"/>
          <w:sz w:val="14"/>
          <w:szCs w:val="14"/>
          <w:color w:val="auto"/>
        </w:rPr>
      </w:pPr>
      <w:r>
        <w:rPr>
          <w:rFonts w:ascii="Arial" w:cs="Arial" w:eastAsia="Arial" w:hAnsi="Arial"/>
          <w:sz w:val="14"/>
          <w:szCs w:val="14"/>
          <w:color w:val="auto"/>
        </w:rPr>
        <w:t>such other project-specific targets as may be agreed in writing between the FME Shareholders' Representative and the Purchaser from time to time (for the avoidance of doubt, if no additional project-specific targets have been so agreed in writing, then the Project Milestone shall otherwise be achieved if the relevant Lighthouse Project satisfies the requirements in items (a) to (c) (inclusive) above),</w:t>
      </w:r>
    </w:p>
    <w:p>
      <w:pPr>
        <w:spacing w:after="0" w:line="31" w:lineRule="exact"/>
        <w:rPr>
          <w:sz w:val="20"/>
          <w:szCs w:val="20"/>
          <w:color w:val="auto"/>
        </w:rPr>
      </w:pPr>
    </w:p>
    <w:p>
      <w:pPr>
        <w:jc w:val="both"/>
        <w:ind w:left="580"/>
        <w:spacing w:after="0" w:line="224" w:lineRule="auto"/>
        <w:rPr>
          <w:sz w:val="20"/>
          <w:szCs w:val="20"/>
          <w:color w:val="auto"/>
        </w:rPr>
      </w:pPr>
      <w:r>
        <w:rPr>
          <w:rFonts w:ascii="Arial" w:cs="Arial" w:eastAsia="Arial" w:hAnsi="Arial"/>
          <w:sz w:val="16"/>
          <w:szCs w:val="16"/>
          <w:color w:val="auto"/>
        </w:rPr>
        <w:t>provided that if the same Lighthouse Project spans over [***] years, it shall be counted up to [***] times, one for each [***] days' time-period, beginning on Completion and ending on the [***] anniversary of Completion, provided that the requirements at paragraphs (a) to (d) above are met in respect of each relevant [***] day time-period during which the Lighthouse Project occurs.</w:t>
      </w:r>
    </w:p>
    <w:p>
      <w:pPr>
        <w:spacing w:after="0" w:line="47" w:lineRule="exact"/>
        <w:rPr>
          <w:sz w:val="20"/>
          <w:szCs w:val="20"/>
          <w:color w:val="auto"/>
        </w:rPr>
      </w:pPr>
    </w:p>
    <w:p>
      <w:pPr>
        <w:jc w:val="both"/>
        <w:ind w:left="580" w:right="20"/>
        <w:spacing w:after="0" w:line="236" w:lineRule="auto"/>
        <w:rPr>
          <w:sz w:val="20"/>
          <w:szCs w:val="20"/>
          <w:color w:val="auto"/>
        </w:rPr>
      </w:pPr>
      <w:r>
        <w:rPr>
          <w:rFonts w:ascii="Arial" w:cs="Arial" w:eastAsia="Arial" w:hAnsi="Arial"/>
          <w:sz w:val="16"/>
          <w:szCs w:val="16"/>
          <w:b w:val="1"/>
          <w:bCs w:val="1"/>
          <w:color w:val="auto"/>
        </w:rPr>
        <w:t xml:space="preserve">"Publication Earn- out Payment" </w:t>
      </w:r>
      <w:r>
        <w:rPr>
          <w:rFonts w:ascii="Arial" w:cs="Arial" w:eastAsia="Arial" w:hAnsi="Arial"/>
          <w:sz w:val="16"/>
          <w:szCs w:val="16"/>
          <w:color w:val="auto"/>
        </w:rPr>
        <w:t>means the maximum aggregate payment of up to the pro-rata amount of £[***], to be paid in [***]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each tranche being conditional upon satisfaction of a Publication Milestone and compliance with paragraph 4 below.</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"Publication Milestones" </w:t>
      </w:r>
      <w:r>
        <w:rPr>
          <w:rFonts w:ascii="Arial" w:cs="Arial" w:eastAsia="Arial" w:hAnsi="Arial"/>
          <w:sz w:val="16"/>
          <w:szCs w:val="16"/>
          <w:color w:val="auto"/>
        </w:rPr>
        <w:t>means each of the following:</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(and each a </w:t>
      </w:r>
      <w:r>
        <w:rPr>
          <w:rFonts w:ascii="Arial" w:cs="Arial" w:eastAsia="Arial" w:hAnsi="Arial"/>
          <w:sz w:val="16"/>
          <w:szCs w:val="16"/>
          <w:b w:val="1"/>
          <w:bCs w:val="1"/>
          <w:color w:val="auto"/>
        </w:rPr>
        <w:t>"Publication Milestone"</w:t>
      </w:r>
      <w:r>
        <w:rPr>
          <w:rFonts w:ascii="Arial" w:cs="Arial" w:eastAsia="Arial" w:hAnsi="Arial"/>
          <w:sz w:val="16"/>
          <w:szCs w:val="16"/>
          <w:color w:val="auto"/>
        </w:rPr>
        <w:t>).</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"QR Earn-out Payment" </w:t>
      </w:r>
      <w:r>
        <w:rPr>
          <w:rFonts w:ascii="Arial" w:cs="Arial" w:eastAsia="Arial" w:hAnsi="Arial"/>
          <w:sz w:val="16"/>
          <w:szCs w:val="16"/>
          <w:color w:val="auto"/>
        </w:rPr>
        <w:t>means the payment of up to the pro-rata amount of £[***], made up of the following:</w:t>
      </w:r>
    </w:p>
    <w:p>
      <w:pPr>
        <w:spacing w:after="0" w:line="70" w:lineRule="exact"/>
        <w:rPr>
          <w:sz w:val="20"/>
          <w:szCs w:val="20"/>
          <w:color w:val="auto"/>
        </w:rPr>
      </w:pPr>
    </w:p>
    <w:p>
      <w:pPr>
        <w:ind w:left="1160" w:right="20" w:hanging="578"/>
        <w:spacing w:after="0" w:line="235" w:lineRule="auto"/>
        <w:tabs>
          <w:tab w:leader="none" w:pos="1148"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of any Qualifying Revenue generated by the Group during the Earn-Out Period from any InstaDeep-BioNTech partnered programs ([***], but excluding [***]); and</w:t>
      </w:r>
    </w:p>
    <w:p>
      <w:pPr>
        <w:spacing w:after="0" w:line="47" w:lineRule="exact"/>
        <w:rPr>
          <w:rFonts w:ascii="Arial" w:cs="Arial" w:eastAsia="Arial" w:hAnsi="Arial"/>
          <w:sz w:val="16"/>
          <w:szCs w:val="16"/>
          <w:color w:val="auto"/>
        </w:rPr>
      </w:pPr>
    </w:p>
    <w:p>
      <w:pPr>
        <w:ind w:left="1160" w:hanging="578"/>
        <w:spacing w:after="0" w:line="298" w:lineRule="auto"/>
        <w:tabs>
          <w:tab w:leader="none" w:pos="1148" w:val="left"/>
        </w:tabs>
        <w:numPr>
          <w:ilvl w:val="0"/>
          <w:numId w:val="505"/>
        </w:numPr>
        <w:rPr>
          <w:rFonts w:ascii="Arial" w:cs="Arial" w:eastAsia="Arial" w:hAnsi="Arial"/>
          <w:sz w:val="14"/>
          <w:szCs w:val="14"/>
          <w:color w:val="auto"/>
        </w:rPr>
      </w:pPr>
      <w:r>
        <w:rPr>
          <w:rFonts w:ascii="Arial" w:cs="Arial" w:eastAsia="Arial" w:hAnsi="Arial"/>
          <w:sz w:val="14"/>
          <w:szCs w:val="14"/>
          <w:color w:val="auto"/>
        </w:rPr>
        <w:t>[***]% of any revenue generated by the Group during the Earn-out Period from [***] or any other contracts and/or programs (excluding, for the avoidance of doubt, any InstaDeep-BioNTech partnered programs referred to in paragraph (a) above of this definition).</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"Qualifying Revenue" </w:t>
      </w:r>
      <w:r>
        <w:rPr>
          <w:rFonts w:ascii="Arial" w:cs="Arial" w:eastAsia="Arial" w:hAnsi="Arial"/>
          <w:sz w:val="16"/>
          <w:szCs w:val="16"/>
          <w:color w:val="auto"/>
        </w:rPr>
        <w:t>means revenue in respect of which the Company has achieved at least a [***]% Gross Margin.</w:t>
      </w:r>
    </w:p>
    <w:p>
      <w:pPr>
        <w:spacing w:after="0" w:line="70" w:lineRule="exact"/>
        <w:rPr>
          <w:sz w:val="20"/>
          <w:szCs w:val="20"/>
          <w:color w:val="auto"/>
        </w:rPr>
      </w:pPr>
    </w:p>
    <w:p>
      <w:pPr>
        <w:jc w:val="both"/>
        <w:ind w:left="580" w:right="20" w:hanging="574"/>
        <w:spacing w:after="0" w:line="224" w:lineRule="auto"/>
        <w:tabs>
          <w:tab w:leader="none" w:pos="568"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In the context of the calculation of each relevant maximum earn-out payment amount (in the definition of Earn-Out Consideration and in the definition of each category of earn-out payment), references to </w:t>
      </w:r>
      <w:r>
        <w:rPr>
          <w:rFonts w:ascii="Arial" w:cs="Arial" w:eastAsia="Arial" w:hAnsi="Arial"/>
          <w:sz w:val="16"/>
          <w:szCs w:val="16"/>
          <w:b w:val="1"/>
          <w:bCs w:val="1"/>
          <w:color w:val="auto"/>
        </w:rPr>
        <w:t>"pro rata"</w:t>
      </w:r>
      <w:r>
        <w:rPr>
          <w:rFonts w:ascii="Arial" w:cs="Arial" w:eastAsia="Arial" w:hAnsi="Arial"/>
          <w:sz w:val="16"/>
          <w:szCs w:val="16"/>
          <w:color w:val="auto"/>
        </w:rPr>
        <w:t xml:space="preserve"> are to the percentage of total share capital in the Company held in aggregate by the FME Shareholders immediately prior to Completion, as set out in the Completion Allocation Schedule.</w:t>
      </w:r>
    </w:p>
    <w:p>
      <w:pPr>
        <w:spacing w:after="0" w:line="48" w:lineRule="exact"/>
        <w:rPr>
          <w:rFonts w:ascii="Arial" w:cs="Arial" w:eastAsia="Arial" w:hAnsi="Arial"/>
          <w:sz w:val="16"/>
          <w:szCs w:val="16"/>
          <w:color w:val="auto"/>
        </w:rPr>
      </w:pPr>
    </w:p>
    <w:p>
      <w:pPr>
        <w:jc w:val="both"/>
        <w:ind w:left="580" w:right="20" w:hanging="574"/>
        <w:spacing w:after="0" w:line="224" w:lineRule="auto"/>
        <w:tabs>
          <w:tab w:leader="none" w:pos="568" w:val="left"/>
        </w:tabs>
        <w:numPr>
          <w:ilvl w:val="0"/>
          <w:numId w:val="506"/>
        </w:numPr>
        <w:rPr>
          <w:rFonts w:ascii="Arial" w:cs="Arial" w:eastAsia="Arial" w:hAnsi="Arial"/>
          <w:sz w:val="16"/>
          <w:szCs w:val="16"/>
          <w:color w:val="auto"/>
        </w:rPr>
      </w:pPr>
      <w:r>
        <w:rPr>
          <w:rFonts w:ascii="Arial" w:cs="Arial" w:eastAsia="Arial" w:hAnsi="Arial"/>
          <w:sz w:val="16"/>
          <w:szCs w:val="16"/>
          <w:color w:val="auto"/>
        </w:rPr>
        <w:t>Subject to any adjustment required pursuant to paragraph 4 below, the Earn-out Consideration shall be the payment in cash of the Aggregate Earn-out Payment to such Sellers as are entitled to receive the Earn-out Consideration in accordance with sub-clause 4.2(b)(ii) of this Agreement.</w:t>
      </w:r>
    </w:p>
    <w:p>
      <w:pPr>
        <w:spacing w:after="0" w:line="48" w:lineRule="exact"/>
        <w:rPr>
          <w:rFonts w:ascii="Arial" w:cs="Arial" w:eastAsia="Arial" w:hAnsi="Arial"/>
          <w:sz w:val="16"/>
          <w:szCs w:val="16"/>
          <w:color w:val="auto"/>
        </w:rPr>
      </w:pPr>
    </w:p>
    <w:p>
      <w:pPr>
        <w:ind w:left="580" w:right="20" w:hanging="574"/>
        <w:spacing w:after="0" w:line="235" w:lineRule="auto"/>
        <w:tabs>
          <w:tab w:leader="none" w:pos="568"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The Aggregate Earn-out Payment shall be payable to each of the Sellers within [***] Business Days of the end of the Earn-out Period, in the proportion set opposite his or her name in the Completion Allocation Schedule.</w:t>
      </w: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103</w:t>
      </w:r>
    </w:p>
    <w:p>
      <w:pPr>
        <w:sectPr>
          <w:pgSz w:w="11900" w:h="16840" w:orient="portrait"/>
          <w:cols w:equalWidth="0" w:num="1">
            <w:col w:w="10580"/>
          </w:cols>
          <w:pgMar w:left="660" w:top="1440" w:right="660" w:bottom="1440" w:gutter="0" w:footer="0" w:header="0"/>
        </w:sectPr>
      </w:pPr>
    </w:p>
    <w:bookmarkStart w:id="454" w:name="page455"/>
    <w:bookmarkEnd w:id="454"/>
    <w:p>
      <w:pPr>
        <w:spacing w:after="0" w:line="331" w:lineRule="exact"/>
        <w:rPr>
          <w:sz w:val="20"/>
          <w:szCs w:val="20"/>
          <w:color w:val="auto"/>
        </w:rPr>
      </w:pPr>
    </w:p>
    <w:p>
      <w:pPr>
        <w:ind w:left="580" w:right="20" w:hanging="574"/>
        <w:spacing w:after="0" w:line="235" w:lineRule="auto"/>
        <w:tabs>
          <w:tab w:leader="none" w:pos="56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Milestones may be amended from time to time during the Earn-out Period by agreement between the FME Shareholders' Representative and the Purchaser.</w:t>
      </w:r>
    </w:p>
    <w:p>
      <w:pPr>
        <w:spacing w:after="0" w:line="47" w:lineRule="exact"/>
        <w:rPr>
          <w:rFonts w:ascii="Arial" w:cs="Arial" w:eastAsia="Arial" w:hAnsi="Arial"/>
          <w:sz w:val="16"/>
          <w:szCs w:val="16"/>
          <w:color w:val="auto"/>
        </w:rPr>
      </w:pPr>
    </w:p>
    <w:p>
      <w:pPr>
        <w:jc w:val="both"/>
        <w:ind w:left="580" w:hanging="574"/>
        <w:spacing w:after="0" w:line="214" w:lineRule="auto"/>
        <w:tabs>
          <w:tab w:leader="none" w:pos="56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In respect of the Publication Earn-out Payment and Publication Milestone, with the purpose of compliance with the Purchaser's policy in respect of publications relating to Intellectual Property, the Purchaser shall be notified by the Company in advance of any relevant publication being made, and shall have a right to review and make any reasonable editorial amendments to the relevant publication, such review and comment to be provided by the Purchaser within [***] Business Days of receipt of such notification (such [***] Business Day period may be extended by a further [***] Business Day period by the Purchaser in its sole discretion if the Purchaser considers that an Intellectual Property filing may be required).</w:t>
      </w:r>
    </w:p>
    <w:p>
      <w:pPr>
        <w:spacing w:after="0" w:line="47" w:lineRule="exact"/>
        <w:rPr>
          <w:rFonts w:ascii="Arial" w:cs="Arial" w:eastAsia="Arial" w:hAnsi="Arial"/>
          <w:sz w:val="16"/>
          <w:szCs w:val="16"/>
          <w:color w:val="auto"/>
        </w:rPr>
      </w:pPr>
    </w:p>
    <w:p>
      <w:pPr>
        <w:ind w:left="580" w:hanging="574"/>
        <w:spacing w:after="0" w:line="235" w:lineRule="auto"/>
        <w:tabs>
          <w:tab w:leader="none" w:pos="56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Founder Sellers severally undertake to and covenant with the Purchaser that during the Earn-out Period they shall exercise their powers as managers and employees (as applicable) of the Group (unless otherwise agreed in writing by the Purchaser) to ensure that:</w:t>
      </w:r>
    </w:p>
    <w:p>
      <w:pPr>
        <w:spacing w:after="0" w:line="48" w:lineRule="exact"/>
        <w:rPr>
          <w:sz w:val="20"/>
          <w:szCs w:val="20"/>
          <w:color w:val="auto"/>
        </w:rPr>
      </w:pPr>
    </w:p>
    <w:p>
      <w:pPr>
        <w:jc w:val="both"/>
        <w:ind w:left="580" w:right="20" w:hanging="575"/>
        <w:spacing w:after="0" w:line="224" w:lineRule="auto"/>
        <w:tabs>
          <w:tab w:leader="none" w:pos="5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the business of the Group is carried on in the ordinary and proper course and substantially in the same manner that such business has been carried on prior to Completion, subject to any adjustments as may be implemented upon the agreement of the Founder Sellers and the Purchaser as a result of the Group becoming part of the Purchaser's group and the Purchaser's desired direction;</w:t>
      </w:r>
    </w:p>
    <w:p>
      <w:pPr>
        <w:spacing w:after="0" w:line="4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color w:val="auto"/>
        </w:rPr>
        <w:t>the terms of the Post-Completion Management Agreement are complied with; and</w:t>
      </w:r>
    </w:p>
    <w:p>
      <w:pPr>
        <w:spacing w:after="0" w:line="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the Group's affairs are conducted so far as reasonably possible to foster the long-term success of the Group.</w:t>
      </w:r>
    </w:p>
    <w:p>
      <w:pPr>
        <w:spacing w:after="0" w:line="68" w:lineRule="exact"/>
        <w:rPr>
          <w:sz w:val="20"/>
          <w:szCs w:val="20"/>
          <w:color w:val="auto"/>
        </w:rPr>
      </w:pPr>
    </w:p>
    <w:p>
      <w:pPr>
        <w:ind w:left="580" w:hanging="574"/>
        <w:spacing w:after="0"/>
        <w:tabs>
          <w:tab w:leader="none" w:pos="58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Purchaser undertakes with the Sellers that, during the Earn-Out Period, it:</w:t>
      </w:r>
    </w:p>
    <w:p>
      <w:pPr>
        <w:spacing w:after="0" w:line="68" w:lineRule="exact"/>
        <w:rPr>
          <w:rFonts w:ascii="Arial" w:cs="Arial" w:eastAsia="Arial" w:hAnsi="Arial"/>
          <w:sz w:val="16"/>
          <w:szCs w:val="16"/>
          <w:color w:val="auto"/>
        </w:rPr>
      </w:pPr>
    </w:p>
    <w:p>
      <w:pPr>
        <w:ind w:left="1160" w:hanging="578"/>
        <w:spacing w:after="0" w:line="235" w:lineRule="auto"/>
        <w:tabs>
          <w:tab w:leader="none" w:pos="1148" w:val="left"/>
        </w:tabs>
        <w:numPr>
          <w:ilvl w:val="1"/>
          <w:numId w:val="508"/>
        </w:numPr>
        <w:rPr>
          <w:rFonts w:ascii="Arial" w:cs="Arial" w:eastAsia="Arial" w:hAnsi="Arial"/>
          <w:sz w:val="16"/>
          <w:szCs w:val="16"/>
          <w:color w:val="auto"/>
        </w:rPr>
      </w:pPr>
      <w:r>
        <w:rPr>
          <w:rFonts w:ascii="Arial" w:cs="Arial" w:eastAsia="Arial" w:hAnsi="Arial"/>
          <w:sz w:val="16"/>
          <w:szCs w:val="16"/>
          <w:color w:val="auto"/>
        </w:rPr>
        <w:t>shall not take any actions, or omit to take any actions, with the purpose of depriving the Sellers of any Contingent Consideration that may otherwise be payable in accordance with this Agreement;</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508"/>
        </w:numPr>
        <w:rPr>
          <w:rFonts w:ascii="Arial" w:cs="Arial" w:eastAsia="Arial" w:hAnsi="Arial"/>
          <w:sz w:val="16"/>
          <w:szCs w:val="16"/>
          <w:color w:val="auto"/>
        </w:rPr>
      </w:pPr>
      <w:r>
        <w:rPr>
          <w:rFonts w:ascii="Arial" w:cs="Arial" w:eastAsia="Arial" w:hAnsi="Arial"/>
          <w:sz w:val="16"/>
          <w:szCs w:val="16"/>
          <w:color w:val="auto"/>
        </w:rPr>
        <w:t>shall exercise its powers as shareholder to procure that the Founder Sellers are in a reasonable position to fully comply with their undertakings under paragraph 7 above and to achieve the Milestones;</w:t>
      </w:r>
    </w:p>
    <w:p>
      <w:pPr>
        <w:spacing w:after="0" w:line="47" w:lineRule="exact"/>
        <w:rPr>
          <w:rFonts w:ascii="Arial" w:cs="Arial" w:eastAsia="Arial" w:hAnsi="Arial"/>
          <w:sz w:val="16"/>
          <w:szCs w:val="16"/>
          <w:color w:val="auto"/>
        </w:rPr>
      </w:pPr>
    </w:p>
    <w:p>
      <w:pPr>
        <w:ind w:left="1160" w:right="20" w:hanging="578"/>
        <w:spacing w:after="0" w:line="235" w:lineRule="auto"/>
        <w:tabs>
          <w:tab w:leader="none" w:pos="1148" w:val="left"/>
        </w:tabs>
        <w:numPr>
          <w:ilvl w:val="1"/>
          <w:numId w:val="508"/>
        </w:numPr>
        <w:rPr>
          <w:rFonts w:ascii="Arial" w:cs="Arial" w:eastAsia="Arial" w:hAnsi="Arial"/>
          <w:sz w:val="16"/>
          <w:szCs w:val="16"/>
          <w:color w:val="auto"/>
        </w:rPr>
      </w:pPr>
      <w:r>
        <w:rPr>
          <w:rFonts w:ascii="Arial" w:cs="Arial" w:eastAsia="Arial" w:hAnsi="Arial"/>
          <w:sz w:val="16"/>
          <w:szCs w:val="16"/>
          <w:color w:val="auto"/>
        </w:rPr>
        <w:t>shall procure that none of the following matters is effected by the Company (or any other Group Company) without prior written consent of the Founder Sellers (such consent not to be unreasonably withheld or delayed):</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40" w:val="left"/>
        </w:tabs>
        <w:numPr>
          <w:ilvl w:val="2"/>
          <w:numId w:val="508"/>
        </w:numPr>
        <w:rPr>
          <w:rFonts w:ascii="Arial" w:cs="Arial" w:eastAsia="Arial" w:hAnsi="Arial"/>
          <w:sz w:val="16"/>
          <w:szCs w:val="16"/>
          <w:color w:val="auto"/>
        </w:rPr>
      </w:pPr>
      <w:r>
        <w:rPr>
          <w:rFonts w:ascii="Arial" w:cs="Arial" w:eastAsia="Arial" w:hAnsi="Arial"/>
          <w:sz w:val="16"/>
          <w:szCs w:val="16"/>
          <w:color w:val="auto"/>
        </w:rPr>
        <w:t>adoption of any Budget in respect of any financial year, and any material amendment of and/or deviation from it ('material' in this context being changes in excess of £[***]);</w:t>
      </w:r>
    </w:p>
    <w:p>
      <w:pPr>
        <w:spacing w:after="0" w:line="47" w:lineRule="exact"/>
        <w:rPr>
          <w:rFonts w:ascii="Arial" w:cs="Arial" w:eastAsia="Arial" w:hAnsi="Arial"/>
          <w:sz w:val="16"/>
          <w:szCs w:val="16"/>
          <w:color w:val="auto"/>
        </w:rPr>
      </w:pPr>
    </w:p>
    <w:p>
      <w:pPr>
        <w:ind w:left="1740" w:right="20" w:hanging="582"/>
        <w:spacing w:after="0" w:line="235" w:lineRule="auto"/>
        <w:tabs>
          <w:tab w:leader="none" w:pos="1728" w:val="left"/>
        </w:tabs>
        <w:numPr>
          <w:ilvl w:val="2"/>
          <w:numId w:val="508"/>
        </w:numPr>
        <w:rPr>
          <w:rFonts w:ascii="Arial" w:cs="Arial" w:eastAsia="Arial" w:hAnsi="Arial"/>
          <w:sz w:val="16"/>
          <w:szCs w:val="16"/>
          <w:color w:val="auto"/>
        </w:rPr>
      </w:pPr>
      <w:r>
        <w:rPr>
          <w:rFonts w:ascii="Arial" w:cs="Arial" w:eastAsia="Arial" w:hAnsi="Arial"/>
          <w:sz w:val="16"/>
          <w:szCs w:val="16"/>
          <w:color w:val="auto"/>
        </w:rPr>
        <w:t>adoption of any Business Plan in respect of any financial year, and any material update and/or amendment of the same ('material' in this context being changes in excess of £[***]); and</w:t>
      </w:r>
    </w:p>
    <w:p>
      <w:pPr>
        <w:spacing w:after="0" w:line="47" w:lineRule="exact"/>
        <w:rPr>
          <w:rFonts w:ascii="Arial" w:cs="Arial" w:eastAsia="Arial" w:hAnsi="Arial"/>
          <w:sz w:val="16"/>
          <w:szCs w:val="16"/>
          <w:color w:val="auto"/>
        </w:rPr>
      </w:pPr>
    </w:p>
    <w:p>
      <w:pPr>
        <w:ind w:left="1720" w:hanging="562"/>
        <w:spacing w:after="0"/>
        <w:tabs>
          <w:tab w:leader="none" w:pos="1720" w:val="left"/>
        </w:tabs>
        <w:numPr>
          <w:ilvl w:val="2"/>
          <w:numId w:val="508"/>
        </w:numPr>
        <w:rPr>
          <w:rFonts w:ascii="Arial" w:cs="Arial" w:eastAsia="Arial" w:hAnsi="Arial"/>
          <w:sz w:val="16"/>
          <w:szCs w:val="16"/>
          <w:color w:val="auto"/>
        </w:rPr>
      </w:pPr>
      <w:r>
        <w:rPr>
          <w:rFonts w:ascii="Arial" w:cs="Arial" w:eastAsia="Arial" w:hAnsi="Arial"/>
          <w:sz w:val="16"/>
          <w:szCs w:val="16"/>
          <w:color w:val="auto"/>
        </w:rPr>
        <w:t>dismissal of any Key Employee by the relevant Group Company, other than for cause;</w:t>
      </w:r>
    </w:p>
    <w:p>
      <w:pPr>
        <w:spacing w:after="0" w:line="68" w:lineRule="exact"/>
        <w:rPr>
          <w:rFonts w:ascii="Arial" w:cs="Arial" w:eastAsia="Arial" w:hAnsi="Arial"/>
          <w:sz w:val="16"/>
          <w:szCs w:val="16"/>
          <w:color w:val="auto"/>
        </w:rPr>
      </w:pPr>
    </w:p>
    <w:p>
      <w:pPr>
        <w:ind w:left="1160" w:right="20" w:hanging="578"/>
        <w:spacing w:after="0" w:line="298" w:lineRule="auto"/>
        <w:tabs>
          <w:tab w:leader="none" w:pos="1148" w:val="left"/>
        </w:tabs>
        <w:numPr>
          <w:ilvl w:val="1"/>
          <w:numId w:val="508"/>
        </w:numPr>
        <w:rPr>
          <w:rFonts w:ascii="Arial" w:cs="Arial" w:eastAsia="Arial" w:hAnsi="Arial"/>
          <w:sz w:val="14"/>
          <w:szCs w:val="14"/>
          <w:color w:val="auto"/>
        </w:rPr>
      </w:pPr>
      <w:r>
        <w:rPr>
          <w:rFonts w:ascii="Arial" w:cs="Arial" w:eastAsia="Arial" w:hAnsi="Arial"/>
          <w:sz w:val="14"/>
          <w:szCs w:val="14"/>
          <w:color w:val="auto"/>
        </w:rPr>
        <w:t>shall procure that the Founder Sellers are, subject always to the Purchaser's group policies from time to time, empowered to procure or direct the Company (or any other Group Company) to effect any of the following matters without prior written consent of the Purchaser:</w:t>
      </w:r>
    </w:p>
    <w:p>
      <w:pPr>
        <w:spacing w:after="0" w:line="8" w:lineRule="exact"/>
        <w:rPr>
          <w:rFonts w:ascii="Arial" w:cs="Arial" w:eastAsia="Arial" w:hAnsi="Arial"/>
          <w:sz w:val="14"/>
          <w:szCs w:val="14"/>
          <w:color w:val="auto"/>
        </w:rPr>
      </w:pPr>
    </w:p>
    <w:p>
      <w:pPr>
        <w:ind w:left="1740" w:right="20" w:hanging="582"/>
        <w:spacing w:after="0" w:line="235" w:lineRule="auto"/>
        <w:tabs>
          <w:tab w:leader="none" w:pos="1740" w:val="left"/>
        </w:tabs>
        <w:numPr>
          <w:ilvl w:val="2"/>
          <w:numId w:val="508"/>
        </w:numPr>
        <w:rPr>
          <w:rFonts w:ascii="Arial" w:cs="Arial" w:eastAsia="Arial" w:hAnsi="Arial"/>
          <w:sz w:val="16"/>
          <w:szCs w:val="16"/>
          <w:color w:val="auto"/>
        </w:rPr>
      </w:pPr>
      <w:r>
        <w:rPr>
          <w:rFonts w:ascii="Arial" w:cs="Arial" w:eastAsia="Arial" w:hAnsi="Arial"/>
          <w:sz w:val="16"/>
          <w:szCs w:val="16"/>
          <w:color w:val="auto"/>
        </w:rPr>
        <w:t>any pre-approved matters being those set out in the Budget from time to time (which shall include, for the avoidance of doubt, annual allocations for bonuses to new and existing employees);</w:t>
      </w:r>
    </w:p>
    <w:p>
      <w:pPr>
        <w:spacing w:after="0" w:line="47" w:lineRule="exact"/>
        <w:rPr>
          <w:rFonts w:ascii="Arial" w:cs="Arial" w:eastAsia="Arial" w:hAnsi="Arial"/>
          <w:sz w:val="16"/>
          <w:szCs w:val="16"/>
          <w:color w:val="auto"/>
        </w:rPr>
      </w:pPr>
    </w:p>
    <w:p>
      <w:pPr>
        <w:jc w:val="both"/>
        <w:ind w:left="1740" w:hanging="582"/>
        <w:spacing w:after="0" w:line="219" w:lineRule="auto"/>
        <w:tabs>
          <w:tab w:leader="none" w:pos="1728" w:val="left"/>
        </w:tabs>
        <w:numPr>
          <w:ilvl w:val="2"/>
          <w:numId w:val="508"/>
        </w:numPr>
        <w:rPr>
          <w:rFonts w:ascii="Arial" w:cs="Arial" w:eastAsia="Arial" w:hAnsi="Arial"/>
          <w:sz w:val="16"/>
          <w:szCs w:val="16"/>
          <w:color w:val="auto"/>
        </w:rPr>
      </w:pPr>
      <w:r>
        <w:rPr>
          <w:rFonts w:ascii="Arial" w:cs="Arial" w:eastAsia="Arial" w:hAnsi="Arial"/>
          <w:sz w:val="16"/>
          <w:szCs w:val="16"/>
          <w:color w:val="auto"/>
        </w:rPr>
        <w:t>in connection with the IND Milestones, the Project Milestones and/or the milestones for the QR Earn-Out Payment, incur any reasonable and proper capital expenditure (including obligations under hire-purchase and leasing arrangements), unless it exceeds the amount for capital expenditure in the relevant capital expenditure of the Budget by more than [***]% or (where no items were specified but a general provision made) exceeding £[***] whether individually or in the aggregate; and</w:t>
      </w:r>
    </w:p>
    <w:p>
      <w:pPr>
        <w:spacing w:after="0" w:line="48" w:lineRule="exact"/>
        <w:rPr>
          <w:rFonts w:ascii="Arial" w:cs="Arial" w:eastAsia="Arial" w:hAnsi="Arial"/>
          <w:sz w:val="16"/>
          <w:szCs w:val="16"/>
          <w:color w:val="auto"/>
        </w:rPr>
      </w:pPr>
    </w:p>
    <w:p>
      <w:pPr>
        <w:jc w:val="both"/>
        <w:ind w:left="1740" w:hanging="582"/>
        <w:spacing w:after="0" w:line="219" w:lineRule="auto"/>
        <w:tabs>
          <w:tab w:leader="none" w:pos="1728" w:val="left"/>
        </w:tabs>
        <w:numPr>
          <w:ilvl w:val="2"/>
          <w:numId w:val="508"/>
        </w:numPr>
        <w:rPr>
          <w:rFonts w:ascii="Arial" w:cs="Arial" w:eastAsia="Arial" w:hAnsi="Arial"/>
          <w:sz w:val="16"/>
          <w:szCs w:val="16"/>
          <w:color w:val="auto"/>
        </w:rPr>
      </w:pPr>
      <w:r>
        <w:rPr>
          <w:rFonts w:ascii="Arial" w:cs="Arial" w:eastAsia="Arial" w:hAnsi="Arial"/>
          <w:sz w:val="16"/>
          <w:szCs w:val="16"/>
          <w:color w:val="auto"/>
        </w:rPr>
        <w:t>in connection with the Employment Milestones, appoint, remove, or alter the compensation of any employee (where such alteration is indexed to bench-marked salary reports commonly used in the relevant industry with regard to AI/ML engineering (e.g. Radford https://radford.aon.com/surveys/) and reflect local hiring conditions) and in any case such alterations do not exceed per annum the higher of (i) [***]%; and (ii) [***]% above the level of inflation in the</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104</w:t>
      </w:r>
    </w:p>
    <w:p>
      <w:pPr>
        <w:sectPr>
          <w:pgSz w:w="11900" w:h="16840" w:orient="portrait"/>
          <w:cols w:equalWidth="0" w:num="1">
            <w:col w:w="10580"/>
          </w:cols>
          <w:pgMar w:left="660" w:top="1440" w:right="660" w:bottom="1440" w:gutter="0" w:footer="0" w:header="0"/>
        </w:sectPr>
      </w:pPr>
    </w:p>
    <w:bookmarkStart w:id="455" w:name="page456"/>
    <w:bookmarkEnd w:id="455"/>
    <w:p>
      <w:pPr>
        <w:spacing w:after="0" w:line="33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country of the employing Group Company in the relevant year, unless his/her gross annual salary exceeds £[***].</w:t>
      </w:r>
    </w:p>
    <w:p>
      <w:pPr>
        <w:sectPr>
          <w:pgSz w:w="11900" w:h="16840" w:orient="portrait"/>
          <w:cols w:equalWidth="0" w:num="1">
            <w:col w:w="902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105</w:t>
      </w:r>
    </w:p>
    <w:p>
      <w:pPr>
        <w:sectPr>
          <w:pgSz w:w="11900" w:h="16840" w:orient="portrait"/>
          <w:cols w:equalWidth="0" w:num="1">
            <w:col w:w="9020"/>
          </w:cols>
          <w:pgMar w:left="1440" w:top="1440" w:right="1440" w:bottom="1440" w:gutter="0" w:footer="0" w:header="0"/>
          <w:type w:val="continuous"/>
        </w:sectPr>
      </w:pPr>
    </w:p>
    <w:bookmarkStart w:id="456" w:name="page457"/>
    <w:bookmarkEnd w:id="456"/>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Part 2</w:t>
      </w:r>
    </w:p>
    <w:p>
      <w:pPr>
        <w:spacing w:after="0" w:line="68"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Key Employees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106</w:t>
      </w:r>
    </w:p>
    <w:p>
      <w:pPr>
        <w:sectPr>
          <w:pgSz w:w="11900" w:h="16840" w:orient="portrait"/>
          <w:cols w:equalWidth="0" w:num="1">
            <w:col w:w="9800"/>
          </w:cols>
          <w:pgMar w:left="660" w:top="1440" w:right="1440" w:bottom="1440" w:gutter="0" w:footer="0" w:header="0"/>
        </w:sectPr>
      </w:pPr>
    </w:p>
    <w:bookmarkStart w:id="457" w:name="page458"/>
    <w:bookmarkEnd w:id="457"/>
    <w:p>
      <w:pPr>
        <w:spacing w:after="0" w:line="36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61"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b w:val="1"/>
          <w:bCs w:val="1"/>
          <w:color w:val="auto"/>
        </w:rPr>
        <w:t>Redline of Amended Agreement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107</w:t>
      </w:r>
    </w:p>
    <w:p>
      <w:pPr>
        <w:sectPr>
          <w:pgSz w:w="11900" w:h="16840" w:orient="portrait"/>
          <w:cols w:equalWidth="0" w:num="1">
            <w:col w:w="9800"/>
          </w:cols>
          <w:pgMar w:left="660" w:top="1440" w:right="1440" w:bottom="1440" w:gutter="0" w:footer="0" w:header="0"/>
        </w:sectPr>
      </w:pPr>
    </w:p>
    <w:bookmarkStart w:id="458" w:name="page459"/>
    <w:bookmarkEnd w:id="458"/>
    <w:p>
      <w:pPr>
        <w:ind w:left="9760"/>
        <w:spacing w:after="0"/>
        <w:rPr>
          <w:sz w:val="20"/>
          <w:szCs w:val="20"/>
          <w:color w:val="auto"/>
        </w:rPr>
      </w:pPr>
      <w:r>
        <w:rPr>
          <w:rFonts w:ascii="Times New Roman" w:cs="Times New Roman" w:eastAsia="Times New Roman" w:hAnsi="Times New Roman"/>
          <w:sz w:val="14"/>
          <w:szCs w:val="14"/>
          <w:b w:val="1"/>
          <w:bCs w:val="1"/>
          <w:color w:val="auto"/>
        </w:rPr>
        <w:t>Exhibit 4.48</w:t>
      </w:r>
    </w:p>
    <w:p>
      <w:pPr>
        <w:spacing w:after="0" w:line="271" w:lineRule="exact"/>
        <w:rPr>
          <w:sz w:val="20"/>
          <w:szCs w:val="20"/>
          <w:color w:val="auto"/>
        </w:rPr>
      </w:pPr>
    </w:p>
    <w:p>
      <w:pPr>
        <w:ind w:left="340" w:right="180" w:firstLine="2"/>
        <w:spacing w:after="0" w:line="235" w:lineRule="auto"/>
        <w:tabs>
          <w:tab w:leader="none" w:pos="712"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EXECUTION VERSION</w:t>
      </w:r>
    </w:p>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166"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color w:val="auto"/>
        </w:rPr>
        <w:t xml:space="preserve">This License and Collaboration Agreement (this “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effective as of March 17, 2023 (the “</w:t>
      </w:r>
      <w:r>
        <w:rPr>
          <w:rFonts w:ascii="Times New Roman" w:cs="Times New Roman" w:eastAsia="Times New Roman" w:hAnsi="Times New Roman"/>
          <w:sz w:val="19"/>
          <w:szCs w:val="19"/>
          <w:b w:val="1"/>
          <w:bCs w:val="1"/>
          <w:color w:val="auto"/>
        </w:rPr>
        <w:t>Execution Date</w:t>
      </w:r>
      <w:r>
        <w:rPr>
          <w:rFonts w:ascii="Times New Roman" w:cs="Times New Roman" w:eastAsia="Times New Roman" w:hAnsi="Times New Roman"/>
          <w:sz w:val="19"/>
          <w:szCs w:val="19"/>
          <w:color w:val="auto"/>
        </w:rPr>
        <w:t>”), is entered into by and between BioNTech SE, a public limited company in the form of a Societas Europaea organized under the laws of the Federal Republic of Germany, with its corporate seat at An der Goldgrube 12 55131 Mainz, registered with the commercial register of the Local Court of Mainz under HRB 48720 (“</w:t>
      </w:r>
      <w:r>
        <w:rPr>
          <w:rFonts w:ascii="Times New Roman" w:cs="Times New Roman" w:eastAsia="Times New Roman" w:hAnsi="Times New Roman"/>
          <w:sz w:val="19"/>
          <w:szCs w:val="19"/>
          <w:b w:val="1"/>
          <w:bCs w:val="1"/>
          <w:color w:val="auto"/>
        </w:rPr>
        <w:t>BioNTech</w:t>
      </w:r>
      <w:r>
        <w:rPr>
          <w:rFonts w:ascii="Times New Roman" w:cs="Times New Roman" w:eastAsia="Times New Roman" w:hAnsi="Times New Roman"/>
          <w:sz w:val="19"/>
          <w:szCs w:val="19"/>
          <w:color w:val="auto"/>
        </w:rPr>
        <w:t>”), and OncoC4, Inc., a Delaware corporation having business offices at 9640 Medical Center Drive, Rockville, MD 20850 (“</w:t>
      </w:r>
      <w:r>
        <w:rPr>
          <w:rFonts w:ascii="Times New Roman" w:cs="Times New Roman" w:eastAsia="Times New Roman" w:hAnsi="Times New Roman"/>
          <w:sz w:val="19"/>
          <w:szCs w:val="19"/>
          <w:b w:val="1"/>
          <w:bCs w:val="1"/>
          <w:color w:val="auto"/>
        </w:rPr>
        <w:t>OncoC4</w:t>
      </w:r>
      <w:r>
        <w:rPr>
          <w:rFonts w:ascii="Times New Roman" w:cs="Times New Roman" w:eastAsia="Times New Roman" w:hAnsi="Times New Roman"/>
          <w:sz w:val="19"/>
          <w:szCs w:val="19"/>
          <w:color w:val="auto"/>
        </w:rPr>
        <w:t xml:space="preserve">”). OncoC4 and BioNTech are each referred to herein, individually, as a “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OncoC4 Controls certain Patents and Know -How relating to certain antibody compounds and products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product candidates known as “ONC -392” and “AI-061” (each, as defined below);</w:t>
      </w:r>
    </w:p>
    <w:p>
      <w:pPr>
        <w:spacing w:after="0" w:line="123"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BioNTech wishes to obtain from OncoC4 and OncoC4 wishes to grant to BioNTech, an exclusive license under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relevant Patents and Know-How Controlled by OncoC4 to Exploit the Licensed Compounds and Licensed Products comprising or containing Licensed Compounds in the Field in the Territory (as all such initially capitalized terms are defined below), in each case, in accordance with the terms and conditions more particularly set forth herein;</w:t>
      </w:r>
    </w:p>
    <w:p>
      <w:pPr>
        <w:spacing w:after="0" w:line="134"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 BioNTech wishes to obtain from OncoC4 and OncoC4 wishes to grant to BioNTech, an exclusive option to obtain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exclusive license under the relevant Patents and Know- How Controlled by OncoC4 to Exploit AI- 061 Products (defined below) in the Field in the Territory, in each case, in accordance with the terms and conditions more particularly set forth herein; and</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connection with the foregoing, the Parties wish to enter into a collaboration for certain joint Development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Compounds and Licensed Products, in accordance with the terms and conditions more particularly set forth herein, while other Development of Licensed Compounds and Licensed Products (including any Development of combinations of ONC-392 with other products owned or controlled by BioNTech) would, as between the Parties, be conducted by BioNTech.</w:t>
      </w:r>
    </w:p>
    <w:p>
      <w:pPr>
        <w:spacing w:after="0" w:line="134"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mutual agreements set forth herein, and for other good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valuable consideration, the receipt and sufficiency of which are hereby acknowledged, the Parties, intending to be legally bound, hereby agree as follows:</w:t>
      </w:r>
    </w:p>
    <w:p>
      <w:pPr>
        <w:spacing w:after="0" w:line="1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u w:val="single" w:color="auto"/>
          <w:color w:val="auto"/>
        </w:rPr>
        <w:t>ARTICLE I</w:t>
      </w:r>
    </w:p>
    <w:p>
      <w:pPr>
        <w:ind w:left="466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44" w:lineRule="exact"/>
        <w:rPr>
          <w:sz w:val="20"/>
          <w:szCs w:val="20"/>
          <w:color w:val="auto"/>
        </w:rPr>
      </w:pPr>
    </w:p>
    <w:p>
      <w:pPr>
        <w:jc w:val="both"/>
        <w:ind w:right="20" w:firstLine="576"/>
        <w:spacing w:after="0" w:line="246" w:lineRule="auto"/>
        <w:rPr>
          <w:sz w:val="20"/>
          <w:szCs w:val="20"/>
          <w:color w:val="auto"/>
        </w:rPr>
      </w:pPr>
      <w:r>
        <w:rPr>
          <w:rFonts w:ascii="Times New Roman" w:cs="Times New Roman" w:eastAsia="Times New Roman" w:hAnsi="Times New Roman"/>
          <w:sz w:val="19"/>
          <w:szCs w:val="19"/>
          <w:color w:val="auto"/>
        </w:rPr>
        <w:t>Unless otherwise specifically set forth herein or the context otherwise requires, the following capitalized terms have the respective meanings set forth below (and derivative forms of such terms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w:t>
      </w:r>
    </w:p>
    <w:p>
      <w:pPr>
        <w:sectPr>
          <w:pgSz w:w="11900" w:h="16840" w:orient="portrait"/>
          <w:cols w:equalWidth="0" w:num="1">
            <w:col w:w="10580"/>
          </w:cols>
          <w:pgMar w:left="660" w:top="555" w:right="660" w:bottom="1440" w:gutter="0" w:footer="0" w:header="0"/>
        </w:sectPr>
      </w:pPr>
    </w:p>
    <w:bookmarkStart w:id="459" w:name="page460"/>
    <w:bookmarkEnd w:id="459"/>
    <w:p>
      <w:pPr>
        <w:spacing w:after="0" w:line="198" w:lineRule="auto"/>
        <w:framePr w:w="360" w:h="171" w:wrap="auto" w:vAnchor="page" w:hAnchor="page" w:x="1200" w:y="704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187" w:lineRule="auto"/>
        <w:framePr w:w="740" w:h="171" w:wrap="auto" w:vAnchor="page" w:hAnchor="page" w:x="620" w:y="7241"/>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w:t>
      </w:r>
    </w:p>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24" w:lineRule="exact"/>
        <w:rPr>
          <w:rFonts w:ascii="Times New Roman" w:cs="Times New Roman" w:eastAsia="Times New Roman" w:hAnsi="Times New Roman"/>
          <w:sz w:val="19"/>
          <w:szCs w:val="19"/>
          <w:color w:val="auto"/>
        </w:rPr>
      </w:pPr>
    </w:p>
    <w:p>
      <w:pPr>
        <w:jc w:val="both"/>
        <w:ind w:right="40" w:firstLine="576"/>
        <w:spacing w:after="0" w:line="233" w:lineRule="auto"/>
        <w:rPr>
          <w:sz w:val="20"/>
          <w:szCs w:val="20"/>
          <w:color w:val="auto"/>
        </w:rPr>
      </w:pPr>
      <w:r>
        <w:rPr>
          <w:rFonts w:ascii="Times New Roman" w:cs="Times New Roman" w:eastAsia="Times New Roman" w:hAnsi="Times New Roman"/>
          <w:sz w:val="19"/>
          <w:szCs w:val="19"/>
          <w:color w:val="auto"/>
        </w:rPr>
        <w:t>1.1. “</w:t>
      </w:r>
      <w:r>
        <w:rPr>
          <w:rFonts w:ascii="Times New Roman" w:cs="Times New Roman" w:eastAsia="Times New Roman" w:hAnsi="Times New Roman"/>
          <w:sz w:val="19"/>
          <w:szCs w:val="19"/>
          <w:b w:val="1"/>
          <w:bCs w:val="1"/>
          <w:color w:val="auto"/>
        </w:rPr>
        <w:t>Accounting Standards</w:t>
      </w:r>
      <w:r>
        <w:rPr>
          <w:rFonts w:ascii="Times New Roman" w:cs="Times New Roman" w:eastAsia="Times New Roman" w:hAnsi="Times New Roman"/>
          <w:sz w:val="19"/>
          <w:szCs w:val="19"/>
          <w:color w:val="auto"/>
        </w:rPr>
        <w:t>” means, with respect to a Person, GAAP (generally accepted accounting principles as practiced in the United States) or IFRS (International Financial Reporting Standards), in each case, as generally and consistently applied by such Person and its Affiliates.</w:t>
      </w:r>
    </w:p>
    <w:p>
      <w:pPr>
        <w:spacing w:after="0" w:line="132" w:lineRule="exact"/>
        <w:rPr>
          <w:rFonts w:ascii="Times New Roman" w:cs="Times New Roman" w:eastAsia="Times New Roman" w:hAnsi="Times New Roman"/>
          <w:sz w:val="19"/>
          <w:szCs w:val="19"/>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collectively, [***].</w:t>
      </w:r>
    </w:p>
    <w:p>
      <w:pPr>
        <w:spacing w:after="0" w:line="166" w:lineRule="exact"/>
        <w:rPr>
          <w:rFonts w:ascii="Times New Roman" w:cs="Times New Roman" w:eastAsia="Times New Roman" w:hAnsi="Times New Roman"/>
          <w:sz w:val="19"/>
          <w:szCs w:val="19"/>
          <w:color w:val="auto"/>
        </w:rPr>
      </w:pPr>
    </w:p>
    <w:p>
      <w:pPr>
        <w:jc w:val="both"/>
        <w:ind w:right="40" w:firstLine="576"/>
        <w:spacing w:after="0" w:line="233" w:lineRule="auto"/>
        <w:rPr>
          <w:sz w:val="20"/>
          <w:szCs w:val="20"/>
          <w:color w:val="auto"/>
        </w:rPr>
      </w:pPr>
      <w:r>
        <w:rPr>
          <w:rFonts w:ascii="Times New Roman" w:cs="Times New Roman" w:eastAsia="Times New Roman" w:hAnsi="Times New Roman"/>
          <w:sz w:val="19"/>
          <w:szCs w:val="19"/>
          <w:color w:val="auto"/>
        </w:rPr>
        <w:t>1.3. “</w:t>
      </w:r>
      <w:r>
        <w:rPr>
          <w:rFonts w:ascii="Times New Roman" w:cs="Times New Roman" w:eastAsia="Times New Roman" w:hAnsi="Times New Roman"/>
          <w:sz w:val="19"/>
          <w:szCs w:val="19"/>
          <w:b w:val="1"/>
          <w:bCs w:val="1"/>
          <w:color w:val="auto"/>
        </w:rPr>
        <w:t>Action</w:t>
      </w:r>
      <w:r>
        <w:rPr>
          <w:rFonts w:ascii="Times New Roman" w:cs="Times New Roman" w:eastAsia="Times New Roman" w:hAnsi="Times New Roman"/>
          <w:sz w:val="19"/>
          <w:szCs w:val="19"/>
          <w:color w:val="auto"/>
        </w:rPr>
        <w:t>” means any claim, action, cause of action or suit (whether in contract or tort or otherwise), litigation (whether at law or in equity, and whether civil or criminal), assessment, arbitration, investigation, hearing, charge, complaint, demand, notice or proceeding of, to, from, by or before any Governmental Authority.</w:t>
      </w:r>
    </w:p>
    <w:p>
      <w:pPr>
        <w:spacing w:after="0" w:line="132" w:lineRule="exact"/>
        <w:rPr>
          <w:rFonts w:ascii="Times New Roman" w:cs="Times New Roman" w:eastAsia="Times New Roman" w:hAnsi="Times New Roman"/>
          <w:sz w:val="19"/>
          <w:szCs w:val="19"/>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color w:val="auto"/>
        </w:rPr>
        <w:t>1.4.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means, with respect to a Person, any entity controlling, controlled by or under common control with such first Person at the time that the determination of affiliation is made and for as long as such control exists. For purposes of this definition, “control” means (a) direct or indirect ownership of fifty percent (50%) or more of the stock or shares having the right to vote for the election of directors of such Person (or if the jurisdiction where such Person is domiciled prohibits foreign ownership of such entity, the maximum foreign ownership interest permitted under such Laws;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 that such ownership interest provides actual control over such Person), (b) status as a general partner in any partnership, or (c) the possession, directly or indirectly, of the power to direct, or cause the direction of, the management or policies of such Person, whether through the ownership of voting securities, by contract or otherwise. Affiliates of a Party will exclude Persons who are financial investors of such Party or under common control of such financial investors other than such Party and its subsidiary entities.</w:t>
      </w:r>
    </w:p>
    <w:p>
      <w:pPr>
        <w:spacing w:after="0" w:line="134" w:lineRule="exact"/>
        <w:rPr>
          <w:rFonts w:ascii="Times New Roman" w:cs="Times New Roman" w:eastAsia="Times New Roman" w:hAnsi="Times New Roman"/>
          <w:sz w:val="19"/>
          <w:szCs w:val="19"/>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AI-025</w:t>
      </w:r>
      <w:r>
        <w:rPr>
          <w:rFonts w:ascii="Times New Roman" w:cs="Times New Roman" w:eastAsia="Times New Roman" w:hAnsi="Times New Roman"/>
          <w:sz w:val="19"/>
          <w:szCs w:val="19"/>
          <w:color w:val="auto"/>
        </w:rPr>
        <w:t>” means the Anti-PD-1 Antibody Developed by [***] and known as “AI-025,” as of the Execution Date, [***].</w:t>
      </w:r>
    </w:p>
    <w:p>
      <w:pPr>
        <w:spacing w:after="0" w:line="166" w:lineRule="exact"/>
        <w:rPr>
          <w:rFonts w:ascii="Times New Roman" w:cs="Times New Roman" w:eastAsia="Times New Roman" w:hAnsi="Times New Roman"/>
          <w:sz w:val="19"/>
          <w:szCs w:val="19"/>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AI-025 Know-How</w:t>
      </w:r>
      <w:r>
        <w:rPr>
          <w:rFonts w:ascii="Times New Roman" w:cs="Times New Roman" w:eastAsia="Times New Roman" w:hAnsi="Times New Roman"/>
          <w:sz w:val="19"/>
          <w:szCs w:val="19"/>
          <w:color w:val="auto"/>
        </w:rPr>
        <w:t>” means any Know-How relating to AI-025 licensed or assigned to OncoC4 pursuant to the AI</w:t>
      </w:r>
    </w:p>
    <w:p>
      <w:pPr>
        <w:spacing w:after="0" w:line="358" w:lineRule="exact"/>
        <w:rPr>
          <w:rFonts w:ascii="Times New Roman" w:cs="Times New Roman" w:eastAsia="Times New Roman" w:hAnsi="Times New Roman"/>
          <w:sz w:val="19"/>
          <w:szCs w:val="19"/>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AI-025 Patent</w:t>
      </w:r>
      <w:r>
        <w:rPr>
          <w:rFonts w:ascii="Times New Roman" w:cs="Times New Roman" w:eastAsia="Times New Roman" w:hAnsi="Times New Roman"/>
          <w:sz w:val="19"/>
          <w:szCs w:val="19"/>
          <w:color w:val="auto"/>
        </w:rPr>
        <w:t>” means [***].</w:t>
      </w:r>
    </w:p>
    <w:p>
      <w:pPr>
        <w:spacing w:after="0" w:line="166" w:lineRule="exact"/>
        <w:rPr>
          <w:rFonts w:ascii="Times New Roman" w:cs="Times New Roman" w:eastAsia="Times New Roman" w:hAnsi="Times New Roman"/>
          <w:sz w:val="19"/>
          <w:szCs w:val="19"/>
          <w:color w:val="auto"/>
        </w:rPr>
      </w:pPr>
    </w:p>
    <w:p>
      <w:pPr>
        <w:jc w:val="both"/>
        <w:ind w:right="40" w:firstLine="576"/>
        <w:spacing w:after="0" w:line="249" w:lineRule="auto"/>
        <w:rPr>
          <w:sz w:val="20"/>
          <w:szCs w:val="20"/>
          <w:color w:val="auto"/>
        </w:rPr>
      </w:pPr>
      <w:r>
        <w:rPr>
          <w:rFonts w:ascii="Times New Roman" w:cs="Times New Roman" w:eastAsia="Times New Roman" w:hAnsi="Times New Roman"/>
          <w:sz w:val="19"/>
          <w:szCs w:val="19"/>
          <w:color w:val="auto"/>
        </w:rPr>
        <w:t>1.8. “</w:t>
      </w:r>
      <w:r>
        <w:rPr>
          <w:rFonts w:ascii="Times New Roman" w:cs="Times New Roman" w:eastAsia="Times New Roman" w:hAnsi="Times New Roman"/>
          <w:sz w:val="19"/>
          <w:szCs w:val="19"/>
          <w:b w:val="1"/>
          <w:bCs w:val="1"/>
          <w:color w:val="auto"/>
        </w:rPr>
        <w:t>AI- 061</w:t>
      </w:r>
      <w:r>
        <w:rPr>
          <w:rFonts w:ascii="Times New Roman" w:cs="Times New Roman" w:eastAsia="Times New Roman" w:hAnsi="Times New Roman"/>
          <w:sz w:val="19"/>
          <w:szCs w:val="19"/>
          <w:color w:val="auto"/>
        </w:rPr>
        <w:t xml:space="preserve">” means the biopharmaceutical composition containing as its sole active ingredients both ONC-392 and AI-025, [***] that is known as “AI-061,” as of the Execution Date, as further described on </w:t>
      </w:r>
      <w:r>
        <w:rPr>
          <w:rFonts w:ascii="Times New Roman" w:cs="Times New Roman" w:eastAsia="Times New Roman" w:hAnsi="Times New Roman"/>
          <w:sz w:val="19"/>
          <w:szCs w:val="19"/>
          <w:u w:val="single" w:color="auto"/>
          <w:color w:val="auto"/>
        </w:rPr>
        <w:t>Schedule 1.8</w:t>
      </w:r>
      <w:r>
        <w:rPr>
          <w:rFonts w:ascii="Times New Roman" w:cs="Times New Roman" w:eastAsia="Times New Roman" w:hAnsi="Times New Roman"/>
          <w:sz w:val="19"/>
          <w:szCs w:val="19"/>
          <w:color w:val="auto"/>
        </w:rPr>
        <w:t>.</w:t>
      </w:r>
    </w:p>
    <w:p>
      <w:pPr>
        <w:spacing w:after="0" w:line="123" w:lineRule="exact"/>
        <w:rPr>
          <w:rFonts w:ascii="Times New Roman" w:cs="Times New Roman" w:eastAsia="Times New Roman" w:hAnsi="Times New Roman"/>
          <w:sz w:val="19"/>
          <w:szCs w:val="19"/>
          <w:color w:val="auto"/>
        </w:rPr>
      </w:pPr>
    </w:p>
    <w:p>
      <w:pPr>
        <w:jc w:val="both"/>
        <w:ind w:right="40" w:firstLine="576"/>
        <w:spacing w:after="0" w:line="249" w:lineRule="auto"/>
        <w:rPr>
          <w:sz w:val="20"/>
          <w:szCs w:val="20"/>
          <w:color w:val="auto"/>
        </w:rPr>
      </w:pPr>
      <w:r>
        <w:rPr>
          <w:rFonts w:ascii="Times New Roman" w:cs="Times New Roman" w:eastAsia="Times New Roman" w:hAnsi="Times New Roman"/>
          <w:sz w:val="19"/>
          <w:szCs w:val="19"/>
          <w:color w:val="auto"/>
        </w:rPr>
        <w:t>1.9. “</w:t>
      </w:r>
      <w:r>
        <w:rPr>
          <w:rFonts w:ascii="Times New Roman" w:cs="Times New Roman" w:eastAsia="Times New Roman" w:hAnsi="Times New Roman"/>
          <w:sz w:val="19"/>
          <w:szCs w:val="19"/>
          <w:b w:val="1"/>
          <w:bCs w:val="1"/>
          <w:color w:val="auto"/>
        </w:rPr>
        <w:t>AI-061 Product</w:t>
      </w:r>
      <w:r>
        <w:rPr>
          <w:rFonts w:ascii="Times New Roman" w:cs="Times New Roman" w:eastAsia="Times New Roman" w:hAnsi="Times New Roman"/>
          <w:sz w:val="19"/>
          <w:szCs w:val="19"/>
          <w:color w:val="auto"/>
        </w:rPr>
        <w:t>” means any biopharmaceutical composition containing as its sole active ingredients both ONC-392 and AI-025, [***] including, any biopharmaceutical composition containing as its sole active ingredient AI-061.</w:t>
      </w:r>
    </w:p>
    <w:p>
      <w:pPr>
        <w:spacing w:after="0" w:line="123" w:lineRule="exact"/>
        <w:rPr>
          <w:rFonts w:ascii="Times New Roman" w:cs="Times New Roman" w:eastAsia="Times New Roman" w:hAnsi="Times New Roman"/>
          <w:sz w:val="19"/>
          <w:szCs w:val="19"/>
          <w:color w:val="auto"/>
        </w:rPr>
      </w:pPr>
    </w:p>
    <w:p>
      <w:pPr>
        <w:jc w:val="both"/>
        <w:ind w:right="40" w:firstLine="576"/>
        <w:spacing w:after="0"/>
        <w:rPr>
          <w:sz w:val="20"/>
          <w:szCs w:val="20"/>
          <w:color w:val="auto"/>
        </w:rPr>
      </w:pPr>
      <w:r>
        <w:rPr>
          <w:rFonts w:ascii="Times New Roman" w:cs="Times New Roman" w:eastAsia="Times New Roman" w:hAnsi="Times New Roman"/>
          <w:sz w:val="19"/>
          <w:szCs w:val="19"/>
          <w:color w:val="auto"/>
        </w:rPr>
        <w:t>1.10. “</w:t>
      </w:r>
      <w:r>
        <w:rPr>
          <w:rFonts w:ascii="Times New Roman" w:cs="Times New Roman" w:eastAsia="Times New Roman" w:hAnsi="Times New Roman"/>
          <w:sz w:val="19"/>
          <w:szCs w:val="19"/>
          <w:b w:val="1"/>
          <w:bCs w:val="1"/>
          <w:color w:val="auto"/>
        </w:rPr>
        <w:t>AI Agreements</w:t>
      </w:r>
      <w:r>
        <w:rPr>
          <w:rFonts w:ascii="Times New Roman" w:cs="Times New Roman" w:eastAsia="Times New Roman" w:hAnsi="Times New Roman"/>
          <w:sz w:val="19"/>
          <w:szCs w:val="19"/>
          <w:color w:val="auto"/>
        </w:rPr>
        <w:t>” means, collectively, those certain (a) AI-025/AI-061 License and Assignment Agreement, dated on or about the Execution Date, between [***] and OncoC4 (the “</w:t>
      </w:r>
      <w:r>
        <w:rPr>
          <w:rFonts w:ascii="Times New Roman" w:cs="Times New Roman" w:eastAsia="Times New Roman" w:hAnsi="Times New Roman"/>
          <w:sz w:val="19"/>
          <w:szCs w:val="19"/>
          <w:b w:val="1"/>
          <w:bCs w:val="1"/>
          <w:color w:val="auto"/>
        </w:rPr>
        <w:t>AI License</w:t>
      </w:r>
      <w:r>
        <w:rPr>
          <w:rFonts w:ascii="Times New Roman" w:cs="Times New Roman" w:eastAsia="Times New Roman" w:hAnsi="Times New Roman"/>
          <w:sz w:val="19"/>
          <w:szCs w:val="19"/>
          <w:color w:val="auto"/>
        </w:rPr>
        <w:t xml:space="preserve">”); (b) 392 Collaboration Termination and Assignment Agreement, dated on or about the Execution Date, between [***] and OncoC4 (“ </w:t>
      </w:r>
      <w:r>
        <w:rPr>
          <w:rFonts w:ascii="Times New Roman" w:cs="Times New Roman" w:eastAsia="Times New Roman" w:hAnsi="Times New Roman"/>
          <w:sz w:val="19"/>
          <w:szCs w:val="19"/>
          <w:b w:val="1"/>
          <w:bCs w:val="1"/>
          <w:color w:val="auto"/>
        </w:rPr>
        <w:t>392 Collaboration Termination</w:t>
      </w:r>
      <w:r>
        <w:rPr>
          <w:rFonts w:ascii="Times New Roman" w:cs="Times New Roman" w:eastAsia="Times New Roman" w:hAnsi="Times New Roman"/>
          <w:sz w:val="19"/>
          <w:szCs w:val="19"/>
          <w:color w:val="auto"/>
        </w:rPr>
        <w:t xml:space="preserve">”) and (c) 392 License Termination and Assignment Agreement, dated on or about the Execution Date between [***] and OncoC4 (“ </w:t>
      </w:r>
      <w:r>
        <w:rPr>
          <w:rFonts w:ascii="Times New Roman" w:cs="Times New Roman" w:eastAsia="Times New Roman" w:hAnsi="Times New Roman"/>
          <w:sz w:val="19"/>
          <w:szCs w:val="19"/>
          <w:b w:val="1"/>
          <w:bCs w:val="1"/>
          <w:color w:val="auto"/>
        </w:rPr>
        <w:t>392 License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Termination</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1" w:lineRule="exact"/>
        <w:rPr>
          <w:rFonts w:ascii="Times New Roman" w:cs="Times New Roman" w:eastAsia="Times New Roman" w:hAnsi="Times New Roman"/>
          <w:sz w:val="19"/>
          <w:szCs w:val="19"/>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600"/>
          </w:cols>
          <w:pgMar w:left="660" w:top="556" w:right="640" w:bottom="1440" w:gutter="0" w:footer="0" w:header="0"/>
        </w:sectPr>
      </w:pPr>
    </w:p>
    <w:bookmarkStart w:id="460" w:name="page461"/>
    <w:bookmarkEnd w:id="46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1.11.</w:t>
        <w:tab/>
        <w:t>“</w:t>
      </w:r>
      <w:r>
        <w:rPr>
          <w:rFonts w:ascii="Times New Roman" w:cs="Times New Roman" w:eastAsia="Times New Roman" w:hAnsi="Times New Roman"/>
          <w:sz w:val="19"/>
          <w:szCs w:val="19"/>
          <w:b w:val="1"/>
          <w:bCs w:val="1"/>
          <w:color w:val="auto"/>
        </w:rPr>
        <w:t>Antibody</w:t>
      </w:r>
      <w:r>
        <w:rPr>
          <w:rFonts w:ascii="Times New Roman" w:cs="Times New Roman" w:eastAsia="Times New Roman" w:hAnsi="Times New Roman"/>
          <w:sz w:val="19"/>
          <w:szCs w:val="19"/>
          <w:color w:val="auto"/>
        </w:rPr>
        <w:t>” means:</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1.12.</w:t>
        <w:tab/>
        <w:t>“</w:t>
      </w:r>
      <w:r>
        <w:rPr>
          <w:rFonts w:ascii="Times New Roman" w:cs="Times New Roman" w:eastAsia="Times New Roman" w:hAnsi="Times New Roman"/>
          <w:sz w:val="19"/>
          <w:szCs w:val="19"/>
          <w:b w:val="1"/>
          <w:bCs w:val="1"/>
          <w:color w:val="auto"/>
        </w:rPr>
        <w:t>Anti-CTLA-4 Antibody</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1.13.</w:t>
        <w:tab/>
        <w:t>“</w:t>
      </w:r>
      <w:r>
        <w:rPr>
          <w:rFonts w:ascii="Times New Roman" w:cs="Times New Roman" w:eastAsia="Times New Roman" w:hAnsi="Times New Roman"/>
          <w:sz w:val="19"/>
          <w:szCs w:val="19"/>
          <w:b w:val="1"/>
          <w:bCs w:val="1"/>
          <w:color w:val="auto"/>
        </w:rPr>
        <w:t>Anti-PD-1 Antibody</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1.14.</w:t>
        <w:tab/>
        <w:t>“</w:t>
      </w:r>
      <w:r>
        <w:rPr>
          <w:rFonts w:ascii="Times New Roman" w:cs="Times New Roman" w:eastAsia="Times New Roman" w:hAnsi="Times New Roman"/>
          <w:sz w:val="19"/>
          <w:szCs w:val="19"/>
          <w:b w:val="1"/>
          <w:bCs w:val="1"/>
          <w:color w:val="auto"/>
        </w:rPr>
        <w:t>BioNTech Competitor</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1.15. “</w:t>
      </w:r>
      <w:r>
        <w:rPr>
          <w:rFonts w:ascii="Times New Roman" w:cs="Times New Roman" w:eastAsia="Times New Roman" w:hAnsi="Times New Roman"/>
          <w:sz w:val="19"/>
          <w:szCs w:val="19"/>
          <w:b w:val="1"/>
          <w:bCs w:val="1"/>
          <w:color w:val="auto"/>
        </w:rPr>
        <w:t>BioNTech Product</w:t>
      </w:r>
      <w:r>
        <w:rPr>
          <w:rFonts w:ascii="Times New Roman" w:cs="Times New Roman" w:eastAsia="Times New Roman" w:hAnsi="Times New Roman"/>
          <w:sz w:val="19"/>
          <w:szCs w:val="19"/>
          <w:color w:val="auto"/>
        </w:rPr>
        <w:t>” means any product owned or controlled by BioNTech or i1ts Affiliate (for clarity, other than pursuant to this Agreement) that is (a) an Other Active used in a Combination Product with the Licensed Compound or (b) is used as part of a combination regimen with the Licensed Compound.</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1.16. “</w:t>
      </w:r>
      <w:r>
        <w:rPr>
          <w:rFonts w:ascii="Times New Roman" w:cs="Times New Roman" w:eastAsia="Times New Roman" w:hAnsi="Times New Roman"/>
          <w:sz w:val="19"/>
          <w:szCs w:val="19"/>
          <w:b w:val="1"/>
          <w:bCs w:val="1"/>
          <w:color w:val="auto"/>
        </w:rPr>
        <w:t>BioNTech Technology</w:t>
      </w:r>
      <w:r>
        <w:rPr>
          <w:rFonts w:ascii="Times New Roman" w:cs="Times New Roman" w:eastAsia="Times New Roman" w:hAnsi="Times New Roman"/>
          <w:sz w:val="19"/>
          <w:szCs w:val="19"/>
          <w:color w:val="auto"/>
        </w:rPr>
        <w:t xml:space="preserve">” means any Patents or Know-How (a) conceived, discovered, developed, reduced to practice, or otherwise made by or on behalf of BioNTech, its Affiliates and Sublicensees under this Agreement, or (b) to the extent not otherwise covered in subsection (a), Controlled by BioNTech, its Affiliates or Sublicensees as of the Effective Date or during the Term, and is necessary or reasonably useful for OncoC4 to perform its obligations under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w:t>
      </w:r>
    </w:p>
    <w:p>
      <w:pPr>
        <w:spacing w:after="0" w:line="13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1.17.</w:t>
        <w:tab/>
        <w:t>“</w:t>
      </w:r>
      <w:r>
        <w:rPr>
          <w:rFonts w:ascii="Times New Roman" w:cs="Times New Roman" w:eastAsia="Times New Roman" w:hAnsi="Times New Roman"/>
          <w:sz w:val="19"/>
          <w:szCs w:val="19"/>
          <w:b w:val="1"/>
          <w:bCs w:val="1"/>
          <w:color w:val="auto"/>
        </w:rPr>
        <w:t>Biosimilar Competition</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1.18.</w:t>
        <w:tab/>
        <w:t>“</w:t>
      </w:r>
      <w:r>
        <w:rPr>
          <w:rFonts w:ascii="Times New Roman" w:cs="Times New Roman" w:eastAsia="Times New Roman" w:hAnsi="Times New Roman"/>
          <w:sz w:val="19"/>
          <w:szCs w:val="19"/>
          <w:b w:val="1"/>
          <w:bCs w:val="1"/>
          <w:color w:val="auto"/>
        </w:rPr>
        <w:t>Biosimilar Material Competition</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1.19.</w:t>
        <w:tab/>
        <w:t>“</w:t>
      </w:r>
      <w:r>
        <w:rPr>
          <w:rFonts w:ascii="Times New Roman" w:cs="Times New Roman" w:eastAsia="Times New Roman" w:hAnsi="Times New Roman"/>
          <w:sz w:val="19"/>
          <w:szCs w:val="19"/>
          <w:b w:val="1"/>
          <w:bCs w:val="1"/>
          <w:color w:val="auto"/>
        </w:rPr>
        <w:t>Biosimilar Product</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1.20. “</w:t>
      </w:r>
      <w:r>
        <w:rPr>
          <w:rFonts w:ascii="Times New Roman" w:cs="Times New Roman" w:eastAsia="Times New Roman" w:hAnsi="Times New Roman"/>
          <w:sz w:val="19"/>
          <w:szCs w:val="19"/>
          <w:b w:val="1"/>
          <w:bCs w:val="1"/>
          <w:color w:val="auto"/>
        </w:rPr>
        <w:t>BLA</w:t>
      </w:r>
      <w:r>
        <w:rPr>
          <w:rFonts w:ascii="Times New Roman" w:cs="Times New Roman" w:eastAsia="Times New Roman" w:hAnsi="Times New Roman"/>
          <w:sz w:val="19"/>
          <w:szCs w:val="19"/>
          <w:color w:val="auto"/>
        </w:rPr>
        <w:t>” means: a Biologics License Application (as more fully described in 21 C.F.R. Part 601, or its successor regulation) filed with the FDA; including, all supplements, amendments, variations, extensions and renewals thereof that may be filed with respect thereto.</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1.21.</w:t>
        <w:tab/>
        <w:t>“</w:t>
      </w:r>
      <w:r>
        <w:rPr>
          <w:rFonts w:ascii="Times New Roman" w:cs="Times New Roman" w:eastAsia="Times New Roman" w:hAnsi="Times New Roman"/>
          <w:sz w:val="19"/>
          <w:szCs w:val="19"/>
          <w:b w:val="1"/>
          <w:bCs w:val="1"/>
          <w:color w:val="auto"/>
        </w:rPr>
        <w:t>BNT PD-1 License</w:t>
      </w:r>
      <w:r>
        <w:rPr>
          <w:rFonts w:ascii="Times New Roman" w:cs="Times New Roman" w:eastAsia="Times New Roman" w:hAnsi="Times New Roman"/>
          <w:sz w:val="19"/>
          <w:szCs w:val="19"/>
          <w:color w:val="auto"/>
        </w:rPr>
        <w:t>” has the meaning set forth in Section 3.1(b).</w:t>
      </w:r>
    </w:p>
    <w:p>
      <w:pPr>
        <w:spacing w:after="0" w:line="166" w:lineRule="exact"/>
        <w:rPr>
          <w:sz w:val="20"/>
          <w:szCs w:val="20"/>
          <w:color w:val="auto"/>
        </w:rPr>
      </w:pPr>
    </w:p>
    <w:p>
      <w:pPr>
        <w:ind w:right="80" w:firstLine="576"/>
        <w:spacing w:after="0" w:line="249" w:lineRule="auto"/>
        <w:rPr>
          <w:sz w:val="20"/>
          <w:szCs w:val="20"/>
          <w:color w:val="auto"/>
        </w:rPr>
      </w:pPr>
      <w:r>
        <w:rPr>
          <w:rFonts w:ascii="Times New Roman" w:cs="Times New Roman" w:eastAsia="Times New Roman" w:hAnsi="Times New Roman"/>
          <w:sz w:val="19"/>
          <w:szCs w:val="19"/>
          <w:color w:val="auto"/>
        </w:rPr>
        <w:t>1.22. “</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other than a Saturday, a Sunday, or any day on which commercial banks in New York, New York or Mainz, Germany, are authorized or required by applicable Law to remain closed.</w:t>
      </w:r>
    </w:p>
    <w:p>
      <w:pPr>
        <w:spacing w:after="0" w:line="123"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1.23. “</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xml:space="preserve">” means each of the three month periods ending on March 31, June 30, September 30, and December 31 of any Calendar Year;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(a) the first Calendar Quarter of the Term will extend from the Effective Date to the end of the Calendar Quarter in which the Effective Date occurs; and (b) the last Calendar Quarter of the Term will extend from the beginning of the Calendar Quarter in which this Agreement expires or terminates until the effective date of such expiration or termination.</w:t>
      </w:r>
    </w:p>
    <w:p>
      <w:pPr>
        <w:spacing w:after="0" w:line="134" w:lineRule="exact"/>
        <w:rPr>
          <w:sz w:val="20"/>
          <w:szCs w:val="20"/>
          <w:color w:val="auto"/>
        </w:rPr>
      </w:pPr>
    </w:p>
    <w:p>
      <w:pPr>
        <w:jc w:val="both"/>
        <w:ind w:right="40" w:firstLine="576"/>
        <w:spacing w:after="0" w:line="233" w:lineRule="auto"/>
        <w:rPr>
          <w:sz w:val="20"/>
          <w:szCs w:val="20"/>
          <w:color w:val="auto"/>
        </w:rPr>
      </w:pPr>
      <w:r>
        <w:rPr>
          <w:rFonts w:ascii="Times New Roman" w:cs="Times New Roman" w:eastAsia="Times New Roman" w:hAnsi="Times New Roman"/>
          <w:sz w:val="19"/>
          <w:szCs w:val="19"/>
          <w:color w:val="auto"/>
        </w:rPr>
        <w:t>1.24. “</w:t>
      </w:r>
      <w:r>
        <w:rPr>
          <w:rFonts w:ascii="Times New Roman" w:cs="Times New Roman" w:eastAsia="Times New Roman" w:hAnsi="Times New Roman"/>
          <w:sz w:val="19"/>
          <w:szCs w:val="19"/>
          <w:b w:val="1"/>
          <w:bCs w:val="1"/>
          <w:color w:val="auto"/>
        </w:rPr>
        <w:t>Calendar Year</w:t>
      </w:r>
      <w:r>
        <w:rPr>
          <w:rFonts w:ascii="Times New Roman" w:cs="Times New Roman" w:eastAsia="Times New Roman" w:hAnsi="Times New Roman"/>
          <w:sz w:val="19"/>
          <w:szCs w:val="19"/>
          <w:color w:val="auto"/>
        </w:rPr>
        <w:t xml:space="preserve"> ” means, for the first Calendar Year of the Term, the period beginning on the Effective Date and ending on December 31 of the year in which the Effective Date occurs, and for each Calendar Year thereafter each twelve (12) month period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10580"/>
          </w:cols>
          <w:pgMar w:left="660" w:top="556" w:right="660" w:bottom="1440" w:gutter="0" w:footer="0" w:header="0"/>
        </w:sectPr>
      </w:pPr>
    </w:p>
    <w:bookmarkStart w:id="461" w:name="page462"/>
    <w:bookmarkEnd w:id="46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9"/>
          <w:szCs w:val="19"/>
          <w:color w:val="auto"/>
        </w:rPr>
        <w:t>on January 1 and ending on December 31, except that the last Calendar Year of the Term will commence on January 1 of the year in which this Agreement expires or terminates and end on the effective date of such expiration or termination.</w:t>
      </w:r>
    </w:p>
    <w:p>
      <w:pPr>
        <w:spacing w:after="0" w:line="12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1.25.</w:t>
        <w:tab/>
        <w:t>“</w:t>
      </w:r>
      <w:r>
        <w:rPr>
          <w:rFonts w:ascii="Times New Roman" w:cs="Times New Roman" w:eastAsia="Times New Roman" w:hAnsi="Times New Roman"/>
          <w:sz w:val="19"/>
          <w:szCs w:val="19"/>
          <w:b w:val="1"/>
          <w:bCs w:val="1"/>
          <w:color w:val="auto"/>
        </w:rPr>
        <w:t>CD80/CD86 Compound</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9"/>
          <w:szCs w:val="19"/>
          <w:color w:val="auto"/>
        </w:rPr>
        <w:t>1.26. “</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xml:space="preserve">” means, with respect to a Party, (a) a merger, consolidation, reorganization, amalgamation, arrangement, share exchange, tender or exchange offer, private purchase, business combination or other transaction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or ultimate parent of the surviving entity immediately after such merger or consolidation, or the foregoing occurs with respect to a parent or ultimate parent company of such Party, (b) a transaction or series of related transactions in which a Third Party, together with its Affiliates (if any), becomes the direct or indirect beneficial owner of more than fifty percent (50%) of the combined voting power of the outstanding securities of such Party or any Affiliate directly or indirectly controlling such Party, or (c) the sale or other transfer to a Third Party of all or substantially all of such Party’s assets. Notwithstanding the foregoing, any transaction or series of transactions effected for the primary purpose of financing the operations of the applicable Party or changing the form or jurisdiction of organization of such Party will not be deemed a “Change of Control” for purposes of this Agreement,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the transaction would otherwise fall within clause (a) or (b) of this definition, the entity with direct or indirect beneficial ownership of fifty percent (50%) or more of the combined voting power of the surviving entity or the parent or ultimate parent of the surviving entity is a financial investor that is not an operating pharmaceutical or biopharmaceutical company and is not controlled by or under common control with such an entity.</w:t>
      </w:r>
    </w:p>
    <w:p>
      <w:pPr>
        <w:spacing w:after="0" w:line="137"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1.27.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means, with respect to a particular item or product and a particular Patent, that such Patent claims the composition of such item or product or any of its ingredients or formulations; a method of making or using it or them; or an item used or present in the manufacture of such item or product (including plasmids, vectors, cell lines, and chemical intermediates, as applicable).</w:t>
      </w:r>
    </w:p>
    <w:p>
      <w:pPr>
        <w:spacing w:after="0" w:line="1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1.28. “</w:t>
      </w:r>
      <w:r>
        <w:rPr>
          <w:rFonts w:ascii="Times New Roman" w:cs="Times New Roman" w:eastAsia="Times New Roman" w:hAnsi="Times New Roman"/>
          <w:sz w:val="19"/>
          <w:szCs w:val="19"/>
          <w:b w:val="1"/>
          <w:bCs w:val="1"/>
          <w:color w:val="auto"/>
        </w:rPr>
        <w:t>Clinical Data</w:t>
      </w:r>
      <w:r>
        <w:rPr>
          <w:rFonts w:ascii="Times New Roman" w:cs="Times New Roman" w:eastAsia="Times New Roman" w:hAnsi="Times New Roman"/>
          <w:sz w:val="19"/>
          <w:szCs w:val="19"/>
          <w:color w:val="auto"/>
        </w:rPr>
        <w:t>” means the original human subject data and case report forms (CRFs) collected or generated with respect to Clinical Trials of any Licensed Product, together with all analysis, reports, and results with respect thereto.</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1.29. “</w:t>
      </w:r>
      <w:r>
        <w:rPr>
          <w:rFonts w:ascii="Times New Roman" w:cs="Times New Roman" w:eastAsia="Times New Roman" w:hAnsi="Times New Roman"/>
          <w:sz w:val="19"/>
          <w:szCs w:val="19"/>
          <w:b w:val="1"/>
          <w:bCs w:val="1"/>
          <w:color w:val="auto"/>
        </w:rPr>
        <w:t>Clinical Trial</w:t>
      </w:r>
      <w:r>
        <w:rPr>
          <w:rFonts w:ascii="Times New Roman" w:cs="Times New Roman" w:eastAsia="Times New Roman" w:hAnsi="Times New Roman"/>
          <w:sz w:val="19"/>
          <w:szCs w:val="19"/>
          <w:color w:val="auto"/>
        </w:rPr>
        <w:t>” means a study in which human subjects or patients are dosed with a drug or biologic, whether such drug or biologic is approved or investigational.</w:t>
      </w:r>
    </w:p>
    <w:p>
      <w:pPr>
        <w:spacing w:after="0" w:line="12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1.30.</w:t>
        <w:tab/>
        <w:t>“</w:t>
      </w:r>
      <w:r>
        <w:rPr>
          <w:rFonts w:ascii="Times New Roman" w:cs="Times New Roman" w:eastAsia="Times New Roman" w:hAnsi="Times New Roman"/>
          <w:sz w:val="19"/>
          <w:szCs w:val="19"/>
          <w:b w:val="1"/>
          <w:bCs w:val="1"/>
          <w:color w:val="auto"/>
        </w:rPr>
        <w:t>Combination Product</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1.31. “</w:t>
      </w:r>
      <w:r>
        <w:rPr>
          <w:rFonts w:ascii="Times New Roman" w:cs="Times New Roman" w:eastAsia="Times New Roman" w:hAnsi="Times New Roman"/>
          <w:sz w:val="19"/>
          <w:szCs w:val="19"/>
          <w:b w:val="1"/>
          <w:bCs w:val="1"/>
          <w:color w:val="auto"/>
        </w:rPr>
        <w:t>Commercialization</w:t>
      </w:r>
      <w:r>
        <w:rPr>
          <w:rFonts w:ascii="Times New Roman" w:cs="Times New Roman" w:eastAsia="Times New Roman" w:hAnsi="Times New Roman"/>
          <w:sz w:val="19"/>
          <w:szCs w:val="19"/>
          <w:color w:val="auto"/>
        </w:rPr>
        <w:t>” means any and all activities related to the commercialization of a product, including the pre-marketing, launching, marketing, promotion (including advertising and detailing), market research, labeling, bidding and listing, pricing and reimbursement, distribution, storage, handling, Manufacturing for commercial sale (including inventory build to support launch), offering for sale, selling, having sold, importing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ectPr>
          <w:pgSz w:w="11900" w:h="16840" w:orient="portrait"/>
          <w:cols w:equalWidth="0" w:num="1">
            <w:col w:w="10580"/>
          </w:cols>
          <w:pgMar w:left="660" w:top="556" w:right="660" w:bottom="1440" w:gutter="0" w:footer="0" w:header="0"/>
        </w:sectPr>
      </w:pPr>
    </w:p>
    <w:bookmarkStart w:id="462" w:name="page463"/>
    <w:bookmarkEnd w:id="46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exporting for sale, having imported and exported for sale, distribution, having distributed, order processing, handling returns and recalls, customer service and support, and post-marketing safety surveillance and reporting of a product, as well all regulatory compliance and conduct of administrative functions with respect to the foregoing. For clarity, “Commercialization” includes all pre-launch marketing and other launch preparation activities, including training of personnel who will conduct Commercialization activities, as well as Manufacturing activities in preparation for and to establish and maintain commercial sales. When used as a verb, “Commercialize” means to engage in Commercialization.</w:t>
      </w:r>
    </w:p>
    <w:p>
      <w:pPr>
        <w:spacing w:after="0" w:line="135"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1.32.</w:t>
        <w:tab/>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1.33. “</w:t>
      </w:r>
      <w:r>
        <w:rPr>
          <w:rFonts w:ascii="Times New Roman" w:cs="Times New Roman" w:eastAsia="Times New Roman" w:hAnsi="Times New Roman"/>
          <w:sz w:val="19"/>
          <w:szCs w:val="19"/>
          <w:b w:val="1"/>
          <w:bCs w:val="1"/>
          <w:color w:val="auto"/>
        </w:rPr>
        <w:t>Compulsory License</w:t>
      </w:r>
      <w:r>
        <w:rPr>
          <w:rFonts w:ascii="Times New Roman" w:cs="Times New Roman" w:eastAsia="Times New Roman" w:hAnsi="Times New Roman"/>
          <w:sz w:val="19"/>
          <w:szCs w:val="19"/>
          <w:color w:val="auto"/>
        </w:rPr>
        <w:t>” means, with respect to a Licensed Product and a given country or jurisdiction, a right for a Third Party to develop, make, have made, use, sell, offer for sale or import a Licensed Product where such right has been obtained as a result of a licensing requirement or obligation under applicable Law or an order of a Governmental Authority in such country or jurisdiction.</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1. 34.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xml:space="preserve">” means (i) all trade secrets or confidential or proprietary information (including any tangible materials embodying any of the foregoing) of the disclosing Party or its Affiliates provided or disclosed to the other Party in connection with this Agreement; and (ii) the terms and conditions of this Agreement;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Confidential Information will not include information that:</w:t>
      </w:r>
    </w:p>
    <w:p>
      <w:pPr>
        <w:spacing w:after="0" w:line="136" w:lineRule="exact"/>
        <w:rPr>
          <w:sz w:val="20"/>
          <w:szCs w:val="20"/>
          <w:color w:val="auto"/>
        </w:rPr>
      </w:pPr>
    </w:p>
    <w:p>
      <w:pPr>
        <w:ind w:firstLine="1158"/>
        <w:spacing w:after="0" w:line="246" w:lineRule="auto"/>
        <w:tabs>
          <w:tab w:leader="none" w:pos="1572"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published by a Third Party or otherwise is or hereafter becomes publicly known by public use, publication, general knowledge or the like through no breach of this Agreement on the part of the receiving Party;</w:t>
      </w:r>
    </w:p>
    <w:p>
      <w:pPr>
        <w:spacing w:after="0" w:line="128"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590"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in the receiving Party’s possession prior to disclosure by the disclosing Party hereunder, and not through a prior disclosure by the disclosing Party, without any obligation of confidentiality with respect to such information (as evidenced by the receiving Party’s or such Affiliate’s written records or other competent evidence);</w:t>
      </w:r>
    </w:p>
    <w:p>
      <w:pPr>
        <w:spacing w:after="0" w:line="134" w:lineRule="exact"/>
        <w:rPr>
          <w:rFonts w:ascii="Times New Roman" w:cs="Times New Roman" w:eastAsia="Times New Roman" w:hAnsi="Times New Roman"/>
          <w:sz w:val="19"/>
          <w:szCs w:val="19"/>
          <w:color w:val="auto"/>
        </w:rPr>
      </w:pPr>
    </w:p>
    <w:p>
      <w:pPr>
        <w:ind w:right="20" w:firstLine="1158"/>
        <w:spacing w:after="0" w:line="246" w:lineRule="auto"/>
        <w:tabs>
          <w:tab w:leader="none" w:pos="1611"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subsequently received by the receiving Party from a Third Party who is not known by the receiving Party to be under an obligation of confidentiality to the disclosing Party under any agreement between such Third Party and the disclosing Party; or</w:t>
      </w:r>
    </w:p>
    <w:p>
      <w:pPr>
        <w:spacing w:after="0" w:line="128"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642"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independently developed by or for the receiving Party without reference to, or use or disclosure of, the disclosing Party’s Confidential Information (as evidenced by the receiving Party’s or such Affiliate’s written records or other competent evidence);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that clauses (b) through (d) above will not apply to the terms and conditions of this Agreement.</w:t>
      </w:r>
    </w:p>
    <w:p>
      <w:pPr>
        <w:spacing w:after="0" w:line="168"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9"/>
          <w:szCs w:val="19"/>
          <w:color w:val="auto"/>
        </w:rPr>
        <w:t>Licensed Know-How, unpublished Licensed Patents, [***] and the terms and conditions of this Agreement shall be deemed the Confidential Information of both Parties, with each Party treated as the receiving Party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ectPr>
          <w:pgSz w:w="11900" w:h="16840" w:orient="portrait"/>
          <w:cols w:equalWidth="0" w:num="1">
            <w:col w:w="10580"/>
          </w:cols>
          <w:pgMar w:left="660" w:top="556" w:right="660" w:bottom="1440" w:gutter="0" w:footer="0" w:header="0"/>
        </w:sectPr>
      </w:pPr>
    </w:p>
    <w:bookmarkStart w:id="463" w:name="page464"/>
    <w:bookmarkEnd w:id="46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1.35.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means, with respect to any Know-How, Patent, Regulatory Material, Regulatory Approval or other property right, the legal authority or right (whether by ownership, license (other than a license granted pursuant to this Agreement) or otherwise) of a Person or its Affiliate to grant access, a license, or a sublicense of or under such Know-How, Patent, Regulatory Material, Regulatory Approval or other property right, without breaching the terms of any agreement with a Third Party. Notwithstanding the foregoing, Patents and Know-How licensed to OncoC4 under the Upstream Agreement(s) shall be deemed to be “Controlled” by OncoC4 for purposes of this Agreement to the same extent that such Patents and Know-How are licensed to OncoC4 and otherwise fall within the definition of Licensed Patents and Licensed Know -How, respectively.</w:t>
      </w:r>
    </w:p>
    <w:p>
      <w:pPr>
        <w:spacing w:after="0" w:line="135"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1.36.</w:t>
        <w:tab/>
        <w:t>“</w:t>
      </w:r>
      <w:r>
        <w:rPr>
          <w:rFonts w:ascii="Times New Roman" w:cs="Times New Roman" w:eastAsia="Times New Roman" w:hAnsi="Times New Roman"/>
          <w:sz w:val="19"/>
          <w:szCs w:val="19"/>
          <w:b w:val="1"/>
          <w:bCs w:val="1"/>
          <w:color w:val="auto"/>
        </w:rPr>
        <w:t>Cover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Covering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Covered</w:t>
      </w:r>
      <w:r>
        <w:rPr>
          <w:rFonts w:ascii="Times New Roman" w:cs="Times New Roman" w:eastAsia="Times New Roman" w:hAnsi="Times New Roman"/>
          <w:sz w:val="19"/>
          <w:szCs w:val="19"/>
          <w:color w:val="auto"/>
        </w:rPr>
        <w:t>” mean,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1.37.</w:t>
        <w:tab/>
        <w:t>“</w:t>
      </w:r>
      <w:r>
        <w:rPr>
          <w:rFonts w:ascii="Times New Roman" w:cs="Times New Roman" w:eastAsia="Times New Roman" w:hAnsi="Times New Roman"/>
          <w:sz w:val="19"/>
          <w:szCs w:val="19"/>
          <w:b w:val="1"/>
          <w:bCs w:val="1"/>
          <w:color w:val="auto"/>
        </w:rPr>
        <w:t>CTLA-4</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right="20" w:firstLine="576"/>
        <w:spacing w:after="0" w:line="218" w:lineRule="auto"/>
        <w:rPr>
          <w:sz w:val="20"/>
          <w:szCs w:val="20"/>
          <w:color w:val="auto"/>
        </w:rPr>
      </w:pPr>
      <w:r>
        <w:rPr>
          <w:rFonts w:ascii="Times New Roman" w:cs="Times New Roman" w:eastAsia="Times New Roman" w:hAnsi="Times New Roman"/>
          <w:sz w:val="19"/>
          <w:szCs w:val="19"/>
          <w:color w:val="auto"/>
        </w:rPr>
        <w:t>1.38. “</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means non-clinical, pre-clinical, and clinical drug research and development activities,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Trials, regulatory affairs, the preparation and submission of Regulatory Materials, Clinical Trial regulatory activities, and any other activities directed towards obtaining or maintaining Regulatory Approval of any Licensed Product, including Manufacturing in support of any of the foregoing. Development includes use and importation of the relevant Licensed Product to conduct such Development activities. For clarity, “Development” will not include Commercialization activities. When used as a verb, “Develop” means to engage in Development.</w:t>
      </w:r>
    </w:p>
    <w:p>
      <w:pPr>
        <w:spacing w:after="0" w:line="13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1.39.</w:t>
        <w:tab/>
        <w:t>“</w:t>
      </w:r>
      <w:r>
        <w:rPr>
          <w:rFonts w:ascii="Times New Roman" w:cs="Times New Roman" w:eastAsia="Times New Roman" w:hAnsi="Times New Roman"/>
          <w:sz w:val="19"/>
          <w:szCs w:val="19"/>
          <w:b w:val="1"/>
          <w:bCs w:val="1"/>
          <w:color w:val="auto"/>
        </w:rPr>
        <w:t>Dollars</w:t>
      </w:r>
      <w:r>
        <w:rPr>
          <w:rFonts w:ascii="Times New Roman" w:cs="Times New Roman" w:eastAsia="Times New Roman" w:hAnsi="Times New Roman"/>
          <w:sz w:val="19"/>
          <w:szCs w:val="19"/>
          <w:color w:val="auto"/>
        </w:rPr>
        <w:t>” means United States dollars.</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color w:val="auto"/>
        </w:rPr>
        <w:t>1.40. “</w:t>
      </w:r>
      <w:r>
        <w:rPr>
          <w:rFonts w:ascii="Times New Roman" w:cs="Times New Roman" w:eastAsia="Times New Roman" w:hAnsi="Times New Roman"/>
          <w:sz w:val="19"/>
          <w:szCs w:val="19"/>
          <w:b w:val="1"/>
          <w:bCs w:val="1"/>
          <w:color w:val="auto"/>
        </w:rPr>
        <w:t>EU</w:t>
      </w:r>
      <w:r>
        <w:rPr>
          <w:rFonts w:ascii="Times New Roman" w:cs="Times New Roman" w:eastAsia="Times New Roman" w:hAnsi="Times New Roman"/>
          <w:sz w:val="19"/>
          <w:szCs w:val="19"/>
          <w:color w:val="auto"/>
        </w:rPr>
        <w:t>” means the European Union, as its membership may be constituted from time to time, and any successor thereto, and the United Kingdom.</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1.41. “</w:t>
      </w:r>
      <w:r>
        <w:rPr>
          <w:rFonts w:ascii="Times New Roman" w:cs="Times New Roman" w:eastAsia="Times New Roman" w:hAnsi="Times New Roman"/>
          <w:sz w:val="19"/>
          <w:szCs w:val="19"/>
          <w:b w:val="1"/>
          <w:bCs w:val="1"/>
          <w:color w:val="auto"/>
        </w:rPr>
        <w:t>Exploit</w:t>
      </w:r>
      <w:r>
        <w:rPr>
          <w:rFonts w:ascii="Times New Roman" w:cs="Times New Roman" w:eastAsia="Times New Roman" w:hAnsi="Times New Roman"/>
          <w:sz w:val="19"/>
          <w:szCs w:val="19"/>
          <w:color w:val="auto"/>
        </w:rPr>
        <w:t>” means, with respect to a pharmaceutical or biologic product, to Develop, Manufacture, make, have made (subject to the terms of this Agreement, if applicable), Commercialize, use, sell, offer for sale, import, export, and otherwise exploit such Licensed Product.</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1.42.</w:t>
        <w:tab/>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United States Food and Drug Administration or any successor agency thereto.</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1.43.</w:t>
        <w:tab/>
        <w:t>“</w:t>
      </w:r>
      <w:r>
        <w:rPr>
          <w:rFonts w:ascii="Times New Roman" w:cs="Times New Roman" w:eastAsia="Times New Roman" w:hAnsi="Times New Roman"/>
          <w:sz w:val="19"/>
          <w:szCs w:val="19"/>
          <w:b w:val="1"/>
          <w:bCs w:val="1"/>
          <w:color w:val="auto"/>
        </w:rPr>
        <w:t>FFDCA</w:t>
      </w:r>
      <w:r>
        <w:rPr>
          <w:rFonts w:ascii="Times New Roman" w:cs="Times New Roman" w:eastAsia="Times New Roman" w:hAnsi="Times New Roman"/>
          <w:sz w:val="19"/>
          <w:szCs w:val="19"/>
          <w:color w:val="auto"/>
        </w:rPr>
        <w:t>” means the U.S. Federal Food, Drug and Cosmetic Act.</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1.44.</w:t>
        <w:tab/>
        <w:t>“</w:t>
      </w:r>
      <w:r>
        <w:rPr>
          <w:rFonts w:ascii="Times New Roman" w:cs="Times New Roman" w:eastAsia="Times New Roman" w:hAnsi="Times New Roman"/>
          <w:sz w:val="19"/>
          <w:szCs w:val="19"/>
          <w:b w:val="1"/>
          <w:bCs w:val="1"/>
          <w:color w:val="auto"/>
        </w:rPr>
        <w:t>Field</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1.45.</w:t>
        <w:tab/>
        <w:t>“</w:t>
      </w:r>
      <w:r>
        <w:rPr>
          <w:rFonts w:ascii="Times New Roman" w:cs="Times New Roman" w:eastAsia="Times New Roman" w:hAnsi="Times New Roman"/>
          <w:sz w:val="19"/>
          <w:szCs w:val="19"/>
          <w:b w:val="1"/>
          <w:bCs w:val="1"/>
          <w:color w:val="auto"/>
        </w:rPr>
        <w:t>First Commercial Sale</w:t>
      </w:r>
      <w:r>
        <w:rPr>
          <w:rFonts w:ascii="Times New Roman" w:cs="Times New Roman" w:eastAsia="Times New Roman" w:hAnsi="Times New Roman"/>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ectPr>
          <w:pgSz w:w="11900" w:h="16840" w:orient="portrait"/>
          <w:cols w:equalWidth="0" w:num="1">
            <w:col w:w="10580"/>
          </w:cols>
          <w:pgMar w:left="660" w:top="556" w:right="660" w:bottom="1440" w:gutter="0" w:footer="0" w:header="0"/>
        </w:sectPr>
      </w:pPr>
    </w:p>
    <w:bookmarkStart w:id="464" w:name="page465"/>
    <w:bookmarkEnd w:id="46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9"/>
          <w:szCs w:val="19"/>
          <w:color w:val="auto"/>
        </w:rPr>
        <w:t>1.46. “</w:t>
      </w:r>
      <w:r>
        <w:rPr>
          <w:rFonts w:ascii="Times New Roman" w:cs="Times New Roman" w:eastAsia="Times New Roman" w:hAnsi="Times New Roman"/>
          <w:sz w:val="19"/>
          <w:szCs w:val="19"/>
          <w:b w:val="1"/>
          <w:bCs w:val="1"/>
          <w:color w:val="auto"/>
        </w:rPr>
        <w:t>FTE</w:t>
      </w:r>
      <w:r>
        <w:rPr>
          <w:rFonts w:ascii="Times New Roman" w:cs="Times New Roman" w:eastAsia="Times New Roman" w:hAnsi="Times New Roman"/>
          <w:sz w:val="19"/>
          <w:szCs w:val="19"/>
          <w:color w:val="auto"/>
        </w:rPr>
        <w:t>” means the equivalent of a full-time individual’s work time for a twelve (12) month period devoted to Development (excluding management and indirectly related personnel’s time), where “full- time” is determined by [***] hours per Calendar Year. In the event that any individual who works full-time during a given Calendar Year works partially on the activities under this Agreement and partially on other work outside this Agreement, then the full- time equivalent to be attributed to such individual’s work hereunder for such Calendar Year shall be equal to the percentage of such individual’s total work time in such Calendar Year that such individual spent working on activities under this Agreement. For avoidance of doubt, FTE shall exclude individuals responsible for managerial, secretarial, clerical and administrative activities.</w:t>
      </w:r>
    </w:p>
    <w:p>
      <w:pPr>
        <w:spacing w:after="0" w:line="135"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color w:val="auto"/>
        </w:rPr>
        <w:t>1.47. “</w:t>
      </w:r>
      <w:r>
        <w:rPr>
          <w:rFonts w:ascii="Times New Roman" w:cs="Times New Roman" w:eastAsia="Times New Roman" w:hAnsi="Times New Roman"/>
          <w:sz w:val="19"/>
          <w:szCs w:val="19"/>
          <w:b w:val="1"/>
          <w:bCs w:val="1"/>
          <w:color w:val="auto"/>
        </w:rPr>
        <w:t>FTE Costs</w:t>
      </w:r>
      <w:r>
        <w:rPr>
          <w:rFonts w:ascii="Times New Roman" w:cs="Times New Roman" w:eastAsia="Times New Roman" w:hAnsi="Times New Roman"/>
          <w:sz w:val="19"/>
          <w:szCs w:val="19"/>
          <w:color w:val="auto"/>
        </w:rPr>
        <w:t>” means, with respect to a Party for any period, the applicable FTE Rate multiplied by the applicable number of FTEs of such Party performing Development activities during such period in accordance with the CDP.</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1.48. “</w:t>
      </w:r>
      <w:r>
        <w:rPr>
          <w:rFonts w:ascii="Times New Roman" w:cs="Times New Roman" w:eastAsia="Times New Roman" w:hAnsi="Times New Roman"/>
          <w:sz w:val="19"/>
          <w:szCs w:val="19"/>
          <w:b w:val="1"/>
          <w:bCs w:val="1"/>
          <w:color w:val="auto"/>
        </w:rPr>
        <w:t>FTE Rate</w:t>
      </w:r>
      <w:r>
        <w:rPr>
          <w:rFonts w:ascii="Times New Roman" w:cs="Times New Roman" w:eastAsia="Times New Roman" w:hAnsi="Times New Roman"/>
          <w:sz w:val="19"/>
          <w:szCs w:val="19"/>
          <w:color w:val="auto"/>
        </w:rPr>
        <w:t xml:space="preserve">” means [***] per FTE per Calendar Year;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the FTE Rate will be prorated for the period beginning on the Effective Date and ending on December 31, 2023 [***].</w:t>
      </w:r>
    </w:p>
    <w:p>
      <w:pPr>
        <w:spacing w:after="0" w:line="123"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1.49. “</w:t>
      </w:r>
      <w:r>
        <w:rPr>
          <w:rFonts w:ascii="Times New Roman" w:cs="Times New Roman" w:eastAsia="Times New Roman" w:hAnsi="Times New Roman"/>
          <w:sz w:val="19"/>
          <w:szCs w:val="19"/>
          <w:b w:val="1"/>
          <w:bCs w:val="1"/>
          <w:color w:val="auto"/>
        </w:rPr>
        <w:t>Fully Burdened Manufacturing Costs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FBMC</w:t>
      </w:r>
      <w:r>
        <w:rPr>
          <w:rFonts w:ascii="Times New Roman" w:cs="Times New Roman" w:eastAsia="Times New Roman" w:hAnsi="Times New Roman"/>
          <w:sz w:val="19"/>
          <w:szCs w:val="19"/>
          <w:color w:val="auto"/>
        </w:rPr>
        <w:t>” means the costs incurred by or on behalf of the Parties or their Affiliates in connection with Manufacturing or purchasing from a Third Party, as applicable, the Licensed Compound or Licensed Products (or components thereof) . For quantities Manufactured by a Party or its Affiliate, FBMC shall be comprised of the following elements calculated in accordance with the applicable Accounting Standard: [***].</w:t>
      </w:r>
    </w:p>
    <w:p>
      <w:pPr>
        <w:spacing w:after="0" w:line="134"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color w:val="auto"/>
        </w:rPr>
        <w:t>1.50. “</w:t>
      </w:r>
      <w:r>
        <w:rPr>
          <w:rFonts w:ascii="Times New Roman" w:cs="Times New Roman" w:eastAsia="Times New Roman" w:hAnsi="Times New Roman"/>
          <w:sz w:val="19"/>
          <w:szCs w:val="19"/>
          <w:b w:val="1"/>
          <w:bCs w:val="1"/>
          <w:color w:val="auto"/>
        </w:rPr>
        <w:t>GCP</w:t>
      </w:r>
      <w:r>
        <w:rPr>
          <w:rFonts w:ascii="Times New Roman" w:cs="Times New Roman" w:eastAsia="Times New Roman" w:hAnsi="Times New Roman"/>
          <w:sz w:val="19"/>
          <w:szCs w:val="19"/>
          <w:color w:val="auto"/>
        </w:rPr>
        <w:t>” means all applicable then-current standards for the design, conduct, performance, monitoring, auditing, recording, analyses and reporting of Clinical Trials, including, as applicable, (a) as set forth in the International Conference on Harmonisation of Technical Requirements for Registration of Pharmaceuticals for Human Use Harmonised Tripartite Guideline for Good Clinical Practice (CPMP/ICH/135/95) and any other guidelines for good clinical practice for trials on medicinal products, (b) the Declaration of Helsinki (2013) as last amended at the 64th World Medical Association in October 2013 and any further amendments or clarifications thereto, (c) U.S. Code of Federal Regulations Title 21, Parts 50 (Protection of Human Subjects), 56 (Institutional Review Boards) and 312 (Investigational New Drug Application), and (d) the equivalent applicable Laws in any relevant country, each as may be amended and applicable from time to time and in each case, that provide for, among other things, assurance that the clinical data and reported results are credible and accurate and protect the rights, integrity, safety, and confidentiality of trial subjects.</w:t>
      </w:r>
    </w:p>
    <w:p>
      <w:pPr>
        <w:spacing w:after="0" w:line="134"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color w:val="auto"/>
        </w:rPr>
        <w:t>1.51. “</w:t>
      </w:r>
      <w:r>
        <w:rPr>
          <w:rFonts w:ascii="Times New Roman" w:cs="Times New Roman" w:eastAsia="Times New Roman" w:hAnsi="Times New Roman"/>
          <w:sz w:val="19"/>
          <w:szCs w:val="19"/>
          <w:b w:val="1"/>
          <w:bCs w:val="1"/>
          <w:color w:val="auto"/>
        </w:rPr>
        <w:t>GLP</w:t>
      </w:r>
      <w:r>
        <w:rPr>
          <w:rFonts w:ascii="Times New Roman" w:cs="Times New Roman" w:eastAsia="Times New Roman" w:hAnsi="Times New Roman"/>
          <w:sz w:val="19"/>
          <w:szCs w:val="19"/>
          <w:color w:val="auto"/>
        </w:rPr>
        <w:t>” means all applicable then-current standards for laboratory activities for pharmaceuticals, as set forth in the FDA’s Good Laboratory Practice regulations as defined in 21 C.F.R. Part 58, or the Good Laboratory Practice principles of the Organization for Economic Co-Operation and Development (OECD), and such standards of good laboratory practice as are required by the equivalent applicable Laws in the relevant country and other organizations and governmental agencies in countries in which the Licensed Product is intended to be sold by the Party that is subject to such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ectPr>
          <w:pgSz w:w="11900" w:h="16840" w:orient="portrait"/>
          <w:cols w:equalWidth="0" w:num="1">
            <w:col w:w="10580"/>
          </w:cols>
          <w:pgMar w:left="660" w:top="556" w:right="660" w:bottom="1440" w:gutter="0" w:footer="0" w:header="0"/>
        </w:sectPr>
      </w:pPr>
    </w:p>
    <w:bookmarkStart w:id="465" w:name="page466"/>
    <w:bookmarkEnd w:id="46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color w:val="auto"/>
        </w:rPr>
        <w:t>1.52.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means all applicable then-current standards for Manufacturing, including, as applicable, (a) the principles detailed in the U.S. Current Good Manufacturing Practices, 21 C.F.R. §§ 210, 211 and 600-680 and all applicable FDA guidelines and requirements, (b) European Directive 2003/94/EC for medicines and investigational medicines for human use and the applicable guidelines stated in the EudraLex guidelines, (c) the principles detailed in the applicable ICH guidelines, (d) the conduct of an inspection by a Qualified Person (as defined therein) and the execution by such Qualified Person of an appropriate certification of inspection; and (e) the equivalent applicable Laws in any relevant country, each as may be amended and applicable from time to time.</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1.53. “</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national, multinational, supranational, federal, state, local, provincial, municipal, foreign or other entity, office, commission, bureau, agency, political subdivision, instrumentality, branch, department, authority, board, court, arbitral or other tribunal, official or officer, in any case, exercising executive, judicial, legislative, police, regulatory, administrative or taxing authority, or functions of any nature pertaining to government.</w:t>
      </w:r>
    </w:p>
    <w:p>
      <w:pPr>
        <w:spacing w:after="0" w:line="134"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1.54. “</w:t>
      </w:r>
      <w:r>
        <w:rPr>
          <w:rFonts w:ascii="Times New Roman" w:cs="Times New Roman" w:eastAsia="Times New Roman" w:hAnsi="Times New Roman"/>
          <w:sz w:val="19"/>
          <w:szCs w:val="19"/>
          <w:b w:val="1"/>
          <w:bCs w:val="1"/>
          <w:color w:val="auto"/>
        </w:rPr>
        <w:t>ICH</w:t>
      </w:r>
      <w:r>
        <w:rPr>
          <w:rFonts w:ascii="Times New Roman" w:cs="Times New Roman" w:eastAsia="Times New Roman" w:hAnsi="Times New Roman"/>
          <w:sz w:val="19"/>
          <w:szCs w:val="19"/>
          <w:color w:val="auto"/>
        </w:rPr>
        <w:t>” means the International Conference on Harmonization of Technical Requirements for Registration of Pharmaceuticals for Human Use.</w:t>
      </w:r>
    </w:p>
    <w:p>
      <w:pPr>
        <w:spacing w:after="0" w:line="11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1.55.</w:t>
        <w:tab/>
        <w:t>“</w:t>
      </w:r>
      <w:r>
        <w:rPr>
          <w:rFonts w:ascii="Times New Roman" w:cs="Times New Roman" w:eastAsia="Times New Roman" w:hAnsi="Times New Roman"/>
          <w:sz w:val="19"/>
          <w:szCs w:val="19"/>
          <w:b w:val="1"/>
          <w:bCs w:val="1"/>
          <w:color w:val="auto"/>
        </w:rPr>
        <w:t>IND</w:t>
      </w:r>
      <w:r>
        <w:rPr>
          <w:rFonts w:ascii="Times New Roman" w:cs="Times New Roman" w:eastAsia="Times New Roman" w:hAnsi="Times New Roman"/>
          <w:sz w:val="19"/>
          <w:szCs w:val="19"/>
          <w:color w:val="auto"/>
        </w:rPr>
        <w:t>” means an application filed with a Regulatory Authority for authorization to commence Clinical Trials, including</w:t>
      </w:r>
    </w:p>
    <w:p>
      <w:pPr>
        <w:jc w:val="both"/>
        <w:ind w:right="40" w:firstLine="6"/>
        <w:spacing w:after="0" w:line="224" w:lineRule="auto"/>
        <w:tabs>
          <w:tab w:leader="none" w:pos="265" w:val="left"/>
        </w:tabs>
        <w:numPr>
          <w:ilvl w:val="0"/>
          <w:numId w:val="5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Investigational New Drug Application as defined in the FFDCA or any successor application or procedure filed with the FDA, (b) any equivalent thereof in other countries or jurisdictions, (e.g., a Clinical Trial Application (CTA) in the EU) and (c) all supplements, amendments, variations, extensions and renewals thereof that may be filed with respect to the foregoing.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1.56.</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means a Person entitled to indemnification under ARTICLE XI.</w:t>
            </w:r>
          </w:p>
        </w:tc>
      </w:tr>
      <w:tr>
        <w:trPr>
          <w:trHeight w:val="384"/>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1.57.</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means a Party from whom indemnification is sought under ARTICLE XI.</w:t>
            </w:r>
          </w:p>
        </w:tc>
      </w:tr>
      <w:tr>
        <w:trPr>
          <w:trHeight w:val="384"/>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1.58.</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Indication</w:t>
            </w:r>
            <w:r>
              <w:rPr>
                <w:rFonts w:ascii="Times New Roman" w:cs="Times New Roman" w:eastAsia="Times New Roman" w:hAnsi="Times New Roman"/>
                <w:sz w:val="19"/>
                <w:szCs w:val="19"/>
                <w:color w:val="auto"/>
              </w:rPr>
              <w:t>” means, [***].</w:t>
            </w:r>
          </w:p>
        </w:tc>
      </w:tr>
      <w:tr>
        <w:trPr>
          <w:trHeight w:val="326"/>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1.59.</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Initiation</w:t>
            </w:r>
            <w:r>
              <w:rPr>
                <w:rFonts w:ascii="Times New Roman" w:cs="Times New Roman" w:eastAsia="Times New Roman" w:hAnsi="Times New Roman"/>
                <w:sz w:val="19"/>
                <w:szCs w:val="19"/>
                <w:color w:val="auto"/>
              </w:rPr>
              <w:t>” means, with respect to a Clinical Trial, the date upon which the first patient or subject is dosed in such</w:t>
            </w:r>
          </w:p>
        </w:tc>
      </w:tr>
      <w:tr>
        <w:trPr>
          <w:trHeight w:val="251"/>
        </w:trPr>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Clinical Trial.</w:t>
            </w:r>
          </w:p>
        </w:tc>
        <w:tc>
          <w:tcPr>
            <w:tcW w:w="9440" w:type="dxa"/>
            <w:vAlign w:val="bottom"/>
          </w:tcPr>
          <w:p>
            <w:pPr>
              <w:spacing w:after="0"/>
              <w:rPr>
                <w:sz w:val="21"/>
                <w:szCs w:val="21"/>
                <w:color w:val="auto"/>
              </w:rPr>
            </w:pPr>
          </w:p>
        </w:tc>
      </w:tr>
      <w:tr>
        <w:trPr>
          <w:trHeight w:val="383"/>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1.60.</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Development Costs</w:t>
            </w:r>
            <w:r>
              <w:rPr>
                <w:rFonts w:ascii="Times New Roman" w:cs="Times New Roman" w:eastAsia="Times New Roman" w:hAnsi="Times New Roman"/>
                <w:sz w:val="19"/>
                <w:szCs w:val="19"/>
                <w:color w:val="auto"/>
              </w:rPr>
              <w:t>” means, [***].</w:t>
            </w:r>
          </w:p>
        </w:tc>
      </w:tr>
      <w:tr>
        <w:trPr>
          <w:trHeight w:val="384"/>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1.61.</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Development Program</w:t>
            </w:r>
            <w:r>
              <w:rPr>
                <w:rFonts w:ascii="Times New Roman" w:cs="Times New Roman" w:eastAsia="Times New Roman" w:hAnsi="Times New Roman"/>
                <w:sz w:val="19"/>
                <w:szCs w:val="19"/>
                <w:color w:val="auto"/>
              </w:rPr>
              <w:t>” means the joint program of Development to be conducted under the CDP.</w:t>
            </w:r>
          </w:p>
        </w:tc>
      </w:tr>
      <w:tr>
        <w:trPr>
          <w:trHeight w:val="347"/>
        </w:trPr>
        <w:tc>
          <w:tcPr>
            <w:tcW w:w="11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1.62.</w:t>
            </w:r>
          </w:p>
        </w:tc>
        <w:tc>
          <w:tcPr>
            <w:tcW w:w="94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Know-How</w:t>
            </w:r>
            <w:r>
              <w:rPr>
                <w:rFonts w:ascii="Times New Roman" w:cs="Times New Roman" w:eastAsia="Times New Roman" w:hAnsi="Times New Roman"/>
                <w:sz w:val="19"/>
                <w:szCs w:val="19"/>
                <w:color w:val="auto"/>
              </w:rPr>
              <w:t>” means all inventions, practices, methods, protocols, formulae, knowledge, know-how, trade secrets,</w:t>
            </w:r>
          </w:p>
        </w:tc>
      </w:tr>
    </w:tbl>
    <w:p>
      <w:pPr>
        <w:jc w:val="both"/>
        <w:ind w:right="20"/>
        <w:spacing w:after="0" w:line="231" w:lineRule="auto"/>
        <w:rPr>
          <w:sz w:val="20"/>
          <w:szCs w:val="20"/>
          <w:color w:val="auto"/>
        </w:rPr>
      </w:pPr>
      <w:r>
        <w:rPr>
          <w:rFonts w:ascii="Times New Roman" w:cs="Times New Roman" w:eastAsia="Times New Roman" w:hAnsi="Times New Roman"/>
          <w:sz w:val="19"/>
          <w:szCs w:val="19"/>
          <w:color w:val="auto"/>
        </w:rPr>
        <w:t>instructions, processes, procedures, assays, skills, experiences, techniques, information, works of authorship, drawings, assembly procedures, computer programs, apparatuses, specifications, and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40" w:orient="portrait"/>
          <w:cols w:equalWidth="0" w:num="1">
            <w:col w:w="10580"/>
          </w:cols>
          <w:pgMar w:left="660" w:top="556" w:right="660" w:bottom="1440" w:gutter="0" w:footer="0" w:header="0"/>
        </w:sectPr>
      </w:pPr>
    </w:p>
    <w:bookmarkStart w:id="466" w:name="page467"/>
    <w:bookmarkEnd w:id="46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color w:val="auto"/>
        </w:rPr>
        <w:t>1.63. “</w:t>
      </w:r>
      <w:r>
        <w:rPr>
          <w:rFonts w:ascii="Times New Roman" w:cs="Times New Roman" w:eastAsia="Times New Roman" w:hAnsi="Times New Roman"/>
          <w:sz w:val="19"/>
          <w:szCs w:val="19"/>
          <w:b w:val="1"/>
          <w:bCs w:val="1"/>
          <w:color w:val="auto"/>
        </w:rPr>
        <w:t>Law</w:t>
      </w:r>
      <w:r>
        <w:rPr>
          <w:rFonts w:ascii="Times New Roman" w:cs="Times New Roman" w:eastAsia="Times New Roman" w:hAnsi="Times New Roman"/>
          <w:sz w:val="19"/>
          <w:szCs w:val="19"/>
          <w:color w:val="auto"/>
        </w:rPr>
        <w:t>” means any applicable federal, state, local, national, multinational, supranational, provincial, municipal, foreign, or other law, statute, legislation, constitution, principle of common law, code, treaty ordinance, regulation, rule, or order of any kind put into place by or under the authority of any Governmental Authority, together with any rules, regulations, or compliance guidance promulgated thereunder. For clarity, “Laws” include the applicable regulations and guidance of the FDA and European Union (and national implementations thereof) that constitute GLP, GMP, and GCP (and, if and as appropriate under the circumstances, ICH guidance or other comparable regulations and guidance of any other applicable Governmental Authority).</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1.64. “</w:t>
      </w:r>
      <w:r>
        <w:rPr>
          <w:rFonts w:ascii="Times New Roman" w:cs="Times New Roman" w:eastAsia="Times New Roman" w:hAnsi="Times New Roman"/>
          <w:sz w:val="19"/>
          <w:szCs w:val="19"/>
          <w:b w:val="1"/>
          <w:bCs w:val="1"/>
          <w:color w:val="auto"/>
        </w:rPr>
        <w:t>Licensed Compound</w:t>
      </w:r>
      <w:r>
        <w:rPr>
          <w:rFonts w:ascii="Times New Roman" w:cs="Times New Roman" w:eastAsia="Times New Roman" w:hAnsi="Times New Roman"/>
          <w:sz w:val="19"/>
          <w:szCs w:val="19"/>
          <w:color w:val="auto"/>
        </w:rPr>
        <w:t xml:space="preserve">” means each of (a) ONC- 392, and (b) any and all Anti-CTLA-4 Antibodies Controlled by OncoC4 as of the Execution Date or during the Term (whether such Antibodies exist as of the Execution Date or arise during the Term) (including the ONC- 392 backup molecules described on </w:t>
      </w:r>
      <w:r>
        <w:rPr>
          <w:rFonts w:ascii="Times New Roman" w:cs="Times New Roman" w:eastAsia="Times New Roman" w:hAnsi="Times New Roman"/>
          <w:sz w:val="19"/>
          <w:szCs w:val="19"/>
          <w:u w:val="single" w:color="auto"/>
          <w:color w:val="auto"/>
        </w:rPr>
        <w:t>Schedule 1.64</w:t>
      </w:r>
      <w:r>
        <w:rPr>
          <w:rFonts w:ascii="Times New Roman" w:cs="Times New Roman" w:eastAsia="Times New Roman" w:hAnsi="Times New Roman"/>
          <w:sz w:val="19"/>
          <w:szCs w:val="19"/>
          <w:color w:val="auto"/>
        </w:rPr>
        <w:t>), in each case (clauses (a) and (b)), either in protein form or as a nucleotide sequence encoding the Antibody.</w:t>
      </w:r>
    </w:p>
    <w:p>
      <w:pPr>
        <w:spacing w:after="0" w:line="134"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1.65. “</w:t>
      </w:r>
      <w:r>
        <w:rPr>
          <w:rFonts w:ascii="Times New Roman" w:cs="Times New Roman" w:eastAsia="Times New Roman" w:hAnsi="Times New Roman"/>
          <w:sz w:val="19"/>
          <w:szCs w:val="19"/>
          <w:b w:val="1"/>
          <w:bCs w:val="1"/>
          <w:color w:val="auto"/>
        </w:rPr>
        <w:t>Licensed Know-How</w:t>
      </w:r>
      <w:r>
        <w:rPr>
          <w:rFonts w:ascii="Times New Roman" w:cs="Times New Roman" w:eastAsia="Times New Roman" w:hAnsi="Times New Roman"/>
          <w:sz w:val="19"/>
          <w:szCs w:val="19"/>
          <w:color w:val="auto"/>
        </w:rPr>
        <w:t xml:space="preserve">” means any and all Know-How existing as of the Execution Date or arising during the Term and Controlled by OncoC4 or its Affiliates as of the Execution Date or during the Term that is necessary or reasonably useful for the Exploitation of the Licensed Compound and Licensed Products in the Field in the Territory;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(a) the Licensed Know-How shall not include Know-How relating solely to an Other Active (other than AI-025) of a Combination Product unless otherwise mutually agreed by the Parties separately in writing, and (b) if BioNTech does not exercise the Option in accordance with Section 2.2, then upon and following the expiration of the Option Period, the Licensed Know-How shall exclude any Know-How relating solely to AI-061 or AI-025 unless otherwise mutually agreed by the Parties separately in writing.</w:t>
      </w:r>
    </w:p>
    <w:p>
      <w:pPr>
        <w:spacing w:after="0" w:line="135" w:lineRule="exact"/>
        <w:rPr>
          <w:sz w:val="20"/>
          <w:szCs w:val="20"/>
          <w:color w:val="auto"/>
        </w:rPr>
      </w:pPr>
    </w:p>
    <w:p>
      <w:pPr>
        <w:jc w:val="both"/>
        <w:ind w:right="20" w:firstLine="576"/>
        <w:spacing w:after="0" w:line="219" w:lineRule="auto"/>
        <w:rPr>
          <w:sz w:val="20"/>
          <w:szCs w:val="20"/>
          <w:color w:val="auto"/>
        </w:rPr>
      </w:pPr>
      <w:r>
        <w:rPr>
          <w:rFonts w:ascii="Times New Roman" w:cs="Times New Roman" w:eastAsia="Times New Roman" w:hAnsi="Times New Roman"/>
          <w:sz w:val="19"/>
          <w:szCs w:val="19"/>
          <w:color w:val="auto"/>
        </w:rPr>
        <w:t>1.66. “</w:t>
      </w:r>
      <w:r>
        <w:rPr>
          <w:rFonts w:ascii="Times New Roman" w:cs="Times New Roman" w:eastAsia="Times New Roman" w:hAnsi="Times New Roman"/>
          <w:sz w:val="19"/>
          <w:szCs w:val="19"/>
          <w:b w:val="1"/>
          <w:bCs w:val="1"/>
          <w:color w:val="auto"/>
        </w:rPr>
        <w:t>Licensed Patents</w:t>
      </w:r>
      <w:r>
        <w:rPr>
          <w:rFonts w:ascii="Times New Roman" w:cs="Times New Roman" w:eastAsia="Times New Roman" w:hAnsi="Times New Roman"/>
          <w:sz w:val="19"/>
          <w:szCs w:val="19"/>
          <w:color w:val="auto"/>
        </w:rPr>
        <w:t xml:space="preserve">” means (a) the Listed Patents and (b) any other Patents existing as of the Execution Date or arising during the Term that are Controlled by OncoC4 or its Affiliates as of the Execution Date or during the Term and that are necessary or reasonably useful for the Exploitation of the Licensed Compound and Licensed Products in the Field in the Territory;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w:t>
      </w:r>
    </w:p>
    <w:p>
      <w:pPr>
        <w:spacing w:after="0" w:line="2" w:lineRule="exact"/>
        <w:rPr>
          <w:sz w:val="20"/>
          <w:szCs w:val="20"/>
          <w:color w:val="auto"/>
        </w:rPr>
      </w:pPr>
    </w:p>
    <w:p>
      <w:pPr>
        <w:jc w:val="both"/>
        <w:ind w:right="20" w:firstLine="6"/>
        <w:spacing w:after="0" w:line="221" w:lineRule="auto"/>
        <w:tabs>
          <w:tab w:leader="none" w:pos="241" w:val="left"/>
        </w:tabs>
        <w:numPr>
          <w:ilvl w:val="0"/>
          <w:numId w:val="5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Licensed Patents shall not include Patents solely claiming or solely covering an Other Active (other than AI-025) of a Combination Product unless otherwise mutually agreed by the Parties separately in writing, and (ii) if BioNTech does not exercise the Option in accordance with Section 2.2, then upon and following the expiration of the Option Period, the Licensed Patents shall exclude any Patents solely claiming or solely covering AI-061 or AI-025 unless otherwise mutually agreed by the Parties separately in writing.</w:t>
      </w:r>
    </w:p>
    <w:p>
      <w:pPr>
        <w:spacing w:after="0" w:line="132"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1.67. “</w:t>
      </w:r>
      <w:r>
        <w:rPr>
          <w:rFonts w:ascii="Times New Roman" w:cs="Times New Roman" w:eastAsia="Times New Roman" w:hAnsi="Times New Roman"/>
          <w:sz w:val="19"/>
          <w:szCs w:val="19"/>
          <w:b w:val="1"/>
          <w:bCs w:val="1"/>
          <w:color w:val="auto"/>
        </w:rPr>
        <w:t>Licensed Product</w:t>
      </w:r>
      <w:r>
        <w:rPr>
          <w:rFonts w:ascii="Times New Roman" w:cs="Times New Roman" w:eastAsia="Times New Roman" w:hAnsi="Times New Roman"/>
          <w:sz w:val="19"/>
          <w:szCs w:val="19"/>
          <w:color w:val="auto"/>
        </w:rPr>
        <w:t xml:space="preserve">” means (i) any pharmaceutical or biologic product or composition that contains any Licensed Compound, including Combination Products, and (ii) subject to the terms and conditions of Section 2.2, the AI-061 Product;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BioNTech does not exercise the Option in accordance with Section 2.2 and Section 7.2 prior to the expiration of the Option Period, then upon and following the expiration of the Option Period, the AI -061 Product shall no longer be a Licensed Product under this Agreement unless otherwise mutually agreed by the Parties separately in writing. It is understood that Licensed Products may be in the following forms, presentations or applications: (a) a form consisting of the Licensed Compound as a single therapeutically active ingredient (“</w:t>
      </w:r>
      <w:r>
        <w:rPr>
          <w:rFonts w:ascii="Times New Roman" w:cs="Times New Roman" w:eastAsia="Times New Roman" w:hAnsi="Times New Roman"/>
          <w:sz w:val="19"/>
          <w:szCs w:val="19"/>
          <w:b w:val="1"/>
          <w:bCs w:val="1"/>
          <w:color w:val="auto"/>
        </w:rPr>
        <w:t>Licensed Single Product</w:t>
      </w:r>
      <w:r>
        <w:rPr>
          <w:rFonts w:ascii="Times New Roman" w:cs="Times New Roman" w:eastAsia="Times New Roman" w:hAnsi="Times New Roman"/>
          <w:sz w:val="19"/>
          <w:szCs w:val="19"/>
          <w:color w:val="auto"/>
        </w:rPr>
        <w:t>”); or (b) a Combination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ectPr>
          <w:pgSz w:w="11900" w:h="16840" w:orient="portrait"/>
          <w:cols w:equalWidth="0" w:num="1">
            <w:col w:w="10580"/>
          </w:cols>
          <w:pgMar w:left="660" w:top="556" w:right="660" w:bottom="1440" w:gutter="0" w:footer="0" w:header="0"/>
        </w:sectPr>
      </w:pPr>
    </w:p>
    <w:bookmarkStart w:id="467" w:name="page468"/>
    <w:bookmarkEnd w:id="46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1.68. “</w:t>
      </w:r>
      <w:r>
        <w:rPr>
          <w:rFonts w:ascii="Times New Roman" w:cs="Times New Roman" w:eastAsia="Times New Roman" w:hAnsi="Times New Roman"/>
          <w:sz w:val="19"/>
          <w:szCs w:val="19"/>
          <w:b w:val="1"/>
          <w:bCs w:val="1"/>
          <w:color w:val="auto"/>
        </w:rPr>
        <w:t>Listed Patents</w:t>
      </w:r>
      <w:r>
        <w:rPr>
          <w:rFonts w:ascii="Times New Roman" w:cs="Times New Roman" w:eastAsia="Times New Roman" w:hAnsi="Times New Roman"/>
          <w:sz w:val="19"/>
          <w:szCs w:val="19"/>
          <w:color w:val="auto"/>
        </w:rPr>
        <w:t xml:space="preserve">” means (a) the Patents listed in </w:t>
      </w:r>
      <w:r>
        <w:rPr>
          <w:rFonts w:ascii="Times New Roman" w:cs="Times New Roman" w:eastAsia="Times New Roman" w:hAnsi="Times New Roman"/>
          <w:sz w:val="19"/>
          <w:szCs w:val="19"/>
          <w:u w:val="single" w:color="auto"/>
          <w:color w:val="auto"/>
        </w:rPr>
        <w:t>Schedule 1.68</w:t>
      </w:r>
      <w:r>
        <w:rPr>
          <w:rFonts w:ascii="Times New Roman" w:cs="Times New Roman" w:eastAsia="Times New Roman" w:hAnsi="Times New Roman"/>
          <w:sz w:val="19"/>
          <w:szCs w:val="19"/>
          <w:color w:val="auto"/>
        </w:rPr>
        <w:t>; (b) all patents and patent applications (including provisional applications), including all divisionals, continuations, substitutions, continuations- in-part, re-examinations, re-issues, additions, renewals, extensions, confirmations, registrations, any other pre- or post-grant forms of any of the foregoing, (c) any confirmation patent or registration patent or patent of addition, utility models, patent term extensions, and supplemental protection certificates or requests for continued examinations, foreign counterparts, and the like of any of the foregoing, (d) any and all patents that have issued or in the future issue from the foregoing patent applications, including author certificates, utility models, petty patents, innovation patents and design patents and certificates of invention.</w:t>
      </w:r>
    </w:p>
    <w:p>
      <w:pPr>
        <w:spacing w:after="0" w:line="135"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1.69.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means damages, losses, liabilities, costs (including costs of investigation, defense), fines, penalties, taxes, expenses, or amounts paid in settlement (in each case, including reasonable attorneys’ and experts’ fees and expenses), in each case resulting from an Action.</w:t>
      </w:r>
    </w:p>
    <w:p>
      <w:pPr>
        <w:spacing w:after="0" w:line="1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1.70. “</w:t>
      </w:r>
      <w:r>
        <w:rPr>
          <w:rFonts w:ascii="Times New Roman" w:cs="Times New Roman" w:eastAsia="Times New Roman" w:hAnsi="Times New Roman"/>
          <w:sz w:val="19"/>
          <w:szCs w:val="19"/>
          <w:b w:val="1"/>
          <w:bCs w:val="1"/>
          <w:color w:val="auto"/>
        </w:rPr>
        <w:t>MAA</w:t>
      </w:r>
      <w:r>
        <w:rPr>
          <w:rFonts w:ascii="Times New Roman" w:cs="Times New Roman" w:eastAsia="Times New Roman" w:hAnsi="Times New Roman"/>
          <w:sz w:val="19"/>
          <w:szCs w:val="19"/>
          <w:color w:val="auto"/>
        </w:rPr>
        <w:t>” means, with respect to a product and a country or jurisdiction, an application for marketing authorization for Commercialization of such product in such country or jurisdiction, including a BLA in the United States.</w:t>
      </w:r>
    </w:p>
    <w:p>
      <w:pPr>
        <w:spacing w:after="0" w:line="12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1.71.</w:t>
        <w:tab/>
        <w:t>“</w:t>
      </w:r>
      <w:r>
        <w:rPr>
          <w:rFonts w:ascii="Times New Roman" w:cs="Times New Roman" w:eastAsia="Times New Roman" w:hAnsi="Times New Roman"/>
          <w:sz w:val="19"/>
          <w:szCs w:val="19"/>
          <w:b w:val="1"/>
          <w:bCs w:val="1"/>
          <w:color w:val="auto"/>
        </w:rPr>
        <w:t>Major Market</w:t>
      </w:r>
      <w:r>
        <w:rPr>
          <w:rFonts w:ascii="Times New Roman" w:cs="Times New Roman" w:eastAsia="Times New Roman" w:hAnsi="Times New Roman"/>
          <w:sz w:val="19"/>
          <w:szCs w:val="19"/>
          <w:color w:val="auto"/>
        </w:rPr>
        <w:t>” means any of the following countries: [***].</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1.72. “</w:t>
      </w:r>
      <w:r>
        <w:rPr>
          <w:rFonts w:ascii="Times New Roman" w:cs="Times New Roman" w:eastAsia="Times New Roman" w:hAnsi="Times New Roman"/>
          <w:sz w:val="19"/>
          <w:szCs w:val="19"/>
          <w:b w:val="1"/>
          <w:bCs w:val="1"/>
          <w:color w:val="auto"/>
        </w:rPr>
        <w:t>Manufacturing</w:t>
      </w:r>
      <w:r>
        <w:rPr>
          <w:rFonts w:ascii="Times New Roman" w:cs="Times New Roman" w:eastAsia="Times New Roman" w:hAnsi="Times New Roman"/>
          <w:sz w:val="19"/>
          <w:szCs w:val="19"/>
          <w:color w:val="auto"/>
        </w:rPr>
        <w:t>” means all activities related to the production of Licensed Compound or Licensed Product, or any component or intermediate thereof, including the making, synthesis, conjugation, production, manufacture, having manufactured, processing, filling, finishing, packaging, labeling, shipping and holding of any intermediate thereof, including process development, process qualification and validation, scale-up, commercial manufacture and analytic development, product characterization, stability testing, quality assurance and quality control. When used as a verb, “Manufacture” means to engage in Manufacturing activities. References to a Person engaging in Manufacturing activities will include having any or all of the foregoing activities performed by a Third Party to the extent such performance is permitted hereunder.</w:t>
      </w:r>
    </w:p>
    <w:p>
      <w:pPr>
        <w:spacing w:after="0" w:line="135"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1.73.</w:t>
        <w:tab/>
        <w:t>“</w:t>
      </w:r>
      <w:r>
        <w:rPr>
          <w:rFonts w:ascii="Times New Roman" w:cs="Times New Roman" w:eastAsia="Times New Roman" w:hAnsi="Times New Roman"/>
          <w:sz w:val="19"/>
          <w:szCs w:val="19"/>
          <w:b w:val="1"/>
          <w:bCs w:val="1"/>
          <w:color w:val="auto"/>
        </w:rPr>
        <w:t>Materials</w:t>
      </w:r>
      <w:r>
        <w:rPr>
          <w:rFonts w:ascii="Times New Roman" w:cs="Times New Roman" w:eastAsia="Times New Roman" w:hAnsi="Times New Roman"/>
          <w:sz w:val="19"/>
          <w:szCs w:val="19"/>
          <w:color w:val="auto"/>
        </w:rPr>
        <w:t>” means chemical and biological materials, including plasmids, constructs, and cell lines.</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1.74.</w:t>
        <w:tab/>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1.75. “</w:t>
      </w: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color w:val="auto"/>
        </w:rPr>
        <w:t>” means, with respect to any Licensed Product, the gross amount invoiced on sales of such Licensed Product by BioNTech or any of its Affiliates or Sublicensees to a Third Party, less the following customary deductions, determined in accordance with the Accounting Standards, to the extent allocated to the sale of such Licensed Product and actually taken, paid, accrued, allowed, or included in the gross sales prices or specifically allocated in its financial statements with respect to such sales: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70" w:lineRule="exact"/>
        <w:rPr>
          <w:sz w:val="20"/>
          <w:szCs w:val="20"/>
          <w:color w:val="auto"/>
        </w:rPr>
      </w:pPr>
    </w:p>
    <w:p>
      <w:pPr>
        <w:jc w:val="both"/>
        <w:ind w:right="20" w:firstLine="576"/>
        <w:spacing w:after="0" w:line="246" w:lineRule="auto"/>
        <w:rPr>
          <w:sz w:val="20"/>
          <w:szCs w:val="20"/>
          <w:color w:val="auto"/>
        </w:rPr>
      </w:pPr>
      <w:r>
        <w:rPr>
          <w:rFonts w:ascii="Times New Roman" w:cs="Times New Roman" w:eastAsia="Times New Roman" w:hAnsi="Times New Roman"/>
          <w:sz w:val="19"/>
          <w:szCs w:val="19"/>
          <w:color w:val="auto"/>
        </w:rPr>
        <w:t>Notwithstanding the foregoing, sales of the Licensed Product for clinical study purposes, bona fide charitable purposes, “compassionate use sales,” named patient sales (unpaid or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w:t>
      </w:r>
    </w:p>
    <w:p>
      <w:pPr>
        <w:sectPr>
          <w:pgSz w:w="11900" w:h="16840" w:orient="portrait"/>
          <w:cols w:equalWidth="0" w:num="1">
            <w:col w:w="10580"/>
          </w:cols>
          <w:pgMar w:left="660" w:top="556" w:right="660" w:bottom="1440" w:gutter="0" w:footer="0" w:header="0"/>
        </w:sectPr>
      </w:pPr>
    </w:p>
    <w:bookmarkStart w:id="468" w:name="page469"/>
    <w:bookmarkEnd w:id="46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9"/>
          <w:szCs w:val="19"/>
          <w:color w:val="auto"/>
        </w:rPr>
        <w:t>or a no- profit price) or similar use, in each case, at or below cost, shall not constitute Net Sales. Sales and other transfers of Licensed Product between any of BioNTech, its Affiliates and Sublicensees (for clarity, including distributors) will not give rise to Net Sales, but rather the subsequent sale of Licensed Product to Third Parties will give rise to Net Sales. Net Sales will be determined in accordance with the Accounting Standards.</w:t>
      </w:r>
    </w:p>
    <w:p>
      <w:pPr>
        <w:spacing w:after="0" w:line="134" w:lineRule="exact"/>
        <w:rPr>
          <w:sz w:val="20"/>
          <w:szCs w:val="20"/>
          <w:color w:val="auto"/>
        </w:rPr>
      </w:pPr>
    </w:p>
    <w:p>
      <w:pPr>
        <w:jc w:val="both"/>
        <w:ind w:firstLine="576"/>
        <w:spacing w:after="0" w:line="213" w:lineRule="auto"/>
        <w:rPr>
          <w:sz w:val="20"/>
          <w:szCs w:val="20"/>
          <w:color w:val="auto"/>
        </w:rPr>
      </w:pPr>
      <w:r>
        <w:rPr>
          <w:rFonts w:ascii="Times New Roman" w:cs="Times New Roman" w:eastAsia="Times New Roman" w:hAnsi="Times New Roman"/>
          <w:sz w:val="19"/>
          <w:szCs w:val="19"/>
          <w:color w:val="auto"/>
        </w:rPr>
        <w:t xml:space="preserve">In the event that a Licensed Product is sold in any country in the form of a Combination Product, Net Sales of such Combination Product shall be adjusted by multiplying actual Net Sales of such Combination Product in such country during the relevant Calendar Quarter calculated pursuant to the foregoing definition of “Net Sales” by the fraction A/(A+B), where “A” is the average invoice price in such country of any Licensed Product that contains the Licensed Compound, as applicable, as its sole active ingredient(s), if sold separately in such country, and “B” is the average invoice price in such country of each product that contains Other Active(s) contained in such Combination Product as its sole active ingredient(s), if sold separately in such country. If either a Licensed Product that contains the Licensed Compound, as applicable, as its sole active ingredient or a product that contains Other Active in the Combination Product as its sole active ingredient(s) is not sold separately in a given country during the relevant Calendar Quarter, prior to the date of the First Commercial Sale of such Combination Product, then: (a) if they are each sold separately in any Major Market, BioNTech shall be entitled to apply worldwide the ratio obtained by using the prices in such Major Market in the A/(A+B) formula; or (b) if (a) is not the case then the Parties shall negotiate in good faith and seek to reach mutual agreement on a reasonable adjustment to Net Sales in such country that takes into account the medical contribution to the Combination Product of, and all other factors reasonably relevant to the relative value of, the Licensed Compound, as applicable, on the one hand, and Other Active(s), on the other hand. If the Parties do not reach written agreement as to such adjustment within thirty (30) days after BioNTech requests in writing such negotiations, then BioNTech may invoke and the Parties shall follow the Expert Valuation procedure set forth in </w:t>
      </w:r>
      <w:r>
        <w:rPr>
          <w:rFonts w:ascii="Times New Roman" w:cs="Times New Roman" w:eastAsia="Times New Roman" w:hAnsi="Times New Roman"/>
          <w:sz w:val="19"/>
          <w:szCs w:val="19"/>
          <w:u w:val="single" w:color="auto"/>
          <w:color w:val="auto"/>
        </w:rPr>
        <w:t>Schedule 1.75</w:t>
      </w:r>
      <w:r>
        <w:rPr>
          <w:rFonts w:ascii="Times New Roman" w:cs="Times New Roman" w:eastAsia="Times New Roman" w:hAnsi="Times New Roman"/>
          <w:sz w:val="19"/>
          <w:szCs w:val="19"/>
          <w:color w:val="auto"/>
        </w:rPr>
        <w:t xml:space="preserve"> to determine such adjustment. Notwithstanding the foregoing or anything contained herein, for purposes of calculating Net Sales, AI-061 Products shall be deemed to be a Licensed Single Product (except where combined with [***] or more Other Actives) and shall not be deemed to be a Combination Product. For purposes of calculating royalties due under an Upstream Agreement, the definition of Net Sales shall not be adjusted for purposes of calculating Net Sales hereunder and the amounts due by BioNTech under this Agreement. However, recognizing that OncoC4 may owe royalties under an Upstream Agreement based on a different Net Sales definition, BioNTech shall provide or cause to be provided to OncoC4 such information as OncoC4 may reasonably request to enable OncoC4 to properly report and pay royalties under, and otherwise comply with, the Upstream Agreements.</w:t>
      </w:r>
    </w:p>
    <w:p>
      <w:pPr>
        <w:spacing w:after="0" w:line="149"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1.76.</w:t>
        <w:tab/>
        <w:t>“</w:t>
      </w:r>
      <w:r>
        <w:rPr>
          <w:rFonts w:ascii="Times New Roman" w:cs="Times New Roman" w:eastAsia="Times New Roman" w:hAnsi="Times New Roman"/>
          <w:sz w:val="19"/>
          <w:szCs w:val="19"/>
          <w:b w:val="1"/>
          <w:bCs w:val="1"/>
          <w:color w:val="auto"/>
        </w:rPr>
        <w:t>Non-Rare Cancer Indication</w:t>
      </w:r>
      <w:r>
        <w:rPr>
          <w:rFonts w:ascii="Times New Roman" w:cs="Times New Roman" w:eastAsia="Times New Roman" w:hAnsi="Times New Roman"/>
          <w:sz w:val="19"/>
          <w:szCs w:val="19"/>
          <w:color w:val="auto"/>
        </w:rPr>
        <w:t>” means an Indication in oncology for a cancer that is not a Rare Cancer.</w:t>
      </w:r>
    </w:p>
    <w:p>
      <w:pPr>
        <w:spacing w:after="0" w:line="166"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color w:val="auto"/>
        </w:rPr>
        <w:t>1.77. “</w:t>
      </w:r>
      <w:r>
        <w:rPr>
          <w:rFonts w:ascii="Times New Roman" w:cs="Times New Roman" w:eastAsia="Times New Roman" w:hAnsi="Times New Roman"/>
          <w:sz w:val="19"/>
          <w:szCs w:val="19"/>
          <w:b w:val="1"/>
          <w:bCs w:val="1"/>
          <w:color w:val="auto"/>
        </w:rPr>
        <w:t>ONC-392</w:t>
      </w:r>
      <w:r>
        <w:rPr>
          <w:rFonts w:ascii="Times New Roman" w:cs="Times New Roman" w:eastAsia="Times New Roman" w:hAnsi="Times New Roman"/>
          <w:sz w:val="19"/>
          <w:szCs w:val="19"/>
          <w:color w:val="auto"/>
        </w:rPr>
        <w:t xml:space="preserve">” means the monoclonal Anti- CTLA-4 Antibody Developed by OncoC4 and known as “ONC-392,” as of the Execution Date, the amino acid sequence of which is set forth on </w:t>
      </w:r>
      <w:r>
        <w:rPr>
          <w:rFonts w:ascii="Times New Roman" w:cs="Times New Roman" w:eastAsia="Times New Roman" w:hAnsi="Times New Roman"/>
          <w:sz w:val="19"/>
          <w:szCs w:val="19"/>
          <w:u w:val="single" w:color="auto"/>
          <w:color w:val="auto"/>
        </w:rPr>
        <w:t>Schedule 1.77</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1.78. “</w:t>
      </w:r>
      <w:r>
        <w:rPr>
          <w:rFonts w:ascii="Times New Roman" w:cs="Times New Roman" w:eastAsia="Times New Roman" w:hAnsi="Times New Roman"/>
          <w:sz w:val="19"/>
          <w:szCs w:val="19"/>
          <w:b w:val="1"/>
          <w:bCs w:val="1"/>
          <w:color w:val="auto"/>
        </w:rPr>
        <w:t>Option Period</w:t>
      </w:r>
      <w:r>
        <w:rPr>
          <w:rFonts w:ascii="Times New Roman" w:cs="Times New Roman" w:eastAsia="Times New Roman" w:hAnsi="Times New Roman"/>
          <w:sz w:val="19"/>
          <w:szCs w:val="19"/>
          <w:color w:val="auto"/>
        </w:rPr>
        <w:t>” means the period commencing on the Effective Date and ending on the date [***] following Completion of the first Phase 1 Trial of AI-061. As used herein, “</w:t>
      </w:r>
      <w:r>
        <w:rPr>
          <w:rFonts w:ascii="Times New Roman" w:cs="Times New Roman" w:eastAsia="Times New Roman" w:hAnsi="Times New Roman"/>
          <w:sz w:val="19"/>
          <w:szCs w:val="19"/>
          <w:b w:val="1"/>
          <w:bCs w:val="1"/>
          <w:color w:val="auto"/>
        </w:rPr>
        <w:t>Completion of the first Phase 1 Trial of AI-061</w:t>
      </w:r>
      <w:r>
        <w:rPr>
          <w:rFonts w:ascii="Times New Roman" w:cs="Times New Roman" w:eastAsia="Times New Roman" w:hAnsi="Times New Roman"/>
          <w:sz w:val="19"/>
          <w:szCs w:val="19"/>
          <w:color w:val="auto"/>
        </w:rPr>
        <w:t>” means the date upon which the final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11</w:t>
      </w:r>
    </w:p>
    <w:p>
      <w:pPr>
        <w:sectPr>
          <w:pgSz w:w="11900" w:h="16840" w:orient="portrait"/>
          <w:cols w:equalWidth="0" w:num="1">
            <w:col w:w="10580"/>
          </w:cols>
          <w:pgMar w:left="660" w:top="556" w:right="660" w:bottom="1440" w:gutter="0" w:footer="0" w:header="0"/>
        </w:sectPr>
      </w:pPr>
    </w:p>
    <w:bookmarkStart w:id="469" w:name="page470"/>
    <w:bookmarkEnd w:id="46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 xml:space="preserve">enrolled in such Clinical Trial completed the safety and the efficacy assessment (as such Clinical Trial is described in the initial CDP), whether the Clinical Trial concluded according to the pre-specified protocol or was terminated;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the protocol for such Clinical Trial is amended to significantly increase the number of subjects or otherwise become a “Phase 2 Trial” (including a “Phase 1/2” Clinical Trial), then “Completion of the first Phase 1 Trial of AI-061” shall be deemed to be the earlier of (i) the date upon which the final subject enrolled in the “Phase 1” portion of such Clinical Trial completed the safety and the efficacy assessment, and (ii) the date upon which the first subject in the “Phase 2” portion of such Clinical Trial is dosed. As used in this definition, “completed the safety and the efficacy assessment” means, with respect to the final subject enrolled in a Clinical Trial, (A) the first date upon which both Parties have received Clinical Data from the first tumor response assessment for such final subject in such Clinical Trial or the relevant portion thereof and (B) a first summary of all safety, efficacy, pharmacokinetic and biomarker data collected as of the first tumor response assessment for such final subject in such Clinical Trial or the relevant portion thereof is available.</w:t>
      </w:r>
    </w:p>
    <w:p>
      <w:pPr>
        <w:spacing w:after="0" w:line="135"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1.79.</w:t>
        <w:tab/>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color w:val="auto"/>
        </w:rPr>
        <w:t>1.80. “</w:t>
      </w:r>
      <w:r>
        <w:rPr>
          <w:rFonts w:ascii="Times New Roman" w:cs="Times New Roman" w:eastAsia="Times New Roman" w:hAnsi="Times New Roman"/>
          <w:sz w:val="19"/>
          <w:szCs w:val="19"/>
          <w:b w:val="1"/>
          <w:bCs w:val="1"/>
          <w:color w:val="auto"/>
        </w:rPr>
        <w:t>Out-of-Pocket Costs</w:t>
      </w:r>
      <w:r>
        <w:rPr>
          <w:rFonts w:ascii="Times New Roman" w:cs="Times New Roman" w:eastAsia="Times New Roman" w:hAnsi="Times New Roman"/>
          <w:sz w:val="19"/>
          <w:szCs w:val="19"/>
          <w:color w:val="auto"/>
        </w:rPr>
        <w:t>” means, with respect to a Party, costs and expenses paid by such Party or its Affiliate to Third Parties (or payable to Third Parties and accrued in accordance with Accounting Standards), other than employees of such Party or its Affiliates.</w:t>
      </w:r>
    </w:p>
    <w:p>
      <w:pPr>
        <w:spacing w:after="0" w:line="331"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color w:val="auto"/>
        </w:rPr>
        <w:t>1.81. “</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means (a) all patents and patent applications (including provisional applications), including all divisionals, continuations, substitutions, continuations-in- part, re-examinations, re-issues, additions, renewals, extensions, confirmations, registrations, any other pre- or post-grant forms of any of the foregoing, (b) any confirmation patent or registration patent or patent of addition, utility models, patent term extensions, and supplemental protection certificates or requests for continued examinations, foreign counterparts, and the like of any of the foregoing, (c) any and all patents that have issued or in the future issue from the foregoing patent applications, including author certificates, utility models, petty patents, innovation patents and design patents and certificates of invention.</w:t>
      </w:r>
    </w:p>
    <w:p>
      <w:pPr>
        <w:spacing w:after="0" w:line="22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1.82.</w:t>
        <w:tab/>
        <w:t>“</w:t>
      </w:r>
      <w:r>
        <w:rPr>
          <w:rFonts w:ascii="Times New Roman" w:cs="Times New Roman" w:eastAsia="Times New Roman" w:hAnsi="Times New Roman"/>
          <w:sz w:val="19"/>
          <w:szCs w:val="19"/>
          <w:b w:val="1"/>
          <w:bCs w:val="1"/>
          <w:color w:val="auto"/>
        </w:rPr>
        <w:t>PD-1</w:t>
      </w:r>
      <w:r>
        <w:rPr>
          <w:rFonts w:ascii="Times New Roman" w:cs="Times New Roman" w:eastAsia="Times New Roman" w:hAnsi="Times New Roman"/>
          <w:sz w:val="19"/>
          <w:szCs w:val="19"/>
          <w:color w:val="auto"/>
        </w:rPr>
        <w:t>” means programmed cell death protein 1 and is also known as “CD279” or the cluster of differentiation 279.</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1.83.</w:t>
        <w:tab/>
        <w:t>“</w:t>
      </w:r>
      <w:r>
        <w:rPr>
          <w:rFonts w:ascii="Times New Roman" w:cs="Times New Roman" w:eastAsia="Times New Roman" w:hAnsi="Times New Roman"/>
          <w:sz w:val="19"/>
          <w:szCs w:val="19"/>
          <w:b w:val="1"/>
          <w:bCs w:val="1"/>
          <w:color w:val="auto"/>
        </w:rPr>
        <w:t>PD-1 Product</w:t>
      </w:r>
      <w:r>
        <w:rPr>
          <w:rFonts w:ascii="Times New Roman" w:cs="Times New Roman" w:eastAsia="Times New Roman" w:hAnsi="Times New Roman"/>
          <w:sz w:val="19"/>
          <w:szCs w:val="19"/>
          <w:color w:val="auto"/>
        </w:rPr>
        <w:t>” means any biopharmaceutical composition that contains an Anti-PD-1 Antibody.</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color w:val="auto"/>
        </w:rPr>
        <w:t>1.84.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natural person, corporation, general partnership, limited partnership, joint venture, proprietorship or other business organization or a Governmental Authority.</w:t>
      </w:r>
    </w:p>
    <w:p>
      <w:pPr>
        <w:spacing w:after="0" w:line="123"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color w:val="auto"/>
        </w:rPr>
        <w:t>1.85. “</w:t>
      </w:r>
      <w:r>
        <w:rPr>
          <w:rFonts w:ascii="Times New Roman" w:cs="Times New Roman" w:eastAsia="Times New Roman" w:hAnsi="Times New Roman"/>
          <w:sz w:val="19"/>
          <w:szCs w:val="19"/>
          <w:b w:val="1"/>
          <w:bCs w:val="1"/>
          <w:color w:val="auto"/>
        </w:rPr>
        <w:t>Phase 1 Trial</w:t>
      </w:r>
      <w:r>
        <w:rPr>
          <w:rFonts w:ascii="Times New Roman" w:cs="Times New Roman" w:eastAsia="Times New Roman" w:hAnsi="Times New Roman"/>
          <w:sz w:val="19"/>
          <w:szCs w:val="19"/>
          <w:color w:val="auto"/>
        </w:rPr>
        <w:t>” means a Clinical Trial of a Licensed Product that generally provides for the first introduction into humans of such Licensed Product, with the primary purpose of determining metabolism, pharmacokinetic properties, the maximum tolerated dosage, and side effects of such product, in a manner that is generally consistent with 21 C.F.R. § 312.21(a), or a similar clinical study prescribed by the Regulatory Authorities in a country or jurisdiction outside the United States, excluding any investigator-initiated Clinical Trials.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12</w:t>
      </w:r>
    </w:p>
    <w:p>
      <w:pPr>
        <w:sectPr>
          <w:pgSz w:w="11900" w:h="16840" w:orient="portrait"/>
          <w:cols w:equalWidth="0" w:num="1">
            <w:col w:w="10580"/>
          </w:cols>
          <w:pgMar w:left="660" w:top="556" w:right="660" w:bottom="1440" w:gutter="0" w:footer="0" w:header="0"/>
        </w:sectPr>
      </w:pPr>
    </w:p>
    <w:bookmarkStart w:id="470" w:name="page471"/>
    <w:bookmarkEnd w:id="47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9"/>
          <w:szCs w:val="19"/>
          <w:color w:val="auto"/>
        </w:rPr>
        <w:t>clarity, Phase 1 Trial includes any Clinical Trial (or portion thereof) designated as a “Phase 1a” Clinical Trial or “Phase 1b” Clinical Trial.</w:t>
      </w:r>
    </w:p>
    <w:p>
      <w:pPr>
        <w:spacing w:after="0" w:line="126"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color w:val="auto"/>
        </w:rPr>
        <w:t>1.86. “</w:t>
      </w:r>
      <w:r>
        <w:rPr>
          <w:rFonts w:ascii="Times New Roman" w:cs="Times New Roman" w:eastAsia="Times New Roman" w:hAnsi="Times New Roman"/>
          <w:sz w:val="19"/>
          <w:szCs w:val="19"/>
          <w:b w:val="1"/>
          <w:bCs w:val="1"/>
          <w:color w:val="auto"/>
        </w:rPr>
        <w:t>Phase 2 Trial</w:t>
      </w:r>
      <w:r>
        <w:rPr>
          <w:rFonts w:ascii="Times New Roman" w:cs="Times New Roman" w:eastAsia="Times New Roman" w:hAnsi="Times New Roman"/>
          <w:sz w:val="19"/>
          <w:szCs w:val="19"/>
          <w:color w:val="auto"/>
        </w:rPr>
        <w:t>” means a Clinical Trial of a Licensed Product conducted on a sufficient number of subjects for evaluating (and the principal purpose of which is to evaluate) the effectiveness of such Licensed Product for its particular intended use and obtaining (and to obtain) information about side effects and other risks associated with the drug, in a manner that is generally consistent with 21 C.F.R. § 312.21(b), or a similar clinical study prescribed by the Regulatory Authorities in a country or jurisdiction outside the United States, to permit the design of further Clinical Trials of such Licensed Product, excluding any investigator-initiated Clinical Trials. For clarity, Phase 2 Trial includes any Clinical Trial (or portion thereof) designated as a “Phase 2a” Clinical Trial or “Phase 2b” Clinical Trial.</w:t>
      </w:r>
    </w:p>
    <w:p>
      <w:pPr>
        <w:spacing w:after="0" w:line="226"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9"/>
          <w:szCs w:val="19"/>
          <w:color w:val="auto"/>
        </w:rPr>
        <w:t>1. 87. “</w:t>
      </w:r>
      <w:r>
        <w:rPr>
          <w:rFonts w:ascii="Times New Roman" w:cs="Times New Roman" w:eastAsia="Times New Roman" w:hAnsi="Times New Roman"/>
          <w:sz w:val="19"/>
          <w:szCs w:val="19"/>
          <w:b w:val="1"/>
          <w:bCs w:val="1"/>
          <w:color w:val="auto"/>
        </w:rPr>
        <w:t>Phase 3 Trial</w:t>
      </w:r>
      <w:r>
        <w:rPr>
          <w:rFonts w:ascii="Times New Roman" w:cs="Times New Roman" w:eastAsia="Times New Roman" w:hAnsi="Times New Roman"/>
          <w:sz w:val="19"/>
          <w:szCs w:val="19"/>
          <w:color w:val="auto"/>
        </w:rPr>
        <w:t>” means a Clinical Trial of a Licensed Product with a defined dose or a set of defined doses of such Licensed Product and conducted on a sufficient number of subjects for ascertaining (and that is designed to ascertain) the overall risk-benefit relationship of the Licensed Product for its intended use and determining (and to determine) warnings, precautions, and adverse reactions that are associated with such Licensed Product in the dosage range to be prescribed, in a manner that is generally consistent with 21 C.F.R. § 312.21(c), or a similar clinical study prescribed by the Regulatory Authorities in a country or jurisdiction outside the United States, which trial is necessary to support Regulatory Approval of such Licensed Product, excluding any investigator-initiated Clinical Trials. For clarity, Phase 3 Trial includes any Clinical Trial (or portion thereof) designated as a “Phase 3a” Clinical Trial.</w:t>
      </w:r>
    </w:p>
    <w:p>
      <w:pPr>
        <w:spacing w:after="0" w:line="135"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color w:val="auto"/>
        </w:rPr>
        <w:t>1.88. “</w:t>
      </w:r>
      <w:r>
        <w:rPr>
          <w:rFonts w:ascii="Times New Roman" w:cs="Times New Roman" w:eastAsia="Times New Roman" w:hAnsi="Times New Roman"/>
          <w:sz w:val="19"/>
          <w:szCs w:val="19"/>
          <w:b w:val="1"/>
          <w:bCs w:val="1"/>
          <w:color w:val="auto"/>
        </w:rPr>
        <w:t>Pivotal Trial</w:t>
      </w:r>
      <w:r>
        <w:rPr>
          <w:rFonts w:ascii="Times New Roman" w:cs="Times New Roman" w:eastAsia="Times New Roman" w:hAnsi="Times New Roman"/>
          <w:sz w:val="19"/>
          <w:szCs w:val="19"/>
          <w:color w:val="auto"/>
        </w:rPr>
        <w:t>” means a Clinical Trial that is prospectively designed to demonstrate that a Licensed Product is safe and effective for use in a particular Indication in a manner sufficient to evaluate the overall benefit-risk relationship of the Licensed Product and to provide an adequate basis for physician labeling, and which, at the time of the initiation of such Clinical Trial, is intended and expected to be the basis for Regulatory Approval by the FDA and/or the European Commission after EMA opinion in the EU of such Licensed Product for such Indication, based on discussions with the relevant Regulatory Authority. For clarity, Pivotal Trial shall (a) always include Phase 3 Trials, and (b) include “Phase 2b/3” Clinical Trials (or the appropriate portion thereof), Phase 2 Trials, “Phase 1/2” Clinical Trials, or other Clinical Trials, if the conditions of this definition are met. In some cases, it may not be known whether a given Phase 2 Trial will be treated by the governing Regulatory Authority as a Pivotal Trial until after it is completed. In these cases, if such a Phase 2 Trial is ultimately agreed by the governing Regulatory Authority to be a Pivotal Trial, then from such point forward it will be treated as a Pivotal Trial for purposes of this Agreement, and any milestones hereunder that become due based on such status will be deemed achieved only as of the date of such agreement from such governing Regulatory Authority (and any associated payment due hereunder will not be considered late based on earlier events in relation to such Clinical Trial prior to such agreement from such governing Regulatory Authority to treat it as a Pivotal Trial).</w:t>
      </w:r>
    </w:p>
    <w:p>
      <w:pPr>
        <w:spacing w:after="0" w:line="133"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1.89. “</w:t>
      </w:r>
      <w:r>
        <w:rPr>
          <w:rFonts w:ascii="Times New Roman" w:cs="Times New Roman" w:eastAsia="Times New Roman" w:hAnsi="Times New Roman"/>
          <w:sz w:val="19"/>
          <w:szCs w:val="19"/>
          <w:b w:val="1"/>
          <w:bCs w:val="1"/>
          <w:color w:val="auto"/>
        </w:rPr>
        <w:t>Pricing and Reimbursement Approval</w:t>
      </w:r>
      <w:r>
        <w:rPr>
          <w:rFonts w:ascii="Times New Roman" w:cs="Times New Roman" w:eastAsia="Times New Roman" w:hAnsi="Times New Roman"/>
          <w:sz w:val="19"/>
          <w:szCs w:val="19"/>
          <w:color w:val="auto"/>
        </w:rPr>
        <w:t>” means, with respect to a Licensed Product, the governmental approval, agreement, determination or decision establishing the price or level of reimbursement for such Licensed Product, in a given country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ectPr>
          <w:pgSz w:w="11900" w:h="16840" w:orient="portrait"/>
          <w:cols w:equalWidth="0" w:num="1">
            <w:col w:w="10580"/>
          </w:cols>
          <w:pgMar w:left="660" w:top="556" w:right="660" w:bottom="1440" w:gutter="0" w:footer="0" w:header="0"/>
        </w:sectPr>
      </w:pPr>
    </w:p>
    <w:bookmarkStart w:id="471" w:name="page472"/>
    <w:bookmarkEnd w:id="47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color w:val="auto"/>
        </w:rPr>
        <w:t>1.90. “</w:t>
      </w:r>
      <w:r>
        <w:rPr>
          <w:rFonts w:ascii="Times New Roman" w:cs="Times New Roman" w:eastAsia="Times New Roman" w:hAnsi="Times New Roman"/>
          <w:sz w:val="19"/>
          <w:szCs w:val="19"/>
          <w:b w:val="1"/>
          <w:bCs w:val="1"/>
          <w:color w:val="auto"/>
        </w:rPr>
        <w:t>Prosecution</w:t>
      </w:r>
      <w:r>
        <w:rPr>
          <w:rFonts w:ascii="Times New Roman" w:cs="Times New Roman" w:eastAsia="Times New Roman" w:hAnsi="Times New Roman"/>
          <w:sz w:val="19"/>
          <w:szCs w:val="19"/>
          <w:color w:val="auto"/>
        </w:rPr>
        <w:t>” means, in relation to any Patents (a) to prepare and file patent applications, including re-examinations or re-issues thereof, and represent applicants or assignees before relevant patent offices or other relevant Governmental Authorities during examination, re-examination and re-issue thereof, in appeal processes and interferences, or any equivalent proceedings, (b) to defend all such applications against Third Party oppositions or other challenges, (c) to secure the grant of any patents arising from such patent application, (d) to maintain in force any issued patent (including through payment of any relevant maintenance fees), and (e) to make all decisions with regard to any of the foregoing activities. When used as a verb, “Prosecute” means to engage in Prosecution activities.</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color w:val="auto"/>
        </w:rPr>
        <w:t>1.91.</w:t>
        <w:tab/>
        <w:t>“</w:t>
      </w:r>
      <w:r>
        <w:rPr>
          <w:rFonts w:ascii="Times New Roman" w:cs="Times New Roman" w:eastAsia="Times New Roman" w:hAnsi="Times New Roman"/>
          <w:sz w:val="19"/>
          <w:szCs w:val="19"/>
          <w:b w:val="1"/>
          <w:bCs w:val="1"/>
          <w:color w:val="auto"/>
        </w:rPr>
        <w:t>Rare Cancer</w:t>
      </w:r>
      <w:r>
        <w:rPr>
          <w:rFonts w:ascii="Times New Roman" w:cs="Times New Roman" w:eastAsia="Times New Roman" w:hAnsi="Times New Roman"/>
          <w:sz w:val="19"/>
          <w:szCs w:val="19"/>
          <w:color w:val="auto"/>
        </w:rPr>
        <w:t>” means any cancer that affects fewer than 40,000 people per year in the U.S. based on NCI data.</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1.92. “</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means the final or conditional approval of the applicable Regulatory Authority necessary for the marketing and sale of the Licensed Product in the Field in a country or jurisdiction in the Territory, including BLA approval in the United States, but excluding any separate Pricing and Reimbursement Approval.</w:t>
      </w:r>
    </w:p>
    <w:p>
      <w:pPr>
        <w:spacing w:after="0" w:line="13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1.93. “</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means any national, multinational, supranational, federal, state, local, provincial, municipal, foreign or other regulatory agency, department, bureau or other Governmental Authority with authority over the clinical development, manufacture, marketing or sale of the Licensed Product in a country.</w:t>
      </w:r>
    </w:p>
    <w:p>
      <w:pPr>
        <w:spacing w:after="0" w:line="132"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1.94. “</w:t>
      </w:r>
      <w:r>
        <w:rPr>
          <w:rFonts w:ascii="Times New Roman" w:cs="Times New Roman" w:eastAsia="Times New Roman" w:hAnsi="Times New Roman"/>
          <w:sz w:val="19"/>
          <w:szCs w:val="19"/>
          <w:b w:val="1"/>
          <w:bCs w:val="1"/>
          <w:color w:val="auto"/>
        </w:rPr>
        <w:t>Regulatory Commitments</w:t>
      </w:r>
      <w:r>
        <w:rPr>
          <w:rFonts w:ascii="Times New Roman" w:cs="Times New Roman" w:eastAsia="Times New Roman" w:hAnsi="Times New Roman"/>
          <w:sz w:val="19"/>
          <w:szCs w:val="19"/>
          <w:color w:val="auto"/>
        </w:rPr>
        <w:t>” means activities to be performed by or on behalf of a Party or its Affiliates in connection with seeking Regulatory Approval of a Licensed Product in the Territory, but excluding, for clarity, any post- marketing commitments as mandated or agreed to be conducted with a Regulatory Authority for such Licensed Product.</w:t>
      </w:r>
    </w:p>
    <w:p>
      <w:pPr>
        <w:spacing w:after="0" w:line="132" w:lineRule="exact"/>
        <w:rPr>
          <w:sz w:val="20"/>
          <w:szCs w:val="20"/>
          <w:color w:val="auto"/>
        </w:rPr>
      </w:pPr>
    </w:p>
    <w:p>
      <w:pPr>
        <w:jc w:val="both"/>
        <w:ind w:right="20" w:firstLine="576"/>
        <w:spacing w:after="0" w:line="219" w:lineRule="auto"/>
        <w:rPr>
          <w:sz w:val="20"/>
          <w:szCs w:val="20"/>
          <w:color w:val="auto"/>
        </w:rPr>
      </w:pPr>
      <w:r>
        <w:rPr>
          <w:rFonts w:ascii="Times New Roman" w:cs="Times New Roman" w:eastAsia="Times New Roman" w:hAnsi="Times New Roman"/>
          <w:sz w:val="19"/>
          <w:szCs w:val="19"/>
          <w:color w:val="auto"/>
        </w:rPr>
        <w:t>1.95. “</w:t>
      </w:r>
      <w:r>
        <w:rPr>
          <w:rFonts w:ascii="Times New Roman" w:cs="Times New Roman" w:eastAsia="Times New Roman" w:hAnsi="Times New Roman"/>
          <w:sz w:val="19"/>
          <w:szCs w:val="19"/>
          <w:b w:val="1"/>
          <w:bCs w:val="1"/>
          <w:color w:val="auto"/>
        </w:rPr>
        <w:t>Regulatory Materials</w:t>
      </w:r>
      <w:r>
        <w:rPr>
          <w:rFonts w:ascii="Times New Roman" w:cs="Times New Roman" w:eastAsia="Times New Roman" w:hAnsi="Times New Roman"/>
          <w:sz w:val="19"/>
          <w:szCs w:val="19"/>
          <w:color w:val="auto"/>
        </w:rPr>
        <w:t>” means, with respect to a Licensed Product, (a) all INDs, MAAs, BLAs, establishment license applications, drug master files, applications for designation as an “Orphan Product” under the Orphan Drug Act, for “Fast Track” status under Section 506 of the FFDCA (21 U.S.C. § 356) or for a Special Protocol Assessment under Section 505(b)(4)(B) and (C) of the FFDCA (21 U.S.C. § 355(b)(4)(B) and (C)) and all other similar filings (including counterparts of any of the foregoing in any country in the Territory), (b) any applications for Regulatory Approval and other applications, filings, dossiers, or similar documents (e.g., pediatric investigation plans) submitted to a Regulatory Authority in any country for the purpose of obtaining Regulatory Approval from that Regulatory Authority, (c) all supplements and amendments to any of the foregoing, and (d) all data, including Clinical Data, and other information contained in, and Regulatory Authority correspondence relating to, any of the foregoing.</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1.96. “</w:t>
      </w:r>
      <w:r>
        <w:rPr>
          <w:rFonts w:ascii="Times New Roman" w:cs="Times New Roman" w:eastAsia="Times New Roman" w:hAnsi="Times New Roman"/>
          <w:sz w:val="19"/>
          <w:szCs w:val="19"/>
          <w:b w:val="1"/>
          <w:bCs w:val="1"/>
          <w:color w:val="auto"/>
        </w:rPr>
        <w:t>Senior Officers</w:t>
      </w:r>
      <w:r>
        <w:rPr>
          <w:rFonts w:ascii="Times New Roman" w:cs="Times New Roman" w:eastAsia="Times New Roman" w:hAnsi="Times New Roman"/>
          <w:sz w:val="19"/>
          <w:szCs w:val="19"/>
          <w:color w:val="auto"/>
        </w:rPr>
        <w:t>” means: (a) with respect to OncoC4, the Chief Executive Officer or any other officer on the management team (such as Chief Operating Officer or the Chief Medical Officer) of OncoC4 or his/her designee or successor with appropriate decision- making authority; and (b) with respect to BioNTech, the Senior Vice-President (or any more senior position thereto) of BioNTech or his/her designee or successor with appropriate decision-making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14</w:t>
      </w:r>
    </w:p>
    <w:p>
      <w:pPr>
        <w:sectPr>
          <w:pgSz w:w="11900" w:h="16840" w:orient="portrait"/>
          <w:cols w:equalWidth="0" w:num="1">
            <w:col w:w="10580"/>
          </w:cols>
          <w:pgMar w:left="660" w:top="556" w:right="660" w:bottom="1440" w:gutter="0" w:footer="0" w:header="0"/>
        </w:sectPr>
      </w:pPr>
    </w:p>
    <w:bookmarkStart w:id="472" w:name="page473"/>
    <w:bookmarkEnd w:id="47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color w:val="auto"/>
        </w:rPr>
        <w:t>1. 97. “</w:t>
      </w:r>
      <w:r>
        <w:rPr>
          <w:rFonts w:ascii="Times New Roman" w:cs="Times New Roman" w:eastAsia="Times New Roman" w:hAnsi="Times New Roman"/>
          <w:sz w:val="19"/>
          <w:szCs w:val="19"/>
          <w:b w:val="1"/>
          <w:bCs w:val="1"/>
          <w:color w:val="auto"/>
        </w:rPr>
        <w:t>Service Provider</w:t>
      </w:r>
      <w:r>
        <w:rPr>
          <w:rFonts w:ascii="Times New Roman" w:cs="Times New Roman" w:eastAsia="Times New Roman" w:hAnsi="Times New Roman"/>
          <w:sz w:val="19"/>
          <w:szCs w:val="19"/>
          <w:color w:val="auto"/>
        </w:rPr>
        <w:t xml:space="preserve">” means, with respect to OncoC4, any Third Party service provider acting on behalf of OncoC4 or its Affiliate, on a fee for service basis, in the performance of activities conducted in accordance with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 that “Service Providers” shall not include (a) Third Parties engaged to supply Licensed Compounds or Licensed Products to either Party, (b) Third Parties performing material services expected to receive consideration from either Party in excess of [***] in any Calendar Year, (c) any Third Party that has failed to satisfy a quality audit required under a customary quality agreement in place between the Parties or their Affiliates and such failure has not been cured within sixty (60) days of notice to the Third Party of such failure or (d) Third Parties engaged to apply for regulatory approvals or authorized to make payments or other transfers of value to other Third Parties, in particular, but not limited to, government officials, public authorities, healthcare organizations, healthcare professionals, patient advocacy groups or patients.</w:t>
      </w:r>
    </w:p>
    <w:p>
      <w:pPr>
        <w:spacing w:after="0" w:line="134"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1.98. “</w:t>
      </w:r>
      <w:r>
        <w:rPr>
          <w:rFonts w:ascii="Times New Roman" w:cs="Times New Roman" w:eastAsia="Times New Roman" w:hAnsi="Times New Roman"/>
          <w:sz w:val="19"/>
          <w:szCs w:val="19"/>
          <w:b w:val="1"/>
          <w:bCs w:val="1"/>
          <w:color w:val="auto"/>
        </w:rPr>
        <w:t>Stage 2</w:t>
      </w:r>
      <w:r>
        <w:rPr>
          <w:rFonts w:ascii="Times New Roman" w:cs="Times New Roman" w:eastAsia="Times New Roman" w:hAnsi="Times New Roman"/>
          <w:sz w:val="19"/>
          <w:szCs w:val="19"/>
          <w:color w:val="auto"/>
        </w:rPr>
        <w:t>” means that second portion of the Phase 3 Trial for the NSCLC 2L Monotherapy described in the CDP utilizing a single recommended dose of the Licensed Product, subject to approval by the independent data monitoring committee (DMC) overseeing such Phase 3 Trial, or otherwise requested or recommended by the FDA.</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1.99. “</w:t>
      </w:r>
      <w:r>
        <w:rPr>
          <w:rFonts w:ascii="Times New Roman" w:cs="Times New Roman" w:eastAsia="Times New Roman" w:hAnsi="Times New Roman"/>
          <w:sz w:val="19"/>
          <w:szCs w:val="19"/>
          <w:b w:val="1"/>
          <w:bCs w:val="1"/>
          <w:color w:val="auto"/>
        </w:rPr>
        <w:t>Sublicense</w:t>
      </w:r>
      <w:r>
        <w:rPr>
          <w:rFonts w:ascii="Times New Roman" w:cs="Times New Roman" w:eastAsia="Times New Roman" w:hAnsi="Times New Roman"/>
          <w:sz w:val="19"/>
          <w:szCs w:val="19"/>
          <w:color w:val="auto"/>
        </w:rPr>
        <w:t xml:space="preserve"> ” means a grant of rights from BioNTech to a Sublicensee under any of the rights licensed to BioNTech by OncoC4 under Section 2.1, for clarity excluding contract research organizations, contract manufacturing organizations, and other service providers that do not obtain commercial rights (i.e., the right to sell to anyone but BioNTech, a BioNTech Affiliate or an entity deriving rights from them) .</w:t>
      </w:r>
    </w:p>
    <w:p>
      <w:pPr>
        <w:spacing w:after="0" w:line="134"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color w:val="auto"/>
        </w:rPr>
        <w:t>1.100. “</w:t>
      </w:r>
      <w:r>
        <w:rPr>
          <w:rFonts w:ascii="Times New Roman" w:cs="Times New Roman" w:eastAsia="Times New Roman" w:hAnsi="Times New Roman"/>
          <w:sz w:val="19"/>
          <w:szCs w:val="19"/>
          <w:b w:val="1"/>
          <w:bCs w:val="1"/>
          <w:color w:val="auto"/>
        </w:rPr>
        <w:t>Sublicensee</w:t>
      </w:r>
      <w:r>
        <w:rPr>
          <w:rFonts w:ascii="Times New Roman" w:cs="Times New Roman" w:eastAsia="Times New Roman" w:hAnsi="Times New Roman"/>
          <w:sz w:val="19"/>
          <w:szCs w:val="19"/>
          <w:color w:val="auto"/>
        </w:rPr>
        <w:t>” means, with respect to a Party, a Third Party sublicensee of rights granted to such Party under this Agreement, or any further sublicensee of such rights (regardless of the number of tiers, layers or levels of sublicenses of such rights), for clarity excluding grants to contract research organizations, contract manufacturing organizations, and other service providers that do not obtain commercial rights (i.e., the right to sell to anyone but BioNTech, a BioNTech Affiliate or an entity deriving rights from any of them).</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1.101. “</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means the entire world.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1.102. “</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a Party or their respective Affiliates.</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color w:val="auto"/>
        </w:rPr>
        <w:t>1.103. “</w:t>
      </w:r>
      <w:r>
        <w:rPr>
          <w:rFonts w:ascii="Times New Roman" w:cs="Times New Roman" w:eastAsia="Times New Roman" w:hAnsi="Times New Roman"/>
          <w:sz w:val="19"/>
          <w:szCs w:val="19"/>
          <w:b w:val="1"/>
          <w:bCs w:val="1"/>
          <w:color w:val="auto"/>
        </w:rPr>
        <w:t>Trademark</w:t>
      </w:r>
      <w:r>
        <w:rPr>
          <w:rFonts w:ascii="Times New Roman" w:cs="Times New Roman" w:eastAsia="Times New Roman" w:hAnsi="Times New Roman"/>
          <w:sz w:val="19"/>
          <w:szCs w:val="19"/>
          <w:color w:val="auto"/>
        </w:rPr>
        <w:t>” means all registered and unregistered trademarks, service marks, trade dress, trade names, logos, insignias, domain names, symbols, designs, and combinations thereof.</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1.104. “</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 the United States of America and its territories and possessions.</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color w:val="auto"/>
        </w:rPr>
        <w:t>1.105. “</w:t>
      </w:r>
      <w:r>
        <w:rPr>
          <w:rFonts w:ascii="Times New Roman" w:cs="Times New Roman" w:eastAsia="Times New Roman" w:hAnsi="Times New Roman"/>
          <w:sz w:val="19"/>
          <w:szCs w:val="19"/>
          <w:b w:val="1"/>
          <w:bCs w:val="1"/>
          <w:color w:val="auto"/>
        </w:rPr>
        <w:t>Upstream Agreements</w:t>
      </w:r>
      <w:r>
        <w:rPr>
          <w:rFonts w:ascii="Times New Roman" w:cs="Times New Roman" w:eastAsia="Times New Roman" w:hAnsi="Times New Roman"/>
          <w:sz w:val="19"/>
          <w:szCs w:val="19"/>
          <w:color w:val="auto"/>
        </w:rPr>
        <w:t xml:space="preserve">” means the agreements set forth on </w:t>
      </w:r>
      <w:r>
        <w:rPr>
          <w:rFonts w:ascii="Times New Roman" w:cs="Times New Roman" w:eastAsia="Times New Roman" w:hAnsi="Times New Roman"/>
          <w:sz w:val="19"/>
          <w:szCs w:val="19"/>
          <w:u w:val="single" w:color="auto"/>
          <w:color w:val="auto"/>
        </w:rPr>
        <w:t>Schedule 1.105</w:t>
      </w:r>
      <w:r>
        <w:rPr>
          <w:rFonts w:ascii="Times New Roman" w:cs="Times New Roman" w:eastAsia="Times New Roman" w:hAnsi="Times New Roman"/>
          <w:sz w:val="19"/>
          <w:szCs w:val="19"/>
          <w:color w:val="auto"/>
        </w:rPr>
        <w:t xml:space="preserve"> pursuant to which OncoC4 obtains a license from a Third Party under certain Licensed Patents or Licensed Know -How. Complete copies of the Upstream Agreements and any amendments or modifications thereto have been provided to BioNTech prior to the execution of this Agreement.</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1.106. “</w:t>
      </w:r>
      <w:r>
        <w:rPr>
          <w:rFonts w:ascii="Times New Roman" w:cs="Times New Roman" w:eastAsia="Times New Roman" w:hAnsi="Times New Roman"/>
          <w:sz w:val="19"/>
          <w:szCs w:val="19"/>
          <w:b w:val="1"/>
          <w:bCs w:val="1"/>
          <w:color w:val="auto"/>
        </w:rPr>
        <w:t>Valid Claim</w:t>
      </w:r>
      <w:r>
        <w:rPr>
          <w:rFonts w:ascii="Times New Roman" w:cs="Times New Roman" w:eastAsia="Times New Roman" w:hAnsi="Times New Roman"/>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15</w:t>
      </w:r>
    </w:p>
    <w:p>
      <w:pPr>
        <w:sectPr>
          <w:pgSz w:w="11900" w:h="16840" w:orient="portrait"/>
          <w:cols w:equalWidth="0" w:num="1">
            <w:col w:w="10580"/>
          </w:cols>
          <w:pgMar w:left="660" w:top="556" w:right="660" w:bottom="1440" w:gutter="0" w:footer="0" w:header="0"/>
        </w:sectPr>
      </w:pPr>
    </w:p>
    <w:bookmarkStart w:id="473" w:name="page474"/>
    <w:bookmarkEnd w:id="47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576"/>
        <w:spacing w:after="0" w:line="249" w:lineRule="auto"/>
        <w:rPr>
          <w:sz w:val="20"/>
          <w:szCs w:val="20"/>
          <w:color w:val="auto"/>
        </w:rPr>
      </w:pPr>
      <w:r>
        <w:rPr>
          <w:rFonts w:ascii="Times New Roman" w:cs="Times New Roman" w:eastAsia="Times New Roman" w:hAnsi="Times New Roman"/>
          <w:sz w:val="19"/>
          <w:szCs w:val="19"/>
          <w:color w:val="auto"/>
        </w:rPr>
        <w:t>1.107. “</w:t>
      </w:r>
      <w:r>
        <w:rPr>
          <w:rFonts w:ascii="Times New Roman" w:cs="Times New Roman" w:eastAsia="Times New Roman" w:hAnsi="Times New Roman"/>
          <w:sz w:val="19"/>
          <w:szCs w:val="19"/>
          <w:b w:val="1"/>
          <w:bCs w:val="1"/>
          <w:color w:val="auto"/>
        </w:rPr>
        <w:t>VAT and Indirect Taxes</w:t>
      </w:r>
      <w:r>
        <w:rPr>
          <w:rFonts w:ascii="Times New Roman" w:cs="Times New Roman" w:eastAsia="Times New Roman" w:hAnsi="Times New Roman"/>
          <w:sz w:val="19"/>
          <w:szCs w:val="19"/>
          <w:color w:val="auto"/>
        </w:rPr>
        <w:t>” means any value added, sales, purchase, turnover or consumption tax as may be applicable in any relevant jurisdiction.</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1.108.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color w:val="auto"/>
        </w:rPr>
        <w:t>1. 109. “</w:t>
      </w:r>
      <w:r>
        <w:rPr>
          <w:rFonts w:ascii="Times New Roman" w:cs="Times New Roman" w:eastAsia="Times New Roman" w:hAnsi="Times New Roman"/>
          <w:sz w:val="19"/>
          <w:szCs w:val="19"/>
          <w:b w:val="1"/>
          <w:bCs w:val="1"/>
          <w:color w:val="auto"/>
        </w:rPr>
        <w:t>[***] Agreements</w:t>
      </w:r>
      <w:r>
        <w:rPr>
          <w:rFonts w:ascii="Times New Roman" w:cs="Times New Roman" w:eastAsia="Times New Roman" w:hAnsi="Times New Roman"/>
          <w:sz w:val="19"/>
          <w:szCs w:val="19"/>
          <w:color w:val="auto"/>
        </w:rPr>
        <w:t>” means agreements between [***] and OncoC4 with respect to the Licensed Compound or Licensed Products, but not including the [***] License.</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1.110. “</w:t>
      </w:r>
      <w:r>
        <w:rPr>
          <w:rFonts w:ascii="Times New Roman" w:cs="Times New Roman" w:eastAsia="Times New Roman" w:hAnsi="Times New Roman"/>
          <w:sz w:val="19"/>
          <w:szCs w:val="19"/>
          <w:b w:val="1"/>
          <w:bCs w:val="1"/>
          <w:color w:val="auto"/>
        </w:rPr>
        <w:t>[***] License</w:t>
      </w:r>
      <w:r>
        <w:rPr>
          <w:rFonts w:ascii="Times New Roman" w:cs="Times New Roman" w:eastAsia="Times New Roman" w:hAnsi="Times New Roman"/>
          <w:sz w:val="19"/>
          <w:szCs w:val="19"/>
          <w:color w:val="auto"/>
        </w:rPr>
        <w:t>” means [***].</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 xml:space="preserve">1.111. </w:t>
      </w:r>
      <w:r>
        <w:rPr>
          <w:rFonts w:ascii="Times New Roman" w:cs="Times New Roman" w:eastAsia="Times New Roman" w:hAnsi="Times New Roman"/>
          <w:sz w:val="19"/>
          <w:szCs w:val="19"/>
          <w:u w:val="single" w:color="auto"/>
          <w:color w:val="auto"/>
        </w:rPr>
        <w:t>Additional Definitions</w:t>
      </w:r>
      <w:r>
        <w:rPr>
          <w:rFonts w:ascii="Times New Roman" w:cs="Times New Roman" w:eastAsia="Times New Roman" w:hAnsi="Times New Roman"/>
          <w:sz w:val="19"/>
          <w:szCs w:val="19"/>
          <w:color w:val="auto"/>
        </w:rPr>
        <w:t>. The following terms have the respective meanings set forth in the Sections indicated below:</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6160" w:type="dxa"/>
            <w:vAlign w:val="bottom"/>
            <w:shd w:val="clear" w:color="auto" w:fill="BFBFBF"/>
          </w:tcPr>
          <w:p>
            <w:pPr>
              <w:ind w:left="3540"/>
              <w:spacing w:after="0"/>
              <w:rPr>
                <w:sz w:val="20"/>
                <w:szCs w:val="20"/>
                <w:color w:val="auto"/>
              </w:rPr>
            </w:pPr>
            <w:r>
              <w:rPr>
                <w:rFonts w:ascii="Times New Roman" w:cs="Times New Roman" w:eastAsia="Times New Roman" w:hAnsi="Times New Roman"/>
                <w:sz w:val="19"/>
                <w:szCs w:val="19"/>
                <w:b w:val="1"/>
                <w:bCs w:val="1"/>
                <w:color w:val="auto"/>
              </w:rPr>
              <w:t>Definition</w:t>
            </w:r>
          </w:p>
        </w:tc>
        <w:tc>
          <w:tcPr>
            <w:tcW w:w="4340" w:type="dxa"/>
            <w:vAlign w:val="bottom"/>
            <w:shd w:val="clear" w:color="auto" w:fill="BFBFBF"/>
          </w:tcPr>
          <w:p>
            <w:pPr>
              <w:ind w:left="2740"/>
              <w:spacing w:after="0"/>
              <w:rPr>
                <w:sz w:val="20"/>
                <w:szCs w:val="20"/>
                <w:color w:val="auto"/>
              </w:rPr>
            </w:pPr>
            <w:r>
              <w:rPr>
                <w:rFonts w:ascii="Times New Roman" w:cs="Times New Roman" w:eastAsia="Times New Roman" w:hAnsi="Times New Roman"/>
                <w:sz w:val="19"/>
                <w:szCs w:val="19"/>
                <w:b w:val="1"/>
                <w:bCs w:val="1"/>
                <w:color w:val="auto"/>
              </w:rPr>
              <w:t>Section</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392 Collaboration Termination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1.10</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392 License Termination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1.10</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Guangzhou</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1.2</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Agreement</w:t>
            </w:r>
          </w:p>
        </w:tc>
        <w:tc>
          <w:tcPr>
            <w:tcW w:w="434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Preamble</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AI-025 Inventions</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8.1(d)</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AI-025 Label License</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2.1(a)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AI-061 Conditions</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2.1(a)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AI License</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1.10</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Allegedly Breaching Party</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13.3(a)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Alliance Manager</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6.7(a)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Audited Site</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4.1(f)</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Auditor</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7.8(a)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w:t>
            </w:r>
          </w:p>
        </w:tc>
        <w:tc>
          <w:tcPr>
            <w:tcW w:w="434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Preamble</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Development Plan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3.1(b)</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Foreground Invention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8.1(c)(i)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Foreground Patents</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8.1(c)(i)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Indemnified Parties</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11.1</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Product Invention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8.1(c)(ii)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BioNTech Product Patents</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8.1(c)(ii)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Biosimilar Application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8.3(f)(i)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Breaching Party</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13.3(a)</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CAPA</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4.1(f)</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CDP</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3.1(a)(i)</w:t>
            </w:r>
          </w:p>
        </w:tc>
      </w:tr>
      <w:tr>
        <w:trPr>
          <w:trHeight w:val="24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 License</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Schedule 10.2(i)</w:t>
            </w:r>
          </w:p>
        </w:tc>
      </w:tr>
      <w:tr>
        <w:trPr>
          <w:trHeight w:val="251"/>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Commercialization Plan</w:t>
            </w:r>
          </w:p>
        </w:tc>
        <w:tc>
          <w:tcPr>
            <w:tcW w:w="4340" w:type="dxa"/>
            <w:vAlign w:val="bottom"/>
          </w:tcPr>
          <w:p>
            <w:pPr>
              <w:ind w:left="1800"/>
              <w:spacing w:after="0"/>
              <w:rPr>
                <w:sz w:val="20"/>
                <w:szCs w:val="20"/>
                <w:color w:val="auto"/>
              </w:rPr>
            </w:pPr>
            <w:r>
              <w:rPr>
                <w:rFonts w:ascii="Times New Roman" w:cs="Times New Roman" w:eastAsia="Times New Roman" w:hAnsi="Times New Roman"/>
                <w:sz w:val="19"/>
                <w:szCs w:val="19"/>
                <w:color w:val="auto"/>
              </w:rPr>
              <w:t>5.3(b)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16</w:t>
      </w:r>
    </w:p>
    <w:p>
      <w:pPr>
        <w:sectPr>
          <w:pgSz w:w="11900" w:h="16840" w:orient="portrait"/>
          <w:cols w:equalWidth="0" w:num="1">
            <w:col w:w="10580"/>
          </w:cols>
          <w:pgMar w:left="660" w:top="556" w:right="660" w:bottom="1440" w:gutter="0" w:footer="0" w:header="0"/>
        </w:sectPr>
      </w:pPr>
    </w:p>
    <w:bookmarkStart w:id="474" w:name="page475"/>
    <w:bookmarkEnd w:id="474"/>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Competing Program</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2.6(b)</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Completion of first Phase 1 Trial of AI-061</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1.78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Covered Period</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3.1(a)(i)</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Development Milestone Event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7.4(a)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Development Milestone Payment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7.4(a)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DOJ</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Effective Date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Enforcement or Defense Action</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Excess Development Costs</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3.2(b)</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Exclusive License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2.1(a)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Execution Date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Preamble</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First Indication</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FTC</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GOVERNMENT OFFICIAL</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15.17(c)</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HSR Act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15.18</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Incremental Withholding</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7.9(a)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Infringement Claim</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8.4</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IP Notice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8.3(a)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Joint Development Budget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3.1(a)(i)</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8.1(b)(i)</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8.1(b)(i)</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JSC</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6.1</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Licensed Single Product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1.67</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Mediation Period</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w w:val="98"/>
              </w:rPr>
              <w:t>Schedule 13.4(d)</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10.2(l)</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Mono/PD-1 Combinations</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3.1(a)(i)</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New Affiliate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2.6(b)</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Non-Breaching Party</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13.3(a)</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OncoC4</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Preamble</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OncoC4 Indemnified Parties</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11.2</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10.2(p)</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Option</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2.2</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Option Effective Date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2.2(b)</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Option Exercise Fee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7.2</w:t>
            </w:r>
          </w:p>
        </w:tc>
      </w:tr>
      <w:tr>
        <w:trPr>
          <w:trHeight w:val="240"/>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Option Exercise Notice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2.2(a)</w:t>
            </w:r>
          </w:p>
        </w:tc>
      </w:tr>
      <w:tr>
        <w:trPr>
          <w:trHeight w:val="251"/>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 License</w:t>
            </w:r>
          </w:p>
        </w:tc>
        <w:tc>
          <w:tcPr>
            <w:tcW w:w="3580" w:type="dxa"/>
            <w:vAlign w:val="bottom"/>
          </w:tcPr>
          <w:p>
            <w:pPr>
              <w:ind w:left="2280"/>
              <w:spacing w:after="0"/>
              <w:rPr>
                <w:sz w:val="20"/>
                <w:szCs w:val="20"/>
                <w:color w:val="auto"/>
              </w:rPr>
            </w:pPr>
            <w:r>
              <w:rPr>
                <w:rFonts w:ascii="Times New Roman" w:cs="Times New Roman" w:eastAsia="Times New Roman" w:hAnsi="Times New Roman"/>
                <w:sz w:val="19"/>
                <w:szCs w:val="19"/>
                <w:color w:val="auto"/>
              </w:rPr>
              <w:t>Schedule 1.105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17</w:t>
      </w:r>
    </w:p>
    <w:p>
      <w:pPr>
        <w:sectPr>
          <w:pgSz w:w="11900" w:h="16840" w:orient="portrait"/>
          <w:cols w:equalWidth="0" w:num="1">
            <w:col w:w="10480"/>
          </w:cols>
          <w:pgMar w:left="760" w:top="556" w:right="660" w:bottom="1440" w:gutter="0" w:footer="0" w:header="0"/>
        </w:sectPr>
      </w:pPr>
    </w:p>
    <w:bookmarkStart w:id="475" w:name="page476"/>
    <w:bookmarkEnd w:id="475"/>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 Settlement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Schedule 1.105</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2.7</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Other Active</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1.30</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Other Combinations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3.1(b)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Party and Parties</w:t>
            </w:r>
          </w:p>
        </w:tc>
        <w:tc>
          <w:tcPr>
            <w:tcW w:w="404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Preamble</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Party Vote</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4.3</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Patent Extension</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8.2(d)</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Pharmacovigilance Agreement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2.9</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PROHIBITED CONDUCT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15.17(a)</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Proviso Covenant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2.1(a)</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Reduction Floor</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7.7(f)</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Representatives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9.1(b)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Reserved Financial Decision</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6.5(a)(i)</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Reserved Rights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2.5</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Reversion Agreement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Schedule 13.4(d)</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Reversion Products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13.4(b)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Royalty Term</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7.5(b)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Rules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14.2</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Sales Milestone Event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7.4(b)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Sales Milestone Payment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7.4(b)</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Securitization Transaction</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15.1(a)(ii)</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Shared CDP Liability Claims</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11.1</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Subcommittee</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6.6</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Supply Agreement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5.1(a)</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Technology Transfer</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5.2(a)</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Term</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13.1</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Terminated Product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13.4(e)</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Terminated Product Agreement</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13.4(e)</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Third Party Action</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11.1</w:t>
            </w:r>
          </w:p>
        </w:tc>
      </w:tr>
      <w:tr>
        <w:trPr>
          <w:trHeight w:val="24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Third Party Claim</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11.3(a)</w:t>
            </w:r>
          </w:p>
        </w:tc>
      </w:tr>
      <w:tr>
        <w:trPr>
          <w:trHeight w:val="251"/>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Withholding Action</w:t>
            </w:r>
          </w:p>
        </w:tc>
        <w:tc>
          <w:tcPr>
            <w:tcW w:w="4040" w:type="dxa"/>
            <w:vAlign w:val="bottom"/>
          </w:tcPr>
          <w:p>
            <w:pPr>
              <w:ind w:left="2720"/>
              <w:spacing w:after="0"/>
              <w:rPr>
                <w:sz w:val="20"/>
                <w:szCs w:val="20"/>
                <w:color w:val="auto"/>
              </w:rPr>
            </w:pPr>
            <w:r>
              <w:rPr>
                <w:rFonts w:ascii="Times New Roman" w:cs="Times New Roman" w:eastAsia="Times New Roman" w:hAnsi="Times New Roman"/>
                <w:sz w:val="19"/>
                <w:szCs w:val="19"/>
                <w:color w:val="auto"/>
              </w:rPr>
              <w:t>7.9(a)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18</w:t>
      </w:r>
    </w:p>
    <w:p>
      <w:pPr>
        <w:sectPr>
          <w:pgSz w:w="11900" w:h="16840" w:orient="portrait"/>
          <w:cols w:equalWidth="0" w:num="1">
            <w:col w:w="10480"/>
          </w:cols>
          <w:pgMar w:left="760" w:top="556" w:right="660" w:bottom="1440" w:gutter="0" w:footer="0" w:header="0"/>
        </w:sectPr>
      </w:pPr>
    </w:p>
    <w:bookmarkStart w:id="476" w:name="page477"/>
    <w:bookmarkEnd w:id="47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u w:val="single" w:color="auto"/>
          <w:color w:val="auto"/>
        </w:rPr>
        <w:t>ARTICLE II</w:t>
      </w:r>
    </w:p>
    <w:p>
      <w:pPr>
        <w:ind w:left="4440"/>
        <w:spacing w:after="0"/>
        <w:rPr>
          <w:sz w:val="20"/>
          <w:szCs w:val="20"/>
          <w:color w:val="auto"/>
        </w:rPr>
      </w:pPr>
      <w:r>
        <w:rPr>
          <w:rFonts w:ascii="Times New Roman" w:cs="Times New Roman" w:eastAsia="Times New Roman" w:hAnsi="Times New Roman"/>
          <w:sz w:val="19"/>
          <w:szCs w:val="19"/>
          <w:b w:val="1"/>
          <w:bCs w:val="1"/>
          <w:color w:val="auto"/>
        </w:rPr>
        <w:t>LICENSE GRANTS</w:t>
      </w:r>
    </w:p>
    <w:p>
      <w:pPr>
        <w:spacing w:after="0" w:line="14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u w:val="single" w:color="auto"/>
          <w:color w:val="auto"/>
        </w:rPr>
        <w:t>License Grants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1158"/>
        <w:spacing w:after="0" w:line="211" w:lineRule="auto"/>
        <w:tabs>
          <w:tab w:leader="none" w:pos="1729" w:val="left"/>
        </w:tabs>
        <w:numPr>
          <w:ilvl w:val="1"/>
          <w:numId w:val="5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Grant to BioNTech</w:t>
      </w:r>
      <w:r>
        <w:rPr>
          <w:rFonts w:ascii="Times New Roman" w:cs="Times New Roman" w:eastAsia="Times New Roman" w:hAnsi="Times New Roman"/>
          <w:sz w:val="19"/>
          <w:szCs w:val="19"/>
          <w:color w:val="auto"/>
        </w:rPr>
        <w:t xml:space="preserve">. Subject to the terms and conditions of this Agreement, OncoC4 hereby grants to BioNTech an exclusive (but not to the exclusion of OncoC4’s Reserved Rights), non-transferable (except in accordance with Section 15.1), sublicensable (through multiple tiers, subject to Section 2.3), (i) royalty-bearing license under the Licensed Know-How, Licensed Patents, and [***], to Exploit Licensed Compounds and Licensed Products in the Field in the Territory and (ii) royalty-free license under any AI-025 Patents or any AI-025 Know-How, the Licensed Know-How, Licensed Patents, and [***], to Exploit AI-025 not co-formulated with ONC-392, but used in combination with ONC-392 (whether co-packaged, co-indicated, co-labeled or any other combined use) (for clarity, not including in AI-061 or AI-061 Products), (such license under clause (ii), the “ </w:t>
      </w:r>
      <w:r>
        <w:rPr>
          <w:rFonts w:ascii="Times New Roman" w:cs="Times New Roman" w:eastAsia="Times New Roman" w:hAnsi="Times New Roman"/>
          <w:sz w:val="19"/>
          <w:szCs w:val="19"/>
          <w:b w:val="1"/>
          <w:bCs w:val="1"/>
          <w:color w:val="auto"/>
        </w:rPr>
        <w:t>AI-025 Label License</w:t>
      </w:r>
      <w:r>
        <w:rPr>
          <w:rFonts w:ascii="Times New Roman" w:cs="Times New Roman" w:eastAsia="Times New Roman" w:hAnsi="Times New Roman"/>
          <w:sz w:val="19"/>
          <w:szCs w:val="19"/>
          <w:color w:val="auto"/>
        </w:rPr>
        <w:t xml:space="preserve">”) in the Field in the Territory (clause (i) and (ii), collectively, the “ </w:t>
      </w:r>
      <w:r>
        <w:rPr>
          <w:rFonts w:ascii="Times New Roman" w:cs="Times New Roman" w:eastAsia="Times New Roman" w:hAnsi="Times New Roman"/>
          <w:sz w:val="19"/>
          <w:szCs w:val="19"/>
          <w:b w:val="1"/>
          <w:bCs w:val="1"/>
          <w:color w:val="auto"/>
        </w:rPr>
        <w:t>Exclusive License</w:t>
      </w:r>
      <w:r>
        <w:rPr>
          <w:rFonts w:ascii="Times New Roman" w:cs="Times New Roman" w:eastAsia="Times New Roman" w:hAnsi="Times New Roman"/>
          <w:sz w:val="19"/>
          <w:szCs w:val="19"/>
          <w:color w:val="auto"/>
        </w:rPr>
        <w:t>”). Notwithstanding the foregoing, (A) unless and until BioNTech exercises the Option in accordance with Section 2.2, despite the Exclusive License granted to BioNTech under this Section 2.1(a) with respect to AI-061, AI-061 Products and AI-025, BioNTech hereby covenants that its Exploitation of AI-061, AI-025 and AI-061 Products: (I) shall be limited to conducting Development and Manufacturing activities with respect to AI-061 or AI-061 Products solely in accordance with the CDP during the Option Period, and (II) shall not include the sale, offer for sale, distribution, promotion, marketing or other Commercialization of AI-061 or AI-061 Products (or any other Licensed Product containing AI-061) (the limitations described in clauses (I) and (II) are referred to herein as the “</w:t>
      </w:r>
      <w:r>
        <w:rPr>
          <w:rFonts w:ascii="Times New Roman" w:cs="Times New Roman" w:eastAsia="Times New Roman" w:hAnsi="Times New Roman"/>
          <w:sz w:val="19"/>
          <w:szCs w:val="19"/>
          <w:b w:val="1"/>
          <w:bCs w:val="1"/>
          <w:color w:val="auto"/>
        </w:rPr>
        <w:t>AI-061 Conditions</w:t>
      </w:r>
      <w:r>
        <w:rPr>
          <w:rFonts w:ascii="Times New Roman" w:cs="Times New Roman" w:eastAsia="Times New Roman" w:hAnsi="Times New Roman"/>
          <w:sz w:val="19"/>
          <w:szCs w:val="19"/>
          <w:color w:val="auto"/>
        </w:rPr>
        <w:t>”), and (B) in all instances BioNTech hereby covenants that its Exploitation of AI-025 shall not include the Exploitation of AI-025 other than within the context of and as part of AI-061 (the “</w:t>
      </w:r>
      <w:r>
        <w:rPr>
          <w:rFonts w:ascii="Times New Roman" w:cs="Times New Roman" w:eastAsia="Times New Roman" w:hAnsi="Times New Roman"/>
          <w:sz w:val="19"/>
          <w:szCs w:val="19"/>
          <w:b w:val="1"/>
          <w:bCs w:val="1"/>
          <w:color w:val="auto"/>
        </w:rPr>
        <w:t>Proviso Covenant</w:t>
      </w:r>
      <w:r>
        <w:rPr>
          <w:rFonts w:ascii="Times New Roman" w:cs="Times New Roman" w:eastAsia="Times New Roman" w:hAnsi="Times New Roman"/>
          <w:sz w:val="19"/>
          <w:szCs w:val="19"/>
          <w:color w:val="auto"/>
        </w:rPr>
        <w:t>”). The AI-061 Conditions shall no longer apply on or after the Option Effective Date in the event BioNTech exercises the Option. For the avoidance of doubt, unless otherwise agreed upon in writing by the Parties in the form of an amendment or restatement of this Agreement or a new license agreement, the rights granted to BioNTech with respect to AI-025 are limited to the AI-025 Label License, subject always to the Proviso Covenant, and Exploitation of AI-025 solely within the context of and as part of AI-061 or AI-061 Products (including the right to manufacture AI-025 in order to Exploit AI-061 or AI-061 Products as a Licensed Product), and under no circumstances will BioNTech or its Affiliates obtain any right or license to use AI-025 as a monotherapy or in combination with any other therapeutically active ingredient except as expressly contemplated hereby with respect to the AI-025 Label License, subject always to the Proviso Covenant, and the use of AI-025 solely within the context of and as part of AI-061 or AI-061 Products as a combination product. It is understood that for purposes of this Agreement, despite being a product that combines two</w:t>
      </w:r>
    </w:p>
    <w:p>
      <w:pPr>
        <w:spacing w:after="0" w:line="21" w:lineRule="exact"/>
        <w:rPr>
          <w:rFonts w:ascii="Times New Roman" w:cs="Times New Roman" w:eastAsia="Times New Roman" w:hAnsi="Times New Roman"/>
          <w:sz w:val="19"/>
          <w:szCs w:val="19"/>
          <w:color w:val="auto"/>
        </w:rPr>
      </w:pPr>
    </w:p>
    <w:p>
      <w:pPr>
        <w:jc w:val="both"/>
        <w:ind w:right="60" w:firstLine="6"/>
        <w:spacing w:after="0" w:line="221" w:lineRule="auto"/>
        <w:tabs>
          <w:tab w:leader="none" w:pos="279" w:val="left"/>
        </w:tabs>
        <w:numPr>
          <w:ilvl w:val="0"/>
          <w:numId w:val="5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active ingredients, AI-061 and AI-061 Products are deemed to be a “Licensed Single Product” rather than a “Combination Product.” However, BioNTech retains the right (unless it allows the Option to lapse without exercise) to include AI-061 or an AI-061 Product in a Combination Product, and if BioNTech Develops AI-061 or an AI-061 Product in a Combination Product with [***] or more Other Actives, in such case, AI-061 or such AI-061 Product shall be treated as the Licensed Product component of such Combination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19</w:t>
      </w:r>
    </w:p>
    <w:p>
      <w:pPr>
        <w:sectPr>
          <w:pgSz w:w="11900" w:h="16840" w:orient="portrait"/>
          <w:cols w:equalWidth="0" w:num="1">
            <w:col w:w="10600"/>
          </w:cols>
          <w:pgMar w:left="660" w:top="556" w:right="640" w:bottom="1440" w:gutter="0" w:footer="0" w:header="0"/>
        </w:sectPr>
      </w:pPr>
    </w:p>
    <w:bookmarkStart w:id="477" w:name="page478"/>
    <w:bookmarkEnd w:id="477"/>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firstLine="1158"/>
        <w:spacing w:after="0" w:line="221" w:lineRule="auto"/>
        <w:tabs>
          <w:tab w:leader="none" w:pos="1729" w:val="left"/>
        </w:tabs>
        <w:numPr>
          <w:ilvl w:val="0"/>
          <w:numId w:val="5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Grant to OncoC4</w:t>
      </w:r>
      <w:r>
        <w:rPr>
          <w:rFonts w:ascii="Times New Roman" w:cs="Times New Roman" w:eastAsia="Times New Roman" w:hAnsi="Times New Roman"/>
          <w:sz w:val="19"/>
          <w:szCs w:val="19"/>
          <w:color w:val="auto"/>
        </w:rPr>
        <w:t xml:space="preserve">. Subject to the terms and conditions of this Agreement, BioNTech hereby grants to OncoC4, a non-exclusive, non-transferable (except in accordance with Section 15.1), sublicensable (through multiple tiers) to subcontractors, only with BioNTech’s prior written consent, except that such written consent will not be required for sublicenses to OncoC4’s Affiliates, Service Providers or any subcontractors listed on </w:t>
      </w:r>
      <w:r>
        <w:rPr>
          <w:rFonts w:ascii="Times New Roman" w:cs="Times New Roman" w:eastAsia="Times New Roman" w:hAnsi="Times New Roman"/>
          <w:sz w:val="19"/>
          <w:szCs w:val="19"/>
          <w:u w:val="single" w:color="auto"/>
          <w:color w:val="auto"/>
        </w:rPr>
        <w:t>Schedule 2.1(b)</w:t>
      </w:r>
      <w:r>
        <w:rPr>
          <w:rFonts w:ascii="Times New Roman" w:cs="Times New Roman" w:eastAsia="Times New Roman" w:hAnsi="Times New Roman"/>
          <w:sz w:val="19"/>
          <w:szCs w:val="19"/>
          <w:color w:val="auto"/>
        </w:rPr>
        <w:t>, royalty-free license under the BioNTech Technology and [***] to carry out OncoC4’s obligations under the CDP. For clarity, OncoC4 shall not be permitted to sublicense the entirety of its co-development obligations under the CDP to any Affiliate or Third Party.</w:t>
      </w:r>
    </w:p>
    <w:p>
      <w:pPr>
        <w:spacing w:after="0" w:line="135" w:lineRule="exact"/>
        <w:rPr>
          <w:sz w:val="20"/>
          <w:szCs w:val="20"/>
          <w:color w:val="auto"/>
        </w:rPr>
      </w:pPr>
    </w:p>
    <w:p>
      <w:pPr>
        <w:jc w:val="both"/>
        <w:ind w:right="20" w:firstLine="864"/>
        <w:spacing w:after="0" w:line="224" w:lineRule="auto"/>
        <w:rPr>
          <w:sz w:val="20"/>
          <w:szCs w:val="20"/>
          <w:color w:val="auto"/>
        </w:rPr>
      </w:pPr>
      <w:r>
        <w:rPr>
          <w:rFonts w:ascii="Times New Roman" w:cs="Times New Roman" w:eastAsia="Times New Roman" w:hAnsi="Times New Roman"/>
          <w:sz w:val="19"/>
          <w:szCs w:val="19"/>
          <w:color w:val="auto"/>
        </w:rPr>
        <w:t xml:space="preserve">2 . 2 </w:t>
      </w:r>
      <w:r>
        <w:rPr>
          <w:rFonts w:ascii="Times New Roman" w:cs="Times New Roman" w:eastAsia="Times New Roman" w:hAnsi="Times New Roman"/>
          <w:sz w:val="19"/>
          <w:szCs w:val="19"/>
          <w:u w:val="single" w:color="auto"/>
          <w:color w:val="auto"/>
        </w:rPr>
        <w:t>AI-061 Option</w:t>
      </w:r>
      <w:r>
        <w:rPr>
          <w:rFonts w:ascii="Times New Roman" w:cs="Times New Roman" w:eastAsia="Times New Roman" w:hAnsi="Times New Roman"/>
          <w:sz w:val="19"/>
          <w:szCs w:val="19"/>
          <w:color w:val="auto"/>
        </w:rPr>
        <w:t>. OncoC4 hereby grants BioNTech the exclusive option (the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exercisable during the Option Period to be released from its covenant as to the AI-061 Conditions restricting its practice of the Exclusive License with respect to AI-061 Products, including that BioNTech shall be released from its covenants not to exercise the right to sell, offer for sale, distribute, promote, market and otherwise Commercialize AI-061 (or any other Licensed Product containing AI-061). The Option shall be exercisable as follows:</w:t>
      </w:r>
    </w:p>
    <w:p>
      <w:pPr>
        <w:spacing w:after="0" w:line="135" w:lineRule="exact"/>
        <w:rPr>
          <w:sz w:val="20"/>
          <w:szCs w:val="20"/>
          <w:color w:val="auto"/>
        </w:rPr>
      </w:pPr>
    </w:p>
    <w:p>
      <w:pPr>
        <w:ind w:right="20" w:firstLine="1158"/>
        <w:spacing w:after="0" w:line="246" w:lineRule="auto"/>
        <w:tabs>
          <w:tab w:leader="none" w:pos="1729"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Option Period, BioNTech may exercise the Option by delivery of written notification to OncoC4 of its decision to exercise the Option (the “</w:t>
      </w:r>
      <w:r>
        <w:rPr>
          <w:rFonts w:ascii="Times New Roman" w:cs="Times New Roman" w:eastAsia="Times New Roman" w:hAnsi="Times New Roman"/>
          <w:sz w:val="19"/>
          <w:szCs w:val="19"/>
          <w:b w:val="1"/>
          <w:bCs w:val="1"/>
          <w:color w:val="auto"/>
        </w:rPr>
        <w:t>Option Exercise Notice</w:t>
      </w:r>
      <w:r>
        <w:rPr>
          <w:rFonts w:ascii="Times New Roman" w:cs="Times New Roman" w:eastAsia="Times New Roman" w:hAnsi="Times New Roman"/>
          <w:sz w:val="19"/>
          <w:szCs w:val="19"/>
          <w:color w:val="auto"/>
        </w:rPr>
        <w:t>”).</w:t>
      </w:r>
    </w:p>
    <w:p>
      <w:pPr>
        <w:spacing w:after="0" w:line="128"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729"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delivery of the Option Exercise Notice, BioNTech shall pay the Option Exercise Fee to OncoC4 as set forth in Section 7.2. Subject to BioNTech’s compliance with this Section 2.2 and Section 7.2, the date on which OncoC4 receives the Option Exercise Fee will thereafter be the “</w:t>
      </w:r>
      <w:r>
        <w:rPr>
          <w:rFonts w:ascii="Times New Roman" w:cs="Times New Roman" w:eastAsia="Times New Roman" w:hAnsi="Times New Roman"/>
          <w:sz w:val="19"/>
          <w:szCs w:val="19"/>
          <w:b w:val="1"/>
          <w:bCs w:val="1"/>
          <w:color w:val="auto"/>
        </w:rPr>
        <w:t>Option Effective Date</w:t>
      </w:r>
      <w:r>
        <w:rPr>
          <w:rFonts w:ascii="Times New Roman" w:cs="Times New Roman" w:eastAsia="Times New Roman" w:hAnsi="Times New Roman"/>
          <w:sz w:val="19"/>
          <w:szCs w:val="19"/>
          <w:color w:val="auto"/>
        </w:rPr>
        <w:t>” hereunder.</w:t>
      </w:r>
    </w:p>
    <w:p>
      <w:pPr>
        <w:spacing w:after="0" w:line="134" w:lineRule="exact"/>
        <w:rPr>
          <w:rFonts w:ascii="Times New Roman" w:cs="Times New Roman" w:eastAsia="Times New Roman" w:hAnsi="Times New Roman"/>
          <w:sz w:val="19"/>
          <w:szCs w:val="19"/>
          <w:color w:val="auto"/>
        </w:rPr>
      </w:pPr>
    </w:p>
    <w:p>
      <w:pPr>
        <w:jc w:val="both"/>
        <w:ind w:right="40" w:firstLine="1158"/>
        <w:spacing w:after="0" w:line="223" w:lineRule="auto"/>
        <w:tabs>
          <w:tab w:leader="none" w:pos="1729"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upon the Option Effective Date, the AI-061 Conditions and BioNTech’s covenants in Section 2.1(a) with respect thereto shall terminate and, subject to the terms and conditions of this Agreement, BioNTech shall have the right to practice its Exclusive License with respect to AI-061 and AI-061 Products under Section 2.1(a), and following the Option Effective Date and for the remainder of the Term AI-061 Products shall be considered a Licensed Product and a Mono/PD-1 Combination hereunder, all of the foregoing happening automatically and without the need for any further action by the Parties.</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effective upon the Option Effective Date and thereafter during the Term: (i) for any Development of AI-061 Products as a Mono/PD-1 Combination (i.e., not in combination with any other therapeutically active ingredient), the AI-061 Product shall be deemed to be a Licensed Single Product for purposes of calculating milestone payments and royalties under Sections 7.4 through 7.7; and (ii) if an AI-061 Product is included in a Combination Product that is not a Mono/PD-1 Combination (e.g., an AI-061 Product in combination with a therapeutically active ingredient that is not a PD-1 Product), such Licensed Product shall not trigger any Development Milestone Payments set forth in Section 7.4(a), but shall be eligible to trigger Sales Milestone Payments under Section 7.4(b) and OncoC4 shall be eligible to receive royalties for the sales of any such Licensed Product.</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729"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BioNTech does not exercise the Option prior to the expiration of the Option Period in accordance with Section 2.2 and Section 7.2, then (i) the AI-061 Conditions and BioNTech’s covenant with respect thereto shall remain in effect, (ii) AI-025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20</w:t>
      </w:r>
    </w:p>
    <w:p>
      <w:pPr>
        <w:sectPr>
          <w:pgSz w:w="11900" w:h="16840" w:orient="portrait"/>
          <w:cols w:equalWidth="0" w:num="1">
            <w:col w:w="10580"/>
          </w:cols>
          <w:pgMar w:left="660" w:top="556" w:right="660" w:bottom="1440" w:gutter="0" w:footer="0" w:header="0"/>
        </w:sectPr>
      </w:pPr>
    </w:p>
    <w:bookmarkStart w:id="478" w:name="page479"/>
    <w:bookmarkEnd w:id="47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9"/>
          <w:szCs w:val="19"/>
          <w:color w:val="auto"/>
        </w:rPr>
        <w:t>from the definition of Licensed Compound, and BioNTech will no longer have any option, license or right to AI-025 (including, for clarity, AI-025 included in AI -061 Products, but without otherwise limiting BioNTech’s Exclusive License with respect to ONC-392 and Anti-CTLA-4 Antibodies) as of the date of the expiration of the Option Period, (iii) neither AI-061 nor any AI-061 Product will be a Licensed Product hereunder and BioNTech will no longer have the right to pursue AI -061 or AI-061 Products as a Licensed Product or as a Mono/PD-1 Combination hereunder for lack of rights to AI-025 provided that BioNTech shall still have its Exclusive License to ONC-392, including the right to exclude others from Exploiting ONC -392 as included in AI-061 or AI -061 Products, and (iv) all rights granted to BioNTech with respect to AI-025 (including, for clarity, rights to AI-025 included in AI-061 or AI-061 Products and the AI-025 Label License) shall terminate. [***]</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9"/>
          <w:szCs w:val="19"/>
          <w:u w:val="single" w:color="auto"/>
          <w:color w:val="auto"/>
        </w:rPr>
        <w:t>Sublicensing of Rights by BioNTech</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1158"/>
        <w:spacing w:after="0" w:line="232" w:lineRule="auto"/>
        <w:tabs>
          <w:tab w:leader="none" w:pos="1729" w:val="left"/>
        </w:tabs>
        <w:numPr>
          <w:ilvl w:val="0"/>
          <w:numId w:val="5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BioNTech Right to Sublicense</w:t>
      </w:r>
      <w:r>
        <w:rPr>
          <w:rFonts w:ascii="Times New Roman" w:cs="Times New Roman" w:eastAsia="Times New Roman" w:hAnsi="Times New Roman"/>
          <w:sz w:val="19"/>
          <w:szCs w:val="19"/>
          <w:color w:val="auto"/>
        </w:rPr>
        <w:t>. Subject to the requirements of Section 2.3(b), BioNTech will have the right to grant Sublicenses (through one or multiple tiers) of the rights granted to BioNTech pursuant to Section 2.1(a) to its Affiliates and Third Parties without the need in any case to obtain the prior written consent of OncoC4.</w:t>
      </w:r>
    </w:p>
    <w:p>
      <w:pPr>
        <w:spacing w:after="0" w:line="134" w:lineRule="exact"/>
        <w:rPr>
          <w:rFonts w:ascii="Times New Roman" w:cs="Times New Roman" w:eastAsia="Times New Roman" w:hAnsi="Times New Roman"/>
          <w:sz w:val="19"/>
          <w:szCs w:val="19"/>
          <w:color w:val="auto"/>
        </w:rPr>
      </w:pPr>
    </w:p>
    <w:p>
      <w:pPr>
        <w:jc w:val="both"/>
        <w:ind w:firstLine="1158"/>
        <w:spacing w:after="0" w:line="215" w:lineRule="auto"/>
        <w:tabs>
          <w:tab w:leader="none" w:pos="1729" w:val="left"/>
        </w:tabs>
        <w:numPr>
          <w:ilvl w:val="0"/>
          <w:numId w:val="5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Sublicense Requirements</w:t>
      </w:r>
      <w:r>
        <w:rPr>
          <w:rFonts w:ascii="Times New Roman" w:cs="Times New Roman" w:eastAsia="Times New Roman" w:hAnsi="Times New Roman"/>
          <w:sz w:val="19"/>
          <w:szCs w:val="19"/>
          <w:color w:val="auto"/>
        </w:rPr>
        <w:t>. Each Sublicense granted by BioNTech to a Third Party pursuant to Section 2.3(a) will be in writing and will be subject and subordinate to, and consistent with, the terms and conditions of this Agreement. No Sublicense will diminish, reduce or eliminate any obligation of either Party under this Agreement. BioNTech will be liable for any act or omission of any Sublicensee that is in breach of any of BioNTech’s obligations under this Agreement as though the same were a breach by BioNTech, and OncoC4 will have the right to proceed directly against BioNTech without any obligation to first proceed against such Sublicensee. Each Sublicense will contain the following provisions: (i) a requirement that the Sublicensee comply with all applicable terms of this Agreement (including confidentiality and intellectual property provisions consistent with those set forth herein) and the Upstream Agreements, (ii) without limiting the foregoing, if such Sublicense contains a right to Commercialize any of the Licensed Products, such Sublicense will also contain the following provisions: (A) a requirement that the Sublicensee submit applicable reports to BioNTech to the extent necessary or relevant to allow BioNTech to prepare or keep the reports required to be made or records required to be maintained under this Agreement, and (B) a requirement that allows BioNTech to perform an audit of such Sublicensee consistent with the audit requirement set forth in Section 7.8, with the results thereof to be reportable to OncoC4. Any Sublicense granted hereunder that is inconsistent with this Section 2.3(b) will be null and void. [***]</w:t>
      </w:r>
    </w:p>
    <w:p>
      <w:pPr>
        <w:spacing w:after="0" w:line="144"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9"/>
          <w:szCs w:val="19"/>
          <w:color w:val="auto"/>
        </w:rPr>
        <w:t xml:space="preserve">2 . 4 </w:t>
      </w:r>
      <w:r>
        <w:rPr>
          <w:rFonts w:ascii="Times New Roman" w:cs="Times New Roman" w:eastAsia="Times New Roman" w:hAnsi="Times New Roman"/>
          <w:sz w:val="19"/>
          <w:szCs w:val="19"/>
          <w:u w:val="single" w:color="auto"/>
          <w:color w:val="auto"/>
        </w:rPr>
        <w:t>Performance by Contractors</w:t>
      </w:r>
      <w:r>
        <w:rPr>
          <w:rFonts w:ascii="Times New Roman" w:cs="Times New Roman" w:eastAsia="Times New Roman" w:hAnsi="Times New Roman"/>
          <w:sz w:val="19"/>
          <w:szCs w:val="19"/>
          <w:color w:val="auto"/>
        </w:rPr>
        <w:t xml:space="preserve">. Each Party may contract or delegate any portion of its obligations hereunder to a Third Party contractor subject to Section 15.8;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 the contractor undertakes in writing commercially reasonable obligations of confidentiality and non- use regarding Confidential Information that are substantially the same as those undertaken by the Parties with respect to Confidential Information pursuant to ARTICLE IX hereof; and (ii) the contractor undertakes in writing to assign or exclusively license back (with the right to sublicense) all intellectual property with respect to the Licensed Compound or a Licensed Product developed in the course of performing any such work to the Party retaining such contractor. In addition, notwithstanding the foregoing, any such contracting or delegation by OncoC4 shall be only with BioNTech’s advance, written consent, except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21</w:t>
      </w:r>
    </w:p>
    <w:p>
      <w:pPr>
        <w:sectPr>
          <w:pgSz w:w="11900" w:h="16840" w:orient="portrait"/>
          <w:cols w:equalWidth="0" w:num="1">
            <w:col w:w="10580"/>
          </w:cols>
          <w:pgMar w:left="660" w:top="556" w:right="660" w:bottom="1440" w:gutter="0" w:footer="0" w:header="0"/>
        </w:sectPr>
      </w:pPr>
    </w:p>
    <w:bookmarkStart w:id="479" w:name="page480"/>
    <w:bookmarkEnd w:id="47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9"/>
          <w:szCs w:val="19"/>
          <w:color w:val="auto"/>
        </w:rPr>
        <w:t xml:space="preserve">OncoC4 Affiliate, Service Provider or subcontractor listed on </w:t>
      </w:r>
      <w:r>
        <w:rPr>
          <w:rFonts w:ascii="Times New Roman" w:cs="Times New Roman" w:eastAsia="Times New Roman" w:hAnsi="Times New Roman"/>
          <w:sz w:val="19"/>
          <w:szCs w:val="19"/>
          <w:u w:val="single" w:color="auto"/>
          <w:color w:val="auto"/>
        </w:rPr>
        <w:t>Schedule 2.1(b)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the performance by any Service Provider of activities involving a BioNTech Product hereunder shall be subject to the satisfactory completion of any customary and reasonable vendor qualification process requested by BioNTech and approved by the JSC.</w:t>
      </w:r>
    </w:p>
    <w:p>
      <w:pPr>
        <w:spacing w:after="0" w:line="134" w:lineRule="exact"/>
        <w:rPr>
          <w:sz w:val="20"/>
          <w:szCs w:val="20"/>
          <w:color w:val="auto"/>
        </w:rPr>
      </w:pPr>
    </w:p>
    <w:p>
      <w:pPr>
        <w:jc w:val="both"/>
        <w:ind w:firstLine="864"/>
        <w:spacing w:after="0" w:line="213" w:lineRule="auto"/>
        <w:rPr>
          <w:sz w:val="20"/>
          <w:szCs w:val="20"/>
          <w:color w:val="auto"/>
        </w:rPr>
      </w:pPr>
      <w:r>
        <w:rPr>
          <w:rFonts w:ascii="Times New Roman" w:cs="Times New Roman" w:eastAsia="Times New Roman" w:hAnsi="Times New Roman"/>
          <w:sz w:val="19"/>
          <w:szCs w:val="19"/>
          <w:color w:val="auto"/>
        </w:rPr>
        <w:t xml:space="preserve">2 . 5 </w:t>
      </w:r>
      <w:r>
        <w:rPr>
          <w:rFonts w:ascii="Times New Roman" w:cs="Times New Roman" w:eastAsia="Times New Roman" w:hAnsi="Times New Roman"/>
          <w:sz w:val="19"/>
          <w:szCs w:val="19"/>
          <w:u w:val="single" w:color="auto"/>
          <w:color w:val="auto"/>
        </w:rPr>
        <w:t>Reservation of Rights</w:t>
      </w:r>
      <w:r>
        <w:rPr>
          <w:rFonts w:ascii="Times New Roman" w:cs="Times New Roman" w:eastAsia="Times New Roman" w:hAnsi="Times New Roman"/>
          <w:sz w:val="19"/>
          <w:szCs w:val="19"/>
          <w:color w:val="auto"/>
        </w:rPr>
        <w:t xml:space="preserve">. The Exclusive License and the rights granted under Section 2.1(a) are subject to the retained, non-exclusive right of OncoC4 and its Affiliates to use and practice the Licensed Know-How, Licensed Patents, [***] to perform its obligations under this Agreement and the Upstream Agreements (collectively, the “ </w:t>
      </w:r>
      <w:r>
        <w:rPr>
          <w:rFonts w:ascii="Times New Roman" w:cs="Times New Roman" w:eastAsia="Times New Roman" w:hAnsi="Times New Roman"/>
          <w:sz w:val="19"/>
          <w:szCs w:val="19"/>
          <w:b w:val="1"/>
          <w:bCs w:val="1"/>
          <w:color w:val="auto"/>
        </w:rPr>
        <w:t>Reserved Rights</w:t>
      </w:r>
      <w:r>
        <w:rPr>
          <w:rFonts w:ascii="Times New Roman" w:cs="Times New Roman" w:eastAsia="Times New Roman" w:hAnsi="Times New Roman"/>
          <w:sz w:val="19"/>
          <w:szCs w:val="19"/>
          <w:color w:val="auto"/>
        </w:rPr>
        <w:t xml:space="preserve">”) and do not include any rights not expressly granted to BioNTech hereunder. No rights, other than those expressly set forth in this Agreement, are granted to either Party under this Agreement, and no additional rights beyond those expressly set forth herein will be deemed granted to either Party by implication, estoppel or otherwise, with respect to any intellectual property rights. All rights not expressly granted by either Party or its Affiliates to the other Party under this Agreement are reserved. Neither Party nor any of its Affiliates will use or practice any Know -How or Patents licensed or provided to such Party or any of its Affiliates under this Agreement outside the scope of or otherwise not in compliance with the rights and licenses granted to such Party and its Affiliates under this Agreement. For clarity, the Exclusive License and the rights granted under Section 2.1(a) shall not include any right or license under the Licensed Know-How or Licensed Patents to any Other Active which Other Active is Claimed by any Patent Controlled by OncoC4 and where such Claim applies to such Other Active independently of its inclusion in a Combination Product. If requested by either Party, the Parties will negotiate in good faith, either as a separate written agreement or an amendment to this Agreement, with respect to any other product Controlled by OncoC4 or its Affiliates that is used in combination with the Licensed Compound, if any. For further clarity, to the extent that a Licensed Patent is directed to the combination of a Licensed Compound or Licensed Product with an Other Active, the foregoing sentences are not intended to limit BioNTech’s rights to such Patent as it relates to such combination or BioNTech’s rights to Exploit such combination;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in each case, that BioNTech’s rights to Exploit such Other Active in such combination are derived independently of OncoC4, its Affiliates and the CDP. Moreover, it is understood that for any Patents that are Controlled by OncoC4 or its Affiliate that Claim combination therapies or protocols that include a Licensed Compound or Licensed Product, such Patents are included in the Licensed Patents (subject to this Section 2.5) and nothing in this Section is intended to prevent BioNTech from Developing or Commercializing any Licensed Product for or with a label for use in such combination;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in each case, that any rights BioNTech or its Affiliate have or may need to Exploit the other product(s) in such combination (i.e., other than a Licensed Compound or Licensed Product) are derived independently of OncoC4, its Affiliates and this Agreement.</w:t>
      </w:r>
    </w:p>
    <w:p>
      <w:pPr>
        <w:spacing w:after="0" w:line="150"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9"/>
          <w:szCs w:val="19"/>
          <w:u w:val="single" w:color="auto"/>
          <w:color w:val="auto"/>
        </w:rPr>
        <w:t>Exclusivity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40" w:firstLine="1158"/>
        <w:spacing w:after="0" w:line="221" w:lineRule="auto"/>
        <w:tabs>
          <w:tab w:leader="none" w:pos="1729" w:val="left"/>
        </w:tabs>
        <w:numPr>
          <w:ilvl w:val="0"/>
          <w:numId w:val="5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Other than in the performance of activities under this Agreement, during the period commencing on the Execution Date and ending on the date of the First Commercial Sale of the first Licensed Product in any country in the Territory: (i) OncoC4 shall collaborate exclusively with BioNTech for the Development, Manufacturing and Commercialization of Licensed Products; and (ii) OncoC4 shall not (and will not permit its Affiliates to and hereby covenants that they shall not), Exploit, either alone or directly or indirectly with any Third Party, collaborate with, enter into an arrangement with, work for the benefit of, grant any license to (or assign, sell or transfer rights to) or otherwise knowingly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22</w:t>
      </w:r>
    </w:p>
    <w:p>
      <w:pPr>
        <w:sectPr>
          <w:pgSz w:w="11900" w:h="16840" w:orient="portrait"/>
          <w:cols w:equalWidth="0" w:num="1">
            <w:col w:w="10600"/>
          </w:cols>
          <w:pgMar w:left="660" w:top="556" w:right="640" w:bottom="1440" w:gutter="0" w:footer="0" w:header="0"/>
        </w:sectPr>
      </w:pPr>
    </w:p>
    <w:bookmarkStart w:id="480" w:name="page481"/>
    <w:bookmarkEnd w:id="48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9"/>
          <w:szCs w:val="19"/>
          <w:color w:val="auto"/>
        </w:rPr>
        <w:t>enable any Third Party to Exploit, any Anti-CTLA-4 Antibody, or any product with a mechanism of action that is the same as an Anti-CTLA -4 Antibody. It is understood that such product may have one or more additional mechanisms of action, in addition to that of an Anti-CTLA-4 Antibody, such as but not limited to the cases of a protein with multiple targeting moieties and/or with a targeting moiety and a payload. For the avoidance of doubt, the exclusivity covenants set forth in this Section 2.6(a) shall not apply to CD80/CD86 Compounds, and nothing contained in this Section 2.6 shall prohibit, limit or otherwise restrict OncoC4 or its Affiliates from Exploiting CD80/CD86 Compounds during or following the Term.</w:t>
      </w:r>
    </w:p>
    <w:p>
      <w:pPr>
        <w:spacing w:after="0" w:line="137" w:lineRule="exact"/>
        <w:rPr>
          <w:sz w:val="20"/>
          <w:szCs w:val="20"/>
          <w:color w:val="auto"/>
        </w:rPr>
      </w:pPr>
    </w:p>
    <w:p>
      <w:pPr>
        <w:jc w:val="both"/>
        <w:ind w:right="20" w:firstLine="1158"/>
        <w:spacing w:after="0" w:line="227" w:lineRule="auto"/>
        <w:tabs>
          <w:tab w:leader="none" w:pos="1729" w:val="left"/>
        </w:tabs>
        <w:numPr>
          <w:ilvl w:val="0"/>
          <w:numId w:val="5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Notwithstanding Section 2.6(a), if a Third Party becomes an Affiliate of OncoC4 through merger, acquisition, consolidation or other similar transaction (a “</w:t>
      </w:r>
      <w:r>
        <w:rPr>
          <w:rFonts w:ascii="Times New Roman" w:cs="Times New Roman" w:eastAsia="Times New Roman" w:hAnsi="Times New Roman"/>
          <w:sz w:val="19"/>
          <w:szCs w:val="19"/>
          <w:b w:val="1"/>
          <w:bCs w:val="1"/>
          <w:color w:val="auto"/>
        </w:rPr>
        <w:t>New Affiliate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such New Affiliate, as of the effective date of such transaction, is engaged in Exploitation activities that, if conducted by OncoC4, would be in breach of its exclusivity obligations set forth in Section 2.6(a) (such Exploitation activities, a “</w:t>
      </w:r>
      <w:r>
        <w:rPr>
          <w:rFonts w:ascii="Times New Roman" w:cs="Times New Roman" w:eastAsia="Times New Roman" w:hAnsi="Times New Roman"/>
          <w:sz w:val="19"/>
          <w:szCs w:val="19"/>
          <w:b w:val="1"/>
          <w:bCs w:val="1"/>
          <w:color w:val="auto"/>
        </w:rPr>
        <w:t>Competing Program</w:t>
      </w:r>
      <w:r>
        <w:rPr>
          <w:rFonts w:ascii="Times New Roman" w:cs="Times New Roman" w:eastAsia="Times New Roman" w:hAnsi="Times New Roman"/>
          <w:sz w:val="19"/>
          <w:szCs w:val="19"/>
          <w:color w:val="auto"/>
        </w:rPr>
        <w:t>”) then:</w:t>
      </w:r>
    </w:p>
    <w:p>
      <w:pPr>
        <w:spacing w:after="0" w:line="133" w:lineRule="exact"/>
        <w:rPr>
          <w:rFonts w:ascii="Times New Roman" w:cs="Times New Roman" w:eastAsia="Times New Roman" w:hAnsi="Times New Roman"/>
          <w:sz w:val="19"/>
          <w:szCs w:val="19"/>
          <w:color w:val="auto"/>
        </w:rPr>
      </w:pPr>
    </w:p>
    <w:p>
      <w:pPr>
        <w:jc w:val="both"/>
        <w:ind w:firstLine="1735"/>
        <w:spacing w:after="0" w:line="213" w:lineRule="auto"/>
        <w:tabs>
          <w:tab w:leader="none" w:pos="2293" w:val="left"/>
        </w:tabs>
        <w:numPr>
          <w:ilvl w:val="1"/>
          <w:numId w:val="5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transaction results in a Change of Control of OncoC4, then such New Affiliate shall have the right to continue such Competing Program and such continuation shall not constitute a breach by OncoC4 of its exclusivity obligations set forth in Section 2.6(a);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(A) such New Affiliate conducts such Competing Program independently of the activities under this Agreement and does not use any Licensed Know-How, [***], BioNTech Technology or any Confidential Information of BioNTech in the conduct of such Competing Program; (B) OncoC4 and such New Affiliate institute commercially reasonable technical and administrative procedures and safeguards designed to ensure that the requirements set forth in the foregoing clause (A) are met, including by creating “firewalls” between (X) the personnel working under such Competing Program and (Y) the personnel working on activities under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xml:space="preserve">, that senior management personnel may review and evaluate plans and information regarding the research, development and commercialization of such Competing Program in connection with product portfolio decision-making, but shall not disclose information regarding Development, Commercialization, or any Licensed Product under this Agreement to the personnel directly working on the Competing Program; and (C) OncoC4 shall continue to co-fund Development under the CDP, but (1) the JSC shall disband, (2) BioNTech shall only be required to provide an annual, high level summary report as to its Development program hereunder but shall not be required to provide interim (quarterly) reporting nor information as to its future plans, (3) OncoC4 shall not have the right or any obligation (subject to a reasonable transition period to be mutually agreed upon by the Parties) to conduct any further Development of Licensed Products, (4) the license granted to OncoC4 under Section 2.1(b) shall terminate; and (5) BioNTech shall have sole discretion over changes to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OncoC4 shall retain its rights under Section 7.8, [***]. Notwithstanding the foregoing, in the event such New Affiliate does not intend to continue such Competing Program (including if such New Affiliate is required under applicable competition Laws to divest or wind down the Competing Program), the Parties shall discuss in good faith and mutually agree on procedures and safeguards to implement during a reasonable period (not to exceed [***] months or a shorter period prescribed by Law, if applicable) following the closing of such Change of Control during which such New Affiliate may divest or wind down the Competing Program as promptly as practicable, such divestment or wind down shall not constitute a breach by OncoC4 of its exclusivity obligations set forth in Section 2.6(a), and clauses (1) through (5) above shall not apply assuming such procedures and safeguards are implemented and such divestment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23</w:t>
      </w:r>
    </w:p>
    <w:p>
      <w:pPr>
        <w:sectPr>
          <w:pgSz w:w="11900" w:h="16840" w:orient="portrait"/>
          <w:cols w:equalWidth="0" w:num="1">
            <w:col w:w="10580"/>
          </w:cols>
          <w:pgMar w:left="660" w:top="556" w:right="660" w:bottom="1440" w:gutter="0" w:footer="0" w:header="0"/>
        </w:sectPr>
      </w:pPr>
    </w:p>
    <w:bookmarkStart w:id="481" w:name="page482"/>
    <w:bookmarkEnd w:id="48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9"/>
          <w:szCs w:val="19"/>
          <w:color w:val="auto"/>
        </w:rPr>
        <w:t>wind down is completed within the mutually agreed period, not to exceed [***] months or a shorter period if prescribed by Law, if applicable, following the closing of such Change of Control. Notwithstanding the foregoing, if BioNTech exercises the Option in accordance with Section 2.2 and this Section 2.6(b)(i) comes into effect, the Parties and the New Affiliate shall discuss in good faith and mutually agree on commercially reasonable terms and conditions to govern their ongoing interactions with respect to ONC- 392, AI- 025 and AI-061, which terms and conditions shall provide for, at a minimum, the sharing of information between the Parties as required by applicable Law and such other matters as may be necessary for each Party and their Affiliates to comply with applicable Laws.</w:t>
      </w:r>
    </w:p>
    <w:p>
      <w:pPr>
        <w:spacing w:after="0" w:line="135" w:lineRule="exact"/>
        <w:rPr>
          <w:sz w:val="20"/>
          <w:szCs w:val="20"/>
          <w:color w:val="auto"/>
        </w:rPr>
      </w:pPr>
    </w:p>
    <w:p>
      <w:pPr>
        <w:jc w:val="both"/>
        <w:ind w:right="20" w:firstLine="1735"/>
        <w:spacing w:after="0" w:line="227" w:lineRule="auto"/>
        <w:tabs>
          <w:tab w:leader="none" w:pos="2305" w:val="left"/>
        </w:tabs>
        <w:numPr>
          <w:ilvl w:val="1"/>
          <w:numId w:val="5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transaction does </w:t>
      </w:r>
      <w:r>
        <w:rPr>
          <w:rFonts w:ascii="Times New Roman" w:cs="Times New Roman" w:eastAsia="Times New Roman" w:hAnsi="Times New Roman"/>
          <w:sz w:val="19"/>
          <w:szCs w:val="19"/>
          <w:i w:val="1"/>
          <w:iCs w:val="1"/>
          <w:u w:val="single" w:color="auto"/>
          <w:color w:val="auto"/>
        </w:rPr>
        <w:t>not</w:t>
      </w:r>
      <w:r>
        <w:rPr>
          <w:rFonts w:ascii="Times New Roman" w:cs="Times New Roman" w:eastAsia="Times New Roman" w:hAnsi="Times New Roman"/>
          <w:sz w:val="19"/>
          <w:szCs w:val="19"/>
          <w:color w:val="auto"/>
        </w:rPr>
        <w:t xml:space="preserve"> result in a Change of Control of OncoC4, then OncoC4 and its New Affiliate shall have [***] months from the closing date of such transaction to wind down (or otherwise cease or suspend all Exploitation activities) or divest such Competing Program, and its New Affiliate’s conduct of such Competing Program during such [***] month period shall not constitute a breach by OncoC4 of its exclusivity obligations set forth in Section 2.6(a);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w:t>
      </w:r>
    </w:p>
    <w:p>
      <w:pPr>
        <w:spacing w:after="0" w:line="135" w:lineRule="exact"/>
        <w:rPr>
          <w:rFonts w:ascii="Times New Roman" w:cs="Times New Roman" w:eastAsia="Times New Roman" w:hAnsi="Times New Roman"/>
          <w:sz w:val="19"/>
          <w:szCs w:val="19"/>
          <w:color w:val="auto"/>
        </w:rPr>
      </w:pPr>
    </w:p>
    <w:p>
      <w:pPr>
        <w:jc w:val="both"/>
        <w:ind w:firstLine="1158"/>
        <w:spacing w:after="0" w:line="213" w:lineRule="auto"/>
        <w:tabs>
          <w:tab w:leader="none" w:pos="1729" w:val="left"/>
        </w:tabs>
        <w:numPr>
          <w:ilvl w:val="0"/>
          <w:numId w:val="5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BioNTech Competitors</w:t>
      </w:r>
      <w:r>
        <w:rPr>
          <w:rFonts w:ascii="Times New Roman" w:cs="Times New Roman" w:eastAsia="Times New Roman" w:hAnsi="Times New Roman"/>
          <w:sz w:val="19"/>
          <w:szCs w:val="19"/>
          <w:color w:val="auto"/>
        </w:rPr>
        <w:t xml:space="preserve">. Notwithstanding Section 2.6(a), if a Third Party becomes a New Affiliate of OncoC4 and such New Affiliate is a BioNTech Competitor, then, regardless of whether the New Affiliate is engaged in any Competing Program: (A) such New Affiliate shall not use any Licensed Know-How, [***], BioNTech Technology or any Confidential Information of BioNTech in the conduct of its business or activities; (B) OncoC4 and such New Affiliate shall institute commercially reasonable technical and administrative procedures and safeguards designed to ensure that the requirements set forth in the foregoing clause (A) are met, including by creating “firewalls” between (X) the personnel working under any activities of the New Affiliate and (Y) the personnel working on activities under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xml:space="preserve">, that senior management personnel may review and evaluate plans and information regarding the business activities of the New Affiliate in connection with product portfolio decision-making, but shall not disclose information regarding Development, Commercialization, or any Licensed Product under this Agreement to the personnel directly working for the New Affiliate’s activities; and (C) OncoC4 shall continue to co-fund Development under the CDP, but (1) the JSC shall disband, (2) BioNTech shall only be required to provide an annual, high level summary report as to its Development program hereunder but shall not be required to provide interim (quarterly) reporting nor information as to its future plans, (3) OncoC4 shall not have the right or obligation (subject to a reasonable transition period to be mutually agreed upon by the Parties) to conduct any further Development of Licensed Products, (4) the license granted to OncoC4 under Section 2.1(b) shall terminate; and (5) BioNTech shall have sole discretion over changes to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OncoC4 shall retain its rights under Section 7.8, and;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that OncoC4’s co-funding commitment shall not exceed its co-funding obligations as set forth in the last CDP and Joint Development Budget approved by the JSC in accordance with this Agreement (but not pursuant to an exercise by BioNTech of its final decision-making authority after becoming aware of a proposed transaction involving OncoC4 and a BioNTech Competitor) in effect prior to the closing of the effective date of the transaction contemplated under this Section 2.6(c), and BioNTech’s right to amend the CDP shall not include the right to impose additional co-funding or any other obligations on OncoC4. Notwithstanding the foregoing, if BioNTech exercises the Option in accordance with Section 2.2 and this Section 2.6(c) comes into effect, the Parties and the New Affiliate shall discuss in good faith and mutually agree on commercially reasonable terms and conditions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24</w:t>
      </w:r>
    </w:p>
    <w:p>
      <w:pPr>
        <w:sectPr>
          <w:pgSz w:w="11900" w:h="16840" w:orient="portrait"/>
          <w:cols w:equalWidth="0" w:num="1">
            <w:col w:w="10580"/>
          </w:cols>
          <w:pgMar w:left="660" w:top="556" w:right="660" w:bottom="1440" w:gutter="0" w:footer="0" w:header="0"/>
        </w:sectPr>
      </w:pPr>
    </w:p>
    <w:bookmarkStart w:id="482" w:name="page483"/>
    <w:bookmarkEnd w:id="48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govern their ongoing interactions with respect to ONC- 392, AI-025 and AI-061, which terms and conditions shall provide for, at a minimum, the sharing of information between the Parties as required by applicable Law and such other matters as may be necessary for each Party and their Affiliates to comply with applicable Laws.</w:t>
      </w:r>
    </w:p>
    <w:p>
      <w:pPr>
        <w:spacing w:after="0" w:line="135" w:lineRule="exact"/>
        <w:rPr>
          <w:sz w:val="20"/>
          <w:szCs w:val="20"/>
          <w:color w:val="auto"/>
        </w:rPr>
      </w:pPr>
    </w:p>
    <w:p>
      <w:pPr>
        <w:jc w:val="both"/>
        <w:ind w:firstLine="864"/>
        <w:spacing w:after="0" w:line="215"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Upstream Agreements and AI Agreements</w:t>
      </w:r>
      <w:r>
        <w:rPr>
          <w:rFonts w:ascii="Times New Roman" w:cs="Times New Roman" w:eastAsia="Times New Roman" w:hAnsi="Times New Roman"/>
          <w:sz w:val="19"/>
          <w:szCs w:val="19"/>
          <w:color w:val="auto"/>
        </w:rPr>
        <w:t xml:space="preserve"> . If any rights granted to BioNTech under this Agreement are Controlled by OncoC4 pursuant to an Upstream Agreement, [***]. Unless otherwise expressly agreed by the Parties in writing, OncoC4 shall be solely responsible for any payments due to the Third Party licensors under any Upstream Agreement as a result of any sublicense granted to BioNTech hereunder and BioNTech’s or its Affiliate’s or a Sublicensee’s exercise of such sublicense in accordance with the terms therein and herein. Except as otherwise mutually agreed by the Parties in writing or contemplated by this Agreement, OncoC4 shall timely perform its obligations under each of the Upstream Agreements in all material respects and maintain them in full force and effect during the Term (subject to the expiration provisions of each Upstream Agreement), including timely payment of all amounts due to be paid by OncoC4 thereunder. Except as otherwise mutually agreed by the Parties in writing or contemplated by this Agreement, OncoC4 shall not amend any Upstream Agreement or the AI Agreements during the Term in a manner that would or would reasonably be expected to adversely affect BioNTech in any material respect without BioNTech’s advance, written consent. [***] In accordance with the provisions of the [***] License, a copy of the [***] License is attached hereto as </w:t>
      </w:r>
      <w:r>
        <w:rPr>
          <w:rFonts w:ascii="Times New Roman" w:cs="Times New Roman" w:eastAsia="Times New Roman" w:hAnsi="Times New Roman"/>
          <w:sz w:val="19"/>
          <w:szCs w:val="19"/>
          <w:u w:val="single" w:color="auto"/>
          <w:color w:val="auto"/>
        </w:rPr>
        <w:t>Schedule 2.7</w:t>
      </w:r>
      <w:r>
        <w:rPr>
          <w:rFonts w:ascii="Times New Roman" w:cs="Times New Roman" w:eastAsia="Times New Roman" w:hAnsi="Times New Roman"/>
          <w:sz w:val="19"/>
          <w:szCs w:val="19"/>
          <w:color w:val="auto"/>
        </w:rPr>
        <w:t xml:space="preserve"> . As soon as reasonably practicable following the Effective Date (or the date of the joint press release contemplated by Section 9.2(a), if earlier), OncoC4 shall be permitted to disclose this Agreement and BioNTech’s identity with respect to this Agreement to [***], and OncoC4 shall use Commercially Reasonable Efforts to obtain a written waiver or amendment of the [***] License to clarify that BioNTech is not subject to the sublicensing requirements under the [***] License.</w:t>
      </w:r>
    </w:p>
    <w:p>
      <w:pPr>
        <w:spacing w:after="0" w:line="137" w:lineRule="exact"/>
        <w:rPr>
          <w:sz w:val="20"/>
          <w:szCs w:val="20"/>
          <w:color w:val="auto"/>
        </w:rPr>
      </w:pPr>
    </w:p>
    <w:p>
      <w:pPr>
        <w:jc w:val="both"/>
        <w:ind w:right="20" w:firstLine="864"/>
        <w:spacing w:after="0" w:line="223" w:lineRule="auto"/>
        <w:rPr>
          <w:sz w:val="20"/>
          <w:szCs w:val="20"/>
          <w:color w:val="auto"/>
        </w:rPr>
      </w:pPr>
      <w:r>
        <w:rPr>
          <w:rFonts w:ascii="Times New Roman" w:cs="Times New Roman" w:eastAsia="Times New Roman" w:hAnsi="Times New Roman"/>
          <w:sz w:val="19"/>
          <w:szCs w:val="19"/>
          <w:color w:val="auto"/>
        </w:rPr>
        <w:t xml:space="preserve">2 . 8 </w:t>
      </w:r>
      <w:r>
        <w:rPr>
          <w:rFonts w:ascii="Times New Roman" w:cs="Times New Roman" w:eastAsia="Times New Roman" w:hAnsi="Times New Roman"/>
          <w:sz w:val="19"/>
          <w:szCs w:val="19"/>
          <w:u w:val="single" w:color="auto"/>
          <w:color w:val="auto"/>
        </w:rPr>
        <w:t>BioNTech Agreements</w:t>
      </w:r>
      <w:r>
        <w:rPr>
          <w:rFonts w:ascii="Times New Roman" w:cs="Times New Roman" w:eastAsia="Times New Roman" w:hAnsi="Times New Roman"/>
          <w:sz w:val="19"/>
          <w:szCs w:val="19"/>
          <w:color w:val="auto"/>
        </w:rPr>
        <w:t xml:space="preserve"> . Unless otherwise mutually agreed by the Parties in writing, and notwithstanding anything contained herein, BioNTech shall be solely responsible for any payments due to Third Parties (a) in respect of BioNTech Products or Other Actives Controlled by Third Parties, or (b) as a result of any sublicense granted to OncoC4 hereunder and OncoC4’s exercise of such sublicense in accordance with the terms hereof, except to the extent otherwise mutually agreed by the Parties in writing and provided in the CDP and Joint Development Budget.</w:t>
      </w:r>
    </w:p>
    <w:p>
      <w:pPr>
        <w:spacing w:after="0" w:line="137"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19"/>
          <w:szCs w:val="19"/>
          <w:color w:val="auto"/>
        </w:rPr>
        <w:t xml:space="preserve">2 . 9 </w:t>
      </w:r>
      <w:r>
        <w:rPr>
          <w:rFonts w:ascii="Times New Roman" w:cs="Times New Roman" w:eastAsia="Times New Roman" w:hAnsi="Times New Roman"/>
          <w:sz w:val="19"/>
          <w:szCs w:val="19"/>
          <w:u w:val="single" w:color="auto"/>
          <w:color w:val="auto"/>
        </w:rPr>
        <w:t>Transfer of Licensed Know -How</w:t>
      </w:r>
      <w:r>
        <w:rPr>
          <w:rFonts w:ascii="Times New Roman" w:cs="Times New Roman" w:eastAsia="Times New Roman" w:hAnsi="Times New Roman"/>
          <w:sz w:val="19"/>
          <w:szCs w:val="19"/>
          <w:color w:val="auto"/>
        </w:rPr>
        <w:t>. As promptly as reasonably practicable after the Effective Date, OncoC4 will use Commercially Reasonable Efforts to disclose and make available to BioNTech copies or other tangible embodiments of the Licensed Know-How that exists as of the Effective Date, including transfers of the items of Licensed Know- How in the scope and forms or formats and on the timelines to be agreed upon by the Parties within [***] days following the Effective Date. During the Term, OncoC4 will use reasonable efforts to respond to any reasonable requests by BioNTech for additional Licensed Know -How that is Controlled by OncoC4 and relates to the Development and Manufacture of the Licensed Compound or and Licensed Products, in the form such Licensed Know-How is maintained by OncoC4 or as otherwise mutually agreed by the Parties. OncoC4 shall, upon or promptly following the Effective Date, provide to BioNTech a copy of the “data room” made available to BioNTech that OncoC4 established for BioNTech’s review during the negotiation of this Agreement, including its index and all of its contents as of the Effective Date, in an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25</w:t>
      </w:r>
    </w:p>
    <w:p>
      <w:pPr>
        <w:sectPr>
          <w:pgSz w:w="11900" w:h="16840" w:orient="portrait"/>
          <w:cols w:equalWidth="0" w:num="1">
            <w:col w:w="10580"/>
          </w:cols>
          <w:pgMar w:left="660" w:top="556" w:right="660" w:bottom="1440" w:gutter="0" w:footer="0" w:header="0"/>
        </w:sectPr>
      </w:pPr>
    </w:p>
    <w:bookmarkStart w:id="483" w:name="page484"/>
    <w:bookmarkEnd w:id="48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9"/>
          <w:szCs w:val="19"/>
          <w:color w:val="auto"/>
        </w:rPr>
        <w:t xml:space="preserve">format reasonably agreed upon by the Parties;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such format shall be a format supported by OncoC4’s “data room” vendor and shall allow for downloading (if such format is online), copying and printing (for clarity, it is agreed and acknowledged that such copy of the “data room” shall not include the [***] Agreement).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ARTICLE III</w:t>
      </w:r>
    </w:p>
    <w:p>
      <w:pPr>
        <w:jc w:val="center"/>
        <w:spacing w:after="0"/>
        <w:rPr>
          <w:sz w:val="20"/>
          <w:szCs w:val="20"/>
          <w:color w:val="auto"/>
        </w:rPr>
      </w:pPr>
      <w:r>
        <w:rPr>
          <w:rFonts w:ascii="Times New Roman" w:cs="Times New Roman" w:eastAsia="Times New Roman" w:hAnsi="Times New Roman"/>
          <w:sz w:val="19"/>
          <w:szCs w:val="19"/>
          <w:b w:val="1"/>
          <w:bCs w:val="1"/>
          <w:color w:val="auto"/>
        </w:rPr>
        <w:t>DEVELOPMENT</w:t>
      </w:r>
    </w:p>
    <w:p>
      <w:pPr>
        <w:spacing w:after="0" w:line="14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u w:val="single" w:color="auto"/>
          <w:color w:val="auto"/>
        </w:rPr>
        <w:t>Development Diligence; Development Responsibilities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582"/>
        <w:spacing w:after="0"/>
        <w:tabs>
          <w:tab w:leader="none" w:pos="1740" w:val="left"/>
        </w:tabs>
        <w:numPr>
          <w:ilvl w:val="0"/>
          <w:numId w:val="5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Joint Development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735"/>
        <w:spacing w:after="0" w:line="214" w:lineRule="auto"/>
        <w:tabs>
          <w:tab w:leader="none" w:pos="2293" w:val="left"/>
        </w:tabs>
        <w:numPr>
          <w:ilvl w:val="1"/>
          <w:numId w:val="5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Joint Clinical Development Plan</w:t>
      </w:r>
      <w:r>
        <w:rPr>
          <w:rFonts w:ascii="Times New Roman" w:cs="Times New Roman" w:eastAsia="Times New Roman" w:hAnsi="Times New Roman"/>
          <w:sz w:val="19"/>
          <w:szCs w:val="19"/>
          <w:color w:val="auto"/>
        </w:rPr>
        <w:t>. OncoC4 and BioNTech shall use Commercially Reasonable Efforts to conduct Development activities with respect to the Licensed Compound and Licensed Products, either as a monotherapy or in combination solely with a PD-1 Product (collectively, the “</w:t>
      </w:r>
      <w:r>
        <w:rPr>
          <w:rFonts w:ascii="Times New Roman" w:cs="Times New Roman" w:eastAsia="Times New Roman" w:hAnsi="Times New Roman"/>
          <w:sz w:val="19"/>
          <w:szCs w:val="19"/>
          <w:b w:val="1"/>
          <w:bCs w:val="1"/>
          <w:color w:val="auto"/>
        </w:rPr>
        <w:t>Mono/PD-1 Combinations</w:t>
      </w:r>
      <w:r>
        <w:rPr>
          <w:rFonts w:ascii="Times New Roman" w:cs="Times New Roman" w:eastAsia="Times New Roman" w:hAnsi="Times New Roman"/>
          <w:sz w:val="19"/>
          <w:szCs w:val="19"/>
          <w:color w:val="auto"/>
        </w:rPr>
        <w:t>”), in each case, in accordance with a joint clinical development plan (the “</w:t>
      </w:r>
      <w:r>
        <w:rPr>
          <w:rFonts w:ascii="Times New Roman" w:cs="Times New Roman" w:eastAsia="Times New Roman" w:hAnsi="Times New Roman"/>
          <w:sz w:val="19"/>
          <w:szCs w:val="19"/>
          <w:b w:val="1"/>
          <w:bCs w:val="1"/>
          <w:color w:val="auto"/>
        </w:rPr>
        <w:t>CDP</w:t>
      </w:r>
      <w:r>
        <w:rPr>
          <w:rFonts w:ascii="Times New Roman" w:cs="Times New Roman" w:eastAsia="Times New Roman" w:hAnsi="Times New Roman"/>
          <w:sz w:val="19"/>
          <w:szCs w:val="19"/>
          <w:color w:val="auto"/>
        </w:rPr>
        <w:t xml:space="preserve">”) approved by the JSC in accordance with the terms of this Agreement. The CDP shall include the following items for the remainder of the then-current Calendar Year and the following Calendar Year (each, a “ </w:t>
      </w:r>
      <w:r>
        <w:rPr>
          <w:rFonts w:ascii="Times New Roman" w:cs="Times New Roman" w:eastAsia="Times New Roman" w:hAnsi="Times New Roman"/>
          <w:sz w:val="19"/>
          <w:szCs w:val="19"/>
          <w:b w:val="1"/>
          <w:bCs w:val="1"/>
          <w:color w:val="auto"/>
        </w:rPr>
        <w:t>Covered Period</w:t>
      </w:r>
      <w:r>
        <w:rPr>
          <w:rFonts w:ascii="Times New Roman" w:cs="Times New Roman" w:eastAsia="Times New Roman" w:hAnsi="Times New Roman"/>
          <w:sz w:val="19"/>
          <w:szCs w:val="19"/>
          <w:color w:val="auto"/>
        </w:rPr>
        <w:t>”): (i) the proposed overall program of Development of Licensed Products in Mono/PD-1 Combinations, including Clinical Trials, and regulatory plans and other elements of obtaining Regulatory Approvals of such Licensed Products in the Field in the Territory, including Development activities for AI-061 until Completion of the first Phase 1 Trial of AI-061 (and if BioNTech exercises the Option, additional Development activities for AI-061, including regulatory plans and other elements of obtaining Regulatory Approval for AI-061); (ii) the anticipated start dates and data availability dates of such Clinical Trials, and anticipated timelines and strategies for filing of applications for Regulatory Approvals in the Territory; (iii) the respective roles and responsibilities of each Party in connection with such joint Development activities (including sponsorship of Clinical Trials); (iv) a detailed budget for all such joint Development (including Manufacturing) activities in the Field in the Territory for the Covered Period (the “</w:t>
      </w:r>
      <w:r>
        <w:rPr>
          <w:rFonts w:ascii="Times New Roman" w:cs="Times New Roman" w:eastAsia="Times New Roman" w:hAnsi="Times New Roman"/>
          <w:sz w:val="19"/>
          <w:szCs w:val="19"/>
          <w:b w:val="1"/>
          <w:bCs w:val="1"/>
          <w:color w:val="auto"/>
        </w:rPr>
        <w:t>Joint Development Budget</w:t>
      </w:r>
      <w:r>
        <w:rPr>
          <w:rFonts w:ascii="Times New Roman" w:cs="Times New Roman" w:eastAsia="Times New Roman" w:hAnsi="Times New Roman"/>
          <w:sz w:val="19"/>
          <w:szCs w:val="19"/>
          <w:color w:val="auto"/>
        </w:rPr>
        <w:t xml:space="preserve">”), and (v) such other items as may be approved by the JSC. An initial draft of the CDP and estimates for the Joint Development Budget are set forth on </w:t>
      </w:r>
      <w:r>
        <w:rPr>
          <w:rFonts w:ascii="Times New Roman" w:cs="Times New Roman" w:eastAsia="Times New Roman" w:hAnsi="Times New Roman"/>
          <w:sz w:val="19"/>
          <w:szCs w:val="19"/>
          <w:u w:val="single" w:color="auto"/>
          <w:color w:val="auto"/>
        </w:rPr>
        <w:t>Schedule 3.1(a)</w:t>
      </w:r>
      <w:r>
        <w:rPr>
          <w:rFonts w:ascii="Times New Roman" w:cs="Times New Roman" w:eastAsia="Times New Roman" w:hAnsi="Times New Roman"/>
          <w:sz w:val="19"/>
          <w:szCs w:val="19"/>
          <w:color w:val="auto"/>
        </w:rPr>
        <w:t xml:space="preserve"> attached hereto;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the Parties agree and acknowledge that a complete CDP including all elements described above will be negotiated in good faith and approved by the JSC as promptly as practicable (but not more than [***] days) following the Effective Date;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xml:space="preserve">, that except to the extent otherwise approved by the JSC, such complete CDP shall be consistent with the initial draft CDP set forth on </w:t>
      </w:r>
      <w:r>
        <w:rPr>
          <w:rFonts w:ascii="Times New Roman" w:cs="Times New Roman" w:eastAsia="Times New Roman" w:hAnsi="Times New Roman"/>
          <w:sz w:val="19"/>
          <w:szCs w:val="19"/>
          <w:u w:val="single" w:color="auto"/>
          <w:color w:val="auto"/>
        </w:rPr>
        <w:t>Schedule 3.1(a)</w:t>
      </w:r>
      <w:r>
        <w:rPr>
          <w:rFonts w:ascii="Times New Roman" w:cs="Times New Roman" w:eastAsia="Times New Roman" w:hAnsi="Times New Roman"/>
          <w:sz w:val="19"/>
          <w:szCs w:val="19"/>
          <w:color w:val="auto"/>
        </w:rPr>
        <w:t xml:space="preserve"> in all material respects.</w:t>
      </w:r>
    </w:p>
    <w:p>
      <w:pPr>
        <w:spacing w:after="0" w:line="142" w:lineRule="exact"/>
        <w:rPr>
          <w:rFonts w:ascii="Times New Roman" w:cs="Times New Roman" w:eastAsia="Times New Roman" w:hAnsi="Times New Roman"/>
          <w:sz w:val="19"/>
          <w:szCs w:val="19"/>
          <w:color w:val="auto"/>
        </w:rPr>
      </w:pPr>
    </w:p>
    <w:p>
      <w:pPr>
        <w:jc w:val="both"/>
        <w:ind w:firstLine="1735"/>
        <w:spacing w:after="0" w:line="220" w:lineRule="auto"/>
        <w:tabs>
          <w:tab w:leader="none" w:pos="2305" w:val="left"/>
        </w:tabs>
        <w:numPr>
          <w:ilvl w:val="1"/>
          <w:numId w:val="5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CDP</w:t>
      </w:r>
      <w:r>
        <w:rPr>
          <w:rFonts w:ascii="Times New Roman" w:cs="Times New Roman" w:eastAsia="Times New Roman" w:hAnsi="Times New Roman"/>
          <w:sz w:val="19"/>
          <w:szCs w:val="19"/>
          <w:color w:val="auto"/>
        </w:rPr>
        <w:t>. On an annual basis no later than [***] of each Calendar Year, or by such date or more often as the Parties mutually agree, the Parties shall, through the JSC, prepare amendments to the then-current CDP including a proposed CDP and Joint Development Budget for the immediately following Covered Period, and which amendments shall be finalized, approved, and included into such CDP by the JSC, no later than [***] of each Calendar Year for the next Calendar Year. Each such amended CDP shall specify the items described in Section 3.1(a). Such amended Joint Development Budget shall reflect the Parties’ good faith estimate of the costs of the activities set forth in the CDP and include an updated rolling budget for the Development activities to be performed during the relevant Covered Period (broken down by Calendar Quarter under the CDP), and a forecast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26</w:t>
      </w:r>
    </w:p>
    <w:p>
      <w:pPr>
        <w:sectPr>
          <w:pgSz w:w="11900" w:h="16840" w:orient="portrait"/>
          <w:cols w:equalWidth="0" w:num="1">
            <w:col w:w="10580"/>
          </w:cols>
          <w:pgMar w:left="660" w:top="556" w:right="660" w:bottom="1440" w:gutter="0" w:footer="0" w:header="0"/>
        </w:sectPr>
      </w:pPr>
    </w:p>
    <w:bookmarkStart w:id="484" w:name="page485"/>
    <w:bookmarkEnd w:id="48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9"/>
          <w:szCs w:val="19"/>
          <w:color w:val="auto"/>
        </w:rPr>
        <w:t>anticipated Joint Development Budgets for each subsequent Calendar Year thereafter through completion of all Development activities set forth in such CDP. Such updated and amended CDP shall reflect any changes (including any transfer of sponsorship of any Clinical Trials to be effected in accordance with this Agreement), re-prioritization of studies within, reallocation of resources with respect to, or additions to, respectively, the then-current CDP and Joint Development Budget. Once approved by the JSC, the amended CDP (including the corresponding amended Joint Development Budget) shall become effective for the applicable period on the date approved by the JSC (or such other date as the JSC shall specify) . Any such approved amended CDP (including the corresponding amended Joint Development Budget) shall supersede, respectively, the previous CDP and Joint Development Budget.</w:t>
      </w:r>
    </w:p>
    <w:p>
      <w:pPr>
        <w:spacing w:after="0" w:line="135" w:lineRule="exact"/>
        <w:rPr>
          <w:sz w:val="20"/>
          <w:szCs w:val="20"/>
          <w:color w:val="auto"/>
        </w:rPr>
      </w:pPr>
    </w:p>
    <w:p>
      <w:pPr>
        <w:jc w:val="both"/>
        <w:ind w:firstLine="1158"/>
        <w:spacing w:after="0" w:line="215" w:lineRule="auto"/>
        <w:tabs>
          <w:tab w:leader="none" w:pos="1729" w:val="left"/>
        </w:tabs>
        <w:numPr>
          <w:ilvl w:val="1"/>
          <w:numId w:val="5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BioNTech Development</w:t>
      </w:r>
      <w:r>
        <w:rPr>
          <w:rFonts w:ascii="Times New Roman" w:cs="Times New Roman" w:eastAsia="Times New Roman" w:hAnsi="Times New Roman"/>
          <w:sz w:val="19"/>
          <w:szCs w:val="19"/>
          <w:color w:val="auto"/>
        </w:rPr>
        <w:t>. BioNTech shall have the right (directly, or through its Affiliates and Sublicensees), and shall be solely responsible for all Development activities for the Licensed Compound and Licensed Products in any other form or combination other than the Mono/PD-1 Combinations (collectively, “</w:t>
      </w:r>
      <w:r>
        <w:rPr>
          <w:rFonts w:ascii="Times New Roman" w:cs="Times New Roman" w:eastAsia="Times New Roman" w:hAnsi="Times New Roman"/>
          <w:sz w:val="19"/>
          <w:szCs w:val="19"/>
          <w:b w:val="1"/>
          <w:bCs w:val="1"/>
          <w:color w:val="auto"/>
        </w:rPr>
        <w:t>Other Combinations</w:t>
      </w:r>
      <w:r>
        <w:rPr>
          <w:rFonts w:ascii="Times New Roman" w:cs="Times New Roman" w:eastAsia="Times New Roman" w:hAnsi="Times New Roman"/>
          <w:sz w:val="19"/>
          <w:szCs w:val="19"/>
          <w:color w:val="auto"/>
        </w:rPr>
        <w:t>”), at its own expense, and in accordance with a research and development plan at a summary level of detail (the “</w:t>
      </w:r>
      <w:r>
        <w:rPr>
          <w:rFonts w:ascii="Times New Roman" w:cs="Times New Roman" w:eastAsia="Times New Roman" w:hAnsi="Times New Roman"/>
          <w:sz w:val="19"/>
          <w:szCs w:val="19"/>
          <w:b w:val="1"/>
          <w:bCs w:val="1"/>
          <w:color w:val="auto"/>
        </w:rPr>
        <w:t>BioNTech Development Plan</w:t>
      </w:r>
      <w:r>
        <w:rPr>
          <w:rFonts w:ascii="Times New Roman" w:cs="Times New Roman" w:eastAsia="Times New Roman" w:hAnsi="Times New Roman"/>
          <w:sz w:val="19"/>
          <w:szCs w:val="19"/>
          <w:color w:val="auto"/>
        </w:rPr>
        <w:t>”) prepared by BioNTech and shared with OncoC4 through the JSC. BioNTech shall use Commercially Reasonable Efforts to Develop a Licensed Product in at least one (1) Indication for an Other Combination. Without limiting BioNTech’s obligations set forth above in this Section 3.1(b), within</w:t>
      </w:r>
    </w:p>
    <w:p>
      <w:pPr>
        <w:ind w:firstLine="6"/>
        <w:spacing w:after="0" w:line="210" w:lineRule="auto"/>
        <w:tabs>
          <w:tab w:leader="none" w:pos="474" w:val="left"/>
        </w:tabs>
        <w:numPr>
          <w:ilvl w:val="0"/>
          <w:numId w:val="5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following the Effective Date, and within [***] days following January 1 of each Calendar Year during the Term, BioNTech shall provide the JSC with a (i) then-current BioNTech Development Plan that summarizes the major research and Development activities reasonably anticipated to be undertaken by or on behalf of BioNTech with respect to the Licensed Compound and Licensed Products outside the CDP and Joint Development Program and (ii) commencing in the Calendar Year following BioNTech’s initial delivery of the BioNTech Development Plan, an annual summary update with respect to its Development activities taken during the prior Calendar Year, which may consist of a PowerPoint presentation or other written elements which would then be shared with all JSC members. BioNTech may update the BioNTech Development Plan at its discretion;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BioNTech shall promptly notify OncoC4 or the JSC of any material adverse changes to the BioNTech Development Plan or the activities thereunder (e.g., a decision to cease Development of a Licensed Product or Indication). BioNTech shall also include in each BioNTech Development Plan any Development of Mono/PD-1 Combinations that it plans to conduct or has conducted outside the Joint Development Program;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subject to the terms of any written agreement between BioNTech and a Third Party in respect of the PD-1 component of such Mono/PD-1 Combinations (a “</w:t>
      </w:r>
      <w:r>
        <w:rPr>
          <w:rFonts w:ascii="Times New Roman" w:cs="Times New Roman" w:eastAsia="Times New Roman" w:hAnsi="Times New Roman"/>
          <w:sz w:val="19"/>
          <w:szCs w:val="19"/>
          <w:b w:val="1"/>
          <w:bCs w:val="1"/>
          <w:color w:val="auto"/>
        </w:rPr>
        <w:t>BNT PD-1 License</w:t>
      </w:r>
      <w:r>
        <w:rPr>
          <w:rFonts w:ascii="Times New Roman" w:cs="Times New Roman" w:eastAsia="Times New Roman" w:hAnsi="Times New Roman"/>
          <w:sz w:val="19"/>
          <w:szCs w:val="19"/>
          <w:color w:val="auto"/>
        </w:rPr>
        <w:t xml:space="preserve">”), BioNTech shall first offer to OncoC4 in good faith, by delivery of written notice, the opportunity for OncoC4 to co-fund any and all Development of Mono/PD-1 Combinations under an amended CDP (which offer shall remain open for at least [***] days following BioNTech’s written notice, and during such period the Parties shall discuss in good faith the possibility of adding such Mono/PD-1 Combination to the CDP and BioNTech shall provide or cause to be provided to OncoC4 such information as OncoC4 may reasonably request within the first [***] days following BioNTech’s written notice (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such</w:t>
      </w:r>
    </w:p>
    <w:p>
      <w:pPr>
        <w:spacing w:after="0" w:line="14" w:lineRule="exact"/>
        <w:rPr>
          <w:rFonts w:ascii="Times New Roman" w:cs="Times New Roman" w:eastAsia="Times New Roman" w:hAnsi="Times New Roman"/>
          <w:sz w:val="19"/>
          <w:szCs w:val="19"/>
          <w:color w:val="auto"/>
        </w:rPr>
      </w:pPr>
    </w:p>
    <w:p>
      <w:pPr>
        <w:jc w:val="both"/>
        <w:ind w:right="20" w:firstLine="6"/>
        <w:spacing w:after="0"/>
        <w:tabs>
          <w:tab w:leader="none" w:pos="482" w:val="left"/>
        </w:tabs>
        <w:numPr>
          <w:ilvl w:val="0"/>
          <w:numId w:val="5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period shall not limit the obligation of the Parties to discuss relevant matters in good faith during such [***] day period or prevent OncoC4 from asking reasonable follow-up questions) in respect of such Mono/PD-1 Combination), in each case, prior to pursuing such Development independently or with a Third Party and in accordance with all applicable confidentiality obligations and restrictions hereunder. In the event that as of the date of such written notice to OncoC4, there is a BNT PD-1 License, then,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27</w:t>
      </w:r>
    </w:p>
    <w:p>
      <w:pPr>
        <w:sectPr>
          <w:pgSz w:w="11900" w:h="16840" w:orient="portrait"/>
          <w:cols w:equalWidth="0" w:num="1">
            <w:col w:w="10580"/>
          </w:cols>
          <w:pgMar w:left="660" w:top="556" w:right="660" w:bottom="1440" w:gutter="0" w:footer="0" w:header="0"/>
        </w:sectPr>
      </w:pPr>
    </w:p>
    <w:bookmarkStart w:id="485" w:name="page486"/>
    <w:bookmarkEnd w:id="48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9"/>
          <w:szCs w:val="19"/>
          <w:color w:val="auto"/>
        </w:rPr>
        <w:t>confidentiality obligations to such Third Party, BioNTech will include in its written notice reasonable information pertaining to such BNT PD-1 License, in order for OncoC4 to evaluate whether or not to elect to co -fund any or all Development of the Mono/PD-1 Combinations. Notwithstanding any other provision of this Agreement, if the terms of a BNT PD -1 License prevent OncoC4 from co-funding the Development of a Mono/PD-1 Combination under an amended CDP, and because of such BNT PD-1 License such Development is not conducted under the CDP, the Parties shall discuss in good faith appropriate amendments to Section 7.4(a) so that OncoC4 is not prevented from earning an equitable portion of any Development Milestone Payment(s) as a result of such BNT PD-1 License.</w:t>
      </w:r>
    </w:p>
    <w:p>
      <w:pPr>
        <w:spacing w:after="0" w:line="135" w:lineRule="exact"/>
        <w:rPr>
          <w:sz w:val="20"/>
          <w:szCs w:val="20"/>
          <w:color w:val="auto"/>
        </w:rPr>
      </w:pPr>
    </w:p>
    <w:p>
      <w:pPr>
        <w:jc w:val="both"/>
        <w:ind w:right="20" w:firstLine="1158"/>
        <w:spacing w:after="0" w:line="232" w:lineRule="auto"/>
        <w:tabs>
          <w:tab w:leader="none" w:pos="1729" w:val="left"/>
        </w:tabs>
        <w:numPr>
          <w:ilvl w:val="0"/>
          <w:numId w:val="5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Development Responsibilities</w:t>
      </w:r>
      <w:r>
        <w:rPr>
          <w:rFonts w:ascii="Times New Roman" w:cs="Times New Roman" w:eastAsia="Times New Roman" w:hAnsi="Times New Roman"/>
          <w:sz w:val="19"/>
          <w:szCs w:val="19"/>
          <w:color w:val="auto"/>
        </w:rPr>
        <w:t>. Each Party will conduct its Development activities under this Agreement and the CDP in good scientific manner and in compliance with all applicable Laws, including GLP and GCP, as applicable, current standards for pharmacovigilance practice, and all applicable requirements relating to the protection of human subjects.</w:t>
      </w:r>
    </w:p>
    <w:p>
      <w:pPr>
        <w:spacing w:after="0" w:line="135"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u w:val="single" w:color="auto"/>
          <w:color w:val="auto"/>
        </w:rPr>
        <w:t>Development Costs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32" w:lineRule="auto"/>
        <w:tabs>
          <w:tab w:leader="none" w:pos="1729" w:val="left"/>
        </w:tabs>
        <w:numPr>
          <w:ilvl w:val="0"/>
          <w:numId w:val="5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Joint Development Costs</w:t>
      </w:r>
      <w:r>
        <w:rPr>
          <w:rFonts w:ascii="Times New Roman" w:cs="Times New Roman" w:eastAsia="Times New Roman" w:hAnsi="Times New Roman"/>
          <w:sz w:val="19"/>
          <w:szCs w:val="19"/>
          <w:color w:val="auto"/>
        </w:rPr>
        <w:t>. Except as otherwise provided in this Section 3.2, all Joint Development Costs incurred in accordance with the CDP and Joint Development Budget shall be shared equally (50/50) between BioNTech and OncoC4 in accordance with Section 7.3.</w:t>
      </w:r>
    </w:p>
    <w:p>
      <w:pPr>
        <w:spacing w:after="0" w:line="134" w:lineRule="exact"/>
        <w:rPr>
          <w:rFonts w:ascii="Times New Roman" w:cs="Times New Roman" w:eastAsia="Times New Roman" w:hAnsi="Times New Roman"/>
          <w:sz w:val="19"/>
          <w:szCs w:val="19"/>
          <w:color w:val="auto"/>
        </w:rPr>
      </w:pPr>
    </w:p>
    <w:p>
      <w:pPr>
        <w:jc w:val="both"/>
        <w:ind w:firstLine="1158"/>
        <w:spacing w:after="0" w:line="220" w:lineRule="auto"/>
        <w:tabs>
          <w:tab w:leader="none" w:pos="1729" w:val="left"/>
        </w:tabs>
        <w:numPr>
          <w:ilvl w:val="0"/>
          <w:numId w:val="5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Excess Development Costs</w:t>
      </w:r>
      <w:r>
        <w:rPr>
          <w:rFonts w:ascii="Times New Roman" w:cs="Times New Roman" w:eastAsia="Times New Roman" w:hAnsi="Times New Roman"/>
          <w:sz w:val="19"/>
          <w:szCs w:val="19"/>
          <w:color w:val="auto"/>
        </w:rPr>
        <w:t xml:space="preserve">. Each Party shall promptly inform the JSC in writing upon such Party determining that it has incurred or is likely to incur Joint Development Costs for a Calendar Year that exceed the portion of the Joint Development Costs allocated to such Party in the Joint Development Budget for such Calendar Year (“ </w:t>
      </w:r>
      <w:r>
        <w:rPr>
          <w:rFonts w:ascii="Times New Roman" w:cs="Times New Roman" w:eastAsia="Times New Roman" w:hAnsi="Times New Roman"/>
          <w:sz w:val="19"/>
          <w:szCs w:val="19"/>
          <w:b w:val="1"/>
          <w:bCs w:val="1"/>
          <w:color w:val="auto"/>
        </w:rPr>
        <w:t>Excess Development Costs</w:t>
      </w:r>
      <w:r>
        <w:rPr>
          <w:rFonts w:ascii="Times New Roman" w:cs="Times New Roman" w:eastAsia="Times New Roman" w:hAnsi="Times New Roman"/>
          <w:sz w:val="19"/>
          <w:szCs w:val="19"/>
          <w:color w:val="auto"/>
        </w:rPr>
        <w:t>”). To the extent such Excess Development Costs fall under the definition of “Joint Development Costs,” they shall be treated as Joint Development Costs hereunder and shared equally (50/50) between the Parties. In the event either Party identifies Excess Development Costs, the Parties shall discuss in good faith through the JSC the Joint Development Costs that are necessary and reasonable in order to perform the activities set forth in the CDP and any proposed amendments to the Joint Development Budget.</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0"/>
          <w:numId w:val="5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AI-061 Costs</w:t>
      </w:r>
      <w:r>
        <w:rPr>
          <w:rFonts w:ascii="Times New Roman" w:cs="Times New Roman" w:eastAsia="Times New Roman" w:hAnsi="Times New Roman"/>
          <w:sz w:val="19"/>
          <w:szCs w:val="19"/>
          <w:color w:val="auto"/>
        </w:rPr>
        <w:t xml:space="preserve">. Notwithstanding anything contained herein or in the CDP or Joint Development Budget, BioNTech’s share of Joint Development Costs for the first Phase 1 Trial of AI-061 shall not exceed [***] unless otherwise mutually agreed by the Parties through the JSC;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OncoC4 may elect to fund Joint Development Costs for AI-061 incurred in accordance with the CDP that BioNTech is not responsible for as a result of this Section 3.2(c) and the Parties shall continue to conduct the activities with respect to AI-061 set forth in the CDP. For clarity, OncoC4 shall have no obligation to fund any such additional Joint Development Costs for AI-061, and if OncoC4 does not elect to fund such additional Joint Development Costs for AI-061, the Parties shall promptly wind down and terminate Development activities in support of AI-061.</w:t>
      </w:r>
    </w:p>
    <w:p>
      <w:pPr>
        <w:spacing w:after="0" w:line="134" w:lineRule="exact"/>
        <w:rPr>
          <w:rFonts w:ascii="Times New Roman" w:cs="Times New Roman" w:eastAsia="Times New Roman" w:hAnsi="Times New Roman"/>
          <w:sz w:val="19"/>
          <w:szCs w:val="19"/>
          <w:color w:val="auto"/>
        </w:rPr>
      </w:pPr>
    </w:p>
    <w:p>
      <w:pPr>
        <w:ind w:right="20" w:firstLine="1158"/>
        <w:spacing w:after="0" w:line="246" w:lineRule="auto"/>
        <w:tabs>
          <w:tab w:leader="none" w:pos="1729" w:val="left"/>
        </w:tabs>
        <w:numPr>
          <w:ilvl w:val="0"/>
          <w:numId w:val="5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BioNTech Development Costs</w:t>
      </w:r>
      <w:r>
        <w:rPr>
          <w:rFonts w:ascii="Times New Roman" w:cs="Times New Roman" w:eastAsia="Times New Roman" w:hAnsi="Times New Roman"/>
          <w:sz w:val="19"/>
          <w:szCs w:val="19"/>
          <w:color w:val="auto"/>
        </w:rPr>
        <w:t xml:space="preserve"> . BioNTech shall be solely responsible for (i) all Development costs incurred by or on behalf of BioNTech in respect of Other Combinations and BioNTech Products; (ii) BioNTech’s share of Joint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28</w:t>
      </w:r>
    </w:p>
    <w:p>
      <w:pPr>
        <w:sectPr>
          <w:pgSz w:w="11900" w:h="16840" w:orient="portrait"/>
          <w:cols w:equalWidth="0" w:num="1">
            <w:col w:w="10580"/>
          </w:cols>
          <w:pgMar w:left="660" w:top="556" w:right="660" w:bottom="1440" w:gutter="0" w:footer="0" w:header="0"/>
        </w:sectPr>
      </w:pPr>
    </w:p>
    <w:bookmarkStart w:id="486" w:name="page487"/>
    <w:bookmarkEnd w:id="48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incurred in accordance with this Agreement and the CDP; and (iii) all costs incurred by or on behalf of BioNTech in respect of Development outside the Joint Development Program and CDP. Nothing in this Agreement shall be read to prevent BioNTech (and those deriving rights from BioNTech) from Developing any Mono/PD-1 Combinations outside the Joint Development Program and CDP (provided that prior to doing so, in accordance with Section 3.1(b), BioNTech will offer to OncoC4 the opportunity the co-fund the applicable Development under the Joint Development Program).</w:t>
      </w:r>
    </w:p>
    <w:p>
      <w:pPr>
        <w:spacing w:after="0" w:line="137" w:lineRule="exact"/>
        <w:rPr>
          <w:sz w:val="20"/>
          <w:szCs w:val="20"/>
          <w:color w:val="auto"/>
        </w:rPr>
      </w:pPr>
    </w:p>
    <w:p>
      <w:pPr>
        <w:jc w:val="both"/>
        <w:ind w:firstLine="1158"/>
        <w:spacing w:after="0" w:line="215" w:lineRule="auto"/>
        <w:tabs>
          <w:tab w:leader="none" w:pos="1729"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 of OncoC4</w:t>
      </w:r>
      <w:r>
        <w:rPr>
          <w:rFonts w:ascii="Times New Roman" w:cs="Times New Roman" w:eastAsia="Times New Roman" w:hAnsi="Times New Roman"/>
          <w:sz w:val="19"/>
          <w:szCs w:val="19"/>
          <w:color w:val="auto"/>
        </w:rPr>
        <w:t xml:space="preserve">. At all times prior to the completion of the activities contemplated by the CDP, OncoC4 and its Affiliates, collectively, shall maintain sufficient cash reserves, liquid assets, or other sources of immediately available funds </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xml:space="preserve">in each case, with reputable financial institutions selected by OncoC4 in accordance with industry practice and the exercise of its reasonable business judgment), as reasonably necessary for OncoC4 to fund its share of Joint Development Costs during the following [***] months as such Joint Development Costs are anticipated in a then-current, Joint Development Budget approved by the JSC;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OncoC4 shall have at least [***] months following approval of a new Joint Development Budget or material amendment thereto to acquire such reserves, assets or funds and (ii) upon BioNTech’s reasonable request (not more than once per Calendar Year absent OncoC4’s failure to comply with this Section 3.2(e) or make an undisputed payment under this Agreement or the CDP), OncoC4 shall provide BioNTech with reasonable documentary evidence reasonably satisfactory to BioNTech (acting in good faith) of its compliance with this Section 3.2(e). Without limiting the foregoing, upon BioNTech’s reasonable request (not more than once per Calendar Year without cause), OncoC4 shall disclose to BioNTech the financial institution(s) that hold the assets of OncoC4 and its Affiliates that satisfy the conditions of this Section 3.2(e). BioNTech may comment on such financial institutions and OncoC4 will in good faith take into account and consider BioNTech’s reasonable and timely suggestions regarding OncoC4’s choice of financial institution(s). For the avoidance of doubt, nothing in this Section 3.2(e) shall require OncoC4 or any of its Affiliates to maintain segregated accounts or restricted cash in order to satisfy its obligations hereunder. If OncoC4 is ever not in compliance with this covenant, OncoC4 shall promptly notify BioNTech in writing.</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21" w:lineRule="auto"/>
        <w:tabs>
          <w:tab w:leader="none" w:pos="1729"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Development Costs Related to AI-025</w:t>
      </w:r>
      <w:r>
        <w:rPr>
          <w:rFonts w:ascii="Times New Roman" w:cs="Times New Roman" w:eastAsia="Times New Roman" w:hAnsi="Times New Roman"/>
          <w:sz w:val="19"/>
          <w:szCs w:val="19"/>
          <w:color w:val="auto"/>
        </w:rPr>
        <w:t>. If (i) BioNTech exercises the Option, (ii) the first product containing AI-025 to receive Regulatory Approval in any Major Market is AI-061, and (iii) a Combination Product Controlled by OncoC4 containing AI-025 and one (1) or more Other Actives subsequently receives Regulatory Approval in the same Major Market, then, only in the case of (i), (ii) and (iii), BioNTech may deduct from the royalties payable to OncoC4 under Section 7.5 with respect to AI-061 an amount equal to [***] of all Joint Development Costs incurred by BioNTech to Develop AI-061 for the Indication subject of such first Regulatory Approval of AI-061 up to the date of such first Regulatory Approval of AI-061.</w:t>
      </w:r>
    </w:p>
    <w:p>
      <w:pPr>
        <w:spacing w:after="0" w:line="137"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9"/>
          <w:szCs w:val="19"/>
          <w:u w:val="single" w:color="auto"/>
          <w:color w:val="auto"/>
        </w:rPr>
        <w:t>Development Records and Reporting</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1158"/>
        <w:spacing w:after="0" w:line="232" w:lineRule="auto"/>
        <w:tabs>
          <w:tab w:leader="none" w:pos="1729" w:val="left"/>
        </w:tabs>
        <w:numPr>
          <w:ilvl w:val="0"/>
          <w:numId w:val="5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Records</w:t>
      </w:r>
      <w:r>
        <w:rPr>
          <w:rFonts w:ascii="Times New Roman" w:cs="Times New Roman" w:eastAsia="Times New Roman" w:hAnsi="Times New Roman"/>
          <w:sz w:val="19"/>
          <w:szCs w:val="19"/>
          <w:color w:val="auto"/>
        </w:rPr>
        <w:t>. Each Party shall maintain complete and accurate records of all work conducted by or on behalf of such Party in furtherance of seeking Regulatory Approval for Licensed Products in the Field in the Territory. Such records will be maintained in sufficient detail and in good scientific manner appropriate for patent and regulatory purposes and in accordance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29</w:t>
      </w:r>
    </w:p>
    <w:p>
      <w:pPr>
        <w:sectPr>
          <w:pgSz w:w="11900" w:h="16840" w:orient="portrait"/>
          <w:cols w:equalWidth="0" w:num="1">
            <w:col w:w="10580"/>
          </w:cols>
          <w:pgMar w:left="660" w:top="556" w:right="660" w:bottom="1440" w:gutter="0" w:footer="0" w:header="0"/>
        </w:sectPr>
      </w:pPr>
    </w:p>
    <w:bookmarkStart w:id="487" w:name="page488"/>
    <w:bookmarkEnd w:id="48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158"/>
        <w:spacing w:after="0" w:line="218" w:lineRule="auto"/>
        <w:tabs>
          <w:tab w:leader="none" w:pos="1729" w:val="left"/>
        </w:tabs>
        <w:numPr>
          <w:ilvl w:val="0"/>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Reporting</w:t>
      </w:r>
      <w:r>
        <w:rPr>
          <w:rFonts w:ascii="Times New Roman" w:cs="Times New Roman" w:eastAsia="Times New Roman" w:hAnsi="Times New Roman"/>
          <w:sz w:val="19"/>
          <w:szCs w:val="19"/>
          <w:color w:val="auto"/>
        </w:rPr>
        <w:t>. Each Party shall periodically provide to the JSC, on a Calendar Quarter basis or more frequently as reasonably requested by the JSC, an update regarding Development activities conducted by or on behalf of such Party with respect to each Licensed Product under the then-current CDP. In addition, each Party shall promptly share with the other Party all material developments and information that it comes to possess relating to the Development or Manufacturing of any Licensed Products and all other data and information that either Party may reasonably request to support the filing of Regulatory Materials in a mutually agreed format, including, without limitation, (i) safety concerns and adverse event reports for Licensed Products, and (ii) study reports and data generated from Clinical Trials of such Licensed Products. Without limiting the generality of the foregoing, each Party shall promptly report to the other Party in writing material developments which are reasonably expected to be materially detrimental to Development, including manufacturing failures.</w:t>
      </w:r>
    </w:p>
    <w:p>
      <w:pPr>
        <w:spacing w:after="0" w:line="134" w:lineRule="exact"/>
        <w:rPr>
          <w:rFonts w:ascii="Times New Roman" w:cs="Times New Roman" w:eastAsia="Times New Roman" w:hAnsi="Times New Roman"/>
          <w:sz w:val="19"/>
          <w:szCs w:val="19"/>
          <w:color w:val="auto"/>
        </w:rPr>
      </w:pPr>
    </w:p>
    <w:p>
      <w:pPr>
        <w:jc w:val="both"/>
        <w:ind w:firstLine="1158"/>
        <w:spacing w:after="0" w:line="219" w:lineRule="auto"/>
        <w:tabs>
          <w:tab w:leader="none" w:pos="1729" w:val="left"/>
        </w:tabs>
        <w:numPr>
          <w:ilvl w:val="0"/>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Clinical Trial Reporting</w:t>
      </w:r>
      <w:r>
        <w:rPr>
          <w:rFonts w:ascii="Times New Roman" w:cs="Times New Roman" w:eastAsia="Times New Roman" w:hAnsi="Times New Roman"/>
          <w:sz w:val="19"/>
          <w:szCs w:val="19"/>
          <w:color w:val="auto"/>
        </w:rPr>
        <w:t>. Each Party agrees that (i) each Clinical Trial conducted pursuant to the CDP or the BioNTech Development Plan that is required to be posted pursuant to applicable Law or applicable industry codes, including the PhRMA Code, on clinicaltrials.gov or any other similar registry shall be so posted, and (ii) all results of such Clinical Trials that are necessary for obtaining a Regulatory Approval for a Licensed Product in the Territory shall be posted on clinicalstudyresults.org and on any other registry with requirements consistent with the registration and publication guidelines of the International Committee of Medical Journal Editors, to the extent required. All data and information posted on clinicaltrials.gov, clinicalstudyresults.org or any other registry pursuant to this Section 3.3(c) shall be subject to prior review and authorization (subject to requirements of applicable Law), pursuant to Sections 9.2(c) and 9.2(e).</w:t>
      </w:r>
    </w:p>
    <w:p>
      <w:pPr>
        <w:spacing w:after="0" w:line="134" w:lineRule="exact"/>
        <w:rPr>
          <w:sz w:val="20"/>
          <w:szCs w:val="20"/>
          <w:color w:val="auto"/>
        </w:rPr>
      </w:pPr>
    </w:p>
    <w:p>
      <w:pPr>
        <w:jc w:val="both"/>
        <w:ind w:firstLine="864"/>
        <w:spacing w:after="0" w:line="21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Data Exchange</w:t>
      </w:r>
      <w:r>
        <w:rPr>
          <w:rFonts w:ascii="Times New Roman" w:cs="Times New Roman" w:eastAsia="Times New Roman" w:hAnsi="Times New Roman"/>
          <w:sz w:val="19"/>
          <w:szCs w:val="19"/>
          <w:color w:val="auto"/>
        </w:rPr>
        <w:t xml:space="preserve">. In addition to its adverse event and safety data reporting obligations set forth in Section 4.3, each Party shall promptly provide the other Party with copies of all data and results and all supporting documentation (e.g., protocols, Investigator’s Brochures, case report forms, analysis plans) Controlled by such Party that are generated by or on behalf of such Party or its Affiliates, Service Provider, Sublicensees, or contractors, if applicable, in the Development of Licensed Products in the Joint Development Program. For such items arising outside the Joint Development Program (i.e., in BioNTech’s independent development not governed by the CDP), the JSC shall discuss in good faith the information to be provided to OncoC4, if any, beyond the required reporting under Section 4.3 to support OncoC4’s activities under the CDP;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in all events, BioNTech shall provide to OncoC4 such items as may be necessary or reasonably advisable for OncoC4 or its Affiliates or sublicensees to satisfy regulatory or other legal requirements.</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ARTICLE IV</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REGULATORY MATTERS</w:t>
      </w:r>
    </w:p>
    <w:p>
      <w:pPr>
        <w:spacing w:after="0" w:line="14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u w:val="single" w:color="auto"/>
          <w:color w:val="auto"/>
        </w:rPr>
        <w:t>Regulatory Submissions and Approvals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1158"/>
        <w:spacing w:after="0" w:line="232" w:lineRule="auto"/>
        <w:tabs>
          <w:tab w:leader="none" w:pos="1729"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Responsibilities</w:t>
      </w:r>
      <w:r>
        <w:rPr>
          <w:rFonts w:ascii="Times New Roman" w:cs="Times New Roman" w:eastAsia="Times New Roman" w:hAnsi="Times New Roman"/>
          <w:sz w:val="19"/>
          <w:szCs w:val="19"/>
          <w:color w:val="auto"/>
        </w:rPr>
        <w:t>. BioNTech will be responsible for all regulatory activities relating to the Licensed Products, including preparing and filing all MAAs and seeking all Regulatory Approvals for the Licensed Products in the Field in the Territory in accordance with the CDP or BioNTech Development Plan, as applicable, except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30</w:t>
      </w:r>
    </w:p>
    <w:p>
      <w:pPr>
        <w:sectPr>
          <w:pgSz w:w="11900" w:h="16840" w:orient="portrait"/>
          <w:cols w:equalWidth="0" w:num="1">
            <w:col w:w="10580"/>
          </w:cols>
          <w:pgMar w:left="660" w:top="556" w:right="660" w:bottom="1440" w:gutter="0" w:footer="0" w:header="0"/>
        </w:sectPr>
      </w:pPr>
    </w:p>
    <w:bookmarkStart w:id="488" w:name="page489"/>
    <w:bookmarkEnd w:id="48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regulatory activities that are expressly delegated or transferred to OncoC4 in the CDP, as approved by the JSC, or as expressly set forth in this Agreement.</w:t>
      </w:r>
    </w:p>
    <w:p>
      <w:pPr>
        <w:spacing w:after="0" w:line="128" w:lineRule="exact"/>
        <w:rPr>
          <w:sz w:val="20"/>
          <w:szCs w:val="20"/>
          <w:color w:val="auto"/>
        </w:rPr>
      </w:pPr>
    </w:p>
    <w:p>
      <w:pPr>
        <w:jc w:val="both"/>
        <w:ind w:firstLine="1158"/>
        <w:spacing w:after="0" w:line="214" w:lineRule="auto"/>
        <w:tabs>
          <w:tab w:leader="none" w:pos="1729" w:val="left"/>
        </w:tabs>
        <w:numPr>
          <w:ilvl w:val="0"/>
          <w:numId w:val="5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Sponsorship of Clinical Trials and Ownership of Regulatory Materials</w:t>
      </w:r>
      <w:r>
        <w:rPr>
          <w:rFonts w:ascii="Times New Roman" w:cs="Times New Roman" w:eastAsia="Times New Roman" w:hAnsi="Times New Roman"/>
          <w:sz w:val="19"/>
          <w:szCs w:val="19"/>
          <w:color w:val="auto"/>
        </w:rPr>
        <w:t>. As between the Parties, unless otherwise agreed between the Parties through the JSC, OncoC4 shall (i) be the sponsor for Clinical Trials of Licensed Products that are Mono/PD-1 Combinations that are conducted under the CDP; and (ii) own all Regulatory Materials, including INDs and all submissions for the Clinical Trials under subclause (i). Notwithstanding the foregoing, (A) upon BioNTech’s reasonable request, which request may be made any time following the first anniversary of the Effective Date, and the JSC’s good faith discussion, OncoC4 shall transfer or cause to be transferred to BioNTech as promptly as practicable in accordance with applicable Law, sponsorship of any such Clinical Trial for which OncoC4 is the sponsor under the CDP, including any Regulatory Materials related thereto, as so approved by the JSC (for clarity, subject to Section 6.5(a)); and (B) if such sponsorship and Regulatory Materials have not already been transferred to BioNTech pursuant to subclause (A), six (6) months prior to the planned MAA submission for Regulatory Approval of a Licensed Product in a particular Indication, OncoC4 shall transfer or cause to be transferred to BioNTech as promptly as practicable in accordance with applicable Law, sponsorship of any Clinical Trial for which OncoC4 is the sponsor under the CDP (and transfer or make available to the extent not previously delivered or made available) all Regulatory Materials (including but limited to, the INDs) for the applicable Licensed Product. In each case (A) and (B), the Parties shall cooperate to submit such notifications and any other documents or instruments required by the applicable Regulatory Authority to effect the transfer of such sponsorship Regulatory Materials, as applicable. Furthermore, notwithstanding the foregoing, BioNTech will be the sponsor for and will own all Regulatory Materials, including all INDs and submissions for any Clinical Trials (1) conducted under the BioNTech Development Plan, or (2) set forth in the CDP or otherwise approved by the JSC for BioNTech to be the sponsor of, and any Regulatory Approval for the Licensed Products in the Field in the Territory. For the avoidance of doubt, any transfer of sponsorship of a Clinical Trial contemplated hereby shall be conducted under the oversight of the JSC in accordance with ARTICLE VI.</w:t>
      </w:r>
    </w:p>
    <w:p>
      <w:pPr>
        <w:spacing w:after="0" w:line="139" w:lineRule="exact"/>
        <w:rPr>
          <w:rFonts w:ascii="Times New Roman" w:cs="Times New Roman" w:eastAsia="Times New Roman" w:hAnsi="Times New Roman"/>
          <w:sz w:val="19"/>
          <w:szCs w:val="19"/>
          <w:color w:val="auto"/>
        </w:rPr>
      </w:pPr>
    </w:p>
    <w:p>
      <w:pPr>
        <w:jc w:val="both"/>
        <w:ind w:firstLine="1158"/>
        <w:spacing w:after="0" w:line="218" w:lineRule="auto"/>
        <w:tabs>
          <w:tab w:leader="none" w:pos="1729" w:val="left"/>
        </w:tabs>
        <w:numPr>
          <w:ilvl w:val="0"/>
          <w:numId w:val="5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Delegation or Transfer of Responsibilities for Clinical Trials</w:t>
      </w:r>
      <w:r>
        <w:rPr>
          <w:rFonts w:ascii="Times New Roman" w:cs="Times New Roman" w:eastAsia="Times New Roman" w:hAnsi="Times New Roman"/>
          <w:sz w:val="19"/>
          <w:szCs w:val="19"/>
          <w:color w:val="auto"/>
        </w:rPr>
        <w:t>. In the event that BioNTech has exercised its right under this Agreement to transfer sponsorship of any Clinical Trial(s) for which OncoC4 was originally the sponsor under the CDP to BioNTech and the JSC has approved such transfer in accordance with this Agreement (for clarity, subject to Section 6.5(a)), BioNTech may, notwithstanding the transfer of sponsorship thereof, delegate or transfer all or part of its responsibilities with respect to such Clinical Trial to OncoC4, in each case, as discussed and approved by the JSC in accordance with this Agreement (for clarity, subject to Section 6.5(a)), and in such instance the Parties shall promptly enter into an agreement delegating such responsibility in accordance with 21 C.F.R. §312.52, or any equivalent requirement in other jurisdictions or countries outside of the U.S., and shall cooperate to submit any such other notifications or other documents or instruments required by the applicable Regulatory Authority to effect such transfer or delegation of responsibilities.</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729" w:val="left"/>
        </w:tabs>
        <w:numPr>
          <w:ilvl w:val="0"/>
          <w:numId w:val="5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Reference</w:t>
      </w:r>
      <w:r>
        <w:rPr>
          <w:rFonts w:ascii="Times New Roman" w:cs="Times New Roman" w:eastAsia="Times New Roman" w:hAnsi="Times New Roman"/>
          <w:sz w:val="19"/>
          <w:szCs w:val="19"/>
          <w:color w:val="auto"/>
        </w:rPr>
        <w:t>. Each Party hereby grants to the other Party, and such other Party’s Affiliates and Sublicensees, a right to cross-reference or incorporate by reference any Regulatory Materials and any Regulatory Approval Controlled by such Party for any Licensed Product, and all data and other Know-How included or referenced therein or filed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31</w:t>
      </w:r>
    </w:p>
    <w:p>
      <w:pPr>
        <w:sectPr>
          <w:pgSz w:w="11900" w:h="16840" w:orient="portrait"/>
          <w:cols w:equalWidth="0" w:num="1">
            <w:col w:w="10580"/>
          </w:cols>
          <w:pgMar w:left="660" w:top="556" w:right="660" w:bottom="1440" w:gutter="0" w:footer="0" w:header="0"/>
        </w:sectPr>
      </w:pPr>
    </w:p>
    <w:bookmarkStart w:id="489" w:name="page490"/>
    <w:bookmarkEnd w:id="48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9"/>
          <w:szCs w:val="19"/>
          <w:color w:val="auto"/>
        </w:rPr>
        <w:t>support thereof, subject to the scope of the licenses granted under Section 2.1, for the purpose of the other Party, its Affiliates or any Sublicensee conducting its or their designated regulatory activities, including, where applicable, applying for Clinical Trials and, in BioNTech’s case, seeking or maintaining Regulatory Approvals, in each case, for Licensed Products in the Field in the Territory as permitted under this Agreement and to otherwise enable such Party to fulfill its obligations or in the case of BioNTech exercise its rights hereunder with respect to Licensed Products in the Territory. Notwithstanding anything express or implied in the foregoing, BioNTech grants no right to cross-reference or incorporate by reference any Regulatory Materials to the extent specifically pertaining to any BioNTech Product included in a Combination Product, and unless otherwise mutually agreed by the Parties, OncoC4 shall have no right to apply for any Regulatory Approval for any Licensed Product anywhere in the world.</w:t>
      </w:r>
    </w:p>
    <w:p>
      <w:pPr>
        <w:spacing w:after="0" w:line="134" w:lineRule="exact"/>
        <w:rPr>
          <w:sz w:val="20"/>
          <w:szCs w:val="20"/>
          <w:color w:val="auto"/>
        </w:rPr>
      </w:pPr>
    </w:p>
    <w:p>
      <w:pPr>
        <w:jc w:val="both"/>
        <w:ind w:firstLine="1158"/>
        <w:spacing w:after="0" w:line="223" w:lineRule="auto"/>
        <w:tabs>
          <w:tab w:leader="none" w:pos="1729" w:val="left"/>
        </w:tabs>
        <w:numPr>
          <w:ilvl w:val="0"/>
          <w:numId w:val="5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Cooperation</w:t>
      </w:r>
      <w:r>
        <w:rPr>
          <w:rFonts w:ascii="Times New Roman" w:cs="Times New Roman" w:eastAsia="Times New Roman" w:hAnsi="Times New Roman"/>
          <w:sz w:val="19"/>
          <w:szCs w:val="19"/>
          <w:color w:val="auto"/>
        </w:rPr>
        <w:t>. Each Party will share with the other Party any existing or new regulatory information Controlled by such Party (including in relation to any INDs with respect to any Licensed Product) generated or received from Regulatory Authorities with respect to the Development of the Licensed Compound and Licensed Products, and each Party shall reasonably cooperate and support the other Party in all regulatory activities related to the Licensed Compound and Licensed Products in the Field in the Territory. Without limiting the foregoing:</w:t>
      </w:r>
    </w:p>
    <w:p>
      <w:pPr>
        <w:spacing w:after="0" w:line="137" w:lineRule="exact"/>
        <w:rPr>
          <w:rFonts w:ascii="Times New Roman" w:cs="Times New Roman" w:eastAsia="Times New Roman" w:hAnsi="Times New Roman"/>
          <w:sz w:val="19"/>
          <w:szCs w:val="19"/>
          <w:color w:val="auto"/>
        </w:rPr>
      </w:pPr>
    </w:p>
    <w:p>
      <w:pPr>
        <w:jc w:val="both"/>
        <w:ind w:firstLine="1735"/>
        <w:spacing w:after="0" w:line="216" w:lineRule="auto"/>
        <w:tabs>
          <w:tab w:leader="none" w:pos="2293" w:val="left"/>
        </w:tabs>
        <w:numPr>
          <w:ilvl w:val="1"/>
          <w:numId w:val="5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Clinical Trial for Licensed Products in any Mono/PD-1 Combination which either (A) OncoC4 Controls and is the sponsor, or (B) BioNTech is the sponsor but has delegated or transferred all or part of its responsibilities with respect to such Clinical Trial to OncoC4, (I) OncoC4 shall promptly share with BioNTech all material information and all written correspondence received by OncoC4 or its Affiliate from a Regulatory Authority (or that otherwise is in OncoC4’s possession or control and for which OncoC4 is not prohibited from sharing with BioNTech pursuant to any agreement with a Third Party) relating to such Clinical Trial, and (II) BioNTech shall have the right to review, comment, amend and approve (not to be unreasonably withheld, conditioned or delayed with respect to any Clinical Trial for which OncoC4 is the sponsor) any submissions or correspondence relating to such Clinical Trial prior to OncoC4 filing with relevant Regulatory Authorities (provided, that with respect to any Clinical Trial for which OncoC4 is the sponsor, OncoC4 will have final decision-making authority with respect to such submissions or correspondence to the extent required by applicable Law or to comply with applicable Law, and nothing contained herein will prevent OncoC4 from making any submission that is necessary in order to comply with applicable Law), and, to the extent permitted by applicable Law and Regulatory Authorities, BioNTech shall have the right but not the obligation to attend all meetings or calls with such Regulatory Authority.</w:t>
      </w:r>
    </w:p>
    <w:p>
      <w:pPr>
        <w:spacing w:after="0" w:line="137" w:lineRule="exact"/>
        <w:rPr>
          <w:rFonts w:ascii="Times New Roman" w:cs="Times New Roman" w:eastAsia="Times New Roman" w:hAnsi="Times New Roman"/>
          <w:sz w:val="19"/>
          <w:szCs w:val="19"/>
          <w:color w:val="auto"/>
        </w:rPr>
      </w:pPr>
    </w:p>
    <w:p>
      <w:pPr>
        <w:jc w:val="both"/>
        <w:ind w:right="20" w:firstLine="1735"/>
        <w:spacing w:after="0" w:line="220" w:lineRule="auto"/>
        <w:tabs>
          <w:tab w:leader="none" w:pos="2305" w:val="left"/>
        </w:tabs>
        <w:numPr>
          <w:ilvl w:val="1"/>
          <w:numId w:val="5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BioNTech shall keep the JSC and OncoC4 reasonably informed of any material regulatory activities, communications and correspondences with a Regulatory Authority, and shall provide OncoC4 opportunities to review and comment on material regulatory submissions or correspondences, in each case, relating to any Licensed Compound or any Licensed Product, subject to OncoC4’s compliance with its confidentiality obligations or restrictions. BioNTech shall consider OncoC4’s timely comments thereon in good faith. In relation to meetings regarding Mono/PD-1 Combinations BioNTech will provide OncoC4 with reasonable advance notice of any scheduled meeting with any Regulatory Authority relating to regulatory matters for the Licensed Compound or any Licensed Product,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32</w:t>
      </w:r>
    </w:p>
    <w:p>
      <w:pPr>
        <w:sectPr>
          <w:pgSz w:w="11900" w:h="16840" w:orient="portrait"/>
          <w:cols w:equalWidth="0" w:num="1">
            <w:col w:w="10580"/>
          </w:cols>
          <w:pgMar w:left="660" w:top="556" w:right="660" w:bottom="1440" w:gutter="0" w:footer="0" w:header="0"/>
        </w:sectPr>
      </w:pPr>
    </w:p>
    <w:bookmarkStart w:id="490" w:name="page491"/>
    <w:bookmarkEnd w:id="49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permitted by applicable Law and Regulatory Authorities, OncoC4 shall have the right but not the obligation to attend any meetings or call with such Regulatory Authority as an observer.</w:t>
      </w:r>
    </w:p>
    <w:p>
      <w:pPr>
        <w:spacing w:after="0" w:line="128" w:lineRule="exact"/>
        <w:rPr>
          <w:sz w:val="20"/>
          <w:szCs w:val="20"/>
          <w:color w:val="auto"/>
        </w:rPr>
      </w:pPr>
    </w:p>
    <w:p>
      <w:pPr>
        <w:jc w:val="both"/>
        <w:ind w:right="20" w:firstLine="1158"/>
        <w:spacing w:after="0" w:line="216" w:lineRule="auto"/>
        <w:tabs>
          <w:tab w:leader="none" w:pos="1729" w:val="left"/>
        </w:tabs>
        <w:numPr>
          <w:ilvl w:val="0"/>
          <w:numId w:val="5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Health Authority Inspections</w:t>
      </w:r>
      <w:r>
        <w:rPr>
          <w:rFonts w:ascii="Times New Roman" w:cs="Times New Roman" w:eastAsia="Times New Roman" w:hAnsi="Times New Roman"/>
          <w:sz w:val="19"/>
          <w:szCs w:val="19"/>
          <w:color w:val="auto"/>
        </w:rPr>
        <w:t>. The Parties will cooperate in good faith with respect to Regulatory Authority inspections of any site or facility where Clinical Trials or Manufacturing of the Licensed Compound or Licensed Products are conducted pursuant to this Agreement (each an “</w:t>
      </w:r>
      <w:r>
        <w:rPr>
          <w:rFonts w:ascii="Times New Roman" w:cs="Times New Roman" w:eastAsia="Times New Roman" w:hAnsi="Times New Roman"/>
          <w:sz w:val="19"/>
          <w:szCs w:val="19"/>
          <w:b w:val="1"/>
          <w:bCs w:val="1"/>
          <w:color w:val="auto"/>
        </w:rPr>
        <w:t>Audited Site</w:t>
      </w:r>
      <w:r>
        <w:rPr>
          <w:rFonts w:ascii="Times New Roman" w:cs="Times New Roman" w:eastAsia="Times New Roman" w:hAnsi="Times New Roman"/>
          <w:sz w:val="19"/>
          <w:szCs w:val="19"/>
          <w:color w:val="auto"/>
        </w:rPr>
        <w:t>”). Subject to applicable Law, OncoC4 will be given a reasonable opportunity to attend any inspection by any Regulatory Authority of the Audited Sites, and the summary or wrap-up meeting with a Regulatory Authority at the conclusion of such inspection. In the event that any Audited Site is found to be non-compliant with one or more of GLP, GCP, GMP or current standards for pharmacovigilance practice, BioNTech will submit to the JSC a proposed recovery plan or Corrective and Preventative Actions (“</w:t>
      </w:r>
      <w:r>
        <w:rPr>
          <w:rFonts w:ascii="Times New Roman" w:cs="Times New Roman" w:eastAsia="Times New Roman" w:hAnsi="Times New Roman"/>
          <w:sz w:val="19"/>
          <w:szCs w:val="19"/>
          <w:b w:val="1"/>
          <w:bCs w:val="1"/>
          <w:color w:val="auto"/>
        </w:rPr>
        <w:t>CAPA</w:t>
      </w:r>
      <w:r>
        <w:rPr>
          <w:rFonts w:ascii="Times New Roman" w:cs="Times New Roman" w:eastAsia="Times New Roman" w:hAnsi="Times New Roman"/>
          <w:sz w:val="19"/>
          <w:szCs w:val="19"/>
          <w:color w:val="auto"/>
        </w:rPr>
        <w:t>”) plan as soon as reasonably practicable after BioNTech, its Affiliates or Sublicensees or their permitted contractor receives notification of such non-compliance from the relevant Regulatory Authority and BioNTech will use reasonable efforts to implement such recovery plan or CAPA promptly after submission. BioNTech agrees, to the maximum extent reasonably possible, to include in any contract or other written arrangement with its permitted contractors a clause permitting OncoC4 to exercise its rights under this Section 4.1(f).</w:t>
      </w:r>
    </w:p>
    <w:p>
      <w:pPr>
        <w:spacing w:after="0" w:line="142" w:lineRule="exact"/>
        <w:rPr>
          <w:sz w:val="20"/>
          <w:szCs w:val="20"/>
          <w:color w:val="auto"/>
        </w:rPr>
      </w:pPr>
    </w:p>
    <w:p>
      <w:pPr>
        <w:jc w:val="both"/>
        <w:ind w:firstLine="864"/>
        <w:spacing w:after="0" w:line="216" w:lineRule="auto"/>
        <w:rPr>
          <w:sz w:val="20"/>
          <w:szCs w:val="20"/>
          <w:color w:val="auto"/>
        </w:rPr>
      </w:pPr>
      <w:r>
        <w:rPr>
          <w:rFonts w:ascii="Times New Roman" w:cs="Times New Roman" w:eastAsia="Times New Roman" w:hAnsi="Times New Roman"/>
          <w:sz w:val="19"/>
          <w:szCs w:val="19"/>
          <w:color w:val="auto"/>
        </w:rPr>
        <w:t xml:space="preserve">4 . 2 </w:t>
      </w:r>
      <w:r>
        <w:rPr>
          <w:rFonts w:ascii="Times New Roman" w:cs="Times New Roman" w:eastAsia="Times New Roman" w:hAnsi="Times New Roman"/>
          <w:sz w:val="19"/>
          <w:szCs w:val="19"/>
          <w:u w:val="single" w:color="auto"/>
          <w:color w:val="auto"/>
        </w:rPr>
        <w:t>Recalls, Suspensions, and Withdrawals</w:t>
      </w:r>
      <w:r>
        <w:rPr>
          <w:rFonts w:ascii="Times New Roman" w:cs="Times New Roman" w:eastAsia="Times New Roman" w:hAnsi="Times New Roman"/>
          <w:sz w:val="19"/>
          <w:szCs w:val="19"/>
          <w:color w:val="auto"/>
        </w:rPr>
        <w:t xml:space="preserve">. Each Party shall promptly notify the other Party (but in no event later than [***]) following its determination that any event, incident or circumstance has occurred that may result in the need for a recall, market suspension or market withdrawal of a Licensed Product and shall include in such notice the reasoning behind such determination and any supporting facts. As between the Parties, BioNTech shall have the final decision-making authority to make the final determination whether to voluntarily implement any such recall, market suspension or market withdrawal during the Term;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prior to any implementation of such a recall, market suspension or market withdrawal, BioNTech shall consult with OncoC4 and shall consider OncoC4’s comments in good faith. If a recall, market suspension or market withdrawal of a Licensed Product is mandated by a Regulatory Authority, as between the Parties, BioNTech shall initiate such a recall, market suspension or market withdrawal in compliance with applicable Law. BioNTech shall be responsible for all costs of any such recall, market suspension, or market withdrawal, except in the event and to the extent that a recall, market suspension or market withdrawal resulted from OncoC4’s material breach of its obligations hereunder or from OncoC4’s or its Representatives fraud, gross negligence or willful misconduct, in which case OncoC4 shall bear its proportionate share of the expense of such recall, market suspension or market withdrawal.</w:t>
      </w:r>
    </w:p>
    <w:p>
      <w:pPr>
        <w:spacing w:after="0" w:line="137" w:lineRule="exact"/>
        <w:rPr>
          <w:sz w:val="20"/>
          <w:szCs w:val="20"/>
          <w:color w:val="auto"/>
        </w:rPr>
      </w:pPr>
    </w:p>
    <w:p>
      <w:pPr>
        <w:jc w:val="both"/>
        <w:ind w:firstLine="864"/>
        <w:spacing w:after="0" w:line="219"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Pharmacovigilance</w:t>
      </w:r>
      <w:r>
        <w:rPr>
          <w:rFonts w:ascii="Times New Roman" w:cs="Times New Roman" w:eastAsia="Times New Roman" w:hAnsi="Times New Roman"/>
          <w:sz w:val="19"/>
          <w:szCs w:val="19"/>
          <w:color w:val="auto"/>
        </w:rPr>
        <w:t>. Within [***] days after the Effective Date and prior to commencement of any Clinical Trial for a BioNTech Product, the Parties will negotiate in good faith and finalize the actions that the Parties will employ with respect to Licensed Products to protect patients and promote their well- being in a written pharmacovigilance agreement in customary form and substance mutually agreed by the Parties and consistent with this Agreement (the “</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The Pharmacovigilance Agreement shall delineate the Parties’ responsibilities with respect to pharmacovigilance matters for Licensed Products and include mutually acceptable guidelines and procedures for the receipt, investigation, recordation, communication, and exchange (as between the Parties) of adverse event reports and any other information concerning the safety of any Licensed Product, including recall and withdrawal responsibilities, processes and procedures. Such guidelines and procedures will be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33</w:t>
      </w:r>
    </w:p>
    <w:p>
      <w:pPr>
        <w:sectPr>
          <w:pgSz w:w="11900" w:h="16840" w:orient="portrait"/>
          <w:cols w:equalWidth="0" w:num="1">
            <w:col w:w="10580"/>
          </w:cols>
          <w:pgMar w:left="660" w:top="556" w:right="660" w:bottom="1440" w:gutter="0" w:footer="0" w:header="0"/>
        </w:sectPr>
      </w:pPr>
    </w:p>
    <w:bookmarkStart w:id="491" w:name="page492"/>
    <w:bookmarkEnd w:id="49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with, and enable the Parties to fulfill, local and national regulatory reporting obligations under applicable Laws. Each Party hereby agrees to comply with its respective obligations under such Pharmacovigilance Agreement and to cause its Affiliates, Sublicensees and contractors to comply with such obligations.</w:t>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u w:val="single" w:color="auto"/>
          <w:color w:val="auto"/>
        </w:rPr>
        <w:t>ARTICLE V</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MANUFACTURE, SUPPLY AND COMMERCIALIZATION</w:t>
      </w:r>
    </w:p>
    <w:p>
      <w:pPr>
        <w:spacing w:after="0" w:line="14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9"/>
          <w:szCs w:val="19"/>
          <w:u w:val="single" w:color="auto"/>
          <w:color w:val="auto"/>
        </w:rPr>
        <w:t>Manufacture and Supply for Initial Development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24" w:lineRule="auto"/>
        <w:tabs>
          <w:tab w:leader="none" w:pos="1729" w:val="left"/>
        </w:tabs>
        <w:numPr>
          <w:ilvl w:val="0"/>
          <w:numId w:val="5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Supply</w:t>
      </w:r>
      <w:r>
        <w:rPr>
          <w:rFonts w:ascii="Times New Roman" w:cs="Times New Roman" w:eastAsia="Times New Roman" w:hAnsi="Times New Roman"/>
          <w:sz w:val="19"/>
          <w:szCs w:val="19"/>
          <w:color w:val="auto"/>
        </w:rPr>
        <w:t>. During the Term, until completion of the Technology Transfer as set forth in Section 5.2, and subject to the terms and conditions of this Agreement, OncoC4 will, either by itself or via its Affiliates or a Third Party (i) Manufacture the Licensed Compound and Licensed Products (not including any Other Active) and supply the same to BioNTech for use in Development (including Clinical Trials) of Mono/PD-1 Combinations in accordance with the CDP, and (ii) use Commercially Reasonable Efforts to Manufacture the Licensed Compound and Licensed Products (not including any Other Active) and supply the same to BioNTech for use in Development (including Clinical Trials) of Other Combinations for use under the BioNTech Development Plan. Such Manufacture and supply by or on behalf of OncoC4 to BioNTech shall be governed by a written supply agreement to be negotiated in good faith and mutually agreed and entered into by the Parties as promptly as practicable (but not more than [***] days) following the Effective Date (as may be amended by mutual written agreement of the Parties from time to time, the “</w:t>
      </w:r>
      <w:r>
        <w:rPr>
          <w:rFonts w:ascii="Times New Roman" w:cs="Times New Roman" w:eastAsia="Times New Roman" w:hAnsi="Times New Roman"/>
          <w:sz w:val="19"/>
          <w:szCs w:val="19"/>
          <w:b w:val="1"/>
          <w:bCs w:val="1"/>
          <w:color w:val="auto"/>
        </w:rPr>
        <w:t>Supply Agreement</w:t>
      </w:r>
      <w:r>
        <w:rPr>
          <w:rFonts w:ascii="Times New Roman" w:cs="Times New Roman" w:eastAsia="Times New Roman" w:hAnsi="Times New Roman"/>
          <w:sz w:val="19"/>
          <w:szCs w:val="19"/>
          <w:color w:val="auto"/>
        </w:rPr>
        <w:t>”). The Supply Agreement shall be in form and substance customary for a transaction of this type (for clarity, not customary for an arm’s-length Third Party supply arrangement), and include terms and conditions that are in all respects consistent with the terms, conditions, covenants and other arrangements contemplated by this Agreement (including, without limitation, with respect to the sharing of Joint Development Costs and the sharing of liabilities related to the Manufacture of Mono/PD-1 Combinations for purposes of Development in accordance with the CDP), and BioNTech’s responsibility for the cost of Manufacturing for Other Combinations and the Commercialization of Licensed Products. Except as provided under Section 5.1(b) with respect to Joint Development Costs, the cost for Licensed Compound and Licensed Products supplied to BioNTech under the Supply Agreement will be the Fully Burdened Manufacturing Costs for such supply without any mark up. The Parties will mutually agree on a mechanism for the payment or reconciliation of such costs. Following the completion of the Technology Transfer contemplated by Section 5.2, BioNTech</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xml:space="preserve"> either by itself or via its Affiliates or a Third Party, shall be responsible for all Manufacturing of Licensed Compounds and Licensed Products, including for the supply of the Licensed Compound and Licensed Products to OncoC4 for use by or on behalf of OncoC4 in the Development of Mono/PD-1 Combinations accordance with the CDP. Except as expressly provided in Section 5.1(b), BioNTech will be responsible for the cost of all such Manufacturing.</w:t>
      </w:r>
    </w:p>
    <w:p>
      <w:pPr>
        <w:spacing w:after="0" w:line="135" w:lineRule="exact"/>
        <w:rPr>
          <w:rFonts w:ascii="Times New Roman" w:cs="Times New Roman" w:eastAsia="Times New Roman" w:hAnsi="Times New Roman"/>
          <w:sz w:val="19"/>
          <w:szCs w:val="19"/>
          <w:color w:val="auto"/>
        </w:rPr>
      </w:pPr>
    </w:p>
    <w:p>
      <w:pPr>
        <w:jc w:val="both"/>
        <w:ind w:right="20" w:firstLine="1158"/>
        <w:spacing w:after="0" w:line="227" w:lineRule="auto"/>
        <w:tabs>
          <w:tab w:leader="none" w:pos="1729" w:val="left"/>
        </w:tabs>
        <w:numPr>
          <w:ilvl w:val="0"/>
          <w:numId w:val="5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Manufacturing Costs</w:t>
      </w:r>
      <w:r>
        <w:rPr>
          <w:rFonts w:ascii="Times New Roman" w:cs="Times New Roman" w:eastAsia="Times New Roman" w:hAnsi="Times New Roman"/>
          <w:sz w:val="19"/>
          <w:szCs w:val="19"/>
          <w:color w:val="auto"/>
        </w:rPr>
        <w:t>. The Parties acknowledge and agree that the Fully Burdened Manufacturing Costs for Licensed Compound and Licensed Products for use in the Development of Mono/PD-1 Combinations in accordance with the CDP shall be included in the Joint Development Costs to be shared by the Parties (whether such costs are incurred by OncoC4 after the Effective Date and prior to the completion of the Technology Transfer, or thereafter by BioNTech).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34</w:t>
      </w:r>
    </w:p>
    <w:p>
      <w:pPr>
        <w:sectPr>
          <w:pgSz w:w="11900" w:h="16840" w:orient="portrait"/>
          <w:cols w:equalWidth="0" w:num="1">
            <w:col w:w="10580"/>
          </w:cols>
          <w:pgMar w:left="660" w:top="556" w:right="660" w:bottom="1440" w:gutter="0" w:footer="0" w:header="0"/>
        </w:sectPr>
      </w:pPr>
    </w:p>
    <w:bookmarkStart w:id="492" w:name="page493"/>
    <w:bookmarkEnd w:id="49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9"/>
          <w:szCs w:val="19"/>
          <w:u w:val="single" w:color="auto"/>
          <w:color w:val="auto"/>
        </w:rPr>
        <w:t>Technology Transfer; Further Development and Supply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1158"/>
        <w:spacing w:after="0" w:line="215" w:lineRule="auto"/>
        <w:tabs>
          <w:tab w:leader="none" w:pos="1729" w:val="left"/>
        </w:tabs>
        <w:numPr>
          <w:ilvl w:val="0"/>
          <w:numId w:val="5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Technology Transfer</w:t>
      </w:r>
      <w:r>
        <w:rPr>
          <w:rFonts w:ascii="Times New Roman" w:cs="Times New Roman" w:eastAsia="Times New Roman" w:hAnsi="Times New Roman"/>
          <w:sz w:val="19"/>
          <w:szCs w:val="19"/>
          <w:color w:val="auto"/>
        </w:rPr>
        <w:t>. Subject to Section 5.2(c) with respect to AI-061, upon BioNTech’s written request, and to the extent permitted under applicable Third Party manufacturing agreements, OncoC4 shall (i) assign the manufacturing agreements with its Third Party manufacturer(s) relating to the Manufacture of the Licensed Compound and Licensed Products to BioNTech or its designee, or (ii) cause its Third Party manufacturer(s) of the Licensed Compound and Licensed Products to transfer the Manufacturing process of the Licensed Compound and Licensed Products, including any quality assurance, quality control and release assays Controlled by OncoC4 or its Affiliates or the applicable Third Party manufacturer, to BioNTech or its designated Third Party manufacturer to enable BioNTech or such Third Party manufacturer to Manufacture the Licensed Compound and Licensed Products (clauses (i) and (ii) together, the “</w:t>
      </w:r>
      <w:r>
        <w:rPr>
          <w:rFonts w:ascii="Times New Roman" w:cs="Times New Roman" w:eastAsia="Times New Roman" w:hAnsi="Times New Roman"/>
          <w:sz w:val="19"/>
          <w:szCs w:val="19"/>
          <w:b w:val="1"/>
          <w:bCs w:val="1"/>
          <w:color w:val="auto"/>
        </w:rPr>
        <w:t>Technology Transfer</w:t>
      </w:r>
      <w:r>
        <w:rPr>
          <w:rFonts w:ascii="Times New Roman" w:cs="Times New Roman" w:eastAsia="Times New Roman" w:hAnsi="Times New Roman"/>
          <w:sz w:val="19"/>
          <w:szCs w:val="19"/>
          <w:color w:val="auto"/>
        </w:rPr>
        <w:t>”). The Parties shall conduct the Technology Transfer in accordance with a mutually agreed technology transfer plan and budget, to be negotiated in good faith and mutually agreed by the Parties within [***] months following BioNTech’s written request for the Technology Transfer, which plan shall include (A) detailed activities and timelines for such Technology Transfer, and (B) reasonable on-site support and consultation to be provided by or on behalf of OncoC4. The reasonable FTE Costs and Out-of-Pocket Costs of the Parties incurred in accordance with the Technology Transfer plan and budget in the conduct of such Technology Transfer shall be included in the Joint Development Costs and shared equally (50/50) between the Parties. For clarity, unless otherwise mutually agreed by the Parties in writing, [***] following the completion of such Technology Transfer in accordance with the Technology Transfer plan therefor, OncoC4 and its Affiliates shall have no further obligations or responsibilities with respect to conducting a Technology Transfer of ONC-392 or any other Anti-CTLA-4 Antibody except, if applicable, pursuant to Section 5.2(c).</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Development and Commercial Supply</w:t>
      </w:r>
      <w:r>
        <w:rPr>
          <w:rFonts w:ascii="Times New Roman" w:cs="Times New Roman" w:eastAsia="Times New Roman" w:hAnsi="Times New Roman"/>
          <w:sz w:val="19"/>
          <w:szCs w:val="19"/>
          <w:color w:val="auto"/>
        </w:rPr>
        <w:t>. Following completion of the Technology Transfer, unless otherwise mutually agreed by the Parties, BioNTech shall be solely responsible for the Manufacture and supply of the Licensed Compound and Licensed Products for all Development and Commercialization in the Field in the Territory, at its own cost, except to the extent that any such Manufacture and supply is for Development activities for Mono/PD-1 Combinations included in the CDP, in which case the Fully Burdened Manufacturing Costs for such supply shall be included in the Joint Development Costs.</w:t>
      </w:r>
    </w:p>
    <w:p>
      <w:pPr>
        <w:spacing w:after="0" w:line="137" w:lineRule="exact"/>
        <w:rPr>
          <w:rFonts w:ascii="Times New Roman" w:cs="Times New Roman" w:eastAsia="Times New Roman" w:hAnsi="Times New Roman"/>
          <w:sz w:val="19"/>
          <w:szCs w:val="19"/>
          <w:color w:val="auto"/>
        </w:rPr>
      </w:pPr>
    </w:p>
    <w:p>
      <w:pPr>
        <w:jc w:val="both"/>
        <w:ind w:firstLine="1158"/>
        <w:spacing w:after="0" w:line="217" w:lineRule="auto"/>
        <w:tabs>
          <w:tab w:leader="none" w:pos="1729" w:val="left"/>
        </w:tabs>
        <w:numPr>
          <w:ilvl w:val="0"/>
          <w:numId w:val="5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Manufacture of AI-025 and AI-061</w:t>
      </w:r>
      <w:r>
        <w:rPr>
          <w:rFonts w:ascii="Times New Roman" w:cs="Times New Roman" w:eastAsia="Times New Roman" w:hAnsi="Times New Roman"/>
          <w:sz w:val="19"/>
          <w:szCs w:val="19"/>
          <w:color w:val="auto"/>
        </w:rPr>
        <w:t xml:space="preserve">. Unless otherwise mutually agreed by the Parties in writing, the Technology Transfer pursuant to this Section 5.2 shall not include an assignment of agreements for the Manufacturing of AI-025 to BioNTech or its designee but BioNTech shall have the right at any time following Option exercise to receive a technology transfer of the Manufacturing process for AI-025 and AI-061. In that regard, Section 5.2(a)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to provide for Technology Transfer of such processes for AI-025 and AI-061, except that OncoC4 shall not be required to assign its manufacturing contracts with respect to AI-025 and AI-061 to BioNTech. OncoC4 shall provide all written permissions, consents, waivers, and instructions as BioNTech may reasonably request to facilitate disclosure and Technology Transfer from OncoC4’s or its Affiliates manufacturer(s) of AI-025 and AI-061 to BioNTech and/or to allow BioNTech to contract with such manufacturer(s). In addition, if BioNTech exercises the Option in accordance with Section 2.2 and Section 7.2, the Parties will discuss in good faith and mutually agree on terms and conditions under which OncoC4 would, itself or through an Affiliate or Third Party, Manufacture and supply AI-025 to BioNTech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35</w:t>
      </w:r>
    </w:p>
    <w:p>
      <w:pPr>
        <w:sectPr>
          <w:pgSz w:w="11900" w:h="16840" w:orient="portrait"/>
          <w:cols w:equalWidth="0" w:num="1">
            <w:col w:w="10580"/>
          </w:cols>
          <w:pgMar w:left="660" w:top="556" w:right="660" w:bottom="1440" w:gutter="0" w:footer="0" w:header="0"/>
        </w:sectPr>
      </w:pPr>
    </w:p>
    <w:bookmarkStart w:id="493" w:name="page494"/>
    <w:bookmarkEnd w:id="49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9"/>
          <w:szCs w:val="19"/>
          <w:color w:val="auto"/>
        </w:rPr>
        <w:t>facilitate a technology transfer of the Manufacturing process for AI-025 to BioNTech or its designee, in either case, to provide for the supply of AI-025 to BioNTech for the further Development and Commercialization of AI-061. For clarity, unless otherwise mutually agreed by the Parties in writing, there shall only be one (1) Technology Transfer under this Section 5.2(c) (to either BioNTech or its designated Third Party manufacturer), and following the completion of such Technology Transfer in accordance with the Technology Transfer plan therefor, OncoC4 and its Affiliates shall have no further obligations or responsibilities with respect to conducting a Technology Transfer of AI-025 or AI -061. Notwithstanding the foregoing, to the extent OncoC4 Manufactures and supplies to BioNTech, either by itself or via its Affiliates or a Third Party, any AI-025 and/or AI-061, OncoC4 shall supply such AI -025 and/or AI-061 at a transfer price equal to or less than OncoC4’s FBMC and otherwise pursuant to the other terms and conditions mutually agreed between the Parties in a supply agreement providing for such Manufacture and supply.</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9"/>
          <w:szCs w:val="19"/>
          <w:u w:val="single" w:color="auto"/>
          <w:color w:val="auto"/>
        </w:rPr>
        <w:t>Commercialization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40" w:firstLine="1158"/>
        <w:spacing w:after="0" w:line="232" w:lineRule="auto"/>
        <w:tabs>
          <w:tab w:leader="none" w:pos="1729" w:val="left"/>
        </w:tabs>
        <w:numPr>
          <w:ilvl w:val="0"/>
          <w:numId w:val="5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Commercialization Diligence</w:t>
      </w:r>
      <w:r>
        <w:rPr>
          <w:rFonts w:ascii="Times New Roman" w:cs="Times New Roman" w:eastAsia="Times New Roman" w:hAnsi="Times New Roman"/>
          <w:sz w:val="19"/>
          <w:szCs w:val="19"/>
          <w:color w:val="auto"/>
        </w:rPr>
        <w:t xml:space="preserve">. BioNTech will be solely responsible for, at its expense, and will have sole discretion with respect to, Commercializing Licensed Products;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BioNTech (directly, or through its Affiliates, Sublicensees or contractors) will use Commercially Reasonable Efforts to Commercialize [***]. [***]</w:t>
      </w:r>
    </w:p>
    <w:p>
      <w:pPr>
        <w:spacing w:after="0" w:line="134"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Commercialization Plan</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firstLine="1158"/>
        <w:spacing w:after="0" w:line="215" w:lineRule="auto"/>
        <w:tabs>
          <w:tab w:leader="none" w:pos="1729" w:val="left"/>
        </w:tabs>
        <w:numPr>
          <w:ilvl w:val="0"/>
          <w:numId w:val="5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Reporting Obligations</w:t>
      </w:r>
      <w:r>
        <w:rPr>
          <w:rFonts w:ascii="Times New Roman" w:cs="Times New Roman" w:eastAsia="Times New Roman" w:hAnsi="Times New Roman"/>
          <w:sz w:val="19"/>
          <w:szCs w:val="19"/>
          <w:color w:val="auto"/>
        </w:rPr>
        <w:t xml:space="preserve">. No later than [***] of each Calendar Year during the Term, BioNTech will provide OncoC4 with a high-level summary of BioNTech’s Commercialization and Manufacturing activities for each Licensed Product in the Territory performed in the preceding Calendar Year (or updating such summary for activities performed since the last such summary was given hereunder, as applicable), and a high-level summary of the future activities it expects to initiate in the next [***] months after the date of the report. BioNTech shall only be required to commence such summaries as of the date that the JSC disbands. While the JSC continues to meet, BioNTech shall make an annual presentation to the JSC summarizing BioNTech’s Commercialization achievements and plans for the following [***] years. Each such report will include a high-level [***] forecast of estimated worldwide Net Sales, which is not required to be broken down by country, territory, region, nor Licensed Product. In addition, BioNTech will provide OncoC4 with written notice of the First Commercial Sale of each Licensed Product in the Territory as soon as reasonably practicable after such event;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BioNTech will inform OncoC4 of such event prior to public disclosure of such event by BioNTech. BioNTech will provide such other information to OncoC4 as OncoC4 may reasonably request with respect to Commercialization of Licensed Products in the Territory and will keep OncoC4 reasonably informed of the material Commercialization activities of BioNTech with respect to such Licensed Products.</w:t>
      </w:r>
    </w:p>
    <w:p>
      <w:pPr>
        <w:spacing w:after="0" w:line="144"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OncoC4 Role In Commercialization</w:t>
      </w:r>
      <w:r>
        <w:rPr>
          <w:rFonts w:ascii="Times New Roman" w:cs="Times New Roman" w:eastAsia="Times New Roman" w:hAnsi="Times New Roman"/>
          <w:sz w:val="19"/>
          <w:szCs w:val="19"/>
          <w:color w:val="auto"/>
        </w:rPr>
        <w:t>. Prior to the commercial launch of a Licensed Product in the United States, upon OncoC4’s request to BioNTech, the Parties shall discuss in good faith whether and how OncoC4 might participate in some or all of the Commercialization activities of such Licensed Product in the United States. Additionally, following the first anniversary of the Effective Date, upon OncoC4’s reasonable request to BioNTech (not more than once in any Calendar Year unless otherwise mutually agreed),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36</w:t>
      </w:r>
    </w:p>
    <w:p>
      <w:pPr>
        <w:sectPr>
          <w:pgSz w:w="11900" w:h="16840" w:orient="portrait"/>
          <w:cols w:equalWidth="0" w:num="1">
            <w:col w:w="10580"/>
          </w:cols>
          <w:pgMar w:left="660" w:top="556" w:right="660" w:bottom="1440" w:gutter="0" w:footer="0" w:header="0"/>
        </w:sectPr>
      </w:pPr>
    </w:p>
    <w:bookmarkStart w:id="494" w:name="page495"/>
    <w:bookmarkEnd w:id="49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Parties shall discuss in good faith the potential Commercialization of Licensed Products in China, including whether and how OncoC4 might participate in some or all of such Commercialization activities and any adjustments to the terms and conditions of this Agreement that may be necessary or desirable to make such Commercialization advantageous to both Parties on commercially reasonable terms and conditions that are consistent with the then -applicable policies, procedures and resources of each Party. Any such participation by OncoC4 in Commercialization activities with respect to Licensed Product(s) would be subject to the negotiation and mutual agreement of the Parties in writing on an amendment to this Agreement or an ancillary agreement setting forth the terms and conditions of such participation. Neither Party is required to agree to such an amendment or ancillary agreement and the inability to, or decision not to, enter in such amendment or ancillary agreement shall not be deemed to indicate that BioNTech has not used Commercially Reasonable Efforts.</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u w:val="single" w:color="auto"/>
          <w:color w:val="auto"/>
        </w:rPr>
        <w:t>ARTICLE VI</w:t>
      </w: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GOVERNANCE; COLLABORATION STEERING COMMITTEE</w:t>
      </w:r>
    </w:p>
    <w:p>
      <w:pPr>
        <w:spacing w:after="0" w:line="144" w:lineRule="exact"/>
        <w:rPr>
          <w:sz w:val="20"/>
          <w:szCs w:val="20"/>
          <w:color w:val="auto"/>
        </w:rPr>
      </w:pPr>
    </w:p>
    <w:p>
      <w:pPr>
        <w:jc w:val="both"/>
        <w:ind w:right="40" w:firstLine="870"/>
        <w:spacing w:after="0" w:line="227" w:lineRule="auto"/>
        <w:tabs>
          <w:tab w:leader="none" w:pos="1032" w:val="left"/>
        </w:tabs>
        <w:numPr>
          <w:ilvl w:val="0"/>
          <w:numId w:val="5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Formation; Purposes and Principles</w:t>
      </w:r>
      <w:r>
        <w:rPr>
          <w:rFonts w:ascii="Times New Roman" w:cs="Times New Roman" w:eastAsia="Times New Roman" w:hAnsi="Times New Roman"/>
          <w:sz w:val="19"/>
          <w:szCs w:val="19"/>
          <w:color w:val="auto"/>
        </w:rPr>
        <w:t>. Within [***] Business Days after the Effective Date, OncoC4 and BioNTech will form a joint steering committee (the “</w:t>
      </w:r>
      <w:r>
        <w:rPr>
          <w:rFonts w:ascii="Times New Roman" w:cs="Times New Roman" w:eastAsia="Times New Roman" w:hAnsi="Times New Roman"/>
          <w:sz w:val="19"/>
          <w:szCs w:val="19"/>
          <w:b w:val="1"/>
          <w:bCs w:val="1"/>
          <w:color w:val="auto"/>
        </w:rPr>
        <w:t>JSC</w:t>
      </w:r>
      <w:r>
        <w:rPr>
          <w:rFonts w:ascii="Times New Roman" w:cs="Times New Roman" w:eastAsia="Times New Roman" w:hAnsi="Times New Roman"/>
          <w:sz w:val="19"/>
          <w:szCs w:val="19"/>
          <w:color w:val="auto"/>
        </w:rPr>
        <w:t>”) to provide oversight and to facilitate information sharing between the Parties with respect to the activities of the Parties under this Agreement. The JSC shall be in existence from the date of its formation until the completion of all then-scheduled activities under the CDP, at which point it shall disband.</w:t>
      </w:r>
    </w:p>
    <w:p>
      <w:pPr>
        <w:spacing w:after="0" w:line="134" w:lineRule="exact"/>
        <w:rPr>
          <w:sz w:val="20"/>
          <w:szCs w:val="20"/>
          <w:color w:val="auto"/>
        </w:rPr>
      </w:pPr>
    </w:p>
    <w:p>
      <w:pPr>
        <w:ind w:right="40" w:firstLine="864"/>
        <w:spacing w:after="0" w:line="246" w:lineRule="auto"/>
        <w:rPr>
          <w:sz w:val="20"/>
          <w:szCs w:val="20"/>
          <w:color w:val="auto"/>
        </w:rPr>
      </w:pPr>
      <w:r>
        <w:rPr>
          <w:rFonts w:ascii="Times New Roman" w:cs="Times New Roman" w:eastAsia="Times New Roman" w:hAnsi="Times New Roman"/>
          <w:sz w:val="19"/>
          <w:szCs w:val="19"/>
          <w:color w:val="auto"/>
        </w:rPr>
        <w:t xml:space="preserve">6 . 2 </w:t>
      </w:r>
      <w:r>
        <w:rPr>
          <w:rFonts w:ascii="Times New Roman" w:cs="Times New Roman" w:eastAsia="Times New Roman" w:hAnsi="Times New Roman"/>
          <w:sz w:val="19"/>
          <w:szCs w:val="19"/>
          <w:u w:val="single" w:color="auto"/>
          <w:color w:val="auto"/>
        </w:rPr>
        <w:t>Specific Responsibilities</w:t>
      </w:r>
      <w:r>
        <w:rPr>
          <w:rFonts w:ascii="Times New Roman" w:cs="Times New Roman" w:eastAsia="Times New Roman" w:hAnsi="Times New Roman"/>
          <w:sz w:val="19"/>
          <w:szCs w:val="19"/>
          <w:color w:val="auto"/>
        </w:rPr>
        <w:t>. In addition to its overall responsibility to provide strategic oversight and to facilitate information sharing between the Parties with respect to the activities of the Parties under this Agreement, the JSC will:</w:t>
      </w:r>
    </w:p>
    <w:p>
      <w:pPr>
        <w:spacing w:after="0" w:line="128" w:lineRule="exact"/>
        <w:rPr>
          <w:sz w:val="20"/>
          <w:szCs w:val="20"/>
          <w:color w:val="auto"/>
        </w:rPr>
      </w:pPr>
    </w:p>
    <w:p>
      <w:pPr>
        <w:ind w:right="60" w:firstLine="1158"/>
        <w:spacing w:after="0" w:line="246" w:lineRule="auto"/>
        <w:tabs>
          <w:tab w:leader="none" w:pos="1729"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the CDP and each Joint Development Budget included therein, and any proposed amendments or revisions to the CDP or Joint Development Budget;</w:t>
      </w:r>
    </w:p>
    <w:p>
      <w:pPr>
        <w:spacing w:after="0" w:line="128" w:lineRule="exact"/>
        <w:rPr>
          <w:rFonts w:ascii="Times New Roman" w:cs="Times New Roman" w:eastAsia="Times New Roman" w:hAnsi="Times New Roman"/>
          <w:sz w:val="19"/>
          <w:szCs w:val="19"/>
          <w:color w:val="auto"/>
        </w:rPr>
      </w:pPr>
    </w:p>
    <w:p>
      <w:pPr>
        <w:ind w:right="20" w:firstLine="1158"/>
        <w:spacing w:after="0" w:line="246" w:lineRule="auto"/>
        <w:tabs>
          <w:tab w:leader="none" w:pos="1729"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and coordinate between the Parties with respect to the Development and Manufacturing activities and interactions with Regulatory Authorities with respect to the Licensed Compound and Licensed Products under the CDP;</w:t>
      </w:r>
    </w:p>
    <w:p>
      <w:pPr>
        <w:spacing w:after="0" w:line="128" w:lineRule="exact"/>
        <w:rPr>
          <w:rFonts w:ascii="Times New Roman" w:cs="Times New Roman" w:eastAsia="Times New Roman" w:hAnsi="Times New Roman"/>
          <w:sz w:val="19"/>
          <w:szCs w:val="19"/>
          <w:color w:val="auto"/>
        </w:rPr>
      </w:pPr>
    </w:p>
    <w:p>
      <w:pPr>
        <w:jc w:val="both"/>
        <w:ind w:right="40" w:firstLine="1158"/>
        <w:spacing w:after="0" w:line="232" w:lineRule="auto"/>
        <w:tabs>
          <w:tab w:leader="none" w:pos="1729"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coordinate and keep OncoC4 reasonably informed of the BioNTech’s Development, Manufacture and Commercialization activities and interactions with Regulatory Authorities with respect to the Licensed Compound and Licensed Products under the BioNTech Development Plan;</w:t>
      </w:r>
    </w:p>
    <w:p>
      <w:pPr>
        <w:spacing w:after="0" w:line="130"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delegate responsibilities to and oversee the activities of any Subcommittees and resolve any disputes raised by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Subcommittees, and</w:t>
      </w:r>
    </w:p>
    <w:p>
      <w:pPr>
        <w:spacing w:after="0" w:line="143"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such other functions as are assigned to it in this Agreement or as appropriate to further the purposes of this Agreement to the extent agreed to in writing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37</w:t>
      </w:r>
    </w:p>
    <w:p>
      <w:pPr>
        <w:sectPr>
          <w:pgSz w:w="11900" w:h="16840" w:orient="portrait"/>
          <w:cols w:equalWidth="0" w:num="1">
            <w:col w:w="10600"/>
          </w:cols>
          <w:pgMar w:left="660" w:top="556" w:right="640" w:bottom="1440" w:gutter="0" w:footer="0" w:header="0"/>
        </w:sectPr>
      </w:pPr>
    </w:p>
    <w:bookmarkStart w:id="495" w:name="page496"/>
    <w:bookmarkEnd w:id="49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864"/>
        <w:spacing w:after="0" w:line="213" w:lineRule="auto"/>
        <w:rPr>
          <w:sz w:val="20"/>
          <w:szCs w:val="20"/>
          <w:color w:val="auto"/>
        </w:rPr>
      </w:pPr>
      <w:r>
        <w:rPr>
          <w:rFonts w:ascii="Times New Roman" w:cs="Times New Roman" w:eastAsia="Times New Roman" w:hAnsi="Times New Roman"/>
          <w:sz w:val="19"/>
          <w:szCs w:val="19"/>
          <w:color w:val="auto"/>
        </w:rPr>
        <w:t xml:space="preserve">6 . 3 </w:t>
      </w:r>
      <w:r>
        <w:rPr>
          <w:rFonts w:ascii="Times New Roman" w:cs="Times New Roman" w:eastAsia="Times New Roman" w:hAnsi="Times New Roman"/>
          <w:sz w:val="19"/>
          <w:szCs w:val="19"/>
          <w:u w:val="single" w:color="auto"/>
          <w:color w:val="auto"/>
        </w:rPr>
        <w:t>Membership</w:t>
      </w:r>
      <w:r>
        <w:rPr>
          <w:rFonts w:ascii="Times New Roman" w:cs="Times New Roman" w:eastAsia="Times New Roman" w:hAnsi="Times New Roman"/>
          <w:sz w:val="19"/>
          <w:szCs w:val="19"/>
          <w:color w:val="auto"/>
        </w:rPr>
        <w:t xml:space="preserve">. The JSC will be composed of a total of [***] representatives of each Party, which will be appointed by each of OncoC4 and BioNTech, respectively. Each individual appointed by a Party as a representative to the JSC will be an employee of such Party with sufficient seniority within the applicable Party to provide meaningful input and make decisions arising within the scope of the JSC’s responsibilities, and have knowledge and expertise in the Development or Commercialization of compounds and products similar to the Licensed Products under this Agreement. The JSC may change its size from time to time by consent of its members;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the JSC will consist at all times of an equal number of representatives of each Party, unless otherwise agreed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Parties in writing. Each Party may replace any of its JSC representatives at any time upon written notice to the other Party, which notice may be given by e- mail, sent to the other Party. The JSC will be co-chaired by one designated representative of each Party, who is a member of the JSC, or alternatively by their designee who has sufficient seniority. Each co-chairperson, or their designee, will alternate being responsible for each meeting for (a) calling and conducting meetings, (b) preparing and circulating an agenda in advance of each meeting;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the applicable co-chairperson will include any agenda items proposed by either Party on such agenda,</w:t>
      </w:r>
    </w:p>
    <w:p>
      <w:pPr>
        <w:spacing w:after="0" w:line="2" w:lineRule="exact"/>
        <w:rPr>
          <w:sz w:val="20"/>
          <w:szCs w:val="20"/>
          <w:color w:val="auto"/>
        </w:rPr>
      </w:pPr>
    </w:p>
    <w:p>
      <w:pPr>
        <w:jc w:val="both"/>
        <w:ind w:firstLine="6"/>
        <w:spacing w:after="0" w:line="219" w:lineRule="auto"/>
        <w:tabs>
          <w:tab w:leader="none" w:pos="282" w:val="left"/>
        </w:tabs>
        <w:numPr>
          <w:ilvl w:val="0"/>
          <w:numId w:val="5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preparing minutes of each meeting that reflect the material decisions made and action items identified at such meetings promptly thereafter, and (d) sending draft meeting minutes to each member of the JSC for review and approval within [***] days after each JSC meeting. Each JSC representative will have [***] Business Days from receipt in which to comment on and to approve or provide comments to the minutes (such approval not to be unreasonably withheld, conditioned or delayed). Each JSC representative will be subject to confidentiality obligations no less stringent than those in Section 8.1.</w:t>
      </w:r>
    </w:p>
    <w:p>
      <w:pPr>
        <w:spacing w:after="0" w:line="134" w:lineRule="exact"/>
        <w:rPr>
          <w:sz w:val="20"/>
          <w:szCs w:val="20"/>
          <w:color w:val="auto"/>
        </w:rPr>
      </w:pPr>
    </w:p>
    <w:p>
      <w:pPr>
        <w:jc w:val="both"/>
        <w:ind w:firstLine="864"/>
        <w:spacing w:after="0" w:line="215" w:lineRule="auto"/>
        <w:rPr>
          <w:sz w:val="20"/>
          <w:szCs w:val="20"/>
          <w:color w:val="auto"/>
        </w:rPr>
      </w:pPr>
      <w:r>
        <w:rPr>
          <w:rFonts w:ascii="Times New Roman" w:cs="Times New Roman" w:eastAsia="Times New Roman" w:hAnsi="Times New Roman"/>
          <w:sz w:val="19"/>
          <w:szCs w:val="19"/>
          <w:color w:val="auto"/>
        </w:rPr>
        <w:t xml:space="preserve">6 . 4 </w:t>
      </w:r>
      <w:r>
        <w:rPr>
          <w:rFonts w:ascii="Times New Roman" w:cs="Times New Roman" w:eastAsia="Times New Roman" w:hAnsi="Times New Roman"/>
          <w:sz w:val="19"/>
          <w:szCs w:val="19"/>
          <w:u w:val="single" w:color="auto"/>
          <w:color w:val="auto"/>
        </w:rPr>
        <w:t>Meetings</w:t>
      </w:r>
      <w:r>
        <w:rPr>
          <w:rFonts w:ascii="Times New Roman" w:cs="Times New Roman" w:eastAsia="Times New Roman" w:hAnsi="Times New Roman"/>
          <w:sz w:val="19"/>
          <w:szCs w:val="19"/>
          <w:color w:val="auto"/>
        </w:rPr>
        <w:t>. The JSC will hold meetings [***] every [***] during the Term for so long as the JSC exists (i.e., until it disbands in accordance with Section 6.1), unless the Parties mutually agree in writing to a different frequency. No later than [***] Business Days prior to any meeting of the JSC (or such shorter time period as the Parties may agree), the chairperson will prepare and circulate an agenda for such meeting. Either Party may also call a special meeting of the JSC by providing at least [***] Business Days prior written notice to the other Party if such Party reasonably believes that a significant matter must be addressed prior to the next scheduled meeting, in which event such Party will work with the chairperson of the JSC to provide the members of the JSC no later than</w:t>
      </w:r>
    </w:p>
    <w:p>
      <w:pPr>
        <w:jc w:val="both"/>
        <w:ind w:firstLine="6"/>
        <w:spacing w:after="0" w:line="217" w:lineRule="auto"/>
        <w:tabs>
          <w:tab w:leader="none" w:pos="467" w:val="left"/>
        </w:tabs>
        <w:numPr>
          <w:ilvl w:val="0"/>
          <w:numId w:val="5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 prior to the special meeting with an agenda for the meeting and materials reasonably adequate to enable an informed decision on the matters to be considered. The JSC may meet in person or by audio or video conference as its representatives may mutually agree. Other representatives of the Parties (including relevant Alliance Managers and project managers), their Affiliates, and, only with the advance, written consent of both Parties, Third Parties involved in the Development, Manufacture, or Commercialization of Licensed Products may be invited by the members of the JSC to attend meetings as observers;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such representatives are subject to confidentiality obligations no less stringent than those set forth in Section 8.1.</w:t>
      </w:r>
    </w:p>
    <w:p>
      <w:pPr>
        <w:spacing w:after="0" w:line="137" w:lineRule="exact"/>
        <w:rPr>
          <w:sz w:val="20"/>
          <w:szCs w:val="20"/>
          <w:color w:val="auto"/>
        </w:rPr>
      </w:pPr>
    </w:p>
    <w:p>
      <w:pPr>
        <w:jc w:val="both"/>
        <w:ind w:firstLine="864"/>
        <w:spacing w:after="0" w:line="223" w:lineRule="auto"/>
        <w:rPr>
          <w:sz w:val="20"/>
          <w:szCs w:val="20"/>
          <w:color w:val="auto"/>
        </w:rPr>
      </w:pPr>
      <w:r>
        <w:rPr>
          <w:rFonts w:ascii="Times New Roman" w:cs="Times New Roman" w:eastAsia="Times New Roman" w:hAnsi="Times New Roman"/>
          <w:sz w:val="19"/>
          <w:szCs w:val="19"/>
          <w:color w:val="auto"/>
        </w:rPr>
        <w:t xml:space="preserve">6 . 5 </w:t>
      </w:r>
      <w:r>
        <w:rPr>
          <w:rFonts w:ascii="Times New Roman" w:cs="Times New Roman" w:eastAsia="Times New Roman" w:hAnsi="Times New Roman"/>
          <w:sz w:val="19"/>
          <w:szCs w:val="19"/>
          <w:u w:val="single" w:color="auto"/>
          <w:color w:val="auto"/>
        </w:rPr>
        <w:t>Decision-Making; Escalation to Senior Officers</w:t>
      </w:r>
      <w:r>
        <w:rPr>
          <w:rFonts w:ascii="Times New Roman" w:cs="Times New Roman" w:eastAsia="Times New Roman" w:hAnsi="Times New Roman"/>
          <w:sz w:val="19"/>
          <w:szCs w:val="19"/>
          <w:color w:val="auto"/>
        </w:rPr>
        <w:t>. The Parties will endeavor in good faith and in compliance with this Agreement to reach unanimous agreement with respect to all matters within the JSC’s authority. Each Party’s representatives on the JSC will collectively have one vote (the “</w:t>
      </w:r>
      <w:r>
        <w:rPr>
          <w:rFonts w:ascii="Times New Roman" w:cs="Times New Roman" w:eastAsia="Times New Roman" w:hAnsi="Times New Roman"/>
          <w:sz w:val="19"/>
          <w:szCs w:val="19"/>
          <w:b w:val="1"/>
          <w:bCs w:val="1"/>
          <w:color w:val="auto"/>
        </w:rPr>
        <w:t>Party Vote</w:t>
      </w:r>
      <w:r>
        <w:rPr>
          <w:rFonts w:ascii="Times New Roman" w:cs="Times New Roman" w:eastAsia="Times New Roman" w:hAnsi="Times New Roman"/>
          <w:sz w:val="19"/>
          <w:szCs w:val="19"/>
          <w:color w:val="auto"/>
        </w:rPr>
        <w:t>”) on all matters before the JSC, and no action or decision will be taken by the JSC without a unanimous Party Vote (i.e., the affirmative Party Vote of each Party). A decision made in accordance with this Section 6.5 shall be deemed to be a decision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38</w:t>
      </w:r>
    </w:p>
    <w:p>
      <w:pPr>
        <w:sectPr>
          <w:pgSz w:w="11900" w:h="16840" w:orient="portrait"/>
          <w:cols w:equalWidth="0" w:num="1">
            <w:col w:w="10580"/>
          </w:cols>
          <w:pgMar w:left="660" w:top="556" w:right="660" w:bottom="1440" w:gutter="0" w:footer="0" w:header="0"/>
        </w:sectPr>
      </w:pPr>
    </w:p>
    <w:bookmarkStart w:id="496" w:name="page497"/>
    <w:bookmarkEnd w:id="49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the JSC. Should the JSC not be able to reach agreement with respect to a matter at a duly called meeting of the JSC, either Party may refer such matter to the Senior Officers for resolution, and the Senior Officers will attempt to resolve the matter in good faith. If the Senior Officers fail to resolve such matter within [***] days after the date on which the matter is referred to the Senior Officers (unless a longer period is agreed to by the Parties), then:</w:t>
      </w:r>
    </w:p>
    <w:p>
      <w:pPr>
        <w:spacing w:after="0" w:line="134" w:lineRule="exact"/>
        <w:rPr>
          <w:sz w:val="20"/>
          <w:szCs w:val="20"/>
          <w:color w:val="auto"/>
        </w:rPr>
      </w:pPr>
    </w:p>
    <w:p>
      <w:pPr>
        <w:ind w:right="40" w:firstLine="1230"/>
        <w:spacing w:after="0" w:line="246" w:lineRule="auto"/>
        <w:tabs>
          <w:tab w:leader="none" w:pos="1729" w:val="left"/>
        </w:tabs>
        <w:numPr>
          <w:ilvl w:val="0"/>
          <w:numId w:val="5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Section 2.6(c), BioNTech shall have final decision-making authority on all matters within the JSC’s authority;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w:t>
      </w:r>
    </w:p>
    <w:p>
      <w:pPr>
        <w:spacing w:after="0" w:line="128" w:lineRule="exact"/>
        <w:rPr>
          <w:rFonts w:ascii="Times New Roman" w:cs="Times New Roman" w:eastAsia="Times New Roman" w:hAnsi="Times New Roman"/>
          <w:sz w:val="19"/>
          <w:szCs w:val="19"/>
          <w:color w:val="auto"/>
        </w:rPr>
      </w:pPr>
    </w:p>
    <w:p>
      <w:pPr>
        <w:ind w:left="2300" w:hanging="565"/>
        <w:spacing w:after="0"/>
        <w:tabs>
          <w:tab w:leader="none" w:pos="2300" w:val="left"/>
        </w:tabs>
        <w:numPr>
          <w:ilvl w:val="1"/>
          <w:numId w:val="5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735"/>
        <w:spacing w:after="0" w:line="215" w:lineRule="auto"/>
        <w:tabs>
          <w:tab w:leader="none" w:pos="2305" w:val="left"/>
        </w:tabs>
        <w:numPr>
          <w:ilvl w:val="1"/>
          <w:numId w:val="5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due to the budgetary impact of a Reserved Financial Decision, BioNTech is unable to exercise its final decision-making authority under Section 6.5(a) to add a new Clinical Trial or new Indication to the CDP and Joint Development Program, then, in any event, BioNTech reserves the right to conduct the Clinical Trial or Develop Licensed Products for the Indication outside the CDP and Joint Development Program, and, in that case, notwithstanding anything express or implied in this Agreement, BioNTech shall have the right, subject to the Reduction Floor, to credit an amount equal to [***] of the Joint Development Costs that would have been OncoC4’s responsibility had such Clinical Trial or Development been performed under the CDP against royalties otherwise due hereunder to OncoC4 (in due course as they become due) in respect of the applicable Licensed Product (i.e., royalties payable in respect of the relevant Licensed Product studied in the relevant Clinical Trial or subject of the Development activities conducted by BioNTech outside the CDP) and OncoC4 shall have no right to any Development Milestone Payment in Section 7.4(a) in relation to any Development Milestone Event related to or resulting from such Clinical Trial or Indication, and BioNTech is hereby excused from making such Development Milestone Payments related to such Indications;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BioNTech shall only be excused from making a Development Milestone Payment under this Section 6.5(a)(ii) if OncoC4 has not paid Joint Development Costs in respect of the relevant Clinical Trial or the Indication giving rise to the Development Milestone Payment.</w:t>
      </w:r>
    </w:p>
    <w:p>
      <w:pPr>
        <w:spacing w:after="0" w:line="144" w:lineRule="exact"/>
        <w:rPr>
          <w:rFonts w:ascii="Times New Roman" w:cs="Times New Roman" w:eastAsia="Times New Roman" w:hAnsi="Times New Roman"/>
          <w:sz w:val="19"/>
          <w:szCs w:val="19"/>
          <w:color w:val="auto"/>
        </w:rPr>
      </w:pPr>
    </w:p>
    <w:p>
      <w:pPr>
        <w:jc w:val="both"/>
        <w:ind w:firstLine="1735"/>
        <w:spacing w:after="0" w:line="215" w:lineRule="auto"/>
        <w:tabs>
          <w:tab w:leader="none" w:pos="2305" w:val="left"/>
        </w:tabs>
        <w:numPr>
          <w:ilvl w:val="1"/>
          <w:numId w:val="5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due to the budgetary impact of a Reserved Financial Decision, BioNTech is unable to exercise its final decision-making authority under Section 6.5(a) to modify a Clinical Trial or the Development of an Indication that is included in the CDP and Joint Development Program as of the applicable time, then, in any event, BioNTech reserves the right to modify the Clinical Trial or modify the Development of Licensed Products for the Indication outside the CDP and Joint Development Program, and, in that case, notwithstanding anything express or implied in this Agreement, BioNTech shall have the right, subject to the Reduction Floor, to credit an amount equal to [***] of the Joint Development Costs that would have been OncoC4’s responsibility had such Clinical Trial or Development been performed under the CDP against royalties otherwise due hereunder to OncoC4 (in due course as they become due) in respect of the applicable Licensed Product and the given Indication (i.e., royalties payable in respect of the relevant Licensed Product and Indication studied in the relevant Clinical Trial or subject of the Development activities conducted by BioNTech outside the CDP). In such event, the royalties allocable to the relevant Licensed Product and Indication will be calculated in accordance with a methodology reasonably proposed by BioNTech in good faith, taking in account the respective market share of the Indications. If BioNTech conducts a Clinical Trial or Develops an Indication outside the CDP under this Section 6.5(a)(iii), it shall have no impact on any Development Milestone Payment in Section 7.4(a) in relation to any Development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39</w:t>
      </w:r>
    </w:p>
    <w:p>
      <w:pPr>
        <w:sectPr>
          <w:pgSz w:w="11900" w:h="16840" w:orient="portrait"/>
          <w:cols w:equalWidth="0" w:num="1">
            <w:col w:w="10580"/>
          </w:cols>
          <w:pgMar w:left="660" w:top="556" w:right="660" w:bottom="1440" w:gutter="0" w:footer="0" w:header="0"/>
        </w:sectPr>
      </w:pPr>
    </w:p>
    <w:bookmarkStart w:id="497" w:name="page498"/>
    <w:bookmarkEnd w:id="49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Event related to or resulting from such Clinical Trial or Indication, and if any Development Milestone Event occurs with respect to such Clinical Trial or Indication, BioNTech shall be obligated to pay the corresponding Development Milestone Payment in accordance with Section 7.4(a),</w:t>
      </w:r>
    </w:p>
    <w:p>
      <w:pPr>
        <w:spacing w:after="0" w:line="135" w:lineRule="exact"/>
        <w:rPr>
          <w:sz w:val="20"/>
          <w:szCs w:val="20"/>
          <w:color w:val="auto"/>
        </w:rPr>
      </w:pPr>
    </w:p>
    <w:p>
      <w:pPr>
        <w:jc w:val="both"/>
        <w:ind w:firstLine="1230"/>
        <w:spacing w:after="0" w:line="227" w:lineRule="auto"/>
        <w:tabs>
          <w:tab w:leader="none" w:pos="1729" w:val="left"/>
        </w:tabs>
        <w:numPr>
          <w:ilvl w:val="1"/>
          <w:numId w:val="5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or anything contained herein, neither the JSC nor BioNTech through exercise of its final decision-making authority will have the right or authority to (i) amend or waive any of the terms or conditions of this Agreement or otherwise determine any matter outside the authority of the JSC or that expressly requires mutual agreement of the Parties under this Agreement, or (ii) make any determination or take any action solely or specifically related to AI-025 outside the context of AI-061.</w:t>
      </w:r>
    </w:p>
    <w:p>
      <w:pPr>
        <w:spacing w:after="0" w:line="133" w:lineRule="exact"/>
        <w:rPr>
          <w:rFonts w:ascii="Times New Roman" w:cs="Times New Roman" w:eastAsia="Times New Roman" w:hAnsi="Times New Roman"/>
          <w:sz w:val="19"/>
          <w:szCs w:val="19"/>
          <w:color w:val="auto"/>
        </w:rPr>
      </w:pPr>
    </w:p>
    <w:p>
      <w:pPr>
        <w:jc w:val="both"/>
        <w:ind w:firstLine="870"/>
        <w:spacing w:after="0" w:line="218" w:lineRule="auto"/>
        <w:tabs>
          <w:tab w:leader="none" w:pos="1032" w:val="left"/>
        </w:tabs>
        <w:numPr>
          <w:ilvl w:val="0"/>
          <w:numId w:val="5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 </w:t>
      </w:r>
      <w:r>
        <w:rPr>
          <w:rFonts w:ascii="Times New Roman" w:cs="Times New Roman" w:eastAsia="Times New Roman" w:hAnsi="Times New Roman"/>
          <w:sz w:val="19"/>
          <w:szCs w:val="19"/>
          <w:u w:val="single" w:color="auto"/>
          <w:color w:val="auto"/>
        </w:rPr>
        <w:t>Subcommittees</w:t>
      </w:r>
      <w:r>
        <w:rPr>
          <w:rFonts w:ascii="Times New Roman" w:cs="Times New Roman" w:eastAsia="Times New Roman" w:hAnsi="Times New Roman"/>
          <w:sz w:val="19"/>
          <w:szCs w:val="19"/>
          <w:color w:val="auto"/>
        </w:rPr>
        <w:t>. From time to time during the Term, the JSC may establish and delegate duties to subcommittees (e.g., project teams) (each, a “</w:t>
      </w:r>
      <w:r>
        <w:rPr>
          <w:rFonts w:ascii="Times New Roman" w:cs="Times New Roman" w:eastAsia="Times New Roman" w:hAnsi="Times New Roman"/>
          <w:sz w:val="19"/>
          <w:szCs w:val="19"/>
          <w:b w:val="1"/>
          <w:bCs w:val="1"/>
          <w:color w:val="auto"/>
        </w:rPr>
        <w:t>Subcommittee</w:t>
      </w:r>
      <w:r>
        <w:rPr>
          <w:rFonts w:ascii="Times New Roman" w:cs="Times New Roman" w:eastAsia="Times New Roman" w:hAnsi="Times New Roman"/>
          <w:sz w:val="19"/>
          <w:szCs w:val="19"/>
          <w:color w:val="auto"/>
        </w:rPr>
        <w:t>”) on an “as needed” basis to oversee particular projects or activities. Each Subcommittee will consist of mutually agreed number of representatives from each Party, and will meet from time to time upon mutual agreement between representatives from each Party. The decision-making within a Subcommittee will be by consensus, with each Party’s representatives on the applicable Subcommittee collectively having one (1) vote on all matters brought before the Subcommittee. Each Subcommittee and its activities will be subject to the direction, review and approval of, and will report to, the JSC. In no event will the authority of the Subcommittee exceed that specified for the JSC in Section 6.2. Any matter not resolved by a Subcommittee will be referred to the JSC for resolution. Unless otherwise mutually agreed by the Parties, each Subcommittee will disband upon completion of all the obligations designated by the JSC to such Subcommittee.</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6.7</w:t>
      </w:r>
      <w:r>
        <w:rPr>
          <w:sz w:val="20"/>
          <w:szCs w:val="20"/>
          <w:color w:val="auto"/>
        </w:rPr>
        <w:tab/>
      </w:r>
      <w:r>
        <w:rPr>
          <w:rFonts w:ascii="Times New Roman" w:cs="Times New Roman" w:eastAsia="Times New Roman" w:hAnsi="Times New Roman"/>
          <w:sz w:val="19"/>
          <w:szCs w:val="19"/>
          <w:u w:val="single" w:color="auto"/>
          <w:color w:val="auto"/>
        </w:rPr>
        <w:t>Alliance Managers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1230"/>
        <w:spacing w:after="0"/>
        <w:tabs>
          <w:tab w:leader="none" w:pos="1729"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Appointment</w:t>
      </w:r>
      <w:r>
        <w:rPr>
          <w:rFonts w:ascii="Times New Roman" w:cs="Times New Roman" w:eastAsia="Times New Roman" w:hAnsi="Times New Roman"/>
          <w:sz w:val="19"/>
          <w:szCs w:val="19"/>
          <w:color w:val="auto"/>
        </w:rPr>
        <w:t>. Each Party will appoint a person to oversee interactions between the Parties for all matters related to the Development and Commercialization of Licensed Products between meetings of the JSC (each, an “</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The Alliance Managers will have the right to attend all meetings of the committees as non-voting participants and may bring to the attention of the JSC any matters or issues either Alliance Manager reasonably believes should be discussed and will have such other responsibilities as the Parties may mutually agree in writing. Each Party may replace its Alliance Manager at any time or may designate different Alliance Managers with respect to Development and Commercialization matters, respectively, by notice in writing to the other Party.</w:t>
      </w:r>
    </w:p>
    <w:p>
      <w:pPr>
        <w:spacing w:after="0" w:line="225" w:lineRule="exact"/>
        <w:rPr>
          <w:rFonts w:ascii="Times New Roman" w:cs="Times New Roman" w:eastAsia="Times New Roman" w:hAnsi="Times New Roman"/>
          <w:sz w:val="19"/>
          <w:szCs w:val="19"/>
          <w:color w:val="auto"/>
        </w:rPr>
      </w:pPr>
    </w:p>
    <w:p>
      <w:pPr>
        <w:jc w:val="both"/>
        <w:ind w:right="20" w:firstLine="1230"/>
        <w:spacing w:after="0" w:line="232" w:lineRule="auto"/>
        <w:tabs>
          <w:tab w:leader="none" w:pos="1729"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Responsibility</w:t>
      </w:r>
      <w:r>
        <w:rPr>
          <w:rFonts w:ascii="Times New Roman" w:cs="Times New Roman" w:eastAsia="Times New Roman" w:hAnsi="Times New Roman"/>
          <w:sz w:val="19"/>
          <w:szCs w:val="19"/>
          <w:color w:val="auto"/>
        </w:rPr>
        <w:t>. Subject to the limitations set forth in Section 6.5, the Alliance Managers will have the responsibility of creating and maintaining a constructive work environment within the JSC and between the Parties for all matters related to this Agreement. Without limiting the generality of the foregoing, each Alliance Manager will:</w:t>
      </w:r>
    </w:p>
    <w:p>
      <w:pPr>
        <w:spacing w:after="0" w:line="134" w:lineRule="exact"/>
        <w:rPr>
          <w:rFonts w:ascii="Times New Roman" w:cs="Times New Roman" w:eastAsia="Times New Roman" w:hAnsi="Times New Roman"/>
          <w:sz w:val="19"/>
          <w:szCs w:val="19"/>
          <w:color w:val="auto"/>
        </w:rPr>
      </w:pPr>
    </w:p>
    <w:p>
      <w:pPr>
        <w:jc w:val="both"/>
        <w:ind w:right="20" w:firstLine="1735"/>
        <w:spacing w:after="0" w:line="232" w:lineRule="auto"/>
        <w:tabs>
          <w:tab w:leader="none" w:pos="2293" w:val="left"/>
        </w:tabs>
        <w:numPr>
          <w:ilvl w:val="1"/>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a single point of communication within the Parties’ respective organizations and between the Parties with respect to this Agreement, including any issues that may arise that it may be possible to resolve without (or prior to) escalation to the JSC;</w:t>
      </w:r>
    </w:p>
    <w:p>
      <w:pPr>
        <w:spacing w:after="0" w:line="134" w:lineRule="exact"/>
        <w:rPr>
          <w:rFonts w:ascii="Times New Roman" w:cs="Times New Roman" w:eastAsia="Times New Roman" w:hAnsi="Times New Roman"/>
          <w:sz w:val="19"/>
          <w:szCs w:val="19"/>
          <w:color w:val="auto"/>
        </w:rPr>
      </w:pPr>
    </w:p>
    <w:p>
      <w:pPr>
        <w:ind w:right="20" w:firstLine="1735"/>
        <w:spacing w:after="0" w:line="246" w:lineRule="auto"/>
        <w:tabs>
          <w:tab w:leader="none" w:pos="2305" w:val="left"/>
        </w:tabs>
        <w:numPr>
          <w:ilvl w:val="1"/>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coordinate cooperative efforts, internal communications and external communications between the Parties with respect to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40</w:t>
      </w:r>
    </w:p>
    <w:p>
      <w:pPr>
        <w:sectPr>
          <w:pgSz w:w="11900" w:h="16840" w:orient="portrait"/>
          <w:cols w:equalWidth="0" w:num="1">
            <w:col w:w="10580"/>
          </w:cols>
          <w:pgMar w:left="660" w:top="556" w:right="660" w:bottom="1440" w:gutter="0" w:footer="0" w:header="0"/>
        </w:sectPr>
      </w:pPr>
    </w:p>
    <w:bookmarkStart w:id="498" w:name="page499"/>
    <w:bookmarkEnd w:id="49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firstLine="1735"/>
        <w:spacing w:after="0" w:line="227" w:lineRule="auto"/>
        <w:tabs>
          <w:tab w:leader="none" w:pos="2305" w:val="left"/>
        </w:tabs>
        <w:numPr>
          <w:ilvl w:val="0"/>
          <w:numId w:val="5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other steps as may be required to ensure that meetings of the JSC occur as set forth in this Agreement, that procedures are followed with respect to such meetings (including working with the co-chairpersons with respect to the giving of proper notice and the preparation and approval of minutes) and that relevant action items resulting from such meetings are appropriately carried out or otherwise addressed.</w:t>
      </w:r>
    </w:p>
    <w:p>
      <w:pPr>
        <w:spacing w:after="0" w:line="1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VII</w:t>
      </w:r>
    </w:p>
    <w:p>
      <w:pPr>
        <w:ind w:left="4120"/>
        <w:spacing w:after="0"/>
        <w:rPr>
          <w:sz w:val="20"/>
          <w:szCs w:val="20"/>
          <w:color w:val="auto"/>
        </w:rPr>
      </w:pPr>
      <w:r>
        <w:rPr>
          <w:rFonts w:ascii="Times New Roman" w:cs="Times New Roman" w:eastAsia="Times New Roman" w:hAnsi="Times New Roman"/>
          <w:sz w:val="19"/>
          <w:szCs w:val="19"/>
          <w:b w:val="1"/>
          <w:bCs w:val="1"/>
          <w:color w:val="auto"/>
        </w:rPr>
        <w:t>FINANCIAL PROVISIONS</w:t>
      </w:r>
    </w:p>
    <w:p>
      <w:pPr>
        <w:spacing w:after="0" w:line="144" w:lineRule="exact"/>
        <w:rPr>
          <w:sz w:val="20"/>
          <w:szCs w:val="20"/>
          <w:color w:val="auto"/>
        </w:rPr>
      </w:pPr>
    </w:p>
    <w:p>
      <w:pPr>
        <w:jc w:val="both"/>
        <w:ind w:firstLine="864"/>
        <w:spacing w:after="0" w:line="223" w:lineRule="auto"/>
        <w:rPr>
          <w:sz w:val="20"/>
          <w:szCs w:val="20"/>
          <w:color w:val="auto"/>
        </w:rPr>
      </w:pPr>
      <w:r>
        <w:rPr>
          <w:rFonts w:ascii="Times New Roman" w:cs="Times New Roman" w:eastAsia="Times New Roman" w:hAnsi="Times New Roman"/>
          <w:sz w:val="19"/>
          <w:szCs w:val="19"/>
          <w:color w:val="auto"/>
        </w:rPr>
        <w:t xml:space="preserve">7 . 1 </w:t>
      </w:r>
      <w:r>
        <w:rPr>
          <w:rFonts w:ascii="Times New Roman" w:cs="Times New Roman" w:eastAsia="Times New Roman" w:hAnsi="Times New Roman"/>
          <w:sz w:val="19"/>
          <w:szCs w:val="19"/>
          <w:u w:val="single" w:color="auto"/>
          <w:color w:val="auto"/>
        </w:rPr>
        <w:t>Effective Date Payment</w:t>
      </w:r>
      <w:r>
        <w:rPr>
          <w:rFonts w:ascii="Times New Roman" w:cs="Times New Roman" w:eastAsia="Times New Roman" w:hAnsi="Times New Roman"/>
          <w:sz w:val="19"/>
          <w:szCs w:val="19"/>
          <w:color w:val="auto"/>
        </w:rPr>
        <w:t>. Subject to the terms and conditions of this Agreement, BioNTech will pay OncoC4 a non-refundable, non-creditable, one -time payment in the amount of two hundred million Dollars ($200,000,000), which payment will be due and payable to OncoC4 within [***] days following the date of BioNTech’s receipt of an invoice provided by OncoC4 in accordance with this Agreement upon or after the Effective Date, of which [***] is in consideration for and shall fund the performance by OncoC4 of its activities to research and Develop ONC-392 under the CDP.</w:t>
      </w:r>
    </w:p>
    <w:p>
      <w:pPr>
        <w:spacing w:after="0" w:line="137" w:lineRule="exact"/>
        <w:rPr>
          <w:sz w:val="20"/>
          <w:szCs w:val="20"/>
          <w:color w:val="auto"/>
        </w:rPr>
      </w:pPr>
    </w:p>
    <w:p>
      <w:pPr>
        <w:jc w:val="both"/>
        <w:ind w:right="20" w:firstLine="864"/>
        <w:spacing w:after="0" w:line="227" w:lineRule="auto"/>
        <w:rPr>
          <w:sz w:val="20"/>
          <w:szCs w:val="20"/>
          <w:color w:val="auto"/>
        </w:rPr>
      </w:pPr>
      <w:r>
        <w:rPr>
          <w:rFonts w:ascii="Times New Roman" w:cs="Times New Roman" w:eastAsia="Times New Roman" w:hAnsi="Times New Roman"/>
          <w:sz w:val="19"/>
          <w:szCs w:val="19"/>
          <w:color w:val="auto"/>
        </w:rPr>
        <w:t xml:space="preserve">7 . 2 </w:t>
      </w:r>
      <w:r>
        <w:rPr>
          <w:rFonts w:ascii="Times New Roman" w:cs="Times New Roman" w:eastAsia="Times New Roman" w:hAnsi="Times New Roman"/>
          <w:sz w:val="19"/>
          <w:szCs w:val="19"/>
          <w:u w:val="single" w:color="auto"/>
          <w:color w:val="auto"/>
        </w:rPr>
        <w:t>Option Exercise Fee</w:t>
      </w:r>
      <w:r>
        <w:rPr>
          <w:rFonts w:ascii="Times New Roman" w:cs="Times New Roman" w:eastAsia="Times New Roman" w:hAnsi="Times New Roman"/>
          <w:sz w:val="19"/>
          <w:szCs w:val="19"/>
          <w:color w:val="auto"/>
        </w:rPr>
        <w:t>. Following BioNTech’s delivery of an Option Exercise Notice to OncoC4 in accordance with Section 2.2(a), BioNTech will pay to OncoC4 a non -refundable, non-creditable, one - time payment in the amount of [***]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Exercise Fee</w:t>
      </w:r>
      <w:r>
        <w:rPr>
          <w:rFonts w:ascii="Times New Roman" w:cs="Times New Roman" w:eastAsia="Times New Roman" w:hAnsi="Times New Roman"/>
          <w:sz w:val="19"/>
          <w:szCs w:val="19"/>
          <w:color w:val="auto"/>
        </w:rPr>
        <w:t>”) no later than [***] days following the date of BioNTech’s receipt of an invoice provided by OncoC4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upon or after the date of OncoC4’s receipt of the Option Exercise Notice.</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7.3</w:t>
      </w:r>
      <w:r>
        <w:rPr>
          <w:sz w:val="20"/>
          <w:szCs w:val="20"/>
          <w:color w:val="auto"/>
        </w:rPr>
        <w:tab/>
      </w:r>
      <w:r>
        <w:rPr>
          <w:rFonts w:ascii="Times New Roman" w:cs="Times New Roman" w:eastAsia="Times New Roman" w:hAnsi="Times New Roman"/>
          <w:sz w:val="19"/>
          <w:szCs w:val="19"/>
          <w:u w:val="single" w:color="auto"/>
          <w:color w:val="auto"/>
        </w:rPr>
        <w:t>Joint Development Costs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20" w:firstLine="1158"/>
        <w:spacing w:after="0" w:line="246" w:lineRule="auto"/>
        <w:tabs>
          <w:tab w:leader="none" w:pos="1729" w:val="left"/>
        </w:tabs>
        <w:numPr>
          <w:ilvl w:val="0"/>
          <w:numId w:val="5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Section 3.2, and subject to this Section 7.3, all Joint Development Costs shall be shared equally (50/50) between BioNTech and OncoC4.</w:t>
      </w:r>
    </w:p>
    <w:p>
      <w:pPr>
        <w:spacing w:after="0" w:line="128" w:lineRule="exact"/>
        <w:rPr>
          <w:rFonts w:ascii="Times New Roman" w:cs="Times New Roman" w:eastAsia="Times New Roman" w:hAnsi="Times New Roman"/>
          <w:sz w:val="19"/>
          <w:szCs w:val="19"/>
          <w:color w:val="auto"/>
        </w:rPr>
      </w:pPr>
    </w:p>
    <w:p>
      <w:pPr>
        <w:jc w:val="both"/>
        <w:ind w:firstLine="1158"/>
        <w:spacing w:after="0" w:line="215" w:lineRule="auto"/>
        <w:tabs>
          <w:tab w:leader="none" w:pos="1729" w:val="left"/>
        </w:tabs>
        <w:numPr>
          <w:ilvl w:val="0"/>
          <w:numId w:val="5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Commencing the first Calendar Quarter of the Term and continuing thereafter so long as a Party incurs Joint Development Costs under the CDP, within [***] days after the end of each Calendar Quarter during which either Party incurs any such Joint Development Costs, such Party shall submit to a finance designee of the other Party a report setting forth a good faith estimate of the Joint Development Costs it incurred in such Calendar Quarter, as detailed in the CDP as approved by the JSC. Within [***] days following the end of such Calendar Quarter, each Party shall update such report to reflect the final amount of Joint Development Costs incurred by such Party in such Calendar Quarter;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there are any Joint Development Costs incurred in such Calendar Quarter that a Party is unable to timely include in such financial report, then such amount shall be included and reconciled in the financial report in the following Calendar Quarter. Each such report shall specify in reasonable detail the Joint Development Costs incurred and shall include reasonably detailed supporting information. Within [***] days after receipt of such reports, the finance designees from both Parties shall confer and agree in writing on whether a reconciliation payment is due from one Party to the other Party, and if so, the amount of such reconciliation payment, so that the Parties share Joint Development Costs in accordance with this Section 7.3. The Party required to pay such reconciliation payment shall make such payment to the other Party within [***] days after the date of such Party’s receipt of an invoice provided by the other Party upon or after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41</w:t>
      </w:r>
    </w:p>
    <w:p>
      <w:pPr>
        <w:sectPr>
          <w:pgSz w:w="11900" w:h="16840" w:orient="portrait"/>
          <w:cols w:equalWidth="0" w:num="1">
            <w:col w:w="10580"/>
          </w:cols>
          <w:pgMar w:left="660" w:top="556" w:right="660" w:bottom="1440" w:gutter="0" w:footer="0" w:header="0"/>
        </w:sectPr>
      </w:pPr>
    </w:p>
    <w:bookmarkStart w:id="499" w:name="page500"/>
    <w:bookmarkEnd w:id="49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 xml:space="preserve">such [***] day conferral period;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in the event of any good faith disagreement with respect to the calculation of such reconciliation payment, any undisputed portion of such reconciliation payment shall be paid in accordance with the foregoing timetable and any remaining portion subject to a good faith dispute shall be paid within [***] days after the date on which the Parties, using good faith efforts, resolve the dispute and the Party entitled to payment provides an updated invoice for the correct amount. For the avoidance of doubt, no cost or expense shall be counted more than once in calculating Joint Development Costs, even if such cost or expense falls into more than one of the cost categories that comprise Joint Development Costs.</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7.4</w:t>
      </w:r>
      <w:r>
        <w:rPr>
          <w:sz w:val="20"/>
          <w:szCs w:val="20"/>
          <w:color w:val="auto"/>
        </w:rPr>
        <w:tab/>
      </w:r>
      <w:r>
        <w:rPr>
          <w:rFonts w:ascii="Times New Roman" w:cs="Times New Roman" w:eastAsia="Times New Roman" w:hAnsi="Times New Roman"/>
          <w:sz w:val="19"/>
          <w:szCs w:val="19"/>
          <w:u w:val="single" w:color="auto"/>
          <w:color w:val="auto"/>
        </w:rPr>
        <w:t>Milestone Payments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tabs>
          <w:tab w:leader="none" w:pos="1729" w:val="left"/>
        </w:tabs>
        <w:numPr>
          <w:ilvl w:val="0"/>
          <w:numId w:val="5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Mono/PD1 Combination Development Milestone Payments</w:t>
      </w:r>
      <w:r>
        <w:rPr>
          <w:rFonts w:ascii="Times New Roman" w:cs="Times New Roman" w:eastAsia="Times New Roman" w:hAnsi="Times New Roman"/>
          <w:sz w:val="19"/>
          <w:szCs w:val="19"/>
          <w:color w:val="auto"/>
        </w:rPr>
        <w:t xml:space="preserve">. During the Term, BioNTech will notify OncoC4 (or, with respect to any Clinical Trial sponsored by OncoC4, OncoC4 will notify BioNTech) in writing of the achievement by or on behalf of BioNTech, its Affiliates or Sublicensees, or OncoC4 of any milestone event set forth in this Section 7.4(a) (each, a “ </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Milestone Event</w:t>
      </w:r>
      <w:r>
        <w:rPr>
          <w:rFonts w:ascii="Times New Roman" w:cs="Times New Roman" w:eastAsia="Times New Roman" w:hAnsi="Times New Roman"/>
          <w:sz w:val="19"/>
          <w:szCs w:val="19"/>
          <w:color w:val="auto"/>
        </w:rPr>
        <w:t>”): [***] and BioNTech will pay OncoC4 the corresponding non-refundable, non-creditable, milestone payments 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forth in the tables below (each, a “</w:t>
      </w:r>
      <w:r>
        <w:rPr>
          <w:rFonts w:ascii="Times New Roman" w:cs="Times New Roman" w:eastAsia="Times New Roman" w:hAnsi="Times New Roman"/>
          <w:sz w:val="19"/>
          <w:szCs w:val="19"/>
          <w:b w:val="1"/>
          <w:bCs w:val="1"/>
          <w:color w:val="auto"/>
        </w:rPr>
        <w:t>Development Milestone Payment</w:t>
      </w:r>
      <w:r>
        <w:rPr>
          <w:rFonts w:ascii="Times New Roman" w:cs="Times New Roman" w:eastAsia="Times New Roman" w:hAnsi="Times New Roman"/>
          <w:sz w:val="19"/>
          <w:szCs w:val="19"/>
          <w:color w:val="auto"/>
        </w:rPr>
        <w:t>”) within [***] days following the date of BioNTech’s receipt of an invoice provided by OncoC4 on or after the date of notice of the achievement of the corresponding Development Milestone Event by BioNTech, its Affiliates or any Sublicensees, or OncoC4. For clarity, each of the Development Milestone Events set forth in Section 7.4(a)(i) below [***] may only be earned one time, by the first Mono/PD-1 Combination to achieve the corresponding Development Milestone Event, and the Development Milestone Events set forth in Section 7.4(a)(ii) below [***] may be earned on a [***]</w:t>
      </w:r>
    </w:p>
    <w:p>
      <w:pPr>
        <w:spacing w:after="0" w:line="146" w:lineRule="exact"/>
        <w:rPr>
          <w:rFonts w:ascii="Times New Roman" w:cs="Times New Roman" w:eastAsia="Times New Roman" w:hAnsi="Times New Roman"/>
          <w:sz w:val="19"/>
          <w:szCs w:val="19"/>
          <w:color w:val="auto"/>
        </w:rPr>
      </w:pPr>
    </w:p>
    <w:p>
      <w:pPr>
        <w:jc w:val="both"/>
        <w:ind w:firstLine="1735"/>
        <w:spacing w:after="0" w:line="227" w:lineRule="auto"/>
        <w:tabs>
          <w:tab w:leader="none" w:pos="2293" w:val="left"/>
        </w:tabs>
        <w:numPr>
          <w:ilvl w:val="1"/>
          <w:numId w:val="5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One-Time Development Milestone Payments</w:t>
      </w:r>
      <w:r>
        <w:rPr>
          <w:rFonts w:ascii="Times New Roman" w:cs="Times New Roman" w:eastAsia="Times New Roman" w:hAnsi="Times New Roman"/>
          <w:sz w:val="19"/>
          <w:szCs w:val="19"/>
          <w:color w:val="auto"/>
        </w:rPr>
        <w:t>. Each of the Development Milestone Payments set forth in the table below [***] may be earned once, upon first achievement of the applicable Development Milestone Event by a Mono/PD-1 Combination. For clarity, the maximum amount of all Development Milestone Payments that may be earned under this Section 7.4(a)(i) is [***]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42</w:t>
      </w:r>
    </w:p>
    <w:p>
      <w:pPr>
        <w:sectPr>
          <w:pgSz w:w="11900" w:h="16840" w:orient="portrait"/>
          <w:cols w:equalWidth="0" w:num="1">
            <w:col w:w="10580"/>
          </w:cols>
          <w:pgMar w:left="660" w:top="556" w:right="660" w:bottom="1440" w:gutter="0" w:footer="0" w:header="0"/>
        </w:sectPr>
      </w:pPr>
    </w:p>
    <w:bookmarkStart w:id="500" w:name="page501"/>
    <w:bookmarkEnd w:id="50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6420" w:type="dxa"/>
            <w:vAlign w:val="bottom"/>
            <w:gridSpan w:val="3"/>
            <w:shd w:val="clear" w:color="auto" w:fill="D9D9D9"/>
          </w:tcPr>
          <w:p>
            <w:pPr>
              <w:ind w:left="1940"/>
              <w:spacing w:after="0"/>
              <w:rPr>
                <w:sz w:val="20"/>
                <w:szCs w:val="20"/>
                <w:color w:val="auto"/>
              </w:rPr>
            </w:pPr>
            <w:r>
              <w:rPr>
                <w:rFonts w:ascii="Times New Roman" w:cs="Times New Roman" w:eastAsia="Times New Roman" w:hAnsi="Times New Roman"/>
                <w:sz w:val="19"/>
                <w:szCs w:val="19"/>
                <w:b w:val="1"/>
                <w:bCs w:val="1"/>
                <w:color w:val="auto"/>
              </w:rPr>
              <w:t>Development Milestone Event</w:t>
            </w:r>
          </w:p>
        </w:tc>
        <w:tc>
          <w:tcPr>
            <w:tcW w:w="3460" w:type="dxa"/>
            <w:vAlign w:val="bottom"/>
            <w:shd w:val="clear" w:color="auto" w:fill="D9D9D9"/>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Development Milestone Payment</w:t>
            </w:r>
          </w:p>
        </w:tc>
      </w:tr>
      <w:tr>
        <w:trPr>
          <w:trHeight w:val="298"/>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6420" w:type="dxa"/>
            <w:vAlign w:val="bottom"/>
            <w:gridSpan w:val="3"/>
          </w:tcPr>
          <w:p>
            <w:pPr>
              <w:ind w:left="5680"/>
              <w:spacing w:after="0"/>
              <w:rPr>
                <w:sz w:val="20"/>
                <w:szCs w:val="20"/>
                <w:color w:val="auto"/>
              </w:rPr>
            </w:pPr>
            <w:r>
              <w:rPr>
                <w:rFonts w:ascii="Times New Roman" w:cs="Times New Roman" w:eastAsia="Times New Roman" w:hAnsi="Times New Roman"/>
                <w:sz w:val="19"/>
                <w:szCs w:val="19"/>
                <w:b w:val="1"/>
                <w:bCs w:val="1"/>
                <w:color w:val="auto"/>
              </w:rPr>
              <w:t>[***]</w:t>
            </w: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w w:val="97"/>
              </w:rPr>
              <w:t>[***]</w:t>
            </w:r>
          </w:p>
        </w:tc>
      </w:tr>
      <w:tr>
        <w:trPr>
          <w:trHeight w:val="518"/>
        </w:trPr>
        <w:tc>
          <w:tcPr>
            <w:tcW w:w="6420" w:type="dxa"/>
            <w:vAlign w:val="bottom"/>
            <w:gridSpan w:val="3"/>
          </w:tcPr>
          <w:p>
            <w:pPr>
              <w:ind w:left="1560"/>
              <w:spacing w:after="0"/>
              <w:rPr>
                <w:sz w:val="20"/>
                <w:szCs w:val="20"/>
                <w:color w:val="auto"/>
              </w:rPr>
            </w:pPr>
            <w:r>
              <w:rPr>
                <w:rFonts w:ascii="Times New Roman" w:cs="Times New Roman" w:eastAsia="Times New Roman" w:hAnsi="Times New Roman"/>
                <w:sz w:val="19"/>
                <w:szCs w:val="19"/>
                <w:color w:val="auto"/>
              </w:rPr>
              <w:t>(ii)  Additional Development Milestone Payments. [***].</w:t>
            </w:r>
          </w:p>
        </w:tc>
        <w:tc>
          <w:tcPr>
            <w:tcW w:w="3460" w:type="dxa"/>
            <w:vAlign w:val="bottom"/>
          </w:tcPr>
          <w:p>
            <w:pPr>
              <w:spacing w:after="0"/>
              <w:rPr>
                <w:sz w:val="24"/>
                <w:szCs w:val="24"/>
                <w:color w:val="auto"/>
              </w:rPr>
            </w:pPr>
          </w:p>
        </w:tc>
      </w:tr>
      <w:tr>
        <w:trPr>
          <w:trHeight w:val="304"/>
        </w:trPr>
        <w:tc>
          <w:tcPr>
            <w:tcW w:w="198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0"/>
        </w:trPr>
        <w:tc>
          <w:tcPr>
            <w:tcW w:w="6420" w:type="dxa"/>
            <w:vAlign w:val="bottom"/>
            <w:gridSpan w:val="3"/>
            <w:shd w:val="clear" w:color="auto" w:fill="D9D9D9"/>
          </w:tcPr>
          <w:p>
            <w:pPr>
              <w:ind w:left="1940"/>
              <w:spacing w:after="0"/>
              <w:rPr>
                <w:sz w:val="20"/>
                <w:szCs w:val="20"/>
                <w:color w:val="auto"/>
              </w:rPr>
            </w:pPr>
            <w:r>
              <w:rPr>
                <w:rFonts w:ascii="Times New Roman" w:cs="Times New Roman" w:eastAsia="Times New Roman" w:hAnsi="Times New Roman"/>
                <w:sz w:val="19"/>
                <w:szCs w:val="19"/>
                <w:b w:val="1"/>
                <w:bCs w:val="1"/>
                <w:color w:val="auto"/>
              </w:rPr>
              <w:t>Development Milestone Event</w:t>
            </w:r>
          </w:p>
        </w:tc>
        <w:tc>
          <w:tcPr>
            <w:tcW w:w="3460" w:type="dxa"/>
            <w:vAlign w:val="bottom"/>
            <w:shd w:val="clear" w:color="auto" w:fill="D9D9D9"/>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Development Milestone Payment</w:t>
            </w:r>
          </w:p>
        </w:tc>
      </w:tr>
      <w:tr>
        <w:trPr>
          <w:trHeight w:val="298"/>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336"/>
        </w:trPr>
        <w:tc>
          <w:tcPr>
            <w:tcW w:w="1980" w:type="dxa"/>
            <w:vAlign w:val="bottom"/>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jc w:val="center"/>
              <w:ind w:right="4"/>
              <w:spacing w:after="0"/>
              <w:rPr>
                <w:sz w:val="20"/>
                <w:szCs w:val="20"/>
                <w:color w:val="auto"/>
              </w:rPr>
            </w:pPr>
            <w:r>
              <w:rPr>
                <w:rFonts w:ascii="Times New Roman" w:cs="Times New Roman" w:eastAsia="Times New Roman" w:hAnsi="Times New Roman"/>
                <w:sz w:val="19"/>
                <w:szCs w:val="19"/>
                <w:color w:val="auto"/>
                <w:w w:val="97"/>
              </w:rPr>
              <w:t>[***]</w:t>
            </w:r>
          </w:p>
        </w:tc>
      </w:tr>
      <w:tr>
        <w:trPr>
          <w:trHeight w:val="756"/>
        </w:trPr>
        <w:tc>
          <w:tcPr>
            <w:tcW w:w="642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For clarity, [***].</w:t>
            </w:r>
          </w:p>
        </w:tc>
        <w:tc>
          <w:tcPr>
            <w:tcW w:w="3460" w:type="dxa"/>
            <w:vAlign w:val="bottom"/>
          </w:tcPr>
          <w:p>
            <w:pPr>
              <w:spacing w:after="0"/>
              <w:rPr>
                <w:sz w:val="24"/>
                <w:szCs w:val="24"/>
                <w:color w:val="auto"/>
              </w:rPr>
            </w:pPr>
          </w:p>
        </w:tc>
      </w:tr>
      <w:tr>
        <w:trPr>
          <w:trHeight w:val="384"/>
        </w:trPr>
        <w:tc>
          <w:tcPr>
            <w:tcW w:w="19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w:t>
            </w: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33" w:lineRule="exact"/>
        <w:rPr>
          <w:sz w:val="20"/>
          <w:szCs w:val="20"/>
          <w:color w:val="auto"/>
        </w:rPr>
      </w:pPr>
    </w:p>
    <w:p>
      <w:pPr>
        <w:jc w:val="both"/>
        <w:ind w:firstLine="1158"/>
        <w:spacing w:after="0" w:line="221" w:lineRule="auto"/>
        <w:tabs>
          <w:tab w:leader="none" w:pos="1729" w:val="left"/>
        </w:tabs>
        <w:numPr>
          <w:ilvl w:val="0"/>
          <w:numId w:val="5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Sales Milestone Payments</w:t>
      </w:r>
      <w:r>
        <w:rPr>
          <w:rFonts w:ascii="Times New Roman" w:cs="Times New Roman" w:eastAsia="Times New Roman" w:hAnsi="Times New Roman"/>
          <w:sz w:val="19"/>
          <w:szCs w:val="19"/>
          <w:color w:val="auto"/>
        </w:rPr>
        <w:t>. During the Term, BioNTech will pay to OncoC4 each of the non-refundable, non-creditable milestone payments set forth below (each, a “</w:t>
      </w:r>
      <w:r>
        <w:rPr>
          <w:rFonts w:ascii="Times New Roman" w:cs="Times New Roman" w:eastAsia="Times New Roman" w:hAnsi="Times New Roman"/>
          <w:sz w:val="19"/>
          <w:szCs w:val="19"/>
          <w:b w:val="1"/>
          <w:bCs w:val="1"/>
          <w:color w:val="auto"/>
        </w:rPr>
        <w:t>Sales Milestone Payment</w:t>
      </w:r>
      <w:r>
        <w:rPr>
          <w:rFonts w:ascii="Times New Roman" w:cs="Times New Roman" w:eastAsia="Times New Roman" w:hAnsi="Times New Roman"/>
          <w:sz w:val="19"/>
          <w:szCs w:val="19"/>
          <w:color w:val="auto"/>
        </w:rPr>
        <w:t>”) within [***] days after the date of BioNTech’s receipt of an invoice provided by OncoC4 in accordance with this Agreement on or after OncoC4’s receipt of the royalty report hereunder that shows the achievement of the corresponding milestone event below (each, a “</w:t>
      </w:r>
      <w:r>
        <w:rPr>
          <w:rFonts w:ascii="Times New Roman" w:cs="Times New Roman" w:eastAsia="Times New Roman" w:hAnsi="Times New Roman"/>
          <w:sz w:val="19"/>
          <w:szCs w:val="19"/>
          <w:b w:val="1"/>
          <w:bCs w:val="1"/>
          <w:color w:val="auto"/>
        </w:rPr>
        <w:t>Sales Milestone Event</w:t>
      </w:r>
      <w:r>
        <w:rPr>
          <w:rFonts w:ascii="Times New Roman" w:cs="Times New Roman" w:eastAsia="Times New Roman" w:hAnsi="Times New Roman"/>
          <w:sz w:val="19"/>
          <w:szCs w:val="19"/>
          <w:color w:val="auto"/>
        </w:rPr>
        <w:t>”). Each of the milestone payments set forth in this Section 7.4(b) is payable up to one time only, upon the first achievement of such Sales Milestone Event. For clarity, the maximum amount of all Sales Milestone Payments that may be earned under this Section 7.4(b)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43</w:t>
      </w:r>
    </w:p>
    <w:p>
      <w:pPr>
        <w:sectPr>
          <w:pgSz w:w="11900" w:h="16840" w:orient="portrait"/>
          <w:cols w:equalWidth="0" w:num="1">
            <w:col w:w="10600"/>
          </w:cols>
          <w:pgMar w:left="660" w:top="556" w:right="640"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7120" w:type="dxa"/>
            <w:vAlign w:val="bottom"/>
            <w:shd w:val="clear" w:color="auto" w:fill="D9D9D9"/>
          </w:tcPr>
          <w:p>
            <w:pPr>
              <w:jc w:val="right"/>
              <w:ind w:right="3564"/>
              <w:spacing w:after="0"/>
              <w:rPr>
                <w:sz w:val="20"/>
                <w:szCs w:val="20"/>
                <w:color w:val="auto"/>
              </w:rPr>
            </w:pPr>
            <w:r>
              <w:rPr>
                <w:rFonts w:ascii="Times New Roman" w:cs="Times New Roman" w:eastAsia="Times New Roman" w:hAnsi="Times New Roman"/>
                <w:sz w:val="19"/>
                <w:szCs w:val="19"/>
                <w:b w:val="1"/>
                <w:bCs w:val="1"/>
                <w:color w:val="auto"/>
              </w:rPr>
              <w:t>[***]</w:t>
            </w:r>
          </w:p>
        </w:tc>
        <w:tc>
          <w:tcPr>
            <w:tcW w:w="2760" w:type="dxa"/>
            <w:vAlign w:val="bottom"/>
            <w:shd w:val="clear" w:color="auto" w:fill="D9D9D9"/>
          </w:tcPr>
          <w:p>
            <w:pPr>
              <w:jc w:val="right"/>
              <w:ind w:right="1384"/>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98"/>
        </w:trPr>
        <w:tc>
          <w:tcPr>
            <w:tcW w:w="7120" w:type="dxa"/>
            <w:vAlign w:val="bottom"/>
          </w:tcPr>
          <w:p>
            <w:pPr>
              <w:jc w:val="right"/>
              <w:ind w:right="6584"/>
              <w:spacing w:after="0"/>
              <w:rPr>
                <w:sz w:val="20"/>
                <w:szCs w:val="20"/>
                <w:color w:val="auto"/>
              </w:rPr>
            </w:pPr>
            <w:r>
              <w:rPr>
                <w:rFonts w:ascii="Times New Roman" w:cs="Times New Roman" w:eastAsia="Times New Roman" w:hAnsi="Times New Roman"/>
                <w:sz w:val="19"/>
                <w:szCs w:val="19"/>
                <w:color w:val="auto"/>
              </w:rPr>
              <w:t>[***]</w:t>
            </w:r>
          </w:p>
        </w:tc>
        <w:tc>
          <w:tcPr>
            <w:tcW w:w="2760" w:type="dxa"/>
            <w:vAlign w:val="bottom"/>
          </w:tcPr>
          <w:p>
            <w:pPr>
              <w:jc w:val="right"/>
              <w:ind w:right="1384"/>
              <w:spacing w:after="0"/>
              <w:rPr>
                <w:sz w:val="20"/>
                <w:szCs w:val="20"/>
                <w:color w:val="auto"/>
              </w:rPr>
            </w:pPr>
            <w:r>
              <w:rPr>
                <w:rFonts w:ascii="Times New Roman" w:cs="Times New Roman" w:eastAsia="Times New Roman" w:hAnsi="Times New Roman"/>
                <w:sz w:val="19"/>
                <w:szCs w:val="19"/>
                <w:color w:val="auto"/>
              </w:rPr>
              <w:t>[***]</w:t>
            </w:r>
          </w:p>
        </w:tc>
      </w:tr>
      <w:tr>
        <w:trPr>
          <w:trHeight w:val="336"/>
        </w:trPr>
        <w:tc>
          <w:tcPr>
            <w:tcW w:w="7120" w:type="dxa"/>
            <w:vAlign w:val="bottom"/>
          </w:tcPr>
          <w:p>
            <w:pPr>
              <w:jc w:val="right"/>
              <w:ind w:right="6584"/>
              <w:spacing w:after="0"/>
              <w:rPr>
                <w:sz w:val="20"/>
                <w:szCs w:val="20"/>
                <w:color w:val="auto"/>
              </w:rPr>
            </w:pPr>
            <w:r>
              <w:rPr>
                <w:rFonts w:ascii="Times New Roman" w:cs="Times New Roman" w:eastAsia="Times New Roman" w:hAnsi="Times New Roman"/>
                <w:sz w:val="19"/>
                <w:szCs w:val="19"/>
                <w:color w:val="auto"/>
              </w:rPr>
              <w:t>[***]</w:t>
            </w:r>
          </w:p>
        </w:tc>
        <w:tc>
          <w:tcPr>
            <w:tcW w:w="2760" w:type="dxa"/>
            <w:vAlign w:val="bottom"/>
          </w:tcPr>
          <w:p>
            <w:pPr>
              <w:jc w:val="right"/>
              <w:ind w:right="1384"/>
              <w:spacing w:after="0"/>
              <w:rPr>
                <w:sz w:val="20"/>
                <w:szCs w:val="20"/>
                <w:color w:val="auto"/>
              </w:rPr>
            </w:pPr>
            <w:r>
              <w:rPr>
                <w:rFonts w:ascii="Times New Roman" w:cs="Times New Roman" w:eastAsia="Times New Roman" w:hAnsi="Times New Roman"/>
                <w:sz w:val="19"/>
                <w:szCs w:val="19"/>
                <w:color w:val="auto"/>
              </w:rPr>
              <w:t>[***]</w:t>
            </w:r>
          </w:p>
        </w:tc>
      </w:tr>
      <w:tr>
        <w:trPr>
          <w:trHeight w:val="336"/>
        </w:trPr>
        <w:tc>
          <w:tcPr>
            <w:tcW w:w="7120" w:type="dxa"/>
            <w:vAlign w:val="bottom"/>
          </w:tcPr>
          <w:p>
            <w:pPr>
              <w:jc w:val="right"/>
              <w:ind w:right="6584"/>
              <w:spacing w:after="0"/>
              <w:rPr>
                <w:sz w:val="20"/>
                <w:szCs w:val="20"/>
                <w:color w:val="auto"/>
              </w:rPr>
            </w:pPr>
            <w:r>
              <w:rPr>
                <w:rFonts w:ascii="Times New Roman" w:cs="Times New Roman" w:eastAsia="Times New Roman" w:hAnsi="Times New Roman"/>
                <w:sz w:val="19"/>
                <w:szCs w:val="19"/>
                <w:color w:val="auto"/>
              </w:rPr>
              <w:t>[***]</w:t>
            </w:r>
          </w:p>
        </w:tc>
        <w:tc>
          <w:tcPr>
            <w:tcW w:w="2760" w:type="dxa"/>
            <w:vAlign w:val="bottom"/>
          </w:tcPr>
          <w:p>
            <w:pPr>
              <w:jc w:val="right"/>
              <w:ind w:right="1384"/>
              <w:spacing w:after="0"/>
              <w:rPr>
                <w:sz w:val="20"/>
                <w:szCs w:val="20"/>
                <w:color w:val="auto"/>
              </w:rPr>
            </w:pPr>
            <w:r>
              <w:rPr>
                <w:rFonts w:ascii="Times New Roman" w:cs="Times New Roman" w:eastAsia="Times New Roman" w:hAnsi="Times New Roman"/>
                <w:sz w:val="19"/>
                <w:szCs w:val="19"/>
                <w:color w:val="auto"/>
              </w:rPr>
              <w:t>[***]</w:t>
            </w:r>
          </w:p>
        </w:tc>
      </w:tr>
      <w:tr>
        <w:trPr>
          <w:trHeight w:val="336"/>
        </w:trPr>
        <w:tc>
          <w:tcPr>
            <w:tcW w:w="7120" w:type="dxa"/>
            <w:vAlign w:val="bottom"/>
          </w:tcPr>
          <w:p>
            <w:pPr>
              <w:jc w:val="right"/>
              <w:ind w:right="6584"/>
              <w:spacing w:after="0"/>
              <w:rPr>
                <w:sz w:val="20"/>
                <w:szCs w:val="20"/>
                <w:color w:val="auto"/>
              </w:rPr>
            </w:pPr>
            <w:r>
              <w:rPr>
                <w:rFonts w:ascii="Times New Roman" w:cs="Times New Roman" w:eastAsia="Times New Roman" w:hAnsi="Times New Roman"/>
                <w:sz w:val="19"/>
                <w:szCs w:val="19"/>
                <w:color w:val="auto"/>
              </w:rPr>
              <w:t>[***]</w:t>
            </w:r>
          </w:p>
        </w:tc>
        <w:tc>
          <w:tcPr>
            <w:tcW w:w="2760" w:type="dxa"/>
            <w:vAlign w:val="bottom"/>
          </w:tcPr>
          <w:p>
            <w:pPr>
              <w:jc w:val="right"/>
              <w:ind w:right="1384"/>
              <w:spacing w:after="0"/>
              <w:rPr>
                <w:sz w:val="20"/>
                <w:szCs w:val="20"/>
                <w:color w:val="auto"/>
              </w:rPr>
            </w:pPr>
            <w:r>
              <w:rPr>
                <w:rFonts w:ascii="Times New Roman" w:cs="Times New Roman" w:eastAsia="Times New Roman" w:hAnsi="Times New Roman"/>
                <w:sz w:val="19"/>
                <w:szCs w:val="19"/>
                <w:color w:val="auto"/>
              </w:rPr>
              <w:t>[***]</w:t>
            </w:r>
          </w:p>
        </w:tc>
      </w:tr>
      <w:tr>
        <w:trPr>
          <w:trHeight w:val="336"/>
        </w:trPr>
        <w:tc>
          <w:tcPr>
            <w:tcW w:w="7120" w:type="dxa"/>
            <w:vAlign w:val="bottom"/>
          </w:tcPr>
          <w:p>
            <w:pPr>
              <w:jc w:val="right"/>
              <w:ind w:right="764"/>
              <w:spacing w:after="0"/>
              <w:rPr>
                <w:sz w:val="20"/>
                <w:szCs w:val="20"/>
                <w:color w:val="auto"/>
              </w:rPr>
            </w:pPr>
            <w:r>
              <w:rPr>
                <w:rFonts w:ascii="Times New Roman" w:cs="Times New Roman" w:eastAsia="Times New Roman" w:hAnsi="Times New Roman"/>
                <w:sz w:val="19"/>
                <w:szCs w:val="19"/>
                <w:b w:val="1"/>
                <w:bCs w:val="1"/>
                <w:color w:val="auto"/>
              </w:rPr>
              <w:t>[***]</w:t>
            </w:r>
          </w:p>
        </w:tc>
        <w:tc>
          <w:tcPr>
            <w:tcW w:w="2760" w:type="dxa"/>
            <w:vAlign w:val="bottom"/>
          </w:tcPr>
          <w:p>
            <w:pPr>
              <w:jc w:val="right"/>
              <w:ind w:right="1384"/>
              <w:spacing w:after="0"/>
              <w:rPr>
                <w:sz w:val="20"/>
                <w:szCs w:val="20"/>
                <w:color w:val="auto"/>
              </w:rPr>
            </w:pPr>
            <w:r>
              <w:rPr>
                <w:rFonts w:ascii="Times New Roman" w:cs="Times New Roman" w:eastAsia="Times New Roman" w:hAnsi="Times New Roman"/>
                <w:sz w:val="19"/>
                <w:szCs w:val="19"/>
                <w:color w:val="auto"/>
              </w:rPr>
              <w:t>[***]</w:t>
            </w:r>
          </w:p>
        </w:tc>
      </w:tr>
    </w:tbl>
    <w:p>
      <w:pPr>
        <w:spacing w:after="0" w:line="3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In the calculation of annual aggregate Net Sales for the purposes of the foregoing milestones, for clarity: [***].</w:t>
      </w:r>
    </w:p>
    <w:p>
      <w:pPr>
        <w:spacing w:after="0" w:line="166"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9"/>
          <w:szCs w:val="19"/>
          <w:color w:val="auto"/>
        </w:rPr>
        <w:t>Notwithstanding anything express or implied in this Section, no more than one Sales Milestone Payment shall become due with respect to Net Sales levels in any given Calendar Year. Accordingly, if in a given Calendar Year the Net Sales levels would otherwise achieve multiple Sales Milestone Events, then only the Sales Milestone Event associated with the higher or highest such Sales Milestone Event shall be deemed achieved and the corresponding Sales Milestone Payment shall become due once properly invoiced, and the Sales Milestone Events associated with the lower Net Sales level(s) that would otherwise have been first achieved in such Calendar Year shall be deemed not to have been achieved, and will be eligible to be achieved and incur a Sales Milestone Payment in subsequent Calendar Years (subject always to the operation of this paragraph in subsequent Calendar Years) .</w:t>
      </w:r>
    </w:p>
    <w:p>
      <w:pPr>
        <w:spacing w:after="0" w:line="135"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7.5</w:t>
      </w:r>
      <w:r>
        <w:rPr>
          <w:sz w:val="20"/>
          <w:szCs w:val="20"/>
          <w:color w:val="auto"/>
        </w:rPr>
        <w:tab/>
      </w:r>
      <w:r>
        <w:rPr>
          <w:rFonts w:ascii="Times New Roman" w:cs="Times New Roman" w:eastAsia="Times New Roman" w:hAnsi="Times New Roman"/>
          <w:sz w:val="19"/>
          <w:szCs w:val="19"/>
          <w:u w:val="single" w:color="auto"/>
          <w:color w:val="auto"/>
        </w:rPr>
        <w:t>Royalties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40" w:firstLine="1158"/>
        <w:spacing w:after="0" w:line="246" w:lineRule="auto"/>
        <w:tabs>
          <w:tab w:leader="none" w:pos="1729" w:val="left"/>
        </w:tabs>
        <w:numPr>
          <w:ilvl w:val="0"/>
          <w:numId w:val="5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Royalty Rate</w:t>
      </w:r>
      <w:r>
        <w:rPr>
          <w:rFonts w:ascii="Times New Roman" w:cs="Times New Roman" w:eastAsia="Times New Roman" w:hAnsi="Times New Roman"/>
          <w:sz w:val="19"/>
          <w:szCs w:val="19"/>
          <w:color w:val="auto"/>
        </w:rPr>
        <w:t>. Subject to the terms and conditions of this Agreement, with respect to [***], BioNTech will pay to OncoC4 non-refundable, non-creditable royalties at the [***] royalty rates specified in the following table with respect [***]:</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5680" w:type="dxa"/>
            <w:vAlign w:val="bottom"/>
            <w:shd w:val="clear" w:color="auto" w:fill="E6E6E6"/>
          </w:tcPr>
          <w:p>
            <w:pPr>
              <w:jc w:val="right"/>
              <w:ind w:right="2164"/>
              <w:spacing w:after="0"/>
              <w:rPr>
                <w:sz w:val="20"/>
                <w:szCs w:val="20"/>
                <w:color w:val="auto"/>
              </w:rPr>
            </w:pPr>
            <w:r>
              <w:rPr>
                <w:rFonts w:ascii="Times New Roman" w:cs="Times New Roman" w:eastAsia="Times New Roman" w:hAnsi="Times New Roman"/>
                <w:sz w:val="19"/>
                <w:szCs w:val="19"/>
                <w:b w:val="1"/>
                <w:bCs w:val="1"/>
                <w:color w:val="auto"/>
              </w:rPr>
              <w:t>[***]</w:t>
            </w:r>
          </w:p>
        </w:tc>
        <w:tc>
          <w:tcPr>
            <w:tcW w:w="4200" w:type="dxa"/>
            <w:vAlign w:val="bottom"/>
            <w:shd w:val="clear" w:color="auto" w:fill="E6E6E6"/>
          </w:tcPr>
          <w:p>
            <w:pPr>
              <w:jc w:val="right"/>
              <w:ind w:right="1424"/>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39"/>
        </w:trPr>
        <w:tc>
          <w:tcPr>
            <w:tcW w:w="5680" w:type="dxa"/>
            <w:vAlign w:val="bottom"/>
          </w:tcPr>
          <w:p>
            <w:pPr>
              <w:jc w:val="right"/>
              <w:ind w:right="5144"/>
              <w:spacing w:after="0"/>
              <w:rPr>
                <w:sz w:val="20"/>
                <w:szCs w:val="20"/>
                <w:color w:val="auto"/>
              </w:rPr>
            </w:pPr>
            <w:r>
              <w:rPr>
                <w:rFonts w:ascii="Times New Roman" w:cs="Times New Roman" w:eastAsia="Times New Roman" w:hAnsi="Times New Roman"/>
                <w:sz w:val="19"/>
                <w:szCs w:val="19"/>
                <w:color w:val="auto"/>
              </w:rPr>
              <w:t>[***]</w:t>
            </w:r>
          </w:p>
        </w:tc>
        <w:tc>
          <w:tcPr>
            <w:tcW w:w="4200" w:type="dxa"/>
            <w:vAlign w:val="bottom"/>
          </w:tcPr>
          <w:p>
            <w:pPr>
              <w:jc w:val="right"/>
              <w:ind w:right="1424"/>
              <w:spacing w:after="0"/>
              <w:rPr>
                <w:sz w:val="20"/>
                <w:szCs w:val="20"/>
                <w:color w:val="auto"/>
              </w:rPr>
            </w:pPr>
            <w:r>
              <w:rPr>
                <w:rFonts w:ascii="Times New Roman" w:cs="Times New Roman" w:eastAsia="Times New Roman" w:hAnsi="Times New Roman"/>
                <w:sz w:val="19"/>
                <w:szCs w:val="19"/>
                <w:color w:val="auto"/>
              </w:rPr>
              <w:t>[***]</w:t>
            </w:r>
          </w:p>
        </w:tc>
      </w:tr>
      <w:tr>
        <w:trPr>
          <w:trHeight w:val="240"/>
        </w:trPr>
        <w:tc>
          <w:tcPr>
            <w:tcW w:w="5680" w:type="dxa"/>
            <w:vAlign w:val="bottom"/>
          </w:tcPr>
          <w:p>
            <w:pPr>
              <w:jc w:val="right"/>
              <w:ind w:right="5144"/>
              <w:spacing w:after="0"/>
              <w:rPr>
                <w:sz w:val="20"/>
                <w:szCs w:val="20"/>
                <w:color w:val="auto"/>
              </w:rPr>
            </w:pPr>
            <w:r>
              <w:rPr>
                <w:rFonts w:ascii="Times New Roman" w:cs="Times New Roman" w:eastAsia="Times New Roman" w:hAnsi="Times New Roman"/>
                <w:sz w:val="19"/>
                <w:szCs w:val="19"/>
                <w:color w:val="auto"/>
              </w:rPr>
              <w:t>[***]</w:t>
            </w:r>
          </w:p>
        </w:tc>
        <w:tc>
          <w:tcPr>
            <w:tcW w:w="4200" w:type="dxa"/>
            <w:vAlign w:val="bottom"/>
          </w:tcPr>
          <w:p>
            <w:pPr>
              <w:jc w:val="right"/>
              <w:ind w:right="1424"/>
              <w:spacing w:after="0"/>
              <w:rPr>
                <w:sz w:val="20"/>
                <w:szCs w:val="20"/>
                <w:color w:val="auto"/>
              </w:rPr>
            </w:pPr>
            <w:r>
              <w:rPr>
                <w:rFonts w:ascii="Times New Roman" w:cs="Times New Roman" w:eastAsia="Times New Roman" w:hAnsi="Times New Roman"/>
                <w:sz w:val="19"/>
                <w:szCs w:val="19"/>
                <w:color w:val="auto"/>
              </w:rPr>
              <w:t>[***]</w:t>
            </w:r>
          </w:p>
        </w:tc>
      </w:tr>
      <w:tr>
        <w:trPr>
          <w:trHeight w:val="240"/>
        </w:trPr>
        <w:tc>
          <w:tcPr>
            <w:tcW w:w="5680" w:type="dxa"/>
            <w:vAlign w:val="bottom"/>
          </w:tcPr>
          <w:p>
            <w:pPr>
              <w:jc w:val="right"/>
              <w:ind w:right="5144"/>
              <w:spacing w:after="0"/>
              <w:rPr>
                <w:sz w:val="20"/>
                <w:szCs w:val="20"/>
                <w:color w:val="auto"/>
              </w:rPr>
            </w:pPr>
            <w:r>
              <w:rPr>
                <w:rFonts w:ascii="Times New Roman" w:cs="Times New Roman" w:eastAsia="Times New Roman" w:hAnsi="Times New Roman"/>
                <w:sz w:val="19"/>
                <w:szCs w:val="19"/>
                <w:color w:val="auto"/>
              </w:rPr>
              <w:t>[***]</w:t>
            </w:r>
          </w:p>
        </w:tc>
        <w:tc>
          <w:tcPr>
            <w:tcW w:w="4200" w:type="dxa"/>
            <w:vAlign w:val="bottom"/>
          </w:tcPr>
          <w:p>
            <w:pPr>
              <w:jc w:val="right"/>
              <w:ind w:right="1424"/>
              <w:spacing w:after="0"/>
              <w:rPr>
                <w:sz w:val="20"/>
                <w:szCs w:val="20"/>
                <w:color w:val="auto"/>
              </w:rPr>
            </w:pPr>
            <w:r>
              <w:rPr>
                <w:rFonts w:ascii="Times New Roman" w:cs="Times New Roman" w:eastAsia="Times New Roman" w:hAnsi="Times New Roman"/>
                <w:sz w:val="19"/>
                <w:szCs w:val="19"/>
                <w:color w:val="auto"/>
              </w:rPr>
              <w:t>[***]</w:t>
            </w:r>
          </w:p>
        </w:tc>
      </w:tr>
      <w:tr>
        <w:trPr>
          <w:trHeight w:val="240"/>
        </w:trPr>
        <w:tc>
          <w:tcPr>
            <w:tcW w:w="5680" w:type="dxa"/>
            <w:vAlign w:val="bottom"/>
          </w:tcPr>
          <w:p>
            <w:pPr>
              <w:jc w:val="right"/>
              <w:ind w:right="5144"/>
              <w:spacing w:after="0"/>
              <w:rPr>
                <w:sz w:val="20"/>
                <w:szCs w:val="20"/>
                <w:color w:val="auto"/>
              </w:rPr>
            </w:pPr>
            <w:r>
              <w:rPr>
                <w:rFonts w:ascii="Times New Roman" w:cs="Times New Roman" w:eastAsia="Times New Roman" w:hAnsi="Times New Roman"/>
                <w:sz w:val="19"/>
                <w:szCs w:val="19"/>
                <w:color w:val="auto"/>
              </w:rPr>
              <w:t>[***]</w:t>
            </w:r>
          </w:p>
        </w:tc>
        <w:tc>
          <w:tcPr>
            <w:tcW w:w="4200" w:type="dxa"/>
            <w:vAlign w:val="bottom"/>
          </w:tcPr>
          <w:p>
            <w:pPr>
              <w:jc w:val="right"/>
              <w:ind w:right="1424"/>
              <w:spacing w:after="0"/>
              <w:rPr>
                <w:sz w:val="20"/>
                <w:szCs w:val="20"/>
                <w:color w:val="auto"/>
              </w:rPr>
            </w:pPr>
            <w:r>
              <w:rPr>
                <w:rFonts w:ascii="Times New Roman" w:cs="Times New Roman" w:eastAsia="Times New Roman" w:hAnsi="Times New Roman"/>
                <w:sz w:val="19"/>
                <w:szCs w:val="19"/>
                <w:color w:val="auto"/>
              </w:rPr>
              <w:t>[***]</w:t>
            </w:r>
          </w:p>
        </w:tc>
      </w:tr>
      <w:tr>
        <w:trPr>
          <w:trHeight w:val="251"/>
        </w:trPr>
        <w:tc>
          <w:tcPr>
            <w:tcW w:w="5680" w:type="dxa"/>
            <w:vAlign w:val="bottom"/>
          </w:tcPr>
          <w:p>
            <w:pPr>
              <w:jc w:val="right"/>
              <w:ind w:right="5144"/>
              <w:spacing w:after="0"/>
              <w:rPr>
                <w:sz w:val="20"/>
                <w:szCs w:val="20"/>
                <w:color w:val="auto"/>
              </w:rPr>
            </w:pPr>
            <w:r>
              <w:rPr>
                <w:rFonts w:ascii="Times New Roman" w:cs="Times New Roman" w:eastAsia="Times New Roman" w:hAnsi="Times New Roman"/>
                <w:sz w:val="19"/>
                <w:szCs w:val="19"/>
                <w:color w:val="auto"/>
              </w:rPr>
              <w:t>[***]</w:t>
            </w:r>
          </w:p>
        </w:tc>
        <w:tc>
          <w:tcPr>
            <w:tcW w:w="4200" w:type="dxa"/>
            <w:vAlign w:val="bottom"/>
          </w:tcPr>
          <w:p>
            <w:pPr>
              <w:jc w:val="right"/>
              <w:ind w:right="1424"/>
              <w:spacing w:after="0"/>
              <w:rPr>
                <w:sz w:val="20"/>
                <w:szCs w:val="20"/>
                <w:color w:val="auto"/>
              </w:rPr>
            </w:pPr>
            <w:r>
              <w:rPr>
                <w:rFonts w:ascii="Times New Roman" w:cs="Times New Roman" w:eastAsia="Times New Roman" w:hAnsi="Times New Roman"/>
                <w:sz w:val="19"/>
                <w:szCs w:val="19"/>
                <w:color w:val="auto"/>
              </w:rPr>
              <w:t>[***]</w:t>
            </w:r>
          </w:p>
        </w:tc>
      </w:tr>
    </w:tbl>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In the calculation of annual aggregate Net Sales for the purposes of the foregoing tiers, for clarity: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44</w:t>
      </w:r>
    </w:p>
    <w:p>
      <w:pPr>
        <w:sectPr>
          <w:pgSz w:w="11900" w:h="16840" w:orient="portrait"/>
          <w:cols w:equalWidth="0" w:num="1">
            <w:col w:w="10580"/>
          </w:cols>
          <w:pgMar w:left="660" w:top="556" w:right="660" w:bottom="1440" w:gutter="0" w:footer="0" w:header="0"/>
        </w:sectPr>
      </w:pPr>
    </w:p>
    <w:bookmarkStart w:id="502" w:name="page503"/>
    <w:bookmarkEnd w:id="50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1158"/>
        <w:spacing w:after="0" w:line="246" w:lineRule="auto"/>
        <w:tabs>
          <w:tab w:leader="none" w:pos="1729" w:val="left"/>
        </w:tabs>
        <w:numPr>
          <w:ilvl w:val="0"/>
          <w:numId w:val="5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Royalty Term</w:t>
      </w:r>
      <w:r>
        <w:rPr>
          <w:rFonts w:ascii="Times New Roman" w:cs="Times New Roman" w:eastAsia="Times New Roman" w:hAnsi="Times New Roman"/>
          <w:sz w:val="19"/>
          <w:szCs w:val="19"/>
          <w:color w:val="auto"/>
        </w:rPr>
        <w:t xml:space="preserve"> . On a [***], unless terminated earlier by either Party pursuant to this Agreement, royalties will be due under Section 7.5(a) [***].</w:t>
      </w:r>
    </w:p>
    <w:p>
      <w:pPr>
        <w:spacing w:after="0" w:line="128" w:lineRule="exact"/>
        <w:rPr>
          <w:sz w:val="20"/>
          <w:szCs w:val="20"/>
          <w:color w:val="auto"/>
        </w:rPr>
      </w:pPr>
    </w:p>
    <w:p>
      <w:pPr>
        <w:jc w:val="both"/>
        <w:ind w:right="20" w:firstLine="864"/>
        <w:spacing w:after="0" w:line="221" w:lineRule="auto"/>
        <w:rPr>
          <w:sz w:val="20"/>
          <w:szCs w:val="20"/>
          <w:color w:val="auto"/>
        </w:rPr>
      </w:pPr>
      <w:r>
        <w:rPr>
          <w:rFonts w:ascii="Times New Roman" w:cs="Times New Roman" w:eastAsia="Times New Roman" w:hAnsi="Times New Roman"/>
          <w:sz w:val="19"/>
          <w:szCs w:val="19"/>
          <w:color w:val="auto"/>
        </w:rPr>
        <w:t xml:space="preserve">7 . 6 </w:t>
      </w:r>
      <w:r>
        <w:rPr>
          <w:rFonts w:ascii="Times New Roman" w:cs="Times New Roman" w:eastAsia="Times New Roman" w:hAnsi="Times New Roman"/>
          <w:sz w:val="19"/>
          <w:szCs w:val="19"/>
          <w:u w:val="single" w:color="auto"/>
          <w:color w:val="auto"/>
        </w:rPr>
        <w:t>Royalty Payments and Reports</w:t>
      </w:r>
      <w:r>
        <w:rPr>
          <w:rFonts w:ascii="Times New Roman" w:cs="Times New Roman" w:eastAsia="Times New Roman" w:hAnsi="Times New Roman"/>
          <w:sz w:val="19"/>
          <w:szCs w:val="19"/>
          <w:color w:val="auto"/>
        </w:rPr>
        <w:t>. Within [***] days after the end of each Calendar Quarter, commencing with the Calendar Quarter during which the First Commercial Sale of a Licensed Product is made anywhere in the Territory, BioNTech will provide to OncoC4 a report setting forth: [***]. Concurrent with the provision of the royalty report, BioNTech will request an invoice from OncoC4 for the royalty payment shown in the royalty report, and shall within [***] days after the receipt of the corresponding invoice from OncoC4 (in the amount shown in the royalty report) pay OncoC4 the royalties due to OncoC4 with respect to Net Sales by BioNTech, its Affiliates and their respective Sublicensees for such Calendar Quarter.</w:t>
      </w:r>
    </w:p>
    <w:p>
      <w:pPr>
        <w:spacing w:after="0" w:line="137"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7.7</w:t>
      </w:r>
      <w:r>
        <w:rPr>
          <w:sz w:val="20"/>
          <w:szCs w:val="20"/>
          <w:color w:val="auto"/>
        </w:rPr>
        <w:tab/>
      </w:r>
      <w:r>
        <w:rPr>
          <w:rFonts w:ascii="Times New Roman" w:cs="Times New Roman" w:eastAsia="Times New Roman" w:hAnsi="Times New Roman"/>
          <w:sz w:val="19"/>
          <w:szCs w:val="19"/>
          <w:u w:val="single" w:color="auto"/>
          <w:color w:val="auto"/>
        </w:rPr>
        <w:t>Royalty Payment Reductions</w:t>
      </w:r>
      <w:r>
        <w:rPr>
          <w:rFonts w:ascii="Times New Roman" w:cs="Times New Roman" w:eastAsia="Times New Roman" w:hAnsi="Times New Roman"/>
          <w:sz w:val="19"/>
          <w:szCs w:val="19"/>
          <w:color w:val="auto"/>
        </w:rPr>
        <w:t>. The royalties payable under Section 7.5 will be subject to the following:</w:t>
      </w:r>
    </w:p>
    <w:p>
      <w:pPr>
        <w:spacing w:after="0" w:line="166" w:lineRule="exact"/>
        <w:rPr>
          <w:sz w:val="20"/>
          <w:szCs w:val="20"/>
          <w:color w:val="auto"/>
        </w:rPr>
      </w:pPr>
    </w:p>
    <w:p>
      <w:pPr>
        <w:jc w:val="both"/>
        <w:ind w:right="20" w:firstLine="1158"/>
        <w:spacing w:after="0" w:line="223" w:lineRule="auto"/>
        <w:tabs>
          <w:tab w:leader="none" w:pos="1729" w:val="left"/>
        </w:tabs>
        <w:numPr>
          <w:ilvl w:val="1"/>
          <w:numId w:val="5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 Party IP</w:t>
      </w:r>
      <w:r>
        <w:rPr>
          <w:rFonts w:ascii="Times New Roman" w:cs="Times New Roman" w:eastAsia="Times New Roman" w:hAnsi="Times New Roman"/>
          <w:sz w:val="19"/>
          <w:szCs w:val="19"/>
          <w:color w:val="auto"/>
        </w:rPr>
        <w:t>. If BioNTech or its Affiliate or a Sublicensee is a party to, as of the Effective Date or thereafter, enters into a license or settlement agreement with a Third Party for the right under any Patent owned or Controlled by such Third Party</w:t>
      </w:r>
    </w:p>
    <w:p>
      <w:pPr>
        <w:jc w:val="both"/>
        <w:ind w:right="20" w:firstLine="6"/>
        <w:spacing w:after="0" w:line="219" w:lineRule="auto"/>
        <w:tabs>
          <w:tab w:leader="none" w:pos="480" w:val="left"/>
        </w:tabs>
        <w:numPr>
          <w:ilvl w:val="0"/>
          <w:numId w:val="5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and pursuant to such agreement makes payments (which may include license fees, milestones, and net sales royalties) to such Third Party for such right to Commercialize such Licensed Product under such Patent, then, subject to Section 7.7(f), BioNTech may deduct [***] of such payments actually paid to such Third Party for such right under such Patent in a Calendar Quarter against the royalties due and payable to OncoC4 on the Net Sales for such Licensed Product due in respect of such Calendar Quarter under this Agreement.</w:t>
      </w:r>
    </w:p>
    <w:p>
      <w:pPr>
        <w:spacing w:after="0" w:line="133" w:lineRule="exact"/>
        <w:rPr>
          <w:rFonts w:ascii="Times New Roman" w:cs="Times New Roman" w:eastAsia="Times New Roman" w:hAnsi="Times New Roman"/>
          <w:sz w:val="19"/>
          <w:szCs w:val="19"/>
          <w:color w:val="auto"/>
        </w:rPr>
      </w:pPr>
    </w:p>
    <w:p>
      <w:pPr>
        <w:jc w:val="both"/>
        <w:ind w:firstLine="1158"/>
        <w:spacing w:after="0" w:line="221" w:lineRule="auto"/>
        <w:tabs>
          <w:tab w:leader="none" w:pos="1729" w:val="left"/>
        </w:tabs>
        <w:numPr>
          <w:ilvl w:val="1"/>
          <w:numId w:val="5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Lack of Patent Protection</w:t>
      </w:r>
      <w:r>
        <w:rPr>
          <w:rFonts w:ascii="Times New Roman" w:cs="Times New Roman" w:eastAsia="Times New Roman" w:hAnsi="Times New Roman"/>
          <w:sz w:val="19"/>
          <w:szCs w:val="19"/>
          <w:color w:val="auto"/>
        </w:rPr>
        <w:t>. Subject to Section 7.7(f), if at any time during the Royalty Term, for any Licensed Product in a given country in the Territory, the last-to-expire Valid Claim in any Licensed Patent or [***] Covering such Licensed Product in such country expires or otherwise ceases to be a Valid Claim, then, from the first Calendar Quarter in which this Section 7.7(b) applies, and thereafter for so long as this Section 7.7(b) applies, the applicable royalties in effect with respect to such Licensed Product in such country as specified in Section 7.5(a) will be [***] by [***]. For this purpose, “last-to-expire” means the last to expire or last to continue to qualify as a Valid Claim.</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582"/>
        <w:spacing w:after="0"/>
        <w:tabs>
          <w:tab w:leader="none" w:pos="1740" w:val="left"/>
        </w:tabs>
        <w:numPr>
          <w:ilvl w:val="0"/>
          <w:numId w:val="5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0"/>
          <w:numId w:val="5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Compulsory License</w:t>
      </w:r>
      <w:r>
        <w:rPr>
          <w:rFonts w:ascii="Times New Roman" w:cs="Times New Roman" w:eastAsia="Times New Roman" w:hAnsi="Times New Roman"/>
          <w:sz w:val="19"/>
          <w:szCs w:val="19"/>
          <w:color w:val="auto"/>
        </w:rPr>
        <w:t>. Subject to Section 7.7(f), if a Compulsory License is granted to a Third Party with respect to a Licensed Product in a given country with a royalty rate lower than the applicable royalty rate in such country hereunder, then the royalties payable to OncoC4 with respect to such Licensed Product in such country in an applicable Calendar Quarter shall be reduced to [***]. Notwithstanding Section 7.7(f), if the compulsory licensee receives its grant of rights from BioNTech at royalty rate(s) lower than those of this Agreement, they shall be excluded from the definition of “Sublicensee,” and BioNTech shall pass through the compulsory licensee’s royalties to OncoC4 but shall not owe the higher royalty rate set forth herein on the compulsory licensee’s sales. Moreover, it is understood that the compulsory licensee, even if receiving its governmentally-mandated rights from BioNTech,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45</w:t>
      </w:r>
    </w:p>
    <w:p>
      <w:pPr>
        <w:sectPr>
          <w:pgSz w:w="11900" w:h="16840" w:orient="portrait"/>
          <w:cols w:equalWidth="0" w:num="1">
            <w:col w:w="10580"/>
          </w:cols>
          <w:pgMar w:left="660" w:top="556" w:right="660" w:bottom="1440" w:gutter="0" w:footer="0" w:header="0"/>
        </w:sectPr>
      </w:pPr>
    </w:p>
    <w:bookmarkStart w:id="503" w:name="page504"/>
    <w:bookmarkEnd w:id="50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notwithstanding anything express or implied contained herein, remain a Third Party who will be deemed not to be a Sublicensee hereunder and whose sales of Licensed Product may give rise to (and be counted towards) the existence of Biosimilar Competition in the applicable country.</w:t>
      </w:r>
    </w:p>
    <w:p>
      <w:pPr>
        <w:spacing w:after="0" w:line="135" w:lineRule="exact"/>
        <w:rPr>
          <w:sz w:val="20"/>
          <w:szCs w:val="20"/>
          <w:color w:val="auto"/>
        </w:rPr>
      </w:pPr>
    </w:p>
    <w:p>
      <w:pPr>
        <w:jc w:val="both"/>
        <w:ind w:firstLine="1158"/>
        <w:spacing w:after="0" w:line="227" w:lineRule="auto"/>
        <w:tabs>
          <w:tab w:leader="none" w:pos="1729" w:val="left"/>
        </w:tabs>
        <w:numPr>
          <w:ilvl w:val="0"/>
          <w:numId w:val="5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Biosimilar Competition</w:t>
      </w:r>
      <w:r>
        <w:rPr>
          <w:rFonts w:ascii="Times New Roman" w:cs="Times New Roman" w:eastAsia="Times New Roman" w:hAnsi="Times New Roman"/>
          <w:sz w:val="19"/>
          <w:szCs w:val="19"/>
          <w:color w:val="auto"/>
        </w:rPr>
        <w:t>. Subject to Section 7.7(f), [***], during the Royalty Term for a Licensed Product in a country, if there is Biosimilar Competition with respect to such Licensed Product in such country, then, from the first Calendar Quarter in which such Biosimilar Competition occurs, and thereafter for each Calendar Quarter for which such Biosimilar Competition exists, the applicable royalties in effect with respect to such Licensed Product in such country as specified in Section 7.5(a) will be [***] by [***].</w:t>
      </w:r>
    </w:p>
    <w:p>
      <w:pPr>
        <w:spacing w:after="0" w:line="133" w:lineRule="exact"/>
        <w:rPr>
          <w:rFonts w:ascii="Times New Roman" w:cs="Times New Roman" w:eastAsia="Times New Roman" w:hAnsi="Times New Roman"/>
          <w:sz w:val="19"/>
          <w:szCs w:val="19"/>
          <w:color w:val="auto"/>
        </w:rPr>
      </w:pPr>
    </w:p>
    <w:p>
      <w:pPr>
        <w:jc w:val="both"/>
        <w:ind w:firstLine="1158"/>
        <w:spacing w:after="0" w:line="225" w:lineRule="auto"/>
        <w:tabs>
          <w:tab w:leader="none" w:pos="1729" w:val="left"/>
        </w:tabs>
        <w:numPr>
          <w:ilvl w:val="0"/>
          <w:numId w:val="5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Cumulative Deductions</w:t>
      </w:r>
      <w:r>
        <w:rPr>
          <w:rFonts w:ascii="Times New Roman" w:cs="Times New Roman" w:eastAsia="Times New Roman" w:hAnsi="Times New Roman"/>
          <w:sz w:val="19"/>
          <w:szCs w:val="19"/>
          <w:color w:val="auto"/>
        </w:rPr>
        <w:t>. Notwithstanding the foregoing, in no event will the deductions set forth in Sections [***], individually or in the aggregate, reduce the royalties otherwise payable to OncoC4 under Section 7.5 with respect to a given Licensed Product in a country in a Calendar Quarter by more than [***] (such percentage, the “</w:t>
      </w:r>
      <w:r>
        <w:rPr>
          <w:rFonts w:ascii="Times New Roman" w:cs="Times New Roman" w:eastAsia="Times New Roman" w:hAnsi="Times New Roman"/>
          <w:sz w:val="19"/>
          <w:szCs w:val="19"/>
          <w:b w:val="1"/>
          <w:bCs w:val="1"/>
          <w:color w:val="auto"/>
        </w:rPr>
        <w:t>Reduction Floor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xml:space="preserve">, (i) with respect to a Licensed Product in a country, if Biosimilar Material Competition occurs with respect to such Licensed Product in such country, then, from the first Calendar Quarter in which such Biosimilar Material Competition occurs, and thereafter for each Calendar Quarter for which such Biosimilar Material Competition exists, the Reduction Floor for such Licensed Product in such country shall be decreased from [***] [***] to [***] of the royalties otherwise payable to OncoC4 under Section 7.5 for such Licensed Product in such country in such Calendar Quarter; and (ii) with respect to a Licensed Product in a country, if there is no Valid Claim in any Licensed Patent or [***] Covering such Licensed Product in such country, or if there is Biosimilar Competition in such country, then, from the first Calendar Quarter in which there is no Valid Claim or there is Biosimilar Competition in such country, and thereafter for each Calendar Quarter for which there is no Valid Claim or there is Biosimilar Competition in such country, the applicable Reduction Floor with respect to royalty reductions pursuant to: (X) Third Party payments pursuant to Section 7.7(a); (Y) Development costs as a result of a Reserved Financial Decision pursuant to Section 6.5(a); and (Z) Development costs pursuant to Section 3.2(f), in each case (for clarity, together with all other royalty reductions for such Licensed Product in such country), shall be decreased from [***] to [***] of the royalties otherwise payable to OncoC4 under Section 7.5 for such Licensed Product in such country in such Calendar Quarter, and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u w:val="single" w:color="auto"/>
          <w:color w:val="auto"/>
        </w:rPr>
        <w:t>further</w:t>
      </w:r>
      <w:r>
        <w:rPr>
          <w:rFonts w:ascii="Times New Roman" w:cs="Times New Roman" w:eastAsia="Times New Roman" w:hAnsi="Times New Roman"/>
          <w:sz w:val="19"/>
          <w:szCs w:val="19"/>
          <w:color w:val="auto"/>
        </w:rPr>
        <w:t>, that, if BioNTech is unable to deduct or credit any portion of any royalty deductions or credits set forth in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not already offset against royalties hereunder in any Calendar Quarter as a result of the applicable Reduction Floor then it shall be able to carry the remaining not-yet-offset deduction(s) forward to future Calendar Quarters and offset them against royalties hereunder. For avoidance of doubt, Development costs deducted pursuant to subclauses (Y) and (Z) may be taken globally and without reference to a specific country.</w:t>
      </w:r>
    </w:p>
    <w:p>
      <w:pPr>
        <w:spacing w:after="0" w:line="142"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7.8</w:t>
      </w:r>
      <w:r>
        <w:rPr>
          <w:sz w:val="20"/>
          <w:szCs w:val="20"/>
          <w:color w:val="auto"/>
        </w:rPr>
        <w:tab/>
      </w:r>
      <w:r>
        <w:rPr>
          <w:rFonts w:ascii="Times New Roman" w:cs="Times New Roman" w:eastAsia="Times New Roman" w:hAnsi="Times New Roman"/>
          <w:sz w:val="19"/>
          <w:szCs w:val="19"/>
          <w:u w:val="single" w:color="auto"/>
          <w:color w:val="auto"/>
        </w:rPr>
        <w:t>Financial Audits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1158"/>
        <w:spacing w:after="0" w:line="223" w:lineRule="auto"/>
        <w:tabs>
          <w:tab w:leader="none" w:pos="1729"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 Keeping</w:t>
      </w:r>
      <w:r>
        <w:rPr>
          <w:rFonts w:ascii="Times New Roman" w:cs="Times New Roman" w:eastAsia="Times New Roman" w:hAnsi="Times New Roman"/>
          <w:sz w:val="19"/>
          <w:szCs w:val="19"/>
          <w:color w:val="auto"/>
        </w:rPr>
        <w:t>. BioNTech and its Affiliates will, and will cause their respective Sublicensees to, keep complete, true and accurate books and records in accordance with its Accounting Standards of the items underlying (i) Net Sales and (ii) royalty payments under this Agreement. BioNTech and its Affiliates will, and will cause their respective Sublicensees to keep, such books and records for at least [***] years following the Calendar Quarter to which they pertain. OncoC4 will have the right annually, at its own expense,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46</w:t>
      </w:r>
    </w:p>
    <w:p>
      <w:pPr>
        <w:sectPr>
          <w:pgSz w:w="11900" w:h="16840" w:orient="portrait"/>
          <w:cols w:equalWidth="0" w:num="1">
            <w:col w:w="10580"/>
          </w:cols>
          <w:pgMar w:left="660" w:top="556" w:right="660" w:bottom="1440" w:gutter="0" w:footer="0" w:header="0"/>
        </w:sectPr>
      </w:pPr>
    </w:p>
    <w:bookmarkStart w:id="504" w:name="page505"/>
    <w:bookmarkEnd w:id="50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0"/>
        <w:spacing w:after="0" w:line="217" w:lineRule="auto"/>
        <w:rPr>
          <w:sz w:val="20"/>
          <w:szCs w:val="20"/>
          <w:color w:val="auto"/>
        </w:rPr>
      </w:pPr>
      <w:r>
        <w:rPr>
          <w:rFonts w:ascii="Times New Roman" w:cs="Times New Roman" w:eastAsia="Times New Roman" w:hAnsi="Times New Roman"/>
          <w:sz w:val="19"/>
          <w:szCs w:val="19"/>
          <w:color w:val="auto"/>
        </w:rPr>
        <w:t>an internationally-recognized independent, certified public accountant, selected by OncoC4 and reasonably acceptable to BioNTech (the “</w:t>
      </w:r>
      <w:r>
        <w:rPr>
          <w:rFonts w:ascii="Times New Roman" w:cs="Times New Roman" w:eastAsia="Times New Roman" w:hAnsi="Times New Roman"/>
          <w:sz w:val="19"/>
          <w:szCs w:val="19"/>
          <w:b w:val="1"/>
          <w:bCs w:val="1"/>
          <w:color w:val="auto"/>
        </w:rPr>
        <w:t>Auditor</w:t>
      </w:r>
      <w:r>
        <w:rPr>
          <w:rFonts w:ascii="Times New Roman" w:cs="Times New Roman" w:eastAsia="Times New Roman" w:hAnsi="Times New Roman"/>
          <w:sz w:val="19"/>
          <w:szCs w:val="19"/>
          <w:color w:val="auto"/>
        </w:rPr>
        <w:t>”), review any such records of BioNTech and its Affiliates in the location(s) where such records are customarily maintained by BioNTech upon reasonable prior notice, during regular business hours and under obligations of confidentiality, except to the extent necessary to enforce OncoC4’s rights under this Agreement or if disclosure is required by applicable Law, for the sole purpose of verifying the basis and accuracy of payments made under this Agreement and the content of the reports described in Section 7.6, within the prior [***] Calendar Year period after receipt of such report. The Auditor will have the right to disclose to OncoC4 its conclusions regarding any payment owed under this Agreement. The records for any Calendar Year may be audited no more than once with respect to records covering any specific period of time. BioNTech shall obtain for itself or its Affiliate a commensurate right for it to audit Sublicensees, and either exercise that right itself upon the written request of OncoC4, or allow OncoC4 to hire the Auditor to conduct the audit of the Sublicensee records.</w:t>
      </w:r>
    </w:p>
    <w:p>
      <w:pPr>
        <w:spacing w:after="0" w:line="137" w:lineRule="exact"/>
        <w:rPr>
          <w:sz w:val="20"/>
          <w:szCs w:val="20"/>
          <w:color w:val="auto"/>
        </w:rPr>
      </w:pPr>
    </w:p>
    <w:p>
      <w:pPr>
        <w:jc w:val="both"/>
        <w:ind w:firstLine="1158"/>
        <w:spacing w:after="0" w:line="230" w:lineRule="auto"/>
        <w:tabs>
          <w:tab w:leader="none" w:pos="1729" w:val="left"/>
        </w:tabs>
        <w:numPr>
          <w:ilvl w:val="0"/>
          <w:numId w:val="5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Report</w:t>
      </w:r>
      <w:r>
        <w:rPr>
          <w:rFonts w:ascii="Times New Roman" w:cs="Times New Roman" w:eastAsia="Times New Roman" w:hAnsi="Times New Roman"/>
          <w:sz w:val="19"/>
          <w:szCs w:val="19"/>
          <w:color w:val="auto"/>
        </w:rPr>
        <w:t>. The report prepared by the Auditor, a copy of which will be sent or otherwise provided to each Party by such Auditor at the same time before such report is considered final, will contain the conclusions of such Auditor regarding the audit and will specify that the amounts paid pursuant thereto were correct or, if incorrect, the amount of any underpayment or overpayment, and the specific details regarding any discrepancies. No other information will be provided to OncoC4 without the prior consent of BioNTech unless disclosure is required by Laws, regulation or judicial order, and if so determined by OncoC4, it will, if permitted, give BioNTech prior notice thereof to the extent possible for BioNTech to seek a protective order against or limiting such disclosure. If such report shows any underpayment, then BioNTech will remit to OncoC4, within [***] Business Days after receipt of such report, (i) the amount of such underpayment and (ii) if such underpayment exceeds [***] of the total amount owed for the period then being audited, the actual costs incurred by OncoC4 in conducting such review will be reimbursed. For the avoidance of doubt, payment of the underpayment will be considered a late payment, subject to Section 7.11. If such report shows any overpayment, then BioNTech will have the right to credit the overpaid amount against future payments owed to OncoC4 or, if further payments will not be due hereunder within [***] days, require that OncoC4 reimburse the amount of such overpayment. The Parties mutually agree that the information subject to review under this Section 7.8 is Confidential Information of BioNTech and that OncoC4 will retain and cause the Auditor to retain all such information in confidence in accordance with confidentiality and non-use obligations no less stringent than those contained in Section 8.1.</w:t>
      </w:r>
    </w:p>
    <w:p>
      <w:pPr>
        <w:spacing w:after="0" w:line="139" w:lineRule="exact"/>
        <w:rPr>
          <w:rFonts w:ascii="Times New Roman" w:cs="Times New Roman" w:eastAsia="Times New Roman" w:hAnsi="Times New Roman"/>
          <w:sz w:val="19"/>
          <w:szCs w:val="19"/>
          <w:color w:val="auto"/>
        </w:rPr>
      </w:pPr>
    </w:p>
    <w:p>
      <w:pPr>
        <w:jc w:val="both"/>
        <w:ind w:right="40" w:firstLine="1158"/>
        <w:spacing w:after="0" w:line="233" w:lineRule="auto"/>
        <w:tabs>
          <w:tab w:leader="none" w:pos="1729" w:val="left"/>
        </w:tabs>
        <w:numPr>
          <w:ilvl w:val="0"/>
          <w:numId w:val="5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shall also have an audit right equivalent to the audit right set forth in Section 7.8(a)-(b) (applied </w:t>
      </w:r>
      <w:r>
        <w:rPr>
          <w:rFonts w:ascii="Times New Roman" w:cs="Times New Roman" w:eastAsia="Times New Roman" w:hAnsi="Times New Roman"/>
          <w:sz w:val="19"/>
          <w:szCs w:val="19"/>
          <w:i w:val="1"/>
          <w:iCs w:val="1"/>
          <w:color w:val="auto"/>
        </w:rPr>
        <w:t>mutatis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mutandis</w:t>
      </w:r>
      <w:r>
        <w:rPr>
          <w:rFonts w:ascii="Times New Roman" w:cs="Times New Roman" w:eastAsia="Times New Roman" w:hAnsi="Times New Roman"/>
          <w:sz w:val="19"/>
          <w:szCs w:val="19"/>
          <w:color w:val="auto"/>
        </w:rPr>
        <w:t>) to audit the other Party’s and its Affiliates records with respect to Joint Development Costs, to confirm the accuracy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Joint Development Costs asserted by the audited Party.</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7.9</w:t>
      </w:r>
      <w:r>
        <w:rPr>
          <w:sz w:val="20"/>
          <w:szCs w:val="20"/>
          <w:color w:val="auto"/>
        </w:rPr>
        <w:tab/>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40" w:firstLine="1158"/>
        <w:spacing w:after="0" w:line="246" w:lineRule="auto"/>
        <w:tabs>
          <w:tab w:leader="none" w:pos="1729" w:val="left"/>
        </w:tabs>
        <w:numPr>
          <w:ilvl w:val="0"/>
          <w:numId w:val="5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Income Taxes</w:t>
      </w:r>
      <w:r>
        <w:rPr>
          <w:rFonts w:ascii="Times New Roman" w:cs="Times New Roman" w:eastAsia="Times New Roman" w:hAnsi="Times New Roman"/>
          <w:sz w:val="19"/>
          <w:szCs w:val="19"/>
          <w:color w:val="auto"/>
        </w:rPr>
        <w:t>. Each Party shall be solely responsible for the payment of all taxes imposed on its share of income arising directly or indirectly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47</w:t>
      </w:r>
    </w:p>
    <w:p>
      <w:pPr>
        <w:sectPr>
          <w:pgSz w:w="11900" w:h="16840" w:orient="portrait"/>
          <w:cols w:equalWidth="0" w:num="1">
            <w:col w:w="10600"/>
          </w:cols>
          <w:pgMar w:left="660" w:top="556" w:right="640" w:bottom="1440" w:gutter="0" w:footer="0" w:header="0"/>
        </w:sectPr>
      </w:pPr>
    </w:p>
    <w:bookmarkStart w:id="505" w:name="page506"/>
    <w:bookmarkEnd w:id="50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158"/>
        <w:spacing w:after="0" w:line="215" w:lineRule="auto"/>
        <w:tabs>
          <w:tab w:leader="none" w:pos="1729" w:val="left"/>
        </w:tabs>
        <w:numPr>
          <w:ilvl w:val="2"/>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xml:space="preserve"> . Any tax paid or required to be withheld by BioNTech under applicable Laws in effect at the time of payment for the benefit of OncoC4 on account of any royalties or other payments payable to OncoC4 under this Agreement shall be deducted from the amount of royalties or other payments otherwise due. The Parties shall reasonably cooperate with one another to reduce or minimize any such deduction or withholding required by applicable Laws, including by providing any documents, information, forms or other certifications necessary to reduce the amount of such withholding. The Parties shall also reasonably cooperate with one another, in good faith, with respect to all documentation and actions required by the German tax authorities to secure a reduction in the rate of applicable withholding taxes, including (i) obtaining a certificate of exemption from withholding taxes from the German tax authorities, or (ii) to the extent permitted under applicable Law, obtaining a repayment or refund of an amount previously withheld and remitted to the German tax authorities. For clarity, the Parties hereby provide their consent to disclose this Agreement to the German tax authorities for purposes of obtaining such a certificate or a tax refund. If, in accordance with the foregoing, BioNTech withholds any amount, then it will pay to OncoC4 the balance when due, timely remit to the proper taxing authority the withheld amount, and send OncoC4 proof of such remittance within [***] days following OncoC4’s request for such proof of remittance. If and to the extent BioNTech receives from a tax authority a repayment or refund of an amount previously withheld and remitted pursuant to this Section 7.9(b), BioNTech shall notify OncoC4 and pay such repaid or refunded amount to OncoC4 without undue delay.</w:t>
      </w:r>
    </w:p>
    <w:p>
      <w:pPr>
        <w:spacing w:after="0" w:line="140"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2"/>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BioNTech shall assume the responsibility for, and increase the amount payable hereunder such that OncoC4 receives the amount it would have received but for, any Incremental Withholding (as defined below) in the event that such Incremental Withholding arises as a result of any Withholding Action by or on behalf of BioNTech. For purposes hereof, a “</w:t>
      </w:r>
      <w:r>
        <w:rPr>
          <w:rFonts w:ascii="Times New Roman" w:cs="Times New Roman" w:eastAsia="Times New Roman" w:hAnsi="Times New Roman"/>
          <w:sz w:val="19"/>
          <w:szCs w:val="19"/>
          <w:b w:val="1"/>
          <w:bCs w:val="1"/>
          <w:color w:val="auto"/>
        </w:rPr>
        <w:t>Withholding Action</w:t>
      </w:r>
      <w:r>
        <w:rPr>
          <w:rFonts w:ascii="Times New Roman" w:cs="Times New Roman" w:eastAsia="Times New Roman" w:hAnsi="Times New Roman"/>
          <w:sz w:val="19"/>
          <w:szCs w:val="19"/>
          <w:color w:val="auto"/>
        </w:rPr>
        <w:t>” by or on behalf of BioNTech means any action taken, or caused to be taken, by BioNTech or its Affiliate (including any assignment of this Agreement, in whole or in part) that results or would result in any additional withholding or reduction from payments made hereunder (any such amount withheld or deducted, an “</w:t>
      </w:r>
      <w:r>
        <w:rPr>
          <w:rFonts w:ascii="Times New Roman" w:cs="Times New Roman" w:eastAsia="Times New Roman" w:hAnsi="Times New Roman"/>
          <w:sz w:val="19"/>
          <w:szCs w:val="19"/>
          <w:b w:val="1"/>
          <w:bCs w:val="1"/>
          <w:color w:val="auto"/>
        </w:rPr>
        <w:t>Incremental Withholding</w:t>
      </w:r>
      <w:r>
        <w:rPr>
          <w:rFonts w:ascii="Times New Roman" w:cs="Times New Roman" w:eastAsia="Times New Roman" w:hAnsi="Times New Roman"/>
          <w:sz w:val="19"/>
          <w:szCs w:val="19"/>
          <w:color w:val="auto"/>
        </w:rPr>
        <w:t>”) which would not have resulted absent BioNTech or such Affiliate taking, or causing to be taken, such action.</w:t>
      </w:r>
    </w:p>
    <w:p>
      <w:pPr>
        <w:spacing w:after="0" w:line="134" w:lineRule="exact"/>
        <w:rPr>
          <w:rFonts w:ascii="Times New Roman" w:cs="Times New Roman" w:eastAsia="Times New Roman" w:hAnsi="Times New Roman"/>
          <w:sz w:val="19"/>
          <w:szCs w:val="19"/>
          <w:color w:val="auto"/>
        </w:rPr>
      </w:pPr>
    </w:p>
    <w:p>
      <w:pPr>
        <w:jc w:val="both"/>
        <w:ind w:right="60" w:firstLine="1158"/>
        <w:spacing w:after="0" w:line="223" w:lineRule="auto"/>
        <w:tabs>
          <w:tab w:leader="none" w:pos="1729" w:val="left"/>
        </w:tabs>
        <w:numPr>
          <w:ilvl w:val="2"/>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VAT and Indirect Taxes</w:t>
      </w:r>
      <w:r>
        <w:rPr>
          <w:rFonts w:ascii="Times New Roman" w:cs="Times New Roman" w:eastAsia="Times New Roman" w:hAnsi="Times New Roman"/>
          <w:sz w:val="19"/>
          <w:szCs w:val="19"/>
          <w:color w:val="auto"/>
        </w:rPr>
        <w:t xml:space="preserve"> . All amounts payable under or in connection with this Agreement are exclusive of VAT and Indirect Taxes. Any VAT and Indirect Taxes payable on the consideration shall be paid by BioNTech at the same time as the payment or provision of the consideration to which it relates. If any VAT and Indirect Taxes are paid by OncoC4 to the relevant fiscal authority before such payment is made by BioNTech, BioNTech shall reimburse OncoC4 such VAT and Indirect Taxes within [***] days following receipt of the relevant invoice from OncoC4.</w:t>
      </w:r>
    </w:p>
    <w:p>
      <w:pPr>
        <w:spacing w:after="0" w:line="132"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2"/>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 of Documents</w:t>
      </w:r>
      <w:r>
        <w:rPr>
          <w:rFonts w:ascii="Times New Roman" w:cs="Times New Roman" w:eastAsia="Times New Roman" w:hAnsi="Times New Roman"/>
          <w:sz w:val="19"/>
          <w:szCs w:val="19"/>
          <w:color w:val="auto"/>
        </w:rPr>
        <w:t>. OncoC4 is required to provide all invoice and customs related documents to [***] and</w:t>
      </w:r>
    </w:p>
    <w:p>
      <w:pPr>
        <w:ind w:left="480" w:hanging="474"/>
        <w:spacing w:after="0"/>
        <w:tabs>
          <w:tab w:leader="none" w:pos="480" w:val="left"/>
        </w:tabs>
        <w:numPr>
          <w:ilvl w:val="0"/>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 [***] basis.</w:t>
      </w:r>
    </w:p>
    <w:p>
      <w:pPr>
        <w:spacing w:after="0" w:line="143" w:lineRule="exact"/>
        <w:rPr>
          <w:rFonts w:ascii="Times New Roman" w:cs="Times New Roman" w:eastAsia="Times New Roman" w:hAnsi="Times New Roman"/>
          <w:sz w:val="19"/>
          <w:szCs w:val="19"/>
          <w:color w:val="auto"/>
        </w:rPr>
      </w:pPr>
    </w:p>
    <w:p>
      <w:pPr>
        <w:jc w:val="both"/>
        <w:ind w:firstLine="870"/>
        <w:spacing w:after="0" w:line="227" w:lineRule="auto"/>
        <w:tabs>
          <w:tab w:leader="none" w:pos="1032" w:val="left"/>
        </w:tabs>
        <w:numPr>
          <w:ilvl w:val="1"/>
          <w:numId w:val="5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10 </w:t>
      </w:r>
      <w:r>
        <w:rPr>
          <w:rFonts w:ascii="Times New Roman" w:cs="Times New Roman" w:eastAsia="Times New Roman" w:hAnsi="Times New Roman"/>
          <w:sz w:val="19"/>
          <w:szCs w:val="19"/>
          <w:u w:val="single" w:color="auto"/>
          <w:color w:val="auto"/>
        </w:rPr>
        <w:t>Currency of Payments</w:t>
      </w:r>
      <w:r>
        <w:rPr>
          <w:rFonts w:ascii="Times New Roman" w:cs="Times New Roman" w:eastAsia="Times New Roman" w:hAnsi="Times New Roman"/>
          <w:sz w:val="19"/>
          <w:szCs w:val="19"/>
          <w:color w:val="auto"/>
        </w:rPr>
        <w:t>. All amounts payable and calculations under this Agreement will be in Dollars. As applicable, Net Sales and any royalty reductions will be translated into Dollars using the average exchange rates published by the European Central Bank and in accordance with the Accounting Standards (or any other qualified source that is acceptable to both Parties) for the [***] in which such Net Sales occurred, where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48</w:t>
      </w:r>
    </w:p>
    <w:p>
      <w:pPr>
        <w:sectPr>
          <w:pgSz w:w="11900" w:h="16840" w:orient="portrait"/>
          <w:cols w:equalWidth="0" w:num="1">
            <w:col w:w="10580"/>
          </w:cols>
          <w:pgMar w:left="660" w:top="556" w:right="660" w:bottom="1440" w:gutter="0" w:footer="0" w:header="0"/>
        </w:sectPr>
      </w:pPr>
    </w:p>
    <w:bookmarkStart w:id="506" w:name="page507"/>
    <w:bookmarkEnd w:id="50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Standards refers to the Accounting Standards of the Party who owes a payment to the other Party. All payments under this Agreement will be paid in Dollars by wire transfer to an account designated by the receiving Party (which account the receiving Party may update from time to time in writing).</w:t>
      </w:r>
    </w:p>
    <w:p>
      <w:pPr>
        <w:spacing w:after="0" w:line="135"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7.11 </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Except to the extent permitted under Section 7.9 or 15.11 or otherwise required by applicable Law in effect at the time of payment, each Party will make all payments due hereunder (including any amounts payable pursuant to ARTICLE XI) in full without set-off or counterclaim of any kind.</w:t>
      </w:r>
    </w:p>
    <w:p>
      <w:pPr>
        <w:spacing w:after="0" w:line="135"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7. 12 </w:t>
      </w:r>
      <w:r>
        <w:rPr>
          <w:rFonts w:ascii="Times New Roman" w:cs="Times New Roman" w:eastAsia="Times New Roman" w:hAnsi="Times New Roman"/>
          <w:sz w:val="19"/>
          <w:szCs w:val="19"/>
          <w:u w:val="single" w:color="auto"/>
          <w:color w:val="auto"/>
        </w:rPr>
        <w:t>Late Payments</w:t>
      </w:r>
      <w:r>
        <w:rPr>
          <w:rFonts w:ascii="Times New Roman" w:cs="Times New Roman" w:eastAsia="Times New Roman" w:hAnsi="Times New Roman"/>
          <w:sz w:val="19"/>
          <w:szCs w:val="19"/>
          <w:color w:val="auto"/>
        </w:rPr>
        <w:t>. Without limiting any other rights or remedies available to either Party hereunder, any late payment by one Party to the other will bear interest, to the extent permitted by Laws, at an annual rate of [***], computed from the date such payment was due until the date the paying Party makes the payment.</w:t>
      </w:r>
    </w:p>
    <w:p>
      <w:pPr>
        <w:spacing w:after="0" w:line="135" w:lineRule="exact"/>
        <w:rPr>
          <w:sz w:val="20"/>
          <w:szCs w:val="20"/>
          <w:color w:val="auto"/>
        </w:rPr>
      </w:pPr>
    </w:p>
    <w:p>
      <w:pPr>
        <w:jc w:val="both"/>
        <w:ind w:firstLine="864"/>
        <w:spacing w:after="0" w:line="227" w:lineRule="auto"/>
        <w:rPr>
          <w:sz w:val="20"/>
          <w:szCs w:val="20"/>
          <w:color w:val="auto"/>
        </w:rPr>
      </w:pPr>
      <w:r>
        <w:rPr>
          <w:rFonts w:ascii="Times New Roman" w:cs="Times New Roman" w:eastAsia="Times New Roman" w:hAnsi="Times New Roman"/>
          <w:sz w:val="19"/>
          <w:szCs w:val="19"/>
          <w:color w:val="auto"/>
        </w:rPr>
        <w:t xml:space="preserve">7 . 13 </w:t>
      </w:r>
      <w:r>
        <w:rPr>
          <w:rFonts w:ascii="Times New Roman" w:cs="Times New Roman" w:eastAsia="Times New Roman" w:hAnsi="Times New Roman"/>
          <w:sz w:val="19"/>
          <w:szCs w:val="19"/>
          <w:u w:val="single" w:color="auto"/>
          <w:color w:val="auto"/>
        </w:rPr>
        <w:t>Costs of Upstream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xml:space="preserve"> In accordance with and without limiting Section 2.7, except as set forth in Section 10.2(k), OncoC4 shall be wholly responsible for any and all payments due pursuant to the Upstream Agreements, including all milestones and royalties due under the Upstream Agreements in respect of Development, Manufacturing (without limiting ARTICLE V), Commercialization, achievements, and sales that occur under or pursuant to a right granted in this Agreement.</w:t>
      </w:r>
    </w:p>
    <w:p>
      <w:pPr>
        <w:spacing w:after="0" w:line="134" w:lineRule="exact"/>
        <w:rPr>
          <w:sz w:val="20"/>
          <w:szCs w:val="20"/>
          <w:color w:val="auto"/>
        </w:rPr>
      </w:pPr>
    </w:p>
    <w:p>
      <w:pPr>
        <w:jc w:val="both"/>
        <w:ind w:firstLine="864"/>
        <w:spacing w:after="0" w:line="223" w:lineRule="auto"/>
        <w:rPr>
          <w:sz w:val="20"/>
          <w:szCs w:val="20"/>
          <w:color w:val="auto"/>
        </w:rPr>
      </w:pPr>
      <w:r>
        <w:rPr>
          <w:rFonts w:ascii="Times New Roman" w:cs="Times New Roman" w:eastAsia="Times New Roman" w:hAnsi="Times New Roman"/>
          <w:sz w:val="19"/>
          <w:szCs w:val="19"/>
          <w:color w:val="auto"/>
        </w:rPr>
        <w:t xml:space="preserve">7 . 4 </w:t>
      </w:r>
      <w:r>
        <w:rPr>
          <w:rFonts w:ascii="Times New Roman" w:cs="Times New Roman" w:eastAsia="Times New Roman" w:hAnsi="Times New Roman"/>
          <w:sz w:val="19"/>
          <w:szCs w:val="19"/>
          <w:u w:val="single" w:color="auto"/>
          <w:color w:val="auto"/>
        </w:rPr>
        <w:t>Invoices</w:t>
      </w:r>
      <w:r>
        <w:rPr>
          <w:rFonts w:ascii="Times New Roman" w:cs="Times New Roman" w:eastAsia="Times New Roman" w:hAnsi="Times New Roman"/>
          <w:sz w:val="19"/>
          <w:szCs w:val="19"/>
          <w:color w:val="auto"/>
        </w:rPr>
        <w:t>. Notwithstanding anything contained herein, in the event of any good faith disagreement with respect to the amount or calculation of an amount set forth in an invoice delivered to BioNTech by OncoC4 hereunder, any undisputed portion of the applicable amount shall be paid in accordance with the terms hereof and any remaining portion subject to a good faith dispute shall be paid within [***] days after the date on which the Parties, using good faith efforts, resolve the dispute and, if applicable, OncoC4 provides an updated invoice for the correct remaining amount.</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VIII</w:t>
      </w:r>
    </w:p>
    <w:p>
      <w:pPr>
        <w:ind w:left="398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4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27" w:lineRule="auto"/>
        <w:tabs>
          <w:tab w:leader="none" w:pos="1729" w:val="left"/>
        </w:tabs>
        <w:numPr>
          <w:ilvl w:val="0"/>
          <w:numId w:val="5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Licensed Know-How and Licensed Patents</w:t>
      </w:r>
      <w:r>
        <w:rPr>
          <w:rFonts w:ascii="Times New Roman" w:cs="Times New Roman" w:eastAsia="Times New Roman" w:hAnsi="Times New Roman"/>
          <w:sz w:val="19"/>
          <w:szCs w:val="19"/>
          <w:color w:val="auto"/>
        </w:rPr>
        <w:t>. Subject only to the rights expressly granted to BioNTech under this Agreement, as between the Parties, OncoC4 will retain all rights, title and interests in and to the Licensed Know-How and Licensed Patents. In addition, each Party shall own any Patent or Know-How created or obtained by or on behalf of such Party independently and outside the scope of the collaboration between the Parties under this Agreement (as such scope may be limited pursuant to Section 2.6).</w:t>
      </w:r>
    </w:p>
    <w:p>
      <w:pPr>
        <w:spacing w:after="0" w:line="133"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735"/>
        <w:spacing w:after="0" w:line="232" w:lineRule="auto"/>
        <w:tabs>
          <w:tab w:leader="none" w:pos="2293" w:val="left"/>
        </w:tabs>
        <w:numPr>
          <w:ilvl w:val="1"/>
          <w:numId w:val="5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inventions and Know-How (whether or not patentable) that are conceived, discovered, developed, reduced to practice, or otherwise made, either solely or jointly by or on behalf of (including that arising from contractors’ activities): (A) OncoC4 and its Affiliates on the one hand, or (B) BioNTech, its Affiliates and Sublicensees on the other hand,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49</w:t>
      </w:r>
    </w:p>
    <w:p>
      <w:pPr>
        <w:sectPr>
          <w:pgSz w:w="11900" w:h="16840" w:orient="portrait"/>
          <w:cols w:equalWidth="0" w:num="1">
            <w:col w:w="10580"/>
          </w:cols>
          <w:pgMar w:left="660" w:top="556" w:right="660" w:bottom="1440" w:gutter="0" w:footer="0" w:header="0"/>
        </w:sectPr>
      </w:pPr>
    </w:p>
    <w:bookmarkStart w:id="507" w:name="page508"/>
    <w:bookmarkEnd w:id="507"/>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the course of performing any activities under the CDP, including and any other intellectual property rights therein and thereto [***], and any Patents that claim such [***].</w:t>
      </w:r>
    </w:p>
    <w:p>
      <w:pPr>
        <w:spacing w:after="0" w:line="128" w:lineRule="exact"/>
        <w:rPr>
          <w:sz w:val="20"/>
          <w:szCs w:val="20"/>
          <w:color w:val="auto"/>
        </w:rPr>
      </w:pPr>
    </w:p>
    <w:p>
      <w:pPr>
        <w:ind w:left="2320" w:hanging="585"/>
        <w:spacing w:after="0"/>
        <w:tabs>
          <w:tab w:leader="none" w:pos="2320" w:val="left"/>
        </w:tabs>
        <w:numPr>
          <w:ilvl w:val="1"/>
          <w:numId w:val="5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license grants in Section 2.1 [***].</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735"/>
        <w:spacing w:after="0" w:line="232" w:lineRule="auto"/>
        <w:tabs>
          <w:tab w:leader="none" w:pos="2293" w:val="left"/>
        </w:tabs>
        <w:numPr>
          <w:ilvl w:val="1"/>
          <w:numId w:val="5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inventions and Know-How (whether or not patentable) that are conceived, discovered, developed, reduced to practice, or otherwise made, either solely or jointly by or on behalf of (A) OncoC4 and its Affiliates on the one hand, or (B) BioNTech, its Affiliates and Sublicensees on the other hand, [***].</w:t>
      </w:r>
    </w:p>
    <w:p>
      <w:pPr>
        <w:spacing w:after="0" w:line="135" w:lineRule="exact"/>
        <w:rPr>
          <w:sz w:val="20"/>
          <w:szCs w:val="20"/>
          <w:color w:val="auto"/>
        </w:rPr>
      </w:pPr>
    </w:p>
    <w:p>
      <w:pPr>
        <w:jc w:val="both"/>
        <w:ind w:right="20" w:firstLine="1735"/>
        <w:spacing w:after="0" w:line="227" w:lineRule="auto"/>
        <w:tabs>
          <w:tab w:leader="none" w:pos="2305" w:val="left"/>
        </w:tabs>
        <w:numPr>
          <w:ilvl w:val="2"/>
          <w:numId w:val="5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inventions and Know-How (whether or not patentable) that are conceived, discovered, developed, reduced to practice, or otherwise made, either solely or jointly by or on behalf of (A) OncoC4 and its Affiliates on the one hand, or (B) BioNTech, its Affiliates and Sublicensees on the other hand, in each case, in the course of performing their respective activities under this Agreement, [***].</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1"/>
          <w:numId w:val="5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Any inventions and Know-How (whether or not patentable) that are conceived, discovered, developed, reduced to practice, or otherwise made, either solely or jointly by or on behalf of (A) OncoC4 and its Affiliates on the one hand, or</w:t>
      </w:r>
    </w:p>
    <w:p>
      <w:pPr>
        <w:ind w:right="40" w:firstLine="6"/>
        <w:spacing w:after="0" w:line="231" w:lineRule="auto"/>
        <w:tabs>
          <w:tab w:leader="none" w:pos="327" w:val="left"/>
        </w:tabs>
        <w:numPr>
          <w:ilvl w:val="0"/>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BioNTech, its Affiliates and Sublicensees on the other hand, in each case, in the course of performing their respective activities under this Agreement, [***].</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1"/>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Obligation</w:t>
      </w:r>
      <w:r>
        <w:rPr>
          <w:rFonts w:ascii="Times New Roman" w:cs="Times New Roman" w:eastAsia="Times New Roman" w:hAnsi="Times New Roman"/>
          <w:sz w:val="19"/>
          <w:szCs w:val="19"/>
          <w:color w:val="auto"/>
        </w:rPr>
        <w:t>. Each Party will cause its Affiliates, sublicensees, and its and their directors, officers, employees, consultants, contractors, and agents to assign to such Party all of such individuals’ right, title, and interest in and to the [***] that are conceived, discovered, developed, reduced to practice, or otherwise made by such individual, together with all Patents claiming such [***]. OncoC4 shall and hereby does assign to BioNTech all right, title and interest in and to all [***]. BioNTech shall and hereby does assign to OncoC4 all right, title and interest in and to all [***].</w:t>
      </w:r>
    </w:p>
    <w:p>
      <w:pPr>
        <w:spacing w:after="0" w:line="137"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9"/>
          <w:szCs w:val="19"/>
          <w:u w:val="single" w:color="auto"/>
          <w:color w:val="auto"/>
        </w:rPr>
        <w:t>Patent Prosecution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582"/>
        <w:spacing w:after="0"/>
        <w:tabs>
          <w:tab w:leader="none" w:pos="1740" w:val="left"/>
        </w:tabs>
        <w:numPr>
          <w:ilvl w:val="0"/>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Licensed Patents and [***]</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158"/>
        <w:spacing w:after="0" w:line="227" w:lineRule="auto"/>
        <w:tabs>
          <w:tab w:leader="none" w:pos="1729" w:val="left"/>
        </w:tabs>
        <w:numPr>
          <w:ilvl w:val="0"/>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 in Prosecution</w:t>
      </w:r>
      <w:r>
        <w:rPr>
          <w:rFonts w:ascii="Times New Roman" w:cs="Times New Roman" w:eastAsia="Times New Roman" w:hAnsi="Times New Roman"/>
          <w:sz w:val="19"/>
          <w:szCs w:val="19"/>
          <w:color w:val="auto"/>
        </w:rPr>
        <w:t>. Each Party will, and will cause its Affiliates to, reasonably cooperate, with the other Party with respect to [***], including transferring copies of relevant files and records relating to Prosecution of such Patents, providing any necessary powers of attorney, complying with any applicable duty of candor or disclosure with a patent office and executing any other required documents or instruments for such Prosecution.</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729" w:val="left"/>
        </w:tabs>
        <w:numPr>
          <w:ilvl w:val="0"/>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Patent Term Extension</w:t>
      </w:r>
      <w:r>
        <w:rPr>
          <w:rFonts w:ascii="Times New Roman" w:cs="Times New Roman" w:eastAsia="Times New Roman" w:hAnsi="Times New Roman"/>
          <w:sz w:val="19"/>
          <w:szCs w:val="19"/>
          <w:color w:val="auto"/>
        </w:rPr>
        <w:t>. If elections with respect to obtaining patent term extension or supplemental protection certificates or their equivalents in any country (collectively, “</w:t>
      </w:r>
      <w:r>
        <w:rPr>
          <w:rFonts w:ascii="Times New Roman" w:cs="Times New Roman" w:eastAsia="Times New Roman" w:hAnsi="Times New Roman"/>
          <w:sz w:val="19"/>
          <w:szCs w:val="19"/>
          <w:b w:val="1"/>
          <w:bCs w:val="1"/>
          <w:color w:val="auto"/>
        </w:rPr>
        <w:t>Patent Extension</w:t>
      </w:r>
      <w:r>
        <w:rPr>
          <w:rFonts w:ascii="Times New Roman" w:cs="Times New Roman" w:eastAsia="Times New Roman" w:hAnsi="Times New Roman"/>
          <w:sz w:val="19"/>
          <w:szCs w:val="19"/>
          <w:color w:val="auto"/>
        </w:rPr>
        <w:t>”) with respect to [***] become available, the Parties will discuss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50</w:t>
      </w:r>
    </w:p>
    <w:p>
      <w:pPr>
        <w:sectPr>
          <w:pgSz w:w="11900" w:h="16840" w:orient="portrait"/>
          <w:cols w:equalWidth="0" w:num="1">
            <w:col w:w="10580"/>
          </w:cols>
          <w:pgMar w:left="660" w:top="556" w:right="660" w:bottom="1440" w:gutter="0" w:footer="0" w:header="0"/>
        </w:sectPr>
      </w:pPr>
    </w:p>
    <w:bookmarkStart w:id="508" w:name="page509"/>
    <w:bookmarkEnd w:id="50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faith and seek to mutually agree on which [***] to extend;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the Parties cannot agree in good faith[***].</w:t>
      </w:r>
    </w:p>
    <w:p>
      <w:pPr>
        <w:spacing w:after="0" w:line="168" w:lineRule="exact"/>
        <w:rPr>
          <w:sz w:val="20"/>
          <w:szCs w:val="20"/>
          <w:color w:val="auto"/>
        </w:rPr>
      </w:pPr>
    </w:p>
    <w:p>
      <w:pPr>
        <w:jc w:val="both"/>
        <w:ind w:right="20" w:firstLine="1158"/>
        <w:spacing w:after="0"/>
        <w:tabs>
          <w:tab w:leader="none" w:pos="1729" w:val="left"/>
        </w:tabs>
        <w:numPr>
          <w:ilvl w:val="0"/>
          <w:numId w:val="5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 Exclusivity, Purple Book and Patent Register Listings</w:t>
      </w:r>
      <w:r>
        <w:rPr>
          <w:rFonts w:ascii="Times New Roman" w:cs="Times New Roman" w:eastAsia="Times New Roman" w:hAnsi="Times New Roman"/>
          <w:sz w:val="19"/>
          <w:szCs w:val="19"/>
          <w:color w:val="auto"/>
        </w:rPr>
        <w:t>. With respect to data exclusivity periods (such as those periods listed in the Purple Book (including any available pediatric extensions) or periods under national implementations of Article 10.1(a)(iii) of Directive 2001/EC/83, and all equivalents in any country), (i) with respect to the Licensed Products, the Parties will coordinate, and each Party shall, in consultation with the other Party and after consideration in good faith of such other Party’s comments, seek and maintain all such data exclusivity periods that may be available for any of the Licensed Products, and determine which Licensed Patents, [***], if any, will be listed with the applicable Regulatory Authorities for any Licensed Product in its field, including all so-called “Patent Register” listings required by certain Governmental Authorities, and all similar listings in any other relevant countries.</w:t>
      </w:r>
    </w:p>
    <w:p>
      <w:pPr>
        <w:spacing w:after="0" w:line="199" w:lineRule="exact"/>
        <w:rPr>
          <w:rFonts w:ascii="Times New Roman" w:cs="Times New Roman" w:eastAsia="Times New Roman" w:hAnsi="Times New Roman"/>
          <w:sz w:val="19"/>
          <w:szCs w:val="19"/>
          <w:color w:val="auto"/>
        </w:rPr>
      </w:pPr>
    </w:p>
    <w:p>
      <w:pPr>
        <w:jc w:val="both"/>
        <w:ind w:right="20" w:firstLine="1158"/>
        <w:spacing w:after="0" w:line="219" w:lineRule="auto"/>
        <w:tabs>
          <w:tab w:leader="none" w:pos="1729" w:val="left"/>
        </w:tabs>
        <w:numPr>
          <w:ilvl w:val="0"/>
          <w:numId w:val="5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Upstream Agreements</w:t>
      </w:r>
      <w:r>
        <w:rPr>
          <w:rFonts w:ascii="Times New Roman" w:cs="Times New Roman" w:eastAsia="Times New Roman" w:hAnsi="Times New Roman"/>
          <w:sz w:val="19"/>
          <w:szCs w:val="19"/>
          <w:color w:val="auto"/>
        </w:rPr>
        <w:t xml:space="preserve">. Notwithstanding anything contained herein, this Section 8.2 shall not apply to any Licensed Patents that OncoC4 Controls pursuant to an Upstream Agreement to the extent that there are any conflicts between the provisions hereof and the applicable Upstream Agreement, in which case, the terms and conditions of the applicable Upstream Agreement shall control with respect to the Prosecution of such Licensed Patents. To the extent that OncoC4 is required to make any payments to a Third Party licensor under an Upstream Agreement with respect to any Prosecution of any Licensed Patents thereunder, BioNTech shall reimburse OncoC4 for such payments within [***] days after receipt of an undisputed invoice from OncoC4 in accordance with this Agreement regarding the same;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if these costs are due because of OncoC4’s exercise of its step-in rights, then OncoC4 shall be solely responsible for those costs.</w:t>
      </w:r>
    </w:p>
    <w:p>
      <w:pPr>
        <w:spacing w:after="0" w:line="134"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9"/>
          <w:szCs w:val="19"/>
          <w:u w:val="single" w:color="auto"/>
          <w:color w:val="auto"/>
        </w:rPr>
        <w:t>Third Party Infringement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20" w:lineRule="auto"/>
        <w:tabs>
          <w:tab w:leader="none" w:pos="1729"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Each Party will promptly notify the other in writing of any (i) suspected, threatened or actual infringement by a Third Party of any Licensed Patent [***];(ii) suspected, threatened or actual unauthorized disclosure, use or misappropriation of any Licensed Know-How or [***] by a Third Party, or (iii) any actual or threatened allegations of alleged patent invalidity, unenforceability or non-infringement of a Licensed Patent [***] in connection with a Biosimilar Application, or any other similar patent certification by a Third Party, and any foreign equivalent thereof, in each case ((i) – (iii)), of which it becomes aware, and will provide the other Party with full particulars and all evidence in such Party’s possession or control supporting such infringement, unauthorized use or misappropriation, or allegations or certifications (each, an “</w:t>
      </w:r>
      <w:r>
        <w:rPr>
          <w:rFonts w:ascii="Times New Roman" w:cs="Times New Roman" w:eastAsia="Times New Roman" w:hAnsi="Times New Roman"/>
          <w:sz w:val="19"/>
          <w:szCs w:val="19"/>
          <w:b w:val="1"/>
          <w:bCs w:val="1"/>
          <w:color w:val="auto"/>
        </w:rPr>
        <w:t>IP Notice</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ectPr>
          <w:pgSz w:w="11900" w:h="16840" w:orient="portrait"/>
          <w:cols w:equalWidth="0" w:num="1">
            <w:col w:w="10600"/>
          </w:cols>
          <w:pgMar w:left="660" w:top="556" w:right="640" w:bottom="1440" w:gutter="0" w:footer="0" w:header="0"/>
        </w:sectPr>
      </w:pPr>
    </w:p>
    <w:bookmarkStart w:id="509" w:name="page510"/>
    <w:bookmarkEnd w:id="50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40" w:hanging="582"/>
        <w:spacing w:after="0"/>
        <w:tabs>
          <w:tab w:leader="none" w:pos="1740"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Biosimilar Applications</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735"/>
        <w:spacing w:after="0" w:line="219" w:lineRule="auto"/>
        <w:tabs>
          <w:tab w:leader="none" w:pos="2293" w:val="left"/>
        </w:tabs>
        <w:numPr>
          <w:ilvl w:val="1"/>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either Party receives a copy of an application submitted to the FDA under subsection (k) of Section 351 of the PHSA (a “</w:t>
      </w:r>
      <w:r>
        <w:rPr>
          <w:rFonts w:ascii="Times New Roman" w:cs="Times New Roman" w:eastAsia="Times New Roman" w:hAnsi="Times New Roman"/>
          <w:sz w:val="19"/>
          <w:szCs w:val="19"/>
          <w:b w:val="1"/>
          <w:bCs w:val="1"/>
          <w:color w:val="auto"/>
        </w:rPr>
        <w:t>Biosimilar Application</w:t>
      </w:r>
      <w:r>
        <w:rPr>
          <w:rFonts w:ascii="Times New Roman" w:cs="Times New Roman" w:eastAsia="Times New Roman" w:hAnsi="Times New Roman"/>
          <w:sz w:val="19"/>
          <w:szCs w:val="19"/>
          <w:color w:val="auto"/>
        </w:rPr>
        <w:t>”) naming a Licensed Product as a reference product or otherwise becomes aware that such a Biosimilar Application has been filed (including by the receipt of information disclosed pursuant to Section 351(l)(2) of the PHSA, or in an instance described in Section 351(l)(9)(C) of the PHSA), either Party will, within ten (10) Business Days thereafter, notify the other Party so that the other Party may seek permission to view the application and related confidential information from the filer of the Biosimilar Application under Section 351(l)(1)(B)(iii) of the PHSA. If either Party receives any equivalent or similar certification, information or notice in any other jurisdiction in the Territory naming a Licensed Product, either Party will, within ten (10) Business Days thereafter, notify and provide the other Party with copies of such communication.</w:t>
      </w:r>
    </w:p>
    <w:p>
      <w:pPr>
        <w:spacing w:after="0" w:line="133" w:lineRule="exact"/>
        <w:rPr>
          <w:rFonts w:ascii="Times New Roman" w:cs="Times New Roman" w:eastAsia="Times New Roman" w:hAnsi="Times New Roman"/>
          <w:sz w:val="19"/>
          <w:szCs w:val="19"/>
          <w:color w:val="auto"/>
        </w:rPr>
      </w:pPr>
    </w:p>
    <w:p>
      <w:pPr>
        <w:jc w:val="both"/>
        <w:ind w:firstLine="1735"/>
        <w:spacing w:after="0" w:line="218" w:lineRule="auto"/>
        <w:tabs>
          <w:tab w:leader="none" w:pos="2305" w:val="left"/>
        </w:tabs>
        <w:numPr>
          <w:ilvl w:val="1"/>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with respect to a Biosimilar Application referring to a Licensed Product in the Field, regardless of the Party that is the “reference product sponsor” for purposes of such Biosimilar Application, (A) [***] to designate pursuant to Section 351(l)(1)(B)(ii) of the PHSA the outside counsel and in-house counsel who will receive confidential access to the Biosimilar Application, (B) [***] to (1) list any Licensed Patents, [***] and any other Patents, as required pursuant to Section 351(l)(3)(A), Section 351(l)(5)(b)(i)(II), or Section 351(l)(7) of the PHSA, (2) respond to any communications with respect to such lists from the filer of the Biosimilar Application, and (3) negotiate with the filer of the Biosimilar Application as to whether to utilize a different mechanism for information exchange than that specified in Section 351(l) of the PHSA; and (C) [***], to identify Licensed Patents, [***] and any Patents, and to respond to communications under any equivalent or similar listing in any other jurisdiction in the Territory in accordance with Section 8.2(f). [***]</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In any Action under Section 8.3, each Party will, and will cause its Affiliates to, reasonably cooperate with the other Party, in good faith, relative to the efforts to protect the Licensed Patents [***] and will join such suit as a party, if requested by the other Party. Furthermore, the Party initiating any Action pursuant to Section 8.3(b) or Section 8.3(c) will consider in good faith all reasonable and timely comments from the other Party on any proposed arguments asserted or to be asserted in litigation related to the enforcement or defense of any such Patents. [***]</w:t>
      </w:r>
    </w:p>
    <w:p>
      <w:pPr>
        <w:spacing w:after="0" w:line="137" w:lineRule="exact"/>
        <w:rPr>
          <w:rFonts w:ascii="Times New Roman" w:cs="Times New Roman" w:eastAsia="Times New Roman" w:hAnsi="Times New Roman"/>
          <w:sz w:val="19"/>
          <w:szCs w:val="19"/>
          <w:color w:val="auto"/>
        </w:rPr>
      </w:pPr>
    </w:p>
    <w:p>
      <w:pPr>
        <w:ind w:firstLine="1158"/>
        <w:spacing w:after="0" w:line="246" w:lineRule="auto"/>
        <w:tabs>
          <w:tab w:leader="none" w:pos="1729"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Upstream Agreements</w:t>
      </w:r>
      <w:r>
        <w:rPr>
          <w:rFonts w:ascii="Times New Roman" w:cs="Times New Roman" w:eastAsia="Times New Roman" w:hAnsi="Times New Roman"/>
          <w:sz w:val="19"/>
          <w:szCs w:val="19"/>
          <w:color w:val="auto"/>
        </w:rPr>
        <w:t>. Notwithstanding anything contained herein, [***] are subject to the applicable terms and conditions of such Upstream Agreement with respect to any such Licensed Patents, as applicable.</w:t>
      </w:r>
    </w:p>
    <w:p>
      <w:pPr>
        <w:spacing w:after="0" w:line="128" w:lineRule="exact"/>
        <w:rPr>
          <w:rFonts w:ascii="Times New Roman" w:cs="Times New Roman" w:eastAsia="Times New Roman" w:hAnsi="Times New Roman"/>
          <w:sz w:val="19"/>
          <w:szCs w:val="19"/>
          <w:color w:val="auto"/>
        </w:rPr>
      </w:pPr>
    </w:p>
    <w:p>
      <w:pPr>
        <w:ind w:left="1720" w:hanging="562"/>
        <w:spacing w:after="0"/>
        <w:tabs>
          <w:tab w:leader="none" w:pos="1720"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Subject to Section 8.3(j) and unless otherwise expressly provided for under this Section 8.3, [***].</w:t>
      </w:r>
    </w:p>
    <w:p>
      <w:pPr>
        <w:spacing w:after="0" w:line="165" w:lineRule="exact"/>
        <w:rPr>
          <w:rFonts w:ascii="Times New Roman" w:cs="Times New Roman" w:eastAsia="Times New Roman" w:hAnsi="Times New Roman"/>
          <w:sz w:val="19"/>
          <w:szCs w:val="19"/>
          <w:color w:val="auto"/>
        </w:rPr>
      </w:pPr>
    </w:p>
    <w:p>
      <w:pPr>
        <w:ind w:firstLine="1158"/>
        <w:spacing w:after="0" w:line="246" w:lineRule="auto"/>
        <w:tabs>
          <w:tab w:leader="none" w:pos="1717"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Allocation of Recoveries</w:t>
      </w:r>
      <w:r>
        <w:rPr>
          <w:rFonts w:ascii="Times New Roman" w:cs="Times New Roman" w:eastAsia="Times New Roman" w:hAnsi="Times New Roman"/>
          <w:sz w:val="19"/>
          <w:szCs w:val="19"/>
          <w:color w:val="auto"/>
        </w:rPr>
        <w:t>. Any settlements, damages or monetary awards recovered by either Party pursuant to any Action under this Section 8.3 with respect to the Licensed Patents [***] will, [***].</w:t>
      </w:r>
    </w:p>
    <w:p>
      <w:pPr>
        <w:spacing w:after="0" w:line="128" w:lineRule="exact"/>
        <w:rPr>
          <w:sz w:val="20"/>
          <w:szCs w:val="20"/>
          <w:color w:val="auto"/>
        </w:rPr>
      </w:pPr>
    </w:p>
    <w:p>
      <w:pPr>
        <w:ind w:right="20" w:firstLine="864"/>
        <w:spacing w:after="0" w:line="246" w:lineRule="auto"/>
        <w:rPr>
          <w:sz w:val="20"/>
          <w:szCs w:val="20"/>
          <w:color w:val="auto"/>
        </w:rPr>
      </w:pPr>
      <w:r>
        <w:rPr>
          <w:rFonts w:ascii="Times New Roman" w:cs="Times New Roman" w:eastAsia="Times New Roman" w:hAnsi="Times New Roman"/>
          <w:sz w:val="19"/>
          <w:szCs w:val="19"/>
          <w:color w:val="auto"/>
        </w:rPr>
        <w:t xml:space="preserve">8 . 4 </w:t>
      </w:r>
      <w:r>
        <w:rPr>
          <w:rFonts w:ascii="Times New Roman" w:cs="Times New Roman" w:eastAsia="Times New Roman" w:hAnsi="Times New Roman"/>
          <w:sz w:val="19"/>
          <w:szCs w:val="19"/>
          <w:u w:val="single" w:color="auto"/>
          <w:color w:val="auto"/>
        </w:rPr>
        <w:t>Claimed Infringement</w:t>
      </w:r>
      <w:r>
        <w:rPr>
          <w:rFonts w:ascii="Times New Roman" w:cs="Times New Roman" w:eastAsia="Times New Roman" w:hAnsi="Times New Roman"/>
          <w:sz w:val="19"/>
          <w:szCs w:val="19"/>
          <w:color w:val="auto"/>
        </w:rPr>
        <w:t>. Each Party will promptly notify the other Party if a Third Party brings any Action alleging patent infringement by BioNTech or OncoC4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52</w:t>
      </w:r>
    </w:p>
    <w:p>
      <w:pPr>
        <w:sectPr>
          <w:pgSz w:w="11900" w:h="16840" w:orient="portrait"/>
          <w:cols w:equalWidth="0" w:num="1">
            <w:col w:w="10580"/>
          </w:cols>
          <w:pgMar w:left="660" w:top="556" w:right="660" w:bottom="1440" w:gutter="0" w:footer="0" w:header="0"/>
        </w:sectPr>
      </w:pPr>
    </w:p>
    <w:bookmarkStart w:id="510" w:name="page511"/>
    <w:bookmarkEnd w:id="51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Affiliates or Sublicensees with respect to the Development, Manufacture or Commercialization of any Licensed Product (any such Action, an “</w:t>
      </w:r>
      <w:r>
        <w:rPr>
          <w:rFonts w:ascii="Times New Roman" w:cs="Times New Roman" w:eastAsia="Times New Roman" w:hAnsi="Times New Roman"/>
          <w:sz w:val="19"/>
          <w:szCs w:val="19"/>
          <w:b w:val="1"/>
          <w:bCs w:val="1"/>
          <w:color w:val="auto"/>
        </w:rPr>
        <w:t>Infringement Claim</w:t>
      </w:r>
      <w:r>
        <w:rPr>
          <w:rFonts w:ascii="Times New Roman" w:cs="Times New Roman" w:eastAsia="Times New Roman" w:hAnsi="Times New Roman"/>
          <w:sz w:val="19"/>
          <w:szCs w:val="19"/>
          <w:color w:val="auto"/>
        </w:rPr>
        <w:t>”) in the Territory. [***]</w:t>
      </w:r>
    </w:p>
    <w:p>
      <w:pPr>
        <w:spacing w:after="0" w:line="12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19"/>
          <w:szCs w:val="19"/>
          <w:color w:val="auto"/>
        </w:rPr>
        <w:t xml:space="preserve">8 . 5 </w:t>
      </w:r>
      <w:r>
        <w:rPr>
          <w:rFonts w:ascii="Times New Roman" w:cs="Times New Roman" w:eastAsia="Times New Roman" w:hAnsi="Times New Roman"/>
          <w:sz w:val="19"/>
          <w:szCs w:val="19"/>
          <w:u w:val="single" w:color="auto"/>
          <w:color w:val="auto"/>
        </w:rPr>
        <w:t>Common Legal Interest/Joint Defense</w:t>
      </w:r>
      <w:r>
        <w:rPr>
          <w:rFonts w:ascii="Times New Roman" w:cs="Times New Roman" w:eastAsia="Times New Roman" w:hAnsi="Times New Roman"/>
          <w:sz w:val="19"/>
          <w:szCs w:val="19"/>
          <w:color w:val="auto"/>
        </w:rPr>
        <w:t>. All information exchanged between the Parties regarding the prosecution and maintenance, and enforcement and defense, of Licensed Patents [***] under this ARTICLE VIII will be deemed Confidential Information of the disclosing Party. In addition, the Parties acknowledge and agree that, with regard to such prosecution and maintenance, and enforcement and defense, the interests of the Parties as collaborators and licensor and licensee are to obtain the strongest patent protection possible, and as such, are aligned and are legal in nature. Notwithstanding anything contained herein, to the extent a Party has a good faith belief that any information required to be disclosed by such Party to the other Party under this ARTICLE VIII is protected by attorney- client privilege or any other applicable legal privilege or immunity, such Party will not be required to disclose such information except under circumstances designed to preserve such privilege, and the Parties will in good faith cooperate to agree upon a procedure (including entering into a specific common legal interest/joint defense agreement, disclosing such information on a “for counsel eyes only” basis or similar procedure) under which such information may be disclosed without waiving or breaching such privilege or immunity.</w:t>
      </w:r>
    </w:p>
    <w:p>
      <w:pPr>
        <w:spacing w:after="0" w:line="138"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Patent Marking</w:t>
      </w:r>
      <w:r>
        <w:rPr>
          <w:rFonts w:ascii="Times New Roman" w:cs="Times New Roman" w:eastAsia="Times New Roman" w:hAnsi="Times New Roman"/>
          <w:sz w:val="19"/>
          <w:szCs w:val="19"/>
          <w:color w:val="auto"/>
        </w:rPr>
        <w:t>. If required by law, BioNTech will mark, and will cause all of its Affiliates and Sublicensees to mark, Licensed Products with all Licensed Patents in accordance with applicable Law, which marking obligation will continue for as long as required under applicable Law.</w:t>
      </w:r>
    </w:p>
    <w:p>
      <w:pPr>
        <w:spacing w:after="0" w:line="135"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8 . 7 </w:t>
      </w:r>
      <w:r>
        <w:rPr>
          <w:rFonts w:ascii="Times New Roman" w:cs="Times New Roman" w:eastAsia="Times New Roman" w:hAnsi="Times New Roman"/>
          <w:sz w:val="19"/>
          <w:szCs w:val="19"/>
          <w:u w:val="single" w:color="auto"/>
          <w:color w:val="auto"/>
        </w:rPr>
        <w:t>Extension of Rights to BioNTech Affiliate, Sublicensee</w:t>
      </w:r>
      <w:r>
        <w:rPr>
          <w:rFonts w:ascii="Times New Roman" w:cs="Times New Roman" w:eastAsia="Times New Roman" w:hAnsi="Times New Roman"/>
          <w:sz w:val="19"/>
          <w:szCs w:val="19"/>
          <w:color w:val="auto"/>
        </w:rPr>
        <w:t xml:space="preserve"> . BioNTech shall be entitled to extend its rights in this ARTICLE VIII to, or exercise its rights and perform its obligations in this Article by, an Affiliate or a Sublicensee, notwithstanding anything express or implied in this Article.</w:t>
      </w:r>
    </w:p>
    <w:p>
      <w:pPr>
        <w:spacing w:after="0" w:line="135" w:lineRule="exact"/>
        <w:rPr>
          <w:sz w:val="20"/>
          <w:szCs w:val="20"/>
          <w:color w:val="auto"/>
        </w:rPr>
      </w:pPr>
    </w:p>
    <w:p>
      <w:pPr>
        <w:jc w:val="both"/>
        <w:ind w:firstLine="864"/>
        <w:spacing w:after="0" w:line="223" w:lineRule="auto"/>
        <w:rPr>
          <w:sz w:val="20"/>
          <w:szCs w:val="20"/>
          <w:color w:val="auto"/>
        </w:rPr>
      </w:pPr>
      <w:r>
        <w:rPr>
          <w:rFonts w:ascii="Times New Roman" w:cs="Times New Roman" w:eastAsia="Times New Roman" w:hAnsi="Times New Roman"/>
          <w:sz w:val="19"/>
          <w:szCs w:val="19"/>
          <w:color w:val="auto"/>
        </w:rPr>
        <w:t xml:space="preserve">8 . 8 </w:t>
      </w:r>
      <w:r>
        <w:rPr>
          <w:rFonts w:ascii="Times New Roman" w:cs="Times New Roman" w:eastAsia="Times New Roman" w:hAnsi="Times New Roman"/>
          <w:sz w:val="19"/>
          <w:szCs w:val="19"/>
          <w:u w:val="single" w:color="auto"/>
          <w:color w:val="auto"/>
        </w:rPr>
        <w:t>Additional Third Party Intellectual Property</w:t>
      </w:r>
      <w:r>
        <w:rPr>
          <w:rFonts w:ascii="Times New Roman" w:cs="Times New Roman" w:eastAsia="Times New Roman" w:hAnsi="Times New Roman"/>
          <w:sz w:val="19"/>
          <w:szCs w:val="19"/>
          <w:color w:val="auto"/>
        </w:rPr>
        <w:t>. Other than the Patents and Know-How that are Controlled by OncoC4 pursuant to the Upstream Agreements, during the Term, if OncoC4 becomes aware of Patents or Know - How of any Third Party that it believes may be useful to license for purposes of Development and/or Commercialization of Licensed Compound(s) and/or Licensed Product(s), OncoC4 shall notify the JSC or a patent subcommittee thereof or a committee consisting of patent counsel for each Party, of such Patents and Know-How (as applicable) for BioNTech’s consideration. [***]</w:t>
      </w:r>
    </w:p>
    <w:p>
      <w:pPr>
        <w:spacing w:after="0" w:line="137" w:lineRule="exact"/>
        <w:rPr>
          <w:sz w:val="20"/>
          <w:szCs w:val="20"/>
          <w:color w:val="auto"/>
        </w:rPr>
      </w:pPr>
    </w:p>
    <w:p>
      <w:pPr>
        <w:jc w:val="both"/>
        <w:ind w:firstLine="864"/>
        <w:spacing w:after="0" w:line="223" w:lineRule="auto"/>
        <w:rPr>
          <w:sz w:val="20"/>
          <w:szCs w:val="20"/>
          <w:color w:val="auto"/>
        </w:rPr>
      </w:pPr>
      <w:r>
        <w:rPr>
          <w:rFonts w:ascii="Times New Roman" w:cs="Times New Roman" w:eastAsia="Times New Roman" w:hAnsi="Times New Roman"/>
          <w:sz w:val="19"/>
          <w:szCs w:val="19"/>
          <w:color w:val="auto"/>
        </w:rPr>
        <w:t xml:space="preserve">8 . 9 </w:t>
      </w:r>
      <w:r>
        <w:rPr>
          <w:rFonts w:ascii="Times New Roman" w:cs="Times New Roman" w:eastAsia="Times New Roman" w:hAnsi="Times New Roman"/>
          <w:sz w:val="19"/>
          <w:szCs w:val="19"/>
          <w:u w:val="single" w:color="auto"/>
          <w:color w:val="auto"/>
        </w:rPr>
        <w:t>Bankruptcy; Intellectual Property</w:t>
      </w:r>
      <w:r>
        <w:rPr>
          <w:rFonts w:ascii="Times New Roman" w:cs="Times New Roman" w:eastAsia="Times New Roman" w:hAnsi="Times New Roman"/>
          <w:sz w:val="19"/>
          <w:szCs w:val="19"/>
          <w:color w:val="auto"/>
        </w:rPr>
        <w:t>. All rights and licenses granted under or pursuant to this Agreement by a bankrupt Party to the other Party are, and shall be deemed to be, for purposes of Section 365(n) of the Bankruptcy Code and any similar law or regulation in any other country, licenses of rights to “intellectual property” as defined under Section 101(35A) of the Bankruptcy Code. The Parties agree that all intellectual property rights licensed hereunder, are part of the “intellectual property” as defined under Section 101(35A) of the Bankruptcy Code subject to the protections afforded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53</w:t>
      </w:r>
    </w:p>
    <w:p>
      <w:pPr>
        <w:sectPr>
          <w:pgSz w:w="11900" w:h="16840" w:orient="portrait"/>
          <w:cols w:equalWidth="0" w:num="1">
            <w:col w:w="10580"/>
          </w:cols>
          <w:pgMar w:left="660" w:top="556" w:right="660" w:bottom="1440" w:gutter="0" w:footer="0" w:header="0"/>
        </w:sectPr>
      </w:pPr>
    </w:p>
    <w:bookmarkStart w:id="511" w:name="page512"/>
    <w:bookmarkEnd w:id="51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non-terminating Party under Section 365(n) of the Bankruptcy Code, and any similar law or regulation in any other country. [***]</w:t>
      </w:r>
    </w:p>
    <w:p>
      <w:pPr>
        <w:spacing w:after="0" w:line="16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u w:val="single" w:color="auto"/>
          <w:color w:val="auto"/>
        </w:rPr>
        <w:t>ARTICLE IX</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CONFIDENTIALITY AND PUBLICITY</w:t>
      </w:r>
    </w:p>
    <w:p>
      <w:pPr>
        <w:spacing w:after="0" w:line="48"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21" w:lineRule="auto"/>
        <w:tabs>
          <w:tab w:leader="none" w:pos="1729" w:val="left"/>
        </w:tabs>
        <w:numPr>
          <w:ilvl w:val="0"/>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Obligation</w:t>
      </w:r>
      <w:r>
        <w:rPr>
          <w:rFonts w:ascii="Times New Roman" w:cs="Times New Roman" w:eastAsia="Times New Roman" w:hAnsi="Times New Roman"/>
          <w:sz w:val="19"/>
          <w:szCs w:val="19"/>
          <w:color w:val="auto"/>
        </w:rPr>
        <w:t>. During the Term and for a period of [***] years after any termination or expiration of this Agreement, each Party agrees to, and will cause its Representatives to: (i) keep in confidence and not disclose the other Party’s Confidential Information to any Third Party without the prior written consent of the disclosing Party, except as expressly permitted pursuant to this Agreement; and (ii) not use for any purpose, except to exercise its rights or perform its obligations under this Agreement, any Confidential Information of the other Party, without the prior written consent of the disclosing Party. The existence and terms of this Agreement are the Confidential Information of each Party, with each Party treated as the receiving Party.</w:t>
      </w:r>
    </w:p>
    <w:p>
      <w:pPr>
        <w:spacing w:after="0" w:line="137" w:lineRule="exact"/>
        <w:rPr>
          <w:rFonts w:ascii="Times New Roman" w:cs="Times New Roman" w:eastAsia="Times New Roman" w:hAnsi="Times New Roman"/>
          <w:sz w:val="19"/>
          <w:szCs w:val="19"/>
          <w:color w:val="auto"/>
        </w:rPr>
      </w:pPr>
    </w:p>
    <w:p>
      <w:pPr>
        <w:jc w:val="both"/>
        <w:ind w:firstLine="1158"/>
        <w:spacing w:after="0" w:line="217" w:lineRule="auto"/>
        <w:tabs>
          <w:tab w:leader="none" w:pos="1729" w:val="left"/>
        </w:tabs>
        <w:numPr>
          <w:ilvl w:val="0"/>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Permitted Disclosures</w:t>
      </w:r>
      <w:r>
        <w:rPr>
          <w:rFonts w:ascii="Times New Roman" w:cs="Times New Roman" w:eastAsia="Times New Roman" w:hAnsi="Times New Roman"/>
          <w:sz w:val="19"/>
          <w:szCs w:val="19"/>
          <w:color w:val="auto"/>
        </w:rPr>
        <w:t xml:space="preserve">. Each Party agrees that it and its Affiliates will provide or permit access to the other Party’s Confidential Information only to the receiving Party’s employees, consultants, advisors and Sublicensees, and to the employees, consultants and advisors of the receiving Party’s Affiliates (collectively, “ </w:t>
      </w:r>
      <w:r>
        <w:rPr>
          <w:rFonts w:ascii="Times New Roman" w:cs="Times New Roman" w:eastAsia="Times New Roman" w:hAnsi="Times New Roman"/>
          <w:sz w:val="19"/>
          <w:szCs w:val="19"/>
          <w:b w:val="1"/>
          <w:bCs w:val="1"/>
          <w:color w:val="auto"/>
        </w:rPr>
        <w:t>Representatives</w:t>
      </w:r>
      <w:r>
        <w:rPr>
          <w:rFonts w:ascii="Times New Roman" w:cs="Times New Roman" w:eastAsia="Times New Roman" w:hAnsi="Times New Roman"/>
          <w:sz w:val="19"/>
          <w:szCs w:val="19"/>
          <w:color w:val="auto"/>
        </w:rPr>
        <w:t>”), in each case, of all the foregoing in this Section 9.1(b), on a need to know basis (meaning they need to know the information for purposes of performing the Party’s obligations under this Agreement or exercising its rights under this Agreement), who are subject to obligations of confidentiality and non-use with respect to such Confidential Information no less stringent than the obligations of confidentiality and non-use of the receiving Party pursuant to this Section 9.1 (but of duration customary in confidentiality agreements entered into for a similar purpose). Each Party will remain responsible for any failure by its Affiliates or Sublicensees, and its and its Affiliates’ respective employees, consultants and advisors, to treat such Confidential Information as required under this Section 9.1 as if such Affiliates, employees, consultants, advisors and Sublicensees were parties directly bound to the requirements of this Section 9.1.</w:t>
      </w:r>
    </w:p>
    <w:p>
      <w:pPr>
        <w:spacing w:after="0" w:line="137" w:lineRule="exact"/>
        <w:rPr>
          <w:rFonts w:ascii="Times New Roman" w:cs="Times New Roman" w:eastAsia="Times New Roman" w:hAnsi="Times New Roman"/>
          <w:sz w:val="19"/>
          <w:szCs w:val="19"/>
          <w:color w:val="auto"/>
        </w:rPr>
      </w:pPr>
    </w:p>
    <w:p>
      <w:pPr>
        <w:jc w:val="both"/>
        <w:ind w:firstLine="1158"/>
        <w:spacing w:after="0" w:line="216" w:lineRule="auto"/>
        <w:tabs>
          <w:tab w:leader="none" w:pos="1729" w:val="left"/>
        </w:tabs>
        <w:numPr>
          <w:ilvl w:val="0"/>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Limitation</w:t>
      </w:r>
      <w:r>
        <w:rPr>
          <w:rFonts w:ascii="Times New Roman" w:cs="Times New Roman" w:eastAsia="Times New Roman" w:hAnsi="Times New Roman"/>
          <w:sz w:val="19"/>
          <w:szCs w:val="19"/>
          <w:color w:val="auto"/>
        </w:rPr>
        <w:t>. Notwithstanding anything herein, each Party may use and disclose the other Party’s Confidential Information and the terms of this Agreement as follows: (i) by BioNTech or its Affiliates under appropriate written confidentiality and non-use obligations no less stringent than those in this Agreement (but of duration customary in confidentiality agreements entered into for a similar purpose), to bona fide potential or actual collaborators, licensors, Sublicensees, licensees, or strategic partners and, on a need to know basis, to employees, directors, agents, consultants, and advisers of any such Third Parties, (ii) by OncoC4 or its Affiliates under appropriate written confidentiality and non-use obligations no less stringent than those in this Agreement (but of duration customary in confidentiality agreements entered into for a similar purpose), to permitted contractors, sublicenses and Service Providers and, on a need to know basis, to employees, directors, agents, consultants, and advisers of any such Third Parties, (iii) by either Party to its financial advisors, attorneys and accountants, to bona fide actual or potential acquisition partners, financing sources, investors and underwriters on a need to know basis, in each case, under appropriate confidentiality and non-use obligations (which may include professional ethical obligations) no less stringent than those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54</w:t>
      </w:r>
    </w:p>
    <w:p>
      <w:pPr>
        <w:sectPr>
          <w:pgSz w:w="11900" w:h="16840" w:orient="portrait"/>
          <w:cols w:equalWidth="0" w:num="1">
            <w:col w:w="10580"/>
          </w:cols>
          <w:pgMar w:left="660" w:top="556" w:right="660" w:bottom="1440" w:gutter="0" w:footer="0" w:header="0"/>
        </w:sectPr>
      </w:pPr>
    </w:p>
    <w:bookmarkStart w:id="512" w:name="page513"/>
    <w:bookmarkEnd w:id="51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Agreement (but of duration customary in confidentiality agreements entered into for a similar purpose);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xml:space="preserve">, that each Party will remain responsible for any failure by any of the foregoing individuals or entities to treat such Confidential Information as required under Section 9.1 as if such individuals or entities were parties directly bound to the requirements of this Section 9.1, or (iv) as required by any court or other governmental body or as otherwise required by applicable Laws (including any such disclosures as are required by a Regulatory Authority in connection with seeking Regulatory Approval, Pricing and Reimbursement Approval, import authorization for any Licensed Product in the Territory, or the rules or regulations of the United States Securities and Exchange Commission or similar Regulatory Authority in a country other than the United States or of any stock exchange or listing entity);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except for disclosures of Confidential Information to any Regulatory Authority, notice is promptly given to the other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disclosing Party cooperates with reasonable requests from the other Party to seek a protective order or other appropriate remedy to protect the Confidential Information. Notwithstanding anything to the contrary contained in this ARTICLE IX, Confidential Information that is permitted or required to be disclosed will remain otherwise subject to the confidentiality and non -use provisions of Section 9.1(b) and this Section 9.1(c) if it does not as a result of any of the foregoing disclosures become public. If either Party concludes that a copy of this Agreement must be filed with the United States Securities and Exchange Commission or similar Regulatory Authority in a country other than the United States, then such Party will, a reasonable time (and in no event less than [***] Business Days) prior to any such filing, provide the other Party with a copy of such agreement showing any provisions hereof as to which the Party proposes to request confidential treatment, will provide the other Party with an opportunity to comment on any such proposed redactions and to suggest additional redactions, and will take such other Party’s reasonable comments into consideration before filing such redacted version of the Agreement and use Commercially Reasonable Efforts to have terms identified by such other Party afforded confidential treatment by the applicable Regulatory Authority provided that such confidential treatment is reasonably available for the terms requested.</w:t>
      </w:r>
    </w:p>
    <w:p>
      <w:pPr>
        <w:spacing w:after="0" w:line="144" w:lineRule="exact"/>
        <w:rPr>
          <w:sz w:val="20"/>
          <w:szCs w:val="20"/>
          <w:color w:val="auto"/>
        </w:rPr>
      </w:pPr>
    </w:p>
    <w:p>
      <w:pPr>
        <w:jc w:val="both"/>
        <w:ind w:firstLine="1158"/>
        <w:spacing w:after="0"/>
        <w:tabs>
          <w:tab w:leader="none" w:pos="1729" w:val="left"/>
        </w:tabs>
        <w:numPr>
          <w:ilvl w:val="0"/>
          <w:numId w:val="5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Secrecy of Licensed Know-How</w:t>
      </w:r>
      <w:r>
        <w:rPr>
          <w:rFonts w:ascii="Times New Roman" w:cs="Times New Roman" w:eastAsia="Times New Roman" w:hAnsi="Times New Roman"/>
          <w:sz w:val="19"/>
          <w:szCs w:val="19"/>
          <w:color w:val="auto"/>
        </w:rPr>
        <w:t>. Without limiting the generality of Section 9.1(a), during the Term each Party will protect, and will cause its Affiliates and its Sublicensees and its and their respective officers, directors, employees, and agents to protect, the secrecy and confidentiality of the Licensed Know-How and unpublished Licensed Patents [***] using at least the same degree of care as it uses to prevent the disclosure of its own other confidential information of like importance and in any event a reasonable duty of care.</w:t>
      </w:r>
    </w:p>
    <w:p>
      <w:pPr>
        <w:spacing w:after="0" w:line="278" w:lineRule="exact"/>
        <w:rPr>
          <w:sz w:val="20"/>
          <w:szCs w:val="20"/>
          <w:color w:val="auto"/>
        </w:rPr>
      </w:pPr>
    </w:p>
    <w:p>
      <w:pPr>
        <w:jc w:val="both"/>
        <w:ind w:firstLine="864"/>
        <w:spacing w:after="0" w:line="227" w:lineRule="auto"/>
        <w:rPr>
          <w:sz w:val="20"/>
          <w:szCs w:val="20"/>
          <w:color w:val="auto"/>
        </w:rPr>
      </w:pPr>
      <w:r>
        <w:rPr>
          <w:rFonts w:ascii="Times New Roman" w:cs="Times New Roman" w:eastAsia="Times New Roman" w:hAnsi="Times New Roman"/>
          <w:sz w:val="19"/>
          <w:szCs w:val="19"/>
          <w:color w:val="auto"/>
        </w:rPr>
        <w:t xml:space="preserve">9 . 1 </w:t>
      </w:r>
      <w:r>
        <w:rPr>
          <w:rFonts w:ascii="Times New Roman" w:cs="Times New Roman" w:eastAsia="Times New Roman" w:hAnsi="Times New Roman"/>
          <w:sz w:val="19"/>
          <w:szCs w:val="19"/>
          <w:u w:val="single" w:color="auto"/>
          <w:color w:val="auto"/>
        </w:rPr>
        <w:t>Publicity</w:t>
      </w:r>
      <w:r>
        <w:rPr>
          <w:rFonts w:ascii="Times New Roman" w:cs="Times New Roman" w:eastAsia="Times New Roman" w:hAnsi="Times New Roman"/>
          <w:sz w:val="19"/>
          <w:szCs w:val="19"/>
          <w:color w:val="auto"/>
        </w:rPr>
        <w:t>. The Parties acknowledge that in some cases it may be desirable to publicly disclose results and significant Developments regarding a Licensed Product in the Field in the Territory, and such disclosures shall be permitted in the circumstances described in this Section 9.2. Such disclosures may include achievement of milestones, significant events in the Development process with respect to Licensed Products, or Commercialization activities with respect to Licensed Products.</w:t>
      </w:r>
    </w:p>
    <w:p>
      <w:pPr>
        <w:spacing w:after="0" w:line="134" w:lineRule="exact"/>
        <w:rPr>
          <w:sz w:val="20"/>
          <w:szCs w:val="20"/>
          <w:color w:val="auto"/>
        </w:rPr>
      </w:pPr>
    </w:p>
    <w:p>
      <w:pPr>
        <w:jc w:val="both"/>
        <w:ind w:right="20" w:firstLine="1158"/>
        <w:spacing w:after="0" w:line="227" w:lineRule="auto"/>
        <w:tabs>
          <w:tab w:leader="none" w:pos="1729" w:val="left"/>
        </w:tabs>
        <w:numPr>
          <w:ilvl w:val="0"/>
          <w:numId w:val="5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disclosures permitted in accordance with Section 9.1(b), whenever either Party elects to make any public disclosure regarding this Agreement, including any milestones, significant events in the Development or Commercialization of the Licensed Products in the Territory, it will first notify the other Party of such planned press release or public announcement and provide a draft for review no less than [***] Business Days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55</w:t>
      </w:r>
    </w:p>
    <w:p>
      <w:pPr>
        <w:sectPr>
          <w:pgSz w:w="11900" w:h="16840" w:orient="portrait"/>
          <w:cols w:equalWidth="0" w:num="1">
            <w:col w:w="10580"/>
          </w:cols>
          <w:pgMar w:left="660" w:top="556" w:right="660" w:bottom="1440" w:gutter="0" w:footer="0" w:header="0"/>
        </w:sectPr>
      </w:pPr>
    </w:p>
    <w:bookmarkStart w:id="513" w:name="page514"/>
    <w:bookmarkEnd w:id="51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of issuing such press release or making such public announcement (or, with respect to press releases and public announcements that are required by applicable Laws, with as much advance notice as possible under the circumstances if it is not possible to provide notice no less than [***] Business Days in advance). Each Party will have the right to review any such planned press release or public announcement proposed by the other Party with respect to Licensed Products in the Territory, or that includes Confidential Information of the other Party. The reviewing Party will attempt to provide to the other Party its feedback as to whether it approves or withholds its consent as soon as reasonably possible, typically no later than [***] Business Days after its receipt thereof. A Party desiring to make such public disclosure may issue such press release or public announcement without such prior review by the other Party if (1) the contents of such press release or public announcement have all previously been made public other than through a breach of this Agreement by such Party, and (2) such press release or public announcement is consistent with the previously issued press release or other publicly available information. In addition, the non-disclosing Party will have the right to review, but not approve, any press release or public announcement that the proposing Party determines is required by applicable Laws based on the advice of counsel, which public disclosures are subject to Section 9.2. Notwithstanding the foregoing, the Parties have agreed to issue a joint press release in substantially the form attached hereto as </w:t>
      </w:r>
      <w:r>
        <w:rPr>
          <w:rFonts w:ascii="Times New Roman" w:cs="Times New Roman" w:eastAsia="Times New Roman" w:hAnsi="Times New Roman"/>
          <w:sz w:val="19"/>
          <w:szCs w:val="19"/>
          <w:u w:val="single" w:color="auto"/>
          <w:color w:val="auto"/>
        </w:rPr>
        <w:t>Schedule 9.2(a)</w:t>
      </w:r>
      <w:r>
        <w:rPr>
          <w:rFonts w:ascii="Times New Roman" w:cs="Times New Roman" w:eastAsia="Times New Roman" w:hAnsi="Times New Roman"/>
          <w:sz w:val="19"/>
          <w:szCs w:val="19"/>
          <w:color w:val="auto"/>
        </w:rPr>
        <w:t xml:space="preserve"> on a date to be mutually agreed by the Parties.</w:t>
      </w:r>
    </w:p>
    <w:p>
      <w:pPr>
        <w:spacing w:after="0" w:line="144" w:lineRule="exact"/>
        <w:rPr>
          <w:sz w:val="20"/>
          <w:szCs w:val="20"/>
          <w:color w:val="auto"/>
        </w:rPr>
      </w:pPr>
    </w:p>
    <w:p>
      <w:pPr>
        <w:jc w:val="both"/>
        <w:ind w:right="20" w:firstLine="1158"/>
        <w:spacing w:after="0" w:line="220" w:lineRule="auto"/>
        <w:tabs>
          <w:tab w:leader="none" w:pos="1729" w:val="left"/>
        </w:tabs>
        <w:numPr>
          <w:ilvl w:val="0"/>
          <w:numId w:val="5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principles to be observed in such disclosures will include accuracy, compliance with applicable Laws and regulatory guidance documents, reasonable sensitivity to potential negative reactions of Regulatory Authorities and the need to keep investors informed regarding the business of the Party making such public disclosure. Nothing in this Section 9.2 will restrict a Party from making a disclosure required by Laws as reasonably determined by such Party’s counsel, including disclosures in clinical trial registries and those required by any Laws relating to the public sale of securities (as provided in Section 9.1(c));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such disclosure will include no more Confidential Information than the amount required by such applicable Laws, and the Parties will use reasonable efforts to seek confidential treatment of Confidential Information to be included in such disclosures.</w:t>
      </w:r>
    </w:p>
    <w:p>
      <w:pPr>
        <w:spacing w:after="0" w:line="134" w:lineRule="exact"/>
        <w:rPr>
          <w:rFonts w:ascii="Times New Roman" w:cs="Times New Roman" w:eastAsia="Times New Roman" w:hAnsi="Times New Roman"/>
          <w:sz w:val="19"/>
          <w:szCs w:val="19"/>
          <w:color w:val="auto"/>
        </w:rPr>
      </w:pPr>
    </w:p>
    <w:p>
      <w:pPr>
        <w:jc w:val="both"/>
        <w:ind w:firstLine="1158"/>
        <w:spacing w:after="0" w:line="236" w:lineRule="auto"/>
        <w:tabs>
          <w:tab w:leader="none" w:pos="1729" w:val="left"/>
        </w:tabs>
        <w:numPr>
          <w:ilvl w:val="0"/>
          <w:numId w:val="5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with the prior written approval of BioNTech or otherwise in accordance this ARTICLE IX, OncoC4 shall have no right to publish or present the results of the Joint Development Program. In the event that BioNTech proposes to publish or present the results of the Joint Development Program, including any oral presentation or abstract, such publication or presentation will be subject to the prior review by OncoC4 for patentability and the inclusion of Confidential Information. BioNTech will provide to OncoC4 the opportunity to review any proposed abstracts, manuscripts or summaries of presentations that cover the results of the Joint Development Program. OncoC4 will respond in writing promptly and in no event later than [***] Business Days after receipt of the proposed material with either approval of the proposed material or a specific statement of concern, based upon either the need to seek patent protection or removal of OncoC4’s Confidential Information. OncoC4 may also express any concern it may have regarding competitive disadvantage arising from the proposal. In the event of any such concern provided in accordance with this Section 9.2(c), BioNTech agrees not to submit such publication or to make such presentation that contains such information for a period of [***] days in order to provide time to seek patent protection or otherwise resolve such concern. In addition, BioNTech will remove from such proposed publication any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56</w:t>
      </w:r>
    </w:p>
    <w:p>
      <w:pPr>
        <w:sectPr>
          <w:pgSz w:w="11900" w:h="16840" w:orient="portrait"/>
          <w:cols w:equalWidth="0" w:num="1">
            <w:col w:w="10600"/>
          </w:cols>
          <w:pgMar w:left="660" w:top="556" w:right="640" w:bottom="1440" w:gutter="0" w:footer="0" w:header="0"/>
        </w:sectPr>
      </w:pPr>
    </w:p>
    <w:bookmarkStart w:id="514" w:name="page515"/>
    <w:bookmarkEnd w:id="51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of OncoC4 as requested by OncoC4 that is not also the Confidential Information of BioNTech.</w:t>
      </w:r>
    </w:p>
    <w:p>
      <w:pPr>
        <w:spacing w:after="0" w:line="118" w:lineRule="exact"/>
        <w:rPr>
          <w:sz w:val="20"/>
          <w:szCs w:val="20"/>
          <w:color w:val="auto"/>
        </w:rPr>
      </w:pPr>
    </w:p>
    <w:p>
      <w:pPr>
        <w:jc w:val="both"/>
        <w:ind w:firstLine="1158"/>
        <w:spacing w:after="0" w:line="220" w:lineRule="auto"/>
        <w:tabs>
          <w:tab w:leader="none" w:pos="1729" w:val="left"/>
        </w:tabs>
        <w:numPr>
          <w:ilvl w:val="0"/>
          <w:numId w:val="5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BioNTech will not submit or publish any article or other publication to or with any scientific journal or other publisher that requires, as a condition of publication, that BioNTech agrees to make available to the publisher or Third Parties any written materials that are the subject of the publication without prior written consent of OncoC4 before making such materials available to the publisher, such consent not to be unreasonably withheld, delayed or conditioned. BioNTech will reasonably consider in good faith OncoC4’s timely communicated requests and concerns with respect to any publication proposed by BioNTech. All publications made by BioNTech relating to any Licensed Product or Licensed Compound will be prepared, presented, and published in accordance with generally accepted pharmaceutical industry customs and guidelines, including with respect to attribution.</w:t>
      </w:r>
    </w:p>
    <w:p>
      <w:pPr>
        <w:spacing w:after="0" w:line="134" w:lineRule="exact"/>
        <w:rPr>
          <w:rFonts w:ascii="Times New Roman" w:cs="Times New Roman" w:eastAsia="Times New Roman" w:hAnsi="Times New Roman"/>
          <w:sz w:val="19"/>
          <w:szCs w:val="19"/>
          <w:color w:val="auto"/>
        </w:rPr>
      </w:pPr>
    </w:p>
    <w:p>
      <w:pPr>
        <w:jc w:val="both"/>
        <w:ind w:firstLine="1158"/>
        <w:spacing w:after="0" w:line="228" w:lineRule="auto"/>
        <w:tabs>
          <w:tab w:leader="none" w:pos="1729" w:val="left"/>
        </w:tabs>
        <w:numPr>
          <w:ilvl w:val="0"/>
          <w:numId w:val="5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OncoC4 and its Affiliates shall have the right to publish the results or summaries of results of Clinical Trials (including meta-analysis or observational studies) conducted by or on behalf of OncoC4 or its Affiliates with respect to a Licensed Compound or Licensed Products as contemplated by Section 3.3(c) to the extent required under applicable Laws or applicable industry codes;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OncoC4 will provide BioNTech a reasonable opportunity to review any proposed publication under this Section 9.2(e) prior to its publication for patentability and the inclusion of Confidential Information not required to be published or disclosed under appliable Laws or industry codes. BioNTech will respond in writing promptly and in no event later than [***] Business Days after receipt of material proposed to be published under this Section 9.2(e) with either approval of the proposed material or a specific statement of concern, based upon either the need to seek patent protection or removal of BioNTech Confidential Information </w:t>
      </w:r>
      <w:r>
        <w:rPr>
          <w:rFonts w:ascii="Times New Roman" w:cs="Times New Roman" w:eastAsia="Times New Roman" w:hAnsi="Times New Roman"/>
          <w:sz w:val="18"/>
          <w:szCs w:val="18"/>
          <w:color w:val="auto"/>
        </w:rPr>
        <w:t>that is</w:t>
      </w:r>
      <w:r>
        <w:rPr>
          <w:rFonts w:ascii="Times New Roman" w:cs="Times New Roman" w:eastAsia="Times New Roman" w:hAnsi="Times New Roman"/>
          <w:sz w:val="19"/>
          <w:szCs w:val="19"/>
          <w:color w:val="auto"/>
        </w:rPr>
        <w:t xml:space="preserve"> not required to be published or disclosed under appliable Laws or industry codes. In the event of any such concern provided in accordance with this Section 9.2(e), OncoC4 agrees not to submit the applicable information for publication for a period of [***] days in order to provide time for BioNTech to seek patent protection or otherwise resolve such concern. In addition, OncoC4 will remove from such proposed publication any Confidential Information of BioNTech as requested by BioNTech or required to be published under applicable Law or industry codes. Subject to prior review by BioNTech and the express terms of this Section 9.2(e), BioNTech may not prevent OncoC4 from publishing the results or summaries of results of Clinical Trials conducted by or on behalf of OncoC4 or its Affiliates to the extent required by applicable Laws or applicable industry codes, and publications made by OncoC4 in accordance with this Section 9.2(e) shall not be a breach of OncoC4’s obligations of confidentiality or non-use under this Agreement.</w:t>
      </w:r>
    </w:p>
    <w:p>
      <w:pPr>
        <w:spacing w:after="0" w:line="136"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9 . 3 </w:t>
      </w:r>
      <w:r>
        <w:rPr>
          <w:rFonts w:ascii="Times New Roman" w:cs="Times New Roman" w:eastAsia="Times New Roman" w:hAnsi="Times New Roman"/>
          <w:sz w:val="19"/>
          <w:szCs w:val="19"/>
          <w:u w:val="single" w:color="auto"/>
          <w:color w:val="auto"/>
        </w:rPr>
        <w:t>Equitable Relief</w:t>
      </w:r>
      <w:r>
        <w:rPr>
          <w:rFonts w:ascii="Times New Roman" w:cs="Times New Roman" w:eastAsia="Times New Roman" w:hAnsi="Times New Roman"/>
          <w:sz w:val="19"/>
          <w:szCs w:val="19"/>
          <w:color w:val="auto"/>
        </w:rPr>
        <w:t>. Given the nature of the Confidential Information and the competitive damage that could result to a Party upon unauthorized disclosure, use or transfer of its Confidential Information to any Third Party, the Parties agree that monetary damages will not be a sufficient remedy for any breach of this ARTICLE IX. In addition to all other remedies,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57</w:t>
      </w:r>
    </w:p>
    <w:p>
      <w:pPr>
        <w:sectPr>
          <w:pgSz w:w="11900" w:h="16840" w:orient="portrait"/>
          <w:cols w:equalWidth="0" w:num="1">
            <w:col w:w="10580"/>
          </w:cols>
          <w:pgMar w:left="660" w:top="556" w:right="660" w:bottom="1440" w:gutter="0" w:footer="0" w:header="0"/>
        </w:sectPr>
      </w:pPr>
    </w:p>
    <w:bookmarkStart w:id="515" w:name="page516"/>
    <w:bookmarkEnd w:id="51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Party will be entitled to seek specific performance and injunctive and other equitable relief as a remedy for any breach or threatened breach of this ARTICLE IX.</w:t>
      </w:r>
    </w:p>
    <w:p>
      <w:pPr>
        <w:spacing w:after="0" w:line="1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u w:val="single" w:color="auto"/>
          <w:color w:val="auto"/>
        </w:rPr>
        <w:t>ARTICLE X</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REPRESENTATIONS AND WARRANTIES; CERTAIN COVENANTS</w:t>
      </w:r>
    </w:p>
    <w:p>
      <w:pPr>
        <w:spacing w:after="0" w:line="144" w:lineRule="exact"/>
        <w:rPr>
          <w:sz w:val="20"/>
          <w:szCs w:val="20"/>
          <w:color w:val="auto"/>
        </w:rPr>
      </w:pPr>
    </w:p>
    <w:p>
      <w:pPr>
        <w:ind w:firstLine="864"/>
        <w:spacing w:after="0" w:line="246"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Mutual Representations and Warranties</w:t>
      </w:r>
      <w:r>
        <w:rPr>
          <w:rFonts w:ascii="Times New Roman" w:cs="Times New Roman" w:eastAsia="Times New Roman" w:hAnsi="Times New Roman"/>
          <w:sz w:val="19"/>
          <w:szCs w:val="19"/>
          <w:color w:val="auto"/>
        </w:rPr>
        <w:t>. Each Party represents and warrants to the other Party that, as of the Execution Date and the Effective Date:</w:t>
      </w:r>
    </w:p>
    <w:p>
      <w:pPr>
        <w:spacing w:after="0" w:line="128" w:lineRule="exact"/>
        <w:rPr>
          <w:sz w:val="20"/>
          <w:szCs w:val="20"/>
          <w:color w:val="auto"/>
        </w:rPr>
      </w:pPr>
    </w:p>
    <w:p>
      <w:pPr>
        <w:jc w:val="both"/>
        <w:ind w:right="20" w:firstLine="1158"/>
        <w:spacing w:after="0" w:line="232" w:lineRule="auto"/>
        <w:tabs>
          <w:tab w:leader="none" w:pos="1729"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 It is a corporation duly organized, validly existing, and in good standing under the Laws of the jurisdiction of its organization, and has all requisite power and authority, corporate or otherwise, to execute, deliver, and perform this Agreement.</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27" w:lineRule="auto"/>
        <w:tabs>
          <w:tab w:leader="none" w:pos="1729"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It has full right, power and authority to enter into this Agreement and to perform its respective obligations under this Agreement, it has the right to grant to the other the licenses and sublicenses granted pursuant to this Agreement, and this Agreement and the performance by such Party of this Agreement do not violate such Party’s charter documents, bylaws or other organizational documents.</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27" w:lineRule="auto"/>
        <w:tabs>
          <w:tab w:leader="none" w:pos="1729"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Except for any Regulatory Approvals, Regulatory Materials, manufacturing approvals or similar approvals necessary for the Development, Manufacture or Commercialization of Licensed Products, all necessary consents, approvals and authorizations of all Governmental Authorities and other Persons required to be obtained by it in connection with the execution, delivery and performance of this Agreement have been obtained.</w:t>
      </w:r>
    </w:p>
    <w:p>
      <w:pPr>
        <w:spacing w:after="0" w:line="133" w:lineRule="exact"/>
        <w:rPr>
          <w:rFonts w:ascii="Times New Roman" w:cs="Times New Roman" w:eastAsia="Times New Roman" w:hAnsi="Times New Roman"/>
          <w:sz w:val="19"/>
          <w:szCs w:val="19"/>
          <w:color w:val="auto"/>
        </w:rPr>
      </w:pPr>
    </w:p>
    <w:p>
      <w:pPr>
        <w:jc w:val="both"/>
        <w:ind w:firstLine="1158"/>
        <w:spacing w:after="0" w:line="219" w:lineRule="auto"/>
        <w:tabs>
          <w:tab w:leader="none" w:pos="1729"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It is not under any obligation, contractual or otherwise, to any Person that would materially affect the diligent and complete fulfillment of obligations under this Agreement and the execution and delivery of this Agreement by such Party, and the performance of such Party’s obligations under this Agreement (as contemplated as of the Execution Date) and the licenses and sublicenses to be granted by such Party pursuant to this Agreement (i) do not conflict with or violate any requirement of Laws applicable to such Party, (ii) do not conflict with or violate any order, writ, judgment, injunction, decree, determination, or award of any court or governmental agency presently in effect applicable to such Party, and (iii) do not conflict with, violate, breach or constitute a default under, or give rise to any right of termination, cancellation or acceleration of, any contractual obligations of such Party or any of its Affiliates.</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tabs>
          <w:tab w:leader="none" w:pos="1729"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Enforceability</w:t>
      </w:r>
      <w:r>
        <w:rPr>
          <w:rFonts w:ascii="Times New Roman" w:cs="Times New Roman" w:eastAsia="Times New Roman" w:hAnsi="Times New Roman"/>
          <w:sz w:val="19"/>
          <w:szCs w:val="19"/>
          <w:color w:val="auto"/>
        </w:rPr>
        <w:t>. This Agreement is a legal and valid obligation binding upon it and is enforceable against it in accordance with its terms, subject to the general principles of equity and subject to bankruptcy, insolvency, moratorium, judicial principles affecting the availability of specific performance and other similar Laws affecting the enforcement of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58</w:t>
      </w:r>
    </w:p>
    <w:p>
      <w:pPr>
        <w:sectPr>
          <w:pgSz w:w="11900" w:h="16840" w:orient="portrait"/>
          <w:cols w:equalWidth="0" w:num="1">
            <w:col w:w="10580"/>
          </w:cols>
          <w:pgMar w:left="660" w:top="556" w:right="660" w:bottom="1440" w:gutter="0" w:footer="0" w:header="0"/>
        </w:sectPr>
      </w:pPr>
    </w:p>
    <w:bookmarkStart w:id="516" w:name="page517"/>
    <w:bookmarkEnd w:id="51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9"/>
          <w:szCs w:val="19"/>
          <w:color w:val="auto"/>
        </w:rPr>
        <w:t>1 0 . 2</w:t>
      </w:r>
      <w:r>
        <w:rPr>
          <w:sz w:val="20"/>
          <w:szCs w:val="20"/>
          <w:color w:val="auto"/>
        </w:rPr>
        <w:tab/>
      </w:r>
      <w:r>
        <w:rPr>
          <w:rFonts w:ascii="Times New Roman" w:cs="Times New Roman" w:eastAsia="Times New Roman" w:hAnsi="Times New Roman"/>
          <w:sz w:val="19"/>
          <w:szCs w:val="19"/>
          <w:u w:val="single" w:color="auto"/>
          <w:color w:val="auto"/>
        </w:rPr>
        <w:t>Additional Representations, Warranties and Covenants of OncoC4</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OncoC4 represents, warrants or covenants to</w:t>
      </w:r>
    </w:p>
    <w:p>
      <w:pPr>
        <w:spacing w:after="0"/>
        <w:rPr>
          <w:sz w:val="20"/>
          <w:szCs w:val="20"/>
          <w:color w:val="auto"/>
        </w:rPr>
      </w:pPr>
      <w:r>
        <w:rPr>
          <w:rFonts w:ascii="Times New Roman" w:cs="Times New Roman" w:eastAsia="Times New Roman" w:hAnsi="Times New Roman"/>
          <w:sz w:val="19"/>
          <w:szCs w:val="19"/>
          <w:color w:val="auto"/>
        </w:rPr>
        <w:t>BioNTech, as applicable, that, as of the Execution Date and the Effective Date:</w:t>
      </w:r>
    </w:p>
    <w:p>
      <w:pPr>
        <w:spacing w:after="0" w:line="144" w:lineRule="exact"/>
        <w:rPr>
          <w:sz w:val="20"/>
          <w:szCs w:val="20"/>
          <w:color w:val="auto"/>
        </w:rPr>
      </w:pPr>
    </w:p>
    <w:p>
      <w:pPr>
        <w:jc w:val="both"/>
        <w:ind w:firstLine="1158"/>
        <w:spacing w:after="0" w:line="223" w:lineRule="auto"/>
        <w:tabs>
          <w:tab w:leader="none" w:pos="1729"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Licensed Patents</w:t>
      </w:r>
      <w:r>
        <w:rPr>
          <w:rFonts w:ascii="Times New Roman" w:cs="Times New Roman" w:eastAsia="Times New Roman" w:hAnsi="Times New Roman"/>
          <w:sz w:val="19"/>
          <w:szCs w:val="19"/>
          <w:color w:val="auto"/>
        </w:rPr>
        <w:t xml:space="preserve">. All Licensed Patents existing as of the Execution Date are listed on </w:t>
      </w:r>
      <w:r>
        <w:rPr>
          <w:rFonts w:ascii="Times New Roman" w:cs="Times New Roman" w:eastAsia="Times New Roman" w:hAnsi="Times New Roman"/>
          <w:sz w:val="19"/>
          <w:szCs w:val="19"/>
          <w:u w:val="single" w:color="auto"/>
          <w:color w:val="auto"/>
        </w:rPr>
        <w:t>Schedule 1.68</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Schedule 1.68</w:t>
      </w:r>
      <w:r>
        <w:rPr>
          <w:rFonts w:ascii="Times New Roman" w:cs="Times New Roman" w:eastAsia="Times New Roman" w:hAnsi="Times New Roman"/>
          <w:sz w:val="19"/>
          <w:szCs w:val="19"/>
          <w:color w:val="auto"/>
        </w:rPr>
        <w:t>, OncoC4 is either the sole and exclusive owner of or has sufficient rights to grant the rights licensed to BioNTech hereunder with respect to such Licensed Patents, all of which are free and clear of any claims, liens, charges or encumbrances (subject to the Upstream Agreements, where applicable). To OncoC4’s knowledge, all Licensed Patents have been filed and prosecuted in good faith in the patent offices in accordance with applicable Laws.</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Listed Patents</w:t>
      </w:r>
      <w:r>
        <w:rPr>
          <w:rFonts w:ascii="Times New Roman" w:cs="Times New Roman" w:eastAsia="Times New Roman" w:hAnsi="Times New Roman"/>
          <w:sz w:val="19"/>
          <w:szCs w:val="19"/>
          <w:color w:val="auto"/>
        </w:rPr>
        <w:t>. As of the Execution Date and the Effective Date, the Listed Patents are the only Licensed Patents and are the only Patents Controlled by OncoC4 or any Affiliate of OncoC4 that Claim a Licensed Compound or Licensed Product. As of the Execution Date and the Effective Date, OncoC4 Controls the Listed Patents with respect to Licensed Compound and Licensed Product. The issued Listed Patents are to the best of OncoC4’s knowledge valid and enforceable; the pending Listed Patents have been prosecuted in good faith and in accordance with all legal duties of the applicant imposed by patent Laws.</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 Party Challenges</w:t>
      </w:r>
      <w:r>
        <w:rPr>
          <w:rFonts w:ascii="Times New Roman" w:cs="Times New Roman" w:eastAsia="Times New Roman" w:hAnsi="Times New Roman"/>
          <w:sz w:val="19"/>
          <w:szCs w:val="19"/>
          <w:color w:val="auto"/>
        </w:rPr>
        <w:t>. To OncoC4’s knowledge, there are no claims, judgments, or settlements against, or amounts with respect thereto, made against OncoC4 or any of its Affiliates relating to the Licensed Patents or the Licensed Know-How. No claim or litigation has been received by OncoC4 or its Affiliates or, to OncoC4’s knowledge, threatened by any Person (i) alleging that the Licensed Patents are invalid or unenforceable, (ii) challenging OncoC4’s Control of the Licensed Patents (i.e., alleging that a Third Party has a right or interest in or to the Licensed Patents or Licensed Know-How) or (iii) alleging misappropriation of the Know-How of any Third Party used in the Development, Manufacture or Commercialization of Licensed Products by or on behalf of OncoC4 prior to the Effective Date.</w:t>
      </w:r>
    </w:p>
    <w:p>
      <w:pPr>
        <w:spacing w:after="0" w:line="134" w:lineRule="exact"/>
        <w:rPr>
          <w:rFonts w:ascii="Times New Roman" w:cs="Times New Roman" w:eastAsia="Times New Roman" w:hAnsi="Times New Roman"/>
          <w:sz w:val="19"/>
          <w:szCs w:val="19"/>
          <w:color w:val="auto"/>
        </w:rPr>
      </w:pPr>
    </w:p>
    <w:p>
      <w:pPr>
        <w:jc w:val="both"/>
        <w:ind w:firstLine="1158"/>
        <w:spacing w:after="0" w:line="218" w:lineRule="auto"/>
        <w:tabs>
          <w:tab w:leader="none" w:pos="1729"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Non-Infringement of Third Party IP</w:t>
      </w:r>
      <w:r>
        <w:rPr>
          <w:rFonts w:ascii="Times New Roman" w:cs="Times New Roman" w:eastAsia="Times New Roman" w:hAnsi="Times New Roman"/>
          <w:sz w:val="19"/>
          <w:szCs w:val="19"/>
          <w:color w:val="auto"/>
        </w:rPr>
        <w:t>. To OncoC4’s knowledge, the (i) Development and Manufacture of the Licensed Compound and Licensed Product, as conducted by OncoC4 and its Affiliates prior to the Effective Date did not infringe any Patent or misappropriate any Know-How of any Person (in the case of pending Patents, evaluating them as if issued) and (ii) Commercialization of Licensed Compound and Licensed Product as contemplated in the CDP as of the Effective Date will not infringe the Patent of any Third Party. No written claim of infringement or alleged infringement of the Patents that is Controlled by or misappropriation of the Know-How that is Controlled by any Third Party has been received by OncoC4, or to OncoC4’s knowledge, threatened, against OncoC4 or any of its Affiliates with respect to the Development or Manufacture of the Licensed Compound or Licensed Product. To OncoC4’s knowledge, no Patents owned by a Third Party currently Claim Licensed Compound or Licensed Product, nor their use in any field.</w:t>
      </w:r>
    </w:p>
    <w:p>
      <w:pPr>
        <w:spacing w:after="0" w:line="134" w:lineRule="exact"/>
        <w:rPr>
          <w:rFonts w:ascii="Times New Roman" w:cs="Times New Roman" w:eastAsia="Times New Roman" w:hAnsi="Times New Roman"/>
          <w:sz w:val="19"/>
          <w:szCs w:val="19"/>
          <w:color w:val="auto"/>
        </w:rPr>
      </w:pPr>
    </w:p>
    <w:p>
      <w:pPr>
        <w:ind w:right="20" w:firstLine="1158"/>
        <w:spacing w:after="0" w:line="246" w:lineRule="auto"/>
        <w:tabs>
          <w:tab w:leader="none" w:pos="1729"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Infringement Notices to Third Parties</w:t>
      </w:r>
      <w:r>
        <w:rPr>
          <w:rFonts w:ascii="Times New Roman" w:cs="Times New Roman" w:eastAsia="Times New Roman" w:hAnsi="Times New Roman"/>
          <w:sz w:val="19"/>
          <w:szCs w:val="19"/>
          <w:color w:val="auto"/>
        </w:rPr>
        <w:t>. OncoC4 has not given written notice to any Third Party asserting infringement by such Third Party of all or any portion of the Licensed Patents and OncoC4 is not aware of any such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59</w:t>
      </w:r>
    </w:p>
    <w:p>
      <w:pPr>
        <w:sectPr>
          <w:pgSz w:w="11900" w:h="16840" w:orient="portrait"/>
          <w:cols w:equalWidth="0" w:num="1">
            <w:col w:w="10580"/>
          </w:cols>
          <w:pgMar w:left="660" w:top="556" w:right="660" w:bottom="1440" w:gutter="0" w:footer="0" w:header="0"/>
        </w:sectPr>
      </w:pPr>
    </w:p>
    <w:bookmarkStart w:id="517" w:name="page518"/>
    <w:bookmarkEnd w:id="51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1158"/>
        <w:spacing w:after="0" w:line="246" w:lineRule="auto"/>
        <w:tabs>
          <w:tab w:leader="none" w:pos="1729"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Non-Suit Agreements</w:t>
      </w:r>
      <w:r>
        <w:rPr>
          <w:rFonts w:ascii="Times New Roman" w:cs="Times New Roman" w:eastAsia="Times New Roman" w:hAnsi="Times New Roman"/>
          <w:sz w:val="19"/>
          <w:szCs w:val="19"/>
          <w:color w:val="auto"/>
        </w:rPr>
        <w:t>. OncoC4 has not entered into any agreement with a Third Party pursuant to which OncoC4 has agreed not to pursue any infringement by such Third Party of the Licensed Patents.</w:t>
      </w:r>
    </w:p>
    <w:p>
      <w:pPr>
        <w:spacing w:after="0" w:line="128"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Absence of Litigation</w:t>
      </w:r>
      <w:r>
        <w:rPr>
          <w:rFonts w:ascii="Times New Roman" w:cs="Times New Roman" w:eastAsia="Times New Roman" w:hAnsi="Times New Roman"/>
          <w:sz w:val="19"/>
          <w:szCs w:val="19"/>
          <w:color w:val="auto"/>
        </w:rPr>
        <w:t>. Except as otherwise disclosed to BioNTech prior to the Execution Date, there are no judgments or settlements against or owed by OncoC4 or its Affiliates, or, to OncoC4’s knowledge, pending litigation against OncoC4 or its Affiliates, or litigation threatened against OncoC4 or its Affiliates, in each case, related to any Listed Patents, Licensed Know-how, Licensed Compound or Licensed Product, including any such litigation relating to any Regulatory Materials Controlled by OncoC4 or its Affiliates as of the Execution Date and the Effective Date.</w:t>
      </w:r>
    </w:p>
    <w:p>
      <w:pPr>
        <w:spacing w:after="0" w:line="137" w:lineRule="exact"/>
        <w:rPr>
          <w:rFonts w:ascii="Times New Roman" w:cs="Times New Roman" w:eastAsia="Times New Roman" w:hAnsi="Times New Roman"/>
          <w:sz w:val="19"/>
          <w:szCs w:val="19"/>
          <w:color w:val="auto"/>
        </w:rPr>
      </w:pPr>
    </w:p>
    <w:p>
      <w:pPr>
        <w:jc w:val="both"/>
        <w:ind w:firstLine="1158"/>
        <w:spacing w:after="0" w:line="232" w:lineRule="auto"/>
        <w:tabs>
          <w:tab w:leader="none" w:pos="1729"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Inventors</w:t>
      </w:r>
      <w:r>
        <w:rPr>
          <w:rFonts w:ascii="Times New Roman" w:cs="Times New Roman" w:eastAsia="Times New Roman" w:hAnsi="Times New Roman"/>
          <w:sz w:val="19"/>
          <w:szCs w:val="19"/>
          <w:color w:val="auto"/>
        </w:rPr>
        <w:t>. Each Person who has or has had any ownership rights in or to any Licensed Patents purported to be owned solely by OncoC4, has assigned and has executed an agreement assigning its entire right, title, and interest in and to such Licensed Patents to OncoC4.</w:t>
      </w:r>
    </w:p>
    <w:p>
      <w:pPr>
        <w:spacing w:after="0" w:line="134" w:lineRule="exact"/>
        <w:rPr>
          <w:rFonts w:ascii="Times New Roman" w:cs="Times New Roman" w:eastAsia="Times New Roman" w:hAnsi="Times New Roman"/>
          <w:sz w:val="19"/>
          <w:szCs w:val="19"/>
          <w:color w:val="auto"/>
        </w:rPr>
      </w:pPr>
    </w:p>
    <w:p>
      <w:pPr>
        <w:jc w:val="both"/>
        <w:ind w:firstLine="1158"/>
        <w:spacing w:after="0" w:line="214" w:lineRule="auto"/>
        <w:tabs>
          <w:tab w:leader="none" w:pos="1717"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Upstream Agreements</w:t>
      </w:r>
      <w:r>
        <w:rPr>
          <w:rFonts w:ascii="Times New Roman" w:cs="Times New Roman" w:eastAsia="Times New Roman" w:hAnsi="Times New Roman"/>
          <w:sz w:val="19"/>
          <w:szCs w:val="19"/>
          <w:color w:val="auto"/>
        </w:rPr>
        <w:t xml:space="preserve">. The Upstream Agreements are in full force and effect in accordance with their terms; OncoC4 is not in breach of any Upstream Agreement and knows of no breach of any Upstream Agreement by the other party(ies) thereto; and except as set forth on </w:t>
      </w:r>
      <w:r>
        <w:rPr>
          <w:rFonts w:ascii="Times New Roman" w:cs="Times New Roman" w:eastAsia="Times New Roman" w:hAnsi="Times New Roman"/>
          <w:sz w:val="19"/>
          <w:szCs w:val="19"/>
          <w:u w:val="single" w:color="auto"/>
          <w:color w:val="auto"/>
        </w:rPr>
        <w:t>Schedule 1.105</w:t>
      </w:r>
      <w:r>
        <w:rPr>
          <w:rFonts w:ascii="Times New Roman" w:cs="Times New Roman" w:eastAsia="Times New Roman" w:hAnsi="Times New Roman"/>
          <w:sz w:val="19"/>
          <w:szCs w:val="19"/>
          <w:color w:val="auto"/>
        </w:rPr>
        <w:t xml:space="preserve">, OncoC4 has neither sent, provided, nor received any notice of breach or intent to terminate any Upstream Agreement. The copies of the Upstream Agreements made available to BioNTech by OncoC4 in due diligence in connection with this Agreement were true, accurate and complete, including all amendments thereto. During the Term, OncoC4 will not knowingly breach any Upstream Agreement, will not terminate any Upstream Agreement, and will not modify or amend any Upstream Agreement in any manner that would limit, restrict or otherwise adversely affect in any material respect the rights granted to BioNTech hereunder, in each case, without obtaining BioNTech’s prior written consent. During the Term, OncoC4 will not exercise, waive, release, or assign any rights under any Upstream Agreement in any manner that would limit, restrict or otherwise adversely affect in any material respect the rights granted to BioNTech hereunder, in each case, without obtaining BioNTech’s prior written consent. Except as set forth on </w:t>
      </w:r>
      <w:r>
        <w:rPr>
          <w:rFonts w:ascii="Times New Roman" w:cs="Times New Roman" w:eastAsia="Times New Roman" w:hAnsi="Times New Roman"/>
          <w:sz w:val="19"/>
          <w:szCs w:val="19"/>
          <w:u w:val="single" w:color="auto"/>
          <w:color w:val="auto"/>
        </w:rPr>
        <w:t>Schedule 10.2(i)</w:t>
      </w:r>
      <w:r>
        <w:rPr>
          <w:rFonts w:ascii="Times New Roman" w:cs="Times New Roman" w:eastAsia="Times New Roman" w:hAnsi="Times New Roman"/>
          <w:sz w:val="19"/>
          <w:szCs w:val="19"/>
          <w:color w:val="auto"/>
        </w:rPr>
        <w:t xml:space="preserve">, OncoC4 and its Affiliates are not parties to any agreement with a Third Party with respect to Licensed Compounds, Licensed Products, Licensed Patents or Licensed Know-How, that is not included in the Upstream Agreements, other than (i) routine agreements relating to Clinical Trials entered into by OncoC4 or its Affiliates in the ordinary course of business (including ordinary course agreements with clinical investigators), (ii) routine confidentiality and non-disclosure agreements entered into by OncoC4 or its Affiliates in the ordinary course of business, and (iii) routine assignment agreements with employees that fully and completely assign rights in Licensed Patents or Licensed Know-How to OncoC4 and impose no limitations, restrictions, terms, or conditions that would in any way limit OncoC4’s Control thereof;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OncoC4 shall be responsible for any and all payments to such employees pursuant to any such agreement.</w:t>
      </w:r>
    </w:p>
    <w:p>
      <w:pPr>
        <w:spacing w:after="0" w:line="142" w:lineRule="exact"/>
        <w:rPr>
          <w:rFonts w:ascii="Times New Roman" w:cs="Times New Roman" w:eastAsia="Times New Roman" w:hAnsi="Times New Roman"/>
          <w:sz w:val="19"/>
          <w:szCs w:val="19"/>
          <w:color w:val="auto"/>
        </w:rPr>
      </w:pPr>
    </w:p>
    <w:p>
      <w:pPr>
        <w:jc w:val="both"/>
        <w:ind w:firstLine="1158"/>
        <w:spacing w:after="0" w:line="223" w:lineRule="auto"/>
        <w:tabs>
          <w:tab w:leader="none" w:pos="1717"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All matters and disputes between [***], on the one hand, and OncoC4 (either directly or as successor in interest to [***]) or any of OncoC4’s Affiliates, on the other hand, related in any way to the Listed Patents and Licensed Know-How have been fully and finally settled and all settlement and other agreements related to such matters and disputes are included in the Upstream Agreements. Aside from the Upstream Agreements and the agreements set forth on </w:t>
      </w:r>
      <w:r>
        <w:rPr>
          <w:rFonts w:ascii="Times New Roman" w:cs="Times New Roman" w:eastAsia="Times New Roman" w:hAnsi="Times New Roman"/>
          <w:sz w:val="19"/>
          <w:szCs w:val="19"/>
          <w:u w:val="single" w:color="auto"/>
          <w:color w:val="auto"/>
        </w:rPr>
        <w:t>Schedule 10.2(j)</w:t>
      </w:r>
      <w:r>
        <w:rPr>
          <w:rFonts w:ascii="Times New Roman" w:cs="Times New Roman" w:eastAsia="Times New Roman" w:hAnsi="Times New Roman"/>
          <w:sz w:val="19"/>
          <w:szCs w:val="19"/>
          <w:color w:val="auto"/>
        </w:rPr>
        <w:t>, there are no other agreements between [***],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60</w:t>
      </w:r>
    </w:p>
    <w:p>
      <w:pPr>
        <w:sectPr>
          <w:pgSz w:w="11900" w:h="16840" w:orient="portrait"/>
          <w:cols w:equalWidth="0" w:num="1">
            <w:col w:w="10580"/>
          </w:cols>
          <w:pgMar w:left="660" w:top="556" w:right="660" w:bottom="1440" w:gutter="0" w:footer="0" w:header="0"/>
        </w:sectPr>
      </w:pPr>
    </w:p>
    <w:bookmarkStart w:id="518" w:name="page519"/>
    <w:bookmarkEnd w:id="51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one hand, and OncoC4 (either directly or as successor in interest to [***]) or any of OncoC4’s Affiliates, on the other hand. [***] has not asserted any cause of action against OncoC4, any of its Affiliates, nor, to OncoC4’s knowledge, any of the named inventors on the Listed Patents, that has not been fully and finally settled by one or more Upstream Agreements, and there are no other persons who should be named on the Listed Patents, under applicable patent Laws, who have an obligation to assign their interests in the Listed Patents to [***].</w:t>
      </w:r>
    </w:p>
    <w:p>
      <w:pPr>
        <w:spacing w:after="0" w:line="134" w:lineRule="exact"/>
        <w:rPr>
          <w:sz w:val="20"/>
          <w:szCs w:val="20"/>
          <w:color w:val="auto"/>
        </w:rPr>
      </w:pPr>
    </w:p>
    <w:p>
      <w:pPr>
        <w:ind w:left="1740" w:hanging="582"/>
        <w:spacing w:after="0"/>
        <w:tabs>
          <w:tab w:leader="none" w:pos="1740" w:val="left"/>
        </w:tabs>
        <w:numPr>
          <w:ilvl w:val="0"/>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735"/>
        <w:spacing w:after="0" w:line="223" w:lineRule="auto"/>
        <w:tabs>
          <w:tab w:leader="none" w:pos="2293" w:val="left"/>
        </w:tabs>
        <w:numPr>
          <w:ilvl w:val="1"/>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license and other agreements between [***], on the one hand, and OncoC4 (either directly or as successor in interest to [***]) or any of OncoC4’s Affiliates, on the other hand, related to Licensed Compound(s), Licensed Product(s), any component of either of the foregoing (other than an Other Active), or the manufacturing process for any Licensed Compound(s), Licensed Product(s), or any component of either of the foregoing (including any cell lines or other biological materials used in such a process, including those that are proprietary to [***] or any [***] Affiliate) are set forth on </w:t>
      </w:r>
      <w:r>
        <w:rPr>
          <w:rFonts w:ascii="Times New Roman" w:cs="Times New Roman" w:eastAsia="Times New Roman" w:hAnsi="Times New Roman"/>
          <w:sz w:val="19"/>
          <w:szCs w:val="19"/>
          <w:u w:val="single" w:color="auto"/>
          <w:color w:val="auto"/>
        </w:rPr>
        <w:t>Schedule 10.2(k)</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firstLine="1735"/>
        <w:spacing w:after="0" w:line="236" w:lineRule="auto"/>
        <w:tabs>
          <w:tab w:leader="none" w:pos="2305" w:val="left"/>
        </w:tabs>
        <w:numPr>
          <w:ilvl w:val="1"/>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 shall use Commercially Reasonable Efforts to amend or receive a written waiver, or cause their Affiliate to receive such written waiver, under the [***] License, as soon as reasonably practicable, and in any event within [***] months, following the Effective Date, to allow for sublicensing through multiple tiers thereunder and the transfer of the licensed cell line to a Third Party manufacturer. In the event that OncoC4 or its Affiliate cannot obtain such amendment or written waiver, at BioNTech’s election, BioNTech may either (A) enter into a direct license with [***] or (B) request that OncoC4 or its Affiliate promptly grant (and OncoC4 or its Affiliate shall so promptly grant) a direct (sub)license under the [***] License to any Third Party reasonably requested by BioNTech in accordance with the terms of the [***] License in order to allow BioNTech to complete a technology transfer or otherwise exercise its rights hereunder. In the event that BioNTech elects to enter into a direct license with [***] pursuant to subclause (A) (i.e., in the event that OncoC4 cannot obtain an amendment or written waiver under the [***] License to allow for sublicensing through multiple tiers thereunder and the transfer of the licensed cell line to a Third Party manufacturer), such direct license shall be deemed a necessary Third Party license pursuant to Section 7.7(a) and any payments thereunder would be deductible against royalties in accordance with Section 7.7(a).</w:t>
      </w:r>
    </w:p>
    <w:p>
      <w:pPr>
        <w:spacing w:after="0" w:line="133" w:lineRule="exact"/>
        <w:rPr>
          <w:rFonts w:ascii="Times New Roman" w:cs="Times New Roman" w:eastAsia="Times New Roman" w:hAnsi="Times New Roman"/>
          <w:sz w:val="19"/>
          <w:szCs w:val="19"/>
          <w:color w:val="auto"/>
        </w:rPr>
      </w:pPr>
    </w:p>
    <w:p>
      <w:pPr>
        <w:ind w:right="40" w:firstLine="1735"/>
        <w:spacing w:after="0" w:line="246" w:lineRule="auto"/>
        <w:tabs>
          <w:tab w:leader="none" w:pos="2305" w:val="left"/>
        </w:tabs>
        <w:numPr>
          <w:ilvl w:val="1"/>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7.13, royalty payments to [***] under the [***] License and Technology Transfer costs payable to [***] in accordance with Section 5.2(a) will be shared [***] between BioNTech and OncoC4.</w:t>
      </w:r>
    </w:p>
    <w:p>
      <w:pPr>
        <w:spacing w:after="0" w:line="128" w:lineRule="exact"/>
        <w:rPr>
          <w:rFonts w:ascii="Times New Roman" w:cs="Times New Roman" w:eastAsia="Times New Roman" w:hAnsi="Times New Roman"/>
          <w:sz w:val="19"/>
          <w:szCs w:val="19"/>
          <w:color w:val="auto"/>
        </w:rPr>
      </w:pPr>
    </w:p>
    <w:p>
      <w:pPr>
        <w:ind w:left="1720" w:hanging="562"/>
        <w:spacing w:after="0"/>
        <w:tabs>
          <w:tab w:leader="none" w:pos="1720" w:val="left"/>
        </w:tabs>
        <w:numPr>
          <w:ilvl w:val="0"/>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 Agreement</w:t>
      </w: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firstLine="1735"/>
        <w:spacing w:after="0" w:line="233" w:lineRule="auto"/>
        <w:tabs>
          <w:tab w:leader="none" w:pos="2293" w:val="left"/>
        </w:tabs>
        <w:numPr>
          <w:ilvl w:val="1"/>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clinical trial [***] conducted pursuant to the [***] Agreement (the “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 would not reasonably be expected to adversely impact the Joint Development Program hereunder and (B) no results from such clinical trial are available as of the Execution Date and the Effective Date.</w:t>
      </w:r>
    </w:p>
    <w:p>
      <w:pPr>
        <w:spacing w:after="0" w:line="133" w:lineRule="exact"/>
        <w:rPr>
          <w:rFonts w:ascii="Times New Roman" w:cs="Times New Roman" w:eastAsia="Times New Roman" w:hAnsi="Times New Roman"/>
          <w:sz w:val="19"/>
          <w:szCs w:val="19"/>
          <w:color w:val="auto"/>
        </w:rPr>
      </w:pPr>
    </w:p>
    <w:p>
      <w:pPr>
        <w:jc w:val="both"/>
        <w:ind w:right="20" w:firstLine="1735"/>
        <w:spacing w:after="0" w:line="232" w:lineRule="auto"/>
        <w:tabs>
          <w:tab w:leader="none" w:pos="2305" w:val="left"/>
        </w:tabs>
        <w:numPr>
          <w:ilvl w:val="1"/>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following the Effective Date, OncoC4 shall be permitted to disclose BioNTech’s identity with respect to this Agreement and the [***] to [***] and OncoC4 shall use Commercially Reasonable Efforts to obtain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61</w:t>
      </w:r>
    </w:p>
    <w:p>
      <w:pPr>
        <w:sectPr>
          <w:pgSz w:w="11900" w:h="16840" w:orient="portrait"/>
          <w:cols w:equalWidth="0" w:num="1">
            <w:col w:w="10580"/>
          </w:cols>
          <w:pgMar w:left="660" w:top="556" w:right="660" w:bottom="1440" w:gutter="0" w:footer="0" w:header="0"/>
        </w:sectPr>
      </w:pPr>
    </w:p>
    <w:bookmarkStart w:id="519" w:name="page520"/>
    <w:bookmarkEnd w:id="51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9"/>
          <w:szCs w:val="19"/>
          <w:color w:val="auto"/>
        </w:rPr>
        <w:t>waiver or amendment of the [***] Agreement to enable OncoC4 to (A) share the Joint Clinical Data (as defined in the [***] Agreement) thereunder with BioNTech and (B) keep BioNTech reasonably apprised of any planned patent filings under the [***] Agreement. Notwithstanding any other provision of this Agreement, OncoC4 shall be responsible for [***] of all Joint Development Costs associated with the [***] until such time that BioNTech has obtained access to such Joint Clinical Data. Promptly following the execution of any such waiver or amendment of the [***] Agreement, OncoC4 will provide a copy thereof to BioNTech along with a copy of the [***] Agreement.</w:t>
      </w:r>
    </w:p>
    <w:p>
      <w:pPr>
        <w:spacing w:after="0" w:line="137" w:lineRule="exact"/>
        <w:rPr>
          <w:sz w:val="20"/>
          <w:szCs w:val="20"/>
          <w:color w:val="auto"/>
        </w:rPr>
      </w:pPr>
    </w:p>
    <w:p>
      <w:pPr>
        <w:ind w:left="2320" w:hanging="585"/>
        <w:spacing w:after="0"/>
        <w:tabs>
          <w:tab w:leader="none" w:pos="2320" w:val="left"/>
        </w:tabs>
        <w:numPr>
          <w:ilvl w:val="1"/>
          <w:numId w:val="5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158"/>
        <w:spacing w:after="0" w:line="221" w:lineRule="auto"/>
        <w:tabs>
          <w:tab w:leader="none" w:pos="1717"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OncoC4 will and will cause its Affiliates to comply in all material respects with all applicable Laws in exercising its rights and fulfilling its obligations under this Agreement. Without limiting the foregoing, OncoC4 will conduct its Development, Manufacturing and, where applicable and subject to Section 5.3(d), Commercialization activities relating to the Licensed Compound and Licensed Product(s) in accordance with applicable Laws (including data privacy Laws, current international regulatory standards, and including, as applicable, GMP, GLP and GCP), and will cause all applicable contractors hereunder to comply with such applicable Laws.</w:t>
      </w:r>
    </w:p>
    <w:p>
      <w:pPr>
        <w:spacing w:after="0" w:line="137" w:lineRule="exact"/>
        <w:rPr>
          <w:rFonts w:ascii="Times New Roman" w:cs="Times New Roman" w:eastAsia="Times New Roman" w:hAnsi="Times New Roman"/>
          <w:sz w:val="19"/>
          <w:szCs w:val="19"/>
          <w:color w:val="auto"/>
        </w:rPr>
      </w:pPr>
    </w:p>
    <w:p>
      <w:pPr>
        <w:jc w:val="both"/>
        <w:ind w:firstLine="1158"/>
        <w:spacing w:after="0" w:line="223" w:lineRule="auto"/>
        <w:tabs>
          <w:tab w:leader="none" w:pos="1729"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Data</w:t>
      </w:r>
      <w:r>
        <w:rPr>
          <w:rFonts w:ascii="Times New Roman" w:cs="Times New Roman" w:eastAsia="Times New Roman" w:hAnsi="Times New Roman"/>
          <w:sz w:val="19"/>
          <w:szCs w:val="19"/>
          <w:color w:val="auto"/>
        </w:rPr>
        <w:t>. OncoC4 has accurately and completely disclosed to BioNTech all material data known OncoC4 with respect to Licensed Compounds and Licensed Products. The data provided by OncoC4 to BioNTech in due diligence in connection with this Agreement prior to the Execution Date and the Effective Date are accurate and complete in all material respects and OncoC4 has not omitted to include in such due diligence disclosures any data or information necessary to understand or make not misleading the data and information that were disclosed in due diligence.</w:t>
      </w:r>
    </w:p>
    <w:p>
      <w:pPr>
        <w:spacing w:after="0" w:line="137" w:lineRule="exact"/>
        <w:rPr>
          <w:rFonts w:ascii="Times New Roman" w:cs="Times New Roman" w:eastAsia="Times New Roman" w:hAnsi="Times New Roman"/>
          <w:sz w:val="19"/>
          <w:szCs w:val="19"/>
          <w:color w:val="auto"/>
        </w:rPr>
      </w:pPr>
    </w:p>
    <w:p>
      <w:pPr>
        <w:ind w:right="20" w:firstLine="1158"/>
        <w:spacing w:after="0" w:line="246" w:lineRule="auto"/>
        <w:tabs>
          <w:tab w:leader="none" w:pos="1729"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 Patents</w:t>
      </w:r>
      <w:r>
        <w:rPr>
          <w:rFonts w:ascii="Times New Roman" w:cs="Times New Roman" w:eastAsia="Times New Roman" w:hAnsi="Times New Roman"/>
          <w:sz w:val="19"/>
          <w:szCs w:val="19"/>
          <w:color w:val="auto"/>
        </w:rPr>
        <w:t>. Following the Effective Date, OncoC4 shall not, directly or indirectly, Prosecute outside the United States any Patent that was licensed to OncoC4 pursuant to the [***] License.</w:t>
      </w:r>
    </w:p>
    <w:p>
      <w:pPr>
        <w:spacing w:after="0" w:line="128" w:lineRule="exact"/>
        <w:rPr>
          <w:rFonts w:ascii="Times New Roman" w:cs="Times New Roman" w:eastAsia="Times New Roman" w:hAnsi="Times New Roman"/>
          <w:sz w:val="19"/>
          <w:szCs w:val="19"/>
          <w:color w:val="auto"/>
        </w:rPr>
      </w:pPr>
    </w:p>
    <w:p>
      <w:pPr>
        <w:jc w:val="both"/>
        <w:ind w:right="20" w:firstLine="1158"/>
        <w:spacing w:after="0" w:line="221" w:lineRule="auto"/>
        <w:tabs>
          <w:tab w:leader="none" w:pos="1729"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 of Ownership</w:t>
      </w:r>
      <w:r>
        <w:rPr>
          <w:rFonts w:ascii="Times New Roman" w:cs="Times New Roman" w:eastAsia="Times New Roman" w:hAnsi="Times New Roman"/>
          <w:sz w:val="19"/>
          <w:szCs w:val="19"/>
          <w:color w:val="auto"/>
        </w:rPr>
        <w:t>. For any Listed Patents owned by OncoC4 or an Affiliate of OncoC4 for which the public record reflects as of the Effective Date a record owner that is not either (i) OncoC4 and/or (ii) an Affiliate of OncoC4, including all such Listed Patents that as of the Effective Date reflect [***] and/or any other [***] entity as the record owner, OncoC4 shall cause itself and/or its Affiliate to be properly recorded as the record owner in the public record in accordance with applicable requirements of Law and procedures of the relevant patent office(s), as promptly as practicable, and shall provide evidence of such recording to BioNTech promptly thereafter.</w:t>
      </w:r>
    </w:p>
    <w:p>
      <w:pPr>
        <w:spacing w:after="0" w:line="137" w:lineRule="exact"/>
        <w:rPr>
          <w:rFonts w:ascii="Times New Roman" w:cs="Times New Roman" w:eastAsia="Times New Roman" w:hAnsi="Times New Roman"/>
          <w:sz w:val="19"/>
          <w:szCs w:val="19"/>
          <w:color w:val="auto"/>
        </w:rPr>
      </w:pPr>
    </w:p>
    <w:p>
      <w:pPr>
        <w:jc w:val="both"/>
        <w:ind w:firstLine="1158"/>
        <w:spacing w:after="0" w:line="227" w:lineRule="auto"/>
        <w:tabs>
          <w:tab w:leader="none" w:pos="1729"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Government Funding</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Schedule 10.2(q)</w:t>
      </w:r>
      <w:r>
        <w:rPr>
          <w:rFonts w:ascii="Times New Roman" w:cs="Times New Roman" w:eastAsia="Times New Roman" w:hAnsi="Times New Roman"/>
          <w:sz w:val="19"/>
          <w:szCs w:val="19"/>
          <w:color w:val="auto"/>
        </w:rPr>
        <w:t>, the inventions claimed or covered by the Licensed Patents (i) were not conceived, discovered, developed, or otherwise made in connection with any research activities funded, in whole or in part, by the federal government of the United States or any agency thereof, (ii) are not a “subject invention” as that term is described in 35 U.S.C. § 201(f), and (iii) are not otherwise subject to the provisions of the 35 U.S.C. §§ 200-212.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62</w:t>
      </w:r>
    </w:p>
    <w:p>
      <w:pPr>
        <w:sectPr>
          <w:pgSz w:w="11900" w:h="16840" w:orient="portrait"/>
          <w:cols w:equalWidth="0" w:num="1">
            <w:col w:w="10580"/>
          </w:cols>
          <w:pgMar w:left="660" w:top="556" w:right="660" w:bottom="1440" w:gutter="0" w:footer="0" w:header="0"/>
        </w:sectPr>
      </w:pPr>
    </w:p>
    <w:bookmarkStart w:id="520" w:name="page521"/>
    <w:bookmarkEnd w:id="52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0"/>
        <w:spacing w:after="0"/>
        <w:tabs>
          <w:tab w:leader="none" w:pos="140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19"/>
          <w:szCs w:val="19"/>
          <w:u w:val="single" w:color="auto"/>
          <w:color w:val="auto"/>
        </w:rPr>
        <w:t xml:space="preserve">Additional Representations, Warranties and Covenants of BioNTech </w:t>
      </w:r>
      <w:r>
        <w:rPr>
          <w:rFonts w:ascii="Times New Roman" w:cs="Times New Roman" w:eastAsia="Times New Roman" w:hAnsi="Times New Roman"/>
          <w:sz w:val="19"/>
          <w:szCs w:val="19"/>
          <w:color w:val="auto"/>
        </w:rPr>
        <w:t>. BioNTech represents, warrants and covenants to</w:t>
      </w:r>
    </w:p>
    <w:p>
      <w:pPr>
        <w:spacing w:after="0"/>
        <w:rPr>
          <w:sz w:val="20"/>
          <w:szCs w:val="20"/>
          <w:color w:val="auto"/>
        </w:rPr>
      </w:pPr>
      <w:r>
        <w:rPr>
          <w:rFonts w:ascii="Times New Roman" w:cs="Times New Roman" w:eastAsia="Times New Roman" w:hAnsi="Times New Roman"/>
          <w:sz w:val="19"/>
          <w:szCs w:val="19"/>
          <w:color w:val="auto"/>
        </w:rPr>
        <w:t>OncoC4 that, as of the Execution Date and the Effective Date:</w:t>
      </w:r>
    </w:p>
    <w:p>
      <w:pPr>
        <w:spacing w:after="0" w:line="144" w:lineRule="exact"/>
        <w:rPr>
          <w:sz w:val="20"/>
          <w:szCs w:val="20"/>
          <w:color w:val="auto"/>
        </w:rPr>
      </w:pPr>
    </w:p>
    <w:p>
      <w:pPr>
        <w:jc w:val="both"/>
        <w:ind w:right="20" w:firstLine="1158"/>
        <w:spacing w:after="0" w:line="221" w:lineRule="auto"/>
        <w:tabs>
          <w:tab w:leader="none" w:pos="1729" w:val="left"/>
        </w:tabs>
        <w:numPr>
          <w:ilvl w:val="1"/>
          <w:numId w:val="5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BioNTech will and will ensure that its Affiliates and Sublicensees comply in all material respects with all applicable Laws in exercising their rights and fulfilling their obligations under this Agreement. Without limiting the foregoing, BioNTech will conduct its Development, Manufacturing and Commercialization activities relating to the Licensed Compound and Licensed Product(s) in accordance with applicable Laws (including data privacy Laws, current international regulatory standards, and including, as applicable, GMP, GLP and GCP), and will cause all permitted contractors and Sublicensees hereunder to comply with such applicable Laws.</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20" w:lineRule="auto"/>
        <w:tabs>
          <w:tab w:leader="none" w:pos="1729" w:val="left"/>
        </w:tabs>
        <w:numPr>
          <w:ilvl w:val="1"/>
          <w:numId w:val="5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Section 10.3(a), BioNTech will comply with all applicable Laws concerning bribery, money laundering, or corrupt practices or which in any manner prohibit the giving of anything of value to any official, agent, or employee of any government, political party, or public international organization, candidate for public office, health care professional, or to any officer, director, employee, or representative of any other organization specifically including the U.S. Foreign Corrupt Practices Act, and the UK Bribery Act, in each case, in connection with the activities conducted pursuant to this Agreement. BioNTech will require any contractors, Sublicensees, or other Persons that provide services to BioNTech in connection with this Agreement to comply with BioNTech’s obligations under this Section 10.3(b).</w:t>
      </w:r>
    </w:p>
    <w:p>
      <w:pPr>
        <w:spacing w:after="0" w:line="134" w:lineRule="exact"/>
        <w:rPr>
          <w:rFonts w:ascii="Times New Roman" w:cs="Times New Roman" w:eastAsia="Times New Roman" w:hAnsi="Times New Roman"/>
          <w:sz w:val="19"/>
          <w:szCs w:val="19"/>
          <w:color w:val="auto"/>
        </w:rPr>
      </w:pPr>
    </w:p>
    <w:p>
      <w:pPr>
        <w:jc w:val="both"/>
        <w:ind w:right="20" w:firstLine="870"/>
        <w:spacing w:after="0" w:line="218" w:lineRule="auto"/>
        <w:tabs>
          <w:tab w:leader="none" w:pos="1140" w:val="left"/>
        </w:tabs>
        <w:numPr>
          <w:ilvl w:val="0"/>
          <w:numId w:val="5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4 </w:t>
      </w:r>
      <w:r>
        <w:rPr>
          <w:rFonts w:ascii="Times New Roman" w:cs="Times New Roman" w:eastAsia="Times New Roman" w:hAnsi="Times New Roman"/>
          <w:sz w:val="19"/>
          <w:szCs w:val="19"/>
          <w:u w:val="single" w:color="auto"/>
          <w:color w:val="auto"/>
        </w:rPr>
        <w:t>No Debarment</w:t>
      </w:r>
      <w:r>
        <w:rPr>
          <w:rFonts w:ascii="Times New Roman" w:cs="Times New Roman" w:eastAsia="Times New Roman" w:hAnsi="Times New Roman"/>
          <w:sz w:val="19"/>
          <w:szCs w:val="19"/>
          <w:color w:val="auto"/>
        </w:rPr>
        <w:t>. Each Party represents and warrants that neither it nor any of its or its Affiliates’ employees or agents performing under this Agreement has ever been, or is currently: (a) debarred under 21 U.S.C. § 335a or by any Regulatory Authority; (b) excluded, debarred, suspended, or otherwise ineligible to participate in federal health care programs or in federal procurement or non-procurement programs; (c) listed on the FDA’s Disqualified and Restricted Lists for clinical investigators; or (d) convicted of a criminal offense that falls within the scope of 42 U.S.C. § 1320a-7(a), but has not yet been excluded, debarred, suspended, or otherwise declared ineligible. Each Party further covenants that if, during the Term of this Agreement, it becomes aware that it or any of its or its Affiliates’ employees or agents performing under this Agreement is the subject of any investigation or proceeding that could lead to that Party becoming a debarred entity or individual, an excluded entity or individual or a convicted entity or individual, such Party will promptly notify the other Party.</w:t>
      </w:r>
    </w:p>
    <w:p>
      <w:pPr>
        <w:spacing w:after="0" w:line="134" w:lineRule="exact"/>
        <w:rPr>
          <w:sz w:val="20"/>
          <w:szCs w:val="20"/>
          <w:color w:val="auto"/>
        </w:rPr>
      </w:pPr>
    </w:p>
    <w:p>
      <w:pPr>
        <w:jc w:val="both"/>
        <w:ind w:firstLine="870"/>
        <w:spacing w:after="0" w:line="223" w:lineRule="auto"/>
        <w:tabs>
          <w:tab w:leader="none" w:pos="1140" w:val="left"/>
        </w:tabs>
        <w:numPr>
          <w:ilvl w:val="0"/>
          <w:numId w:val="5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 </w:t>
      </w:r>
      <w:r>
        <w:rPr>
          <w:rFonts w:ascii="Times New Roman" w:cs="Times New Roman" w:eastAsia="Times New Roman" w:hAnsi="Times New Roman"/>
          <w:sz w:val="19"/>
          <w:szCs w:val="19"/>
          <w:u w:val="single" w:color="auto"/>
          <w:color w:val="auto"/>
        </w:rPr>
        <w:t>Investigations</w:t>
      </w:r>
      <w:r>
        <w:rPr>
          <w:rFonts w:ascii="Times New Roman" w:cs="Times New Roman" w:eastAsia="Times New Roman" w:hAnsi="Times New Roman"/>
          <w:sz w:val="19"/>
          <w:szCs w:val="19"/>
          <w:color w:val="auto"/>
        </w:rPr>
        <w:t>. Each Party agrees to provide reasonable cooperation in any investigation that may be conducted by or on behalf of the other Party related to business in connection with this Agreement. Upon notice of an intended investigation, the Party receiving such notice will provide, in a reasonable time, to the other Party or to a Third Party engaged by such other Party: (a) access to the relevant persons; and/or (b) access to relevant documents and data (e.g., invoices and requests for expense reimbursement, supporting receipts and substantiation, and original entry records for charges and payments).</w:t>
      </w:r>
    </w:p>
    <w:p>
      <w:pPr>
        <w:spacing w:after="0" w:line="137" w:lineRule="exact"/>
        <w:rPr>
          <w:sz w:val="20"/>
          <w:szCs w:val="20"/>
          <w:color w:val="auto"/>
        </w:rPr>
      </w:pPr>
    </w:p>
    <w:p>
      <w:pPr>
        <w:ind w:right="20" w:firstLine="864"/>
        <w:spacing w:after="0"/>
        <w:rPr>
          <w:sz w:val="20"/>
          <w:szCs w:val="20"/>
          <w:color w:val="auto"/>
        </w:rPr>
      </w:pPr>
      <w:r>
        <w:rPr>
          <w:rFonts w:ascii="Times New Roman" w:cs="Times New Roman" w:eastAsia="Times New Roman" w:hAnsi="Times New Roman"/>
          <w:sz w:val="19"/>
          <w:szCs w:val="19"/>
          <w:color w:val="auto"/>
        </w:rPr>
        <w:t xml:space="preserve">1 0 . 6 </w:t>
      </w:r>
      <w:r>
        <w:rPr>
          <w:rFonts w:ascii="Times New Roman" w:cs="Times New Roman" w:eastAsia="Times New Roman" w:hAnsi="Times New Roman"/>
          <w:sz w:val="19"/>
          <w:szCs w:val="19"/>
          <w:u w:val="single" w:color="auto"/>
          <w:color w:val="auto"/>
        </w:rPr>
        <w:t>No Other Warranties</w:t>
      </w:r>
      <w:r>
        <w:rPr>
          <w:rFonts w:ascii="Times New Roman" w:cs="Times New Roman" w:eastAsia="Times New Roman" w:hAnsi="Times New Roman"/>
          <w:sz w:val="19"/>
          <w:szCs w:val="19"/>
          <w:color w:val="auto"/>
        </w:rPr>
        <w:t>. EXCEPT AS EXPRESSLY STATED IN THIS ARTICLE X, NEITHER PARTY MAKES ANY REPRESENTATIONS OR EXTENDS ANY WARRANTIES OF ANY KIND, EITHER EXPRESS OR IMPLIED, STATUTORY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63</w:t>
      </w:r>
    </w:p>
    <w:p>
      <w:pPr>
        <w:sectPr>
          <w:pgSz w:w="11900" w:h="16840" w:orient="portrait"/>
          <w:cols w:equalWidth="0" w:num="1">
            <w:col w:w="10580"/>
          </w:cols>
          <w:pgMar w:left="660" w:top="556" w:right="660" w:bottom="1440" w:gutter="0" w:footer="0" w:header="0"/>
        </w:sectPr>
      </w:pPr>
    </w:p>
    <w:bookmarkStart w:id="521" w:name="page522"/>
    <w:bookmarkEnd w:id="52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OTHERWISE, INCLUDING WARRANTIES OF TITLE, NON-INFRINGEMENT OR NON- MISAPPROPRIATION OF THIRD PARTY INTELLECTUAL PROPERTY WITH RESPECT TO THE LICENSED PRODUCT, VALIDITY, ENFORCEABILITY, MERCHANTABILITY AND FITNESS FOR A PARTICULAR PURPOSE. WITHOUT LIMITING THE FOREGOING, NEITHER PARTY MAKES ANY REPRESENTATION OR WARRANTY, EITHER EXPRESS OR IMPLIED, THAT EITHER PARTY WILL BE ABLE TO SUCCESSFULLY ADVANCE THE LICENSED COMPOUND OR ANY LICENSED PRODUCT, OR DEVELOP, OBTAIN REGULATORY APPROVAL FOR, MANUFACTURE OR COMMERCIALIZE THE LICENSED COMPOUND OR ANY LICENSED PRODUCT, OR, IF COMMERCIALIZED, THAT ANY PARTICULAR SALES LEVEL OR PROFIT OF ANY LICENSED PRODUCT WILL BE ACHIEVED.</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ARTICLE XI</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INDEMNIFICATION; DAMAGES</w:t>
      </w:r>
    </w:p>
    <w:p>
      <w:pPr>
        <w:spacing w:after="0" w:line="144" w:lineRule="exact"/>
        <w:rPr>
          <w:sz w:val="20"/>
          <w:szCs w:val="20"/>
          <w:color w:val="auto"/>
        </w:rPr>
      </w:pPr>
    </w:p>
    <w:p>
      <w:pPr>
        <w:jc w:val="both"/>
        <w:ind w:firstLine="864"/>
        <w:spacing w:after="0" w:line="215" w:lineRule="auto"/>
        <w:rPr>
          <w:sz w:val="20"/>
          <w:szCs w:val="20"/>
          <w:color w:val="auto"/>
        </w:rPr>
      </w:pPr>
      <w:r>
        <w:rPr>
          <w:rFonts w:ascii="Times New Roman" w:cs="Times New Roman" w:eastAsia="Times New Roman" w:hAnsi="Times New Roman"/>
          <w:sz w:val="19"/>
          <w:szCs w:val="19"/>
          <w:color w:val="auto"/>
        </w:rPr>
        <w:t xml:space="preserve">11 . 1 </w:t>
      </w:r>
      <w:r>
        <w:rPr>
          <w:rFonts w:ascii="Times New Roman" w:cs="Times New Roman" w:eastAsia="Times New Roman" w:hAnsi="Times New Roman"/>
          <w:sz w:val="19"/>
          <w:szCs w:val="19"/>
          <w:u w:val="single" w:color="auto"/>
          <w:color w:val="auto"/>
        </w:rPr>
        <w:t>Indemnification by OncoC4</w:t>
      </w:r>
      <w:r>
        <w:rPr>
          <w:rFonts w:ascii="Times New Roman" w:cs="Times New Roman" w:eastAsia="Times New Roman" w:hAnsi="Times New Roman"/>
          <w:sz w:val="19"/>
          <w:szCs w:val="19"/>
          <w:color w:val="auto"/>
        </w:rPr>
        <w:t>. OncoC4 will defend, indemnify and hold harmless BioNTech, its Affiliates and their respective directors, officers, employees and agents (each, a “</w:t>
      </w:r>
      <w:r>
        <w:rPr>
          <w:rFonts w:ascii="Times New Roman" w:cs="Times New Roman" w:eastAsia="Times New Roman" w:hAnsi="Times New Roman"/>
          <w:sz w:val="19"/>
          <w:szCs w:val="19"/>
          <w:b w:val="1"/>
          <w:bCs w:val="1"/>
          <w:color w:val="auto"/>
        </w:rPr>
        <w:t>BioNTech Indemnified Party</w:t>
      </w:r>
      <w:r>
        <w:rPr>
          <w:rFonts w:ascii="Times New Roman" w:cs="Times New Roman" w:eastAsia="Times New Roman" w:hAnsi="Times New Roman"/>
          <w:sz w:val="19"/>
          <w:szCs w:val="19"/>
          <w:color w:val="auto"/>
        </w:rPr>
        <w:t xml:space="preserve">”) from, against and in respect of any and all Losses incurred or suffered by any BioNTech Indemnified Party to the extent resulting from Actions brought by a Third Party (a “ </w:t>
      </w:r>
      <w:r>
        <w:rPr>
          <w:rFonts w:ascii="Times New Roman" w:cs="Times New Roman" w:eastAsia="Times New Roman" w:hAnsi="Times New Roman"/>
          <w:sz w:val="19"/>
          <w:szCs w:val="19"/>
          <w:b w:val="1"/>
          <w:bCs w:val="1"/>
          <w:color w:val="auto"/>
        </w:rPr>
        <w:t>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Party Action</w:t>
      </w:r>
      <w:r>
        <w:rPr>
          <w:rFonts w:ascii="Times New Roman" w:cs="Times New Roman" w:eastAsia="Times New Roman" w:hAnsi="Times New Roman"/>
          <w:sz w:val="19"/>
          <w:szCs w:val="19"/>
          <w:color w:val="auto"/>
        </w:rPr>
        <w:t>”) arising out of: (a) any breach by OncoC4 or its Affiliates or sublicensees under this Agreement; (b) the negligence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intentional misconduct of OncoC4 or any of its Affiliates, sublicensees, or contractors, or any of their respective directors, officers, employees and agents, in performing OncoC4’s obligations under this Agreement; (c) any claims, including claims for payment owed or alleged to be owed by OncoC4, under (i) any agreement between OncoC4 and a Third Party entered into prior to the Effective Date to the extent such claims relate to pre- Effective Date activities or result from or relate to the terms of this Agreement (for clarity, not including the Exploitation by or on behalf of the Parties of the Licensed Compound or Licensed Products after the Effective Date as contemplated by this Agreement) or (ii) an Upstream Agreement, in each case ((i) and (ii)), including any such claims related to joint ownership over intellectual property rights; or (d) the [***] License;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OncoC4’s obligations pursuant to this Section 11.1 will not apply to the extent such Losses result from any events or activities described in Section 11.2 for which BioNTech has an obligation to indemnify any OncoC4 Indemnified Party. In addition, OncoC4 will indemnify BioNTech Indemnified Parties for [***] of their Losses arising out of Third Party Actions resulting from the Joint Development Program, but excluding those Third Party Actions arising out of the causes set forth in Section 11.1(a) or (b) or Section 11.2(a), (b), or (c) (“</w:t>
      </w:r>
      <w:r>
        <w:rPr>
          <w:rFonts w:ascii="Times New Roman" w:cs="Times New Roman" w:eastAsia="Times New Roman" w:hAnsi="Times New Roman"/>
          <w:sz w:val="19"/>
          <w:szCs w:val="19"/>
          <w:b w:val="1"/>
          <w:bCs w:val="1"/>
          <w:color w:val="auto"/>
        </w:rPr>
        <w:t>Shared CDP Liability Claims</w:t>
      </w:r>
      <w:r>
        <w:rPr>
          <w:rFonts w:ascii="Times New Roman" w:cs="Times New Roman" w:eastAsia="Times New Roman" w:hAnsi="Times New Roman"/>
          <w:sz w:val="19"/>
          <w:szCs w:val="19"/>
          <w:color w:val="auto"/>
        </w:rPr>
        <w:t>”) .</w:t>
      </w:r>
    </w:p>
    <w:p>
      <w:pPr>
        <w:spacing w:after="0" w:line="137" w:lineRule="exact"/>
        <w:rPr>
          <w:sz w:val="20"/>
          <w:szCs w:val="20"/>
          <w:color w:val="auto"/>
        </w:rPr>
      </w:pPr>
    </w:p>
    <w:p>
      <w:pPr>
        <w:ind w:right="20" w:firstLine="864"/>
        <w:spacing w:after="0" w:line="220"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u w:val="single" w:color="auto"/>
          <w:color w:val="auto"/>
        </w:rPr>
        <w:t>Indemnification by BioNTech</w:t>
      </w:r>
      <w:r>
        <w:rPr>
          <w:rFonts w:ascii="Times New Roman" w:cs="Times New Roman" w:eastAsia="Times New Roman" w:hAnsi="Times New Roman"/>
          <w:sz w:val="19"/>
          <w:szCs w:val="19"/>
          <w:color w:val="auto"/>
        </w:rPr>
        <w:t>. BioNTech will defend, indemnify and hold harmless OncoC4, its Affiliates and their respective directors, officers, employees and agents (each, a “</w:t>
      </w:r>
      <w:r>
        <w:rPr>
          <w:rFonts w:ascii="Times New Roman" w:cs="Times New Roman" w:eastAsia="Times New Roman" w:hAnsi="Times New Roman"/>
          <w:sz w:val="19"/>
          <w:szCs w:val="19"/>
          <w:b w:val="1"/>
          <w:bCs w:val="1"/>
          <w:color w:val="auto"/>
        </w:rPr>
        <w:t>OncoC4 Indemnified Party</w:t>
      </w:r>
      <w:r>
        <w:rPr>
          <w:rFonts w:ascii="Times New Roman" w:cs="Times New Roman" w:eastAsia="Times New Roman" w:hAnsi="Times New Roman"/>
          <w:sz w:val="19"/>
          <w:szCs w:val="19"/>
          <w:color w:val="auto"/>
        </w:rPr>
        <w:t>”) from, against and in respect of any and all Losses incurred or suffered by any OncoC4 Indemnified Party to the extent resulting from Third Party Actions arising out of: (a) any breach by BioNTech or its Affiliates or Sublicensees under this Agreement; (b) the negligence or intentional misconduct of BioNTech or any of its Affiliates, Sublicensees, or contractors, or any of their respective directors, officers, employees and agents, in performing BioNTech’s obligations or exercising BioNTech’s rights under this Agreement, or (c) BioNTech’s or its Affiliates’ or Sublicensees’ Exploitation (other than as part of the Joint Development Program) of the Licensed Compound or Licensed Products in the Field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64</w:t>
      </w:r>
    </w:p>
    <w:p>
      <w:pPr>
        <w:sectPr>
          <w:pgSz w:w="11900" w:h="16840" w:orient="portrait"/>
          <w:cols w:equalWidth="0" w:num="1">
            <w:col w:w="10580"/>
          </w:cols>
          <w:pgMar w:left="660" w:top="556" w:right="660" w:bottom="1440" w:gutter="0" w:footer="0" w:header="0"/>
        </w:sectPr>
      </w:pPr>
    </w:p>
    <w:bookmarkStart w:id="522" w:name="page523"/>
    <w:bookmarkEnd w:id="52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9"/>
          <w:szCs w:val="19"/>
          <w:color w:val="auto"/>
        </w:rPr>
        <w:t xml:space="preserve">Territory;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BioNTech’s obligations pursuant to this Section 11.2 will not apply to the extent such Losses result from any events or activities described in Section 11.1 for which OncoC4 has an obligation to indemnify any BioNTech Indemnified Party. In addition, BioNTech will indemnify, defend and hold harmless OncoC4 Indemnified Parties for [***] of their Losses arising out of Third Party Actions resulting from the Joint Development Program, but excluding those Third Party Actions arising out of the causes set forth in Section 11.1(a) or (b) or Section 11.2(a), (b), or (c).</w:t>
      </w:r>
    </w:p>
    <w:p>
      <w:pPr>
        <w:spacing w:after="0" w:line="135"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19"/>
          <w:szCs w:val="19"/>
          <w:color w:val="auto"/>
        </w:rPr>
        <w:t>11.3</w:t>
      </w:r>
      <w:r>
        <w:rPr>
          <w:sz w:val="20"/>
          <w:szCs w:val="20"/>
          <w:color w:val="auto"/>
        </w:rPr>
        <w:tab/>
      </w:r>
      <w:r>
        <w:rPr>
          <w:rFonts w:ascii="Times New Roman" w:cs="Times New Roman" w:eastAsia="Times New Roman" w:hAnsi="Times New Roman"/>
          <w:sz w:val="19"/>
          <w:szCs w:val="19"/>
          <w:u w:val="single" w:color="auto"/>
          <w:color w:val="auto"/>
        </w:rPr>
        <w:t>Claims for Indemnification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21" w:lineRule="auto"/>
        <w:tabs>
          <w:tab w:leader="none" w:pos="1729" w:val="left"/>
        </w:tabs>
        <w:numPr>
          <w:ilvl w:val="0"/>
          <w:numId w:val="5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 Indemnified Party entitled to indemnification under Section 11.1 or Section 11.2 will give prompt written notification to the Indemnifying Party from whom indemnification is sought of the commencement of any Action by a Third Party for which indemnification may be sought (a “</w:t>
      </w:r>
      <w:r>
        <w:rPr>
          <w:rFonts w:ascii="Times New Roman" w:cs="Times New Roman" w:eastAsia="Times New Roman" w:hAnsi="Times New Roman"/>
          <w:sz w:val="19"/>
          <w:szCs w:val="19"/>
          <w:b w:val="1"/>
          <w:bCs w:val="1"/>
          <w:color w:val="auto"/>
        </w:rPr>
        <w:t>Third Party Claim</w:t>
      </w:r>
      <w:r>
        <w:rPr>
          <w:rFonts w:ascii="Times New Roman" w:cs="Times New Roman" w:eastAsia="Times New Roman" w:hAnsi="Times New Roman"/>
          <w:sz w:val="19"/>
          <w:szCs w:val="19"/>
          <w:color w:val="auto"/>
        </w:rPr>
        <w:t xml:space="preserve">”) or, if earlier, upon the assertion of such Third Party Claim by a Third Party;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failure by an Indemnified Party to give notice of a Third Party Claim as provided in this Section 11.3(a) will not relieve the Indemnifying Party of its indemnification obligation under this Agreement, except and only to the extent that such Indemnifying Party is materially prejudiced as a result of such failure to give notice.</w:t>
      </w:r>
    </w:p>
    <w:p>
      <w:pPr>
        <w:spacing w:after="0" w:line="137" w:lineRule="exact"/>
        <w:rPr>
          <w:rFonts w:ascii="Times New Roman" w:cs="Times New Roman" w:eastAsia="Times New Roman" w:hAnsi="Times New Roman"/>
          <w:sz w:val="19"/>
          <w:szCs w:val="19"/>
          <w:color w:val="auto"/>
        </w:rPr>
      </w:pPr>
    </w:p>
    <w:p>
      <w:pPr>
        <w:jc w:val="both"/>
        <w:ind w:firstLine="1158"/>
        <w:spacing w:after="0" w:line="221" w:lineRule="auto"/>
        <w:tabs>
          <w:tab w:leader="none" w:pos="1729" w:val="left"/>
        </w:tabs>
        <w:numPr>
          <w:ilvl w:val="0"/>
          <w:numId w:val="5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Defense</w:t>
      </w:r>
      <w:r>
        <w:rPr>
          <w:rFonts w:ascii="Times New Roman" w:cs="Times New Roman" w:eastAsia="Times New Roman" w:hAnsi="Times New Roman"/>
          <w:sz w:val="19"/>
          <w:szCs w:val="19"/>
          <w:color w:val="auto"/>
        </w:rPr>
        <w:t>. Within [***] Business Days after delivery of a notice of any Third Party Claim in accordance with Section 11.3(a), the Indemnifying Party may, upon written notice thereof to the Indemnified Party, assume control of the defense of such Third Party Claim with counsel reasonably satisfactory to the Indemnified Party. If the Indemnifying Party does not assume control of such defense, the Indemnified Party may control such defense (with counsel reasonably selected by the Indemnified Party and approved by the Indemnifying Party, such approval not to be unreasonably withheld). The Party not controlling such defense may participate therein at its own expense.</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5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The Party controlling the defense of any Third Party Claim will keep the other Party advised of the status and material developments of such Third Party Claim and the defense thereof and will reasonably consider recommendations made by the other Party with respect thereto. The other Party will reasonably cooperate with the Party controlling such defense and its Affiliates and agents in defense of the Third Party Claim, with all out-of-pocket costs of such cooperation to be borne by the Party controlling such defense.</w:t>
      </w:r>
    </w:p>
    <w:p>
      <w:pPr>
        <w:spacing w:after="0" w:line="137" w:lineRule="exact"/>
        <w:rPr>
          <w:rFonts w:ascii="Times New Roman" w:cs="Times New Roman" w:eastAsia="Times New Roman" w:hAnsi="Times New Roman"/>
          <w:sz w:val="19"/>
          <w:szCs w:val="19"/>
          <w:color w:val="auto"/>
        </w:rPr>
      </w:pPr>
    </w:p>
    <w:p>
      <w:pPr>
        <w:jc w:val="both"/>
        <w:ind w:firstLine="1158"/>
        <w:spacing w:after="0" w:line="219" w:lineRule="auto"/>
        <w:tabs>
          <w:tab w:leader="none" w:pos="1729" w:val="left"/>
        </w:tabs>
        <w:numPr>
          <w:ilvl w:val="0"/>
          <w:numId w:val="5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The Indemnified Party will not agree to any settlement of such Third Party Claim without the prior written consent of the Indemnifying Party, which consent will not be unreasonably withheld, conditioned or delayed. The Indemnifying Party will not, without the prior written consent of the Indemnified Party, which will not be unreasonably withheld, conditioned or delayed (unless such compromise or settlement involves (i) any admission of legal wrongdoing by the Indemnified Party, (ii) any payment by the Indemnified Party that is not indemnified under this Agreement, or (iii) the imposition of any equitable relief against the Indemnified Party (in which case, (i) through (iii), the Indemnified Party may withhold, condition or delay its consent to such settlement in its sole discretion)), agree to any settlement of such Third Party Claim or consent to any judgment in respect thereof that does not include a complete and unconditional release of the Indemnified Party from all liability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65</w:t>
      </w:r>
    </w:p>
    <w:p>
      <w:pPr>
        <w:sectPr>
          <w:pgSz w:w="11900" w:h="16840" w:orient="portrait"/>
          <w:cols w:equalWidth="0" w:num="1">
            <w:col w:w="10580"/>
          </w:cols>
          <w:pgMar w:left="660" w:top="556" w:right="660" w:bottom="1440" w:gutter="0" w:footer="0" w:header="0"/>
        </w:sectPr>
      </w:pPr>
    </w:p>
    <w:bookmarkStart w:id="523" w:name="page524"/>
    <w:bookmarkEnd w:id="52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respect thereto or that imposes any liability or obligation on the Indemnified Party (other than a monetary obligation on the Indemnifying Party).</w:t>
      </w:r>
    </w:p>
    <w:p>
      <w:pPr>
        <w:spacing w:after="0" w:line="128" w:lineRule="exact"/>
        <w:rPr>
          <w:sz w:val="20"/>
          <w:szCs w:val="20"/>
          <w:color w:val="auto"/>
        </w:rPr>
      </w:pPr>
    </w:p>
    <w:p>
      <w:pPr>
        <w:jc w:val="both"/>
        <w:ind w:right="20" w:firstLine="1158"/>
        <w:spacing w:after="0" w:line="227" w:lineRule="auto"/>
        <w:tabs>
          <w:tab w:leader="none" w:pos="1729" w:val="left"/>
        </w:tabs>
        <w:numPr>
          <w:ilvl w:val="0"/>
          <w:numId w:val="5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Mitigation of Loss</w:t>
      </w:r>
      <w:r>
        <w:rPr>
          <w:rFonts w:ascii="Times New Roman" w:cs="Times New Roman" w:eastAsia="Times New Roman" w:hAnsi="Times New Roman"/>
          <w:sz w:val="19"/>
          <w:szCs w:val="19"/>
          <w:color w:val="auto"/>
        </w:rPr>
        <w:t>. Each Indemnified Party will take and will procure that its Affiliates take all such reasonable steps and actions as are necessary or as the Indemnifying Party may reasonably require in order to mitigate any Third Party Claims (or potential losses or damages) under this ARTICLE XV. Nothing in this Agreement will or will be deemed to relieve any Party of any common law or other duty to mitigate any losses incurred by it.</w:t>
      </w:r>
    </w:p>
    <w:p>
      <w:pPr>
        <w:spacing w:after="0" w:line="134" w:lineRule="exact"/>
        <w:rPr>
          <w:sz w:val="20"/>
          <w:szCs w:val="20"/>
          <w:color w:val="auto"/>
        </w:rPr>
      </w:pPr>
    </w:p>
    <w:p>
      <w:pPr>
        <w:jc w:val="both"/>
        <w:ind w:firstLine="864"/>
        <w:spacing w:after="0" w:line="221" w:lineRule="auto"/>
        <w:rPr>
          <w:sz w:val="20"/>
          <w:szCs w:val="20"/>
          <w:color w:val="auto"/>
        </w:rPr>
      </w:pPr>
      <w:r>
        <w:rPr>
          <w:rFonts w:ascii="Times New Roman" w:cs="Times New Roman" w:eastAsia="Times New Roman" w:hAnsi="Times New Roman"/>
          <w:sz w:val="19"/>
          <w:szCs w:val="19"/>
          <w:color w:val="auto"/>
        </w:rPr>
        <w:t xml:space="preserve">11 . 4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Each Party, at its own expense, will maintain liability insurance in an amount consistent with industry standards during the Term, but in no event will such insurance be in an aggregate amount less than [***] per occurrence/annual aggregate during the Term. In addition, during the Commercialization of any Licensed Product and for a period of at least [***] years thereafter, BioNTech will maintain product liability insurance in accordance with industry standards. Each Party will maintain Clinical Trial insurance in compliance with all applicable Laws pertaining to the jurisdictions in which such Clinical Trials are conducted. Each Party will provide certificate(s) of insurance evidencing such coverages to the other Party upon written request.</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XII</w:t>
      </w:r>
    </w:p>
    <w:p>
      <w:pPr>
        <w:ind w:left="4000"/>
        <w:spacing w:after="0"/>
        <w:rPr>
          <w:sz w:val="20"/>
          <w:szCs w:val="20"/>
          <w:color w:val="auto"/>
        </w:rPr>
      </w:pPr>
      <w:r>
        <w:rPr>
          <w:rFonts w:ascii="Times New Roman" w:cs="Times New Roman" w:eastAsia="Times New Roman" w:hAnsi="Times New Roman"/>
          <w:sz w:val="19"/>
          <w:szCs w:val="19"/>
          <w:b w:val="1"/>
          <w:bCs w:val="1"/>
          <w:color w:val="auto"/>
        </w:rPr>
        <w:t>LIMITATION OF LIABILITY</w:t>
      </w:r>
    </w:p>
    <w:p>
      <w:pPr>
        <w:spacing w:after="0" w:line="144" w:lineRule="exact"/>
        <w:rPr>
          <w:sz w:val="20"/>
          <w:szCs w:val="20"/>
          <w:color w:val="auto"/>
        </w:rPr>
      </w:pPr>
    </w:p>
    <w:p>
      <w:pPr>
        <w:ind w:right="40" w:firstLine="864"/>
        <w:spacing w:after="0" w:line="221" w:lineRule="auto"/>
        <w:rPr>
          <w:sz w:val="20"/>
          <w:szCs w:val="20"/>
          <w:color w:val="auto"/>
        </w:rPr>
      </w:pPr>
      <w:r>
        <w:rPr>
          <w:rFonts w:ascii="Times New Roman" w:cs="Times New Roman" w:eastAsia="Times New Roman" w:hAnsi="Times New Roman"/>
          <w:sz w:val="19"/>
          <w:szCs w:val="19"/>
          <w:color w:val="auto"/>
        </w:rPr>
        <w:t xml:space="preserve">1 2 . 1 </w:t>
      </w:r>
      <w:r>
        <w:rPr>
          <w:rFonts w:ascii="Times New Roman" w:cs="Times New Roman" w:eastAsia="Times New Roman" w:hAnsi="Times New Roman"/>
          <w:sz w:val="19"/>
          <w:szCs w:val="19"/>
          <w:u w:val="single" w:color="auto"/>
          <w:color w:val="auto"/>
        </w:rPr>
        <w:t>No Consequential or Punitive Damages</w:t>
      </w:r>
      <w:r>
        <w:rPr>
          <w:rFonts w:ascii="Times New Roman" w:cs="Times New Roman" w:eastAsia="Times New Roman" w:hAnsi="Times New Roman"/>
          <w:sz w:val="19"/>
          <w:szCs w:val="19"/>
          <w:color w:val="auto"/>
        </w:rPr>
        <w:t>. EXCEPT AS SET FORTH IN SECTION 12.2, NEITHER PARTY NOR ANY OF ITS AFFILIATES WILL BE LIABLE FOR INDIRECT, INCIDENTAL, CONSEQUENTIAL, SPECIAL, EXEMPLARY, OR PUNITIVE DAMAGES ARISING OUT OF THIS AGREEMENT OR THE EXERCISE OF ITS RIGHTS OR THE PERFORMANCE OF ITS OBLIGATIONS HEREUNDER, INCLUDING ANY LOST PROFITS ARISING OUT OF THIS AGREEMENT, IN EACH CASE, HOWEVER CAUSED AND ON ANY THEORY OF LIABILITY, WHETHER IN CONTRACT, TORT, NEGLIGENCE, BREACH OF STATUTORY DUTY OR OTHERWISE, REGARDLESS OF ANY NOTICE OF SUCH DAMAGES.</w:t>
      </w:r>
    </w:p>
    <w:p>
      <w:pPr>
        <w:spacing w:after="0" w:line="137" w:lineRule="exact"/>
        <w:rPr>
          <w:sz w:val="20"/>
          <w:szCs w:val="20"/>
          <w:color w:val="auto"/>
        </w:rPr>
      </w:pPr>
    </w:p>
    <w:p>
      <w:pPr>
        <w:ind w:firstLine="864"/>
        <w:spacing w:after="0" w:line="227" w:lineRule="auto"/>
        <w:rPr>
          <w:sz w:val="20"/>
          <w:szCs w:val="20"/>
          <w:color w:val="auto"/>
        </w:rPr>
      </w:pPr>
      <w:r>
        <w:rPr>
          <w:rFonts w:ascii="Times New Roman" w:cs="Times New Roman" w:eastAsia="Times New Roman" w:hAnsi="Times New Roman"/>
          <w:sz w:val="19"/>
          <w:szCs w:val="19"/>
          <w:color w:val="auto"/>
        </w:rPr>
        <w:t xml:space="preserve">1 2 . 2 </w:t>
      </w:r>
      <w:r>
        <w:rPr>
          <w:rFonts w:ascii="Times New Roman" w:cs="Times New Roman" w:eastAsia="Times New Roman" w:hAnsi="Times New Roman"/>
          <w:sz w:val="19"/>
          <w:szCs w:val="19"/>
          <w:u w:val="single" w:color="auto"/>
          <w:color w:val="auto"/>
        </w:rPr>
        <w:t>Exclusion from Liability Limitation</w:t>
      </w:r>
      <w:r>
        <w:rPr>
          <w:rFonts w:ascii="Times New Roman" w:cs="Times New Roman" w:eastAsia="Times New Roman" w:hAnsi="Times New Roman"/>
          <w:sz w:val="19"/>
          <w:szCs w:val="19"/>
          <w:color w:val="auto"/>
        </w:rPr>
        <w:t>. THE LIMITATIONS AND DISCLAIMER SET FORTH IN SECTION 12.1 WILL NOT APPLY TO A CLAIM: (A) FOR GROSS NEGLIGENCE OR WILLFUL MISCONDUCT; (B) FOR A BREACH OF SECTION 8.1 OR ARTICLE IX; OR (C) FOR INDEMNIFIABLE LOSSES PURSUANT TO SECTION 11.1 OR SECTION 11.2 TO THE EXTENT SUCH DAMAGES ARE AWARDED TO A THIRD PARTY.</w:t>
      </w:r>
    </w:p>
    <w:p>
      <w:pPr>
        <w:spacing w:after="0" w:line="1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XIII</w:t>
      </w:r>
    </w:p>
    <w:p>
      <w:pPr>
        <w:ind w:left="4040"/>
        <w:spacing w:after="0"/>
        <w:rPr>
          <w:sz w:val="20"/>
          <w:szCs w:val="20"/>
          <w:color w:val="auto"/>
        </w:rPr>
      </w:pPr>
      <w:r>
        <w:rPr>
          <w:rFonts w:ascii="Times New Roman" w:cs="Times New Roman" w:eastAsia="Times New Roman" w:hAnsi="Times New Roman"/>
          <w:sz w:val="19"/>
          <w:szCs w:val="19"/>
          <w:b w:val="1"/>
          <w:bCs w:val="1"/>
          <w:color w:val="auto"/>
        </w:rPr>
        <w:t>TERM AND TERMINATION</w:t>
      </w:r>
    </w:p>
    <w:p>
      <w:pPr>
        <w:spacing w:after="0" w:line="144" w:lineRule="exact"/>
        <w:rPr>
          <w:sz w:val="20"/>
          <w:szCs w:val="20"/>
          <w:color w:val="auto"/>
        </w:rPr>
      </w:pPr>
    </w:p>
    <w:p>
      <w:pPr>
        <w:jc w:val="both"/>
        <w:ind w:right="20" w:firstLine="864"/>
        <w:spacing w:after="0" w:line="223" w:lineRule="auto"/>
        <w:rPr>
          <w:sz w:val="20"/>
          <w:szCs w:val="20"/>
          <w:color w:val="auto"/>
        </w:rPr>
      </w:pPr>
      <w:r>
        <w:rPr>
          <w:rFonts w:ascii="Times New Roman" w:cs="Times New Roman" w:eastAsia="Times New Roman" w:hAnsi="Times New Roman"/>
          <w:sz w:val="19"/>
          <w:szCs w:val="19"/>
          <w:color w:val="auto"/>
        </w:rPr>
        <w:t xml:space="preserve">1 3 . 1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xml:space="preserve">. Unless terminated earlier in accordance with this ARTICLE XIII, and except with respect to ARTICLE I, ARTICLE XIV, ARTICLE XV, and Sections 2.6, 9.1, 9.2, 9.3, 10.1, 10.2, 10.3, 10.6 and 13.1, all of which shall become effective on the Execution Date, this Agreement will become effective as of the Effective Date and will continue in full force and effect until the last to expire Royalty Term in all countries in the Territory for all Licensed Products (the “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If at any time there are no longer any Licensed Patents nor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66</w:t>
      </w:r>
    </w:p>
    <w:p>
      <w:pPr>
        <w:sectPr>
          <w:pgSz w:w="11900" w:h="16840" w:orient="portrait"/>
          <w:cols w:equalWidth="0" w:num="1">
            <w:col w:w="10580"/>
          </w:cols>
          <w:pgMar w:left="660" w:top="556" w:right="660" w:bottom="1440" w:gutter="0" w:footer="0" w:header="0"/>
        </w:sectPr>
      </w:pPr>
    </w:p>
    <w:bookmarkStart w:id="524" w:name="page525"/>
    <w:bookmarkEnd w:id="52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pending or issued, and no Royalty Term is then in effect in any country with respect to any Licensed Product, the Term shall expire.</w:t>
      </w:r>
    </w:p>
    <w:p>
      <w:pPr>
        <w:spacing w:after="0" w:line="166" w:lineRule="exact"/>
        <w:rPr>
          <w:sz w:val="20"/>
          <w:szCs w:val="20"/>
          <w:color w:val="auto"/>
        </w:rPr>
      </w:pPr>
    </w:p>
    <w:p>
      <w:pPr>
        <w:jc w:val="both"/>
        <w:ind w:right="20" w:firstLine="864"/>
        <w:spacing w:after="0" w:line="232" w:lineRule="auto"/>
        <w:rPr>
          <w:sz w:val="20"/>
          <w:szCs w:val="20"/>
          <w:color w:val="auto"/>
        </w:rPr>
      </w:pPr>
      <w:r>
        <w:rPr>
          <w:rFonts w:ascii="Times New Roman" w:cs="Times New Roman" w:eastAsia="Times New Roman" w:hAnsi="Times New Roman"/>
          <w:sz w:val="19"/>
          <w:szCs w:val="19"/>
          <w:color w:val="auto"/>
        </w:rPr>
        <w:t xml:space="preserve">13.2 </w:t>
      </w:r>
      <w:r>
        <w:rPr>
          <w:rFonts w:ascii="Times New Roman" w:cs="Times New Roman" w:eastAsia="Times New Roman" w:hAnsi="Times New Roman"/>
          <w:sz w:val="19"/>
          <w:szCs w:val="19"/>
          <w:u w:val="single" w:color="auto"/>
          <w:color w:val="auto"/>
        </w:rPr>
        <w:t>Paid -Up License Upon Expiration of Royalty Term</w:t>
      </w:r>
      <w:r>
        <w:rPr>
          <w:rFonts w:ascii="Times New Roman" w:cs="Times New Roman" w:eastAsia="Times New Roman" w:hAnsi="Times New Roman"/>
          <w:sz w:val="19"/>
          <w:szCs w:val="19"/>
          <w:color w:val="auto"/>
        </w:rPr>
        <w:t xml:space="preserve"> . Upon the expiration of the Royalty Term for a Licensed Product in a given country in the Territory, the Exclusive License granted to BioNTech pursuant to Section 2.1(a) will become perpetual, irrevocable, non-exclusive, fully paid -up, and royalty free with respect to such Licensed Product in such country.</w:t>
      </w:r>
    </w:p>
    <w:p>
      <w:pPr>
        <w:spacing w:after="0" w:line="135"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19"/>
          <w:szCs w:val="19"/>
          <w:color w:val="auto"/>
        </w:rPr>
        <w:t>13.3</w:t>
      </w:r>
      <w:r>
        <w:rPr>
          <w:sz w:val="20"/>
          <w:szCs w:val="20"/>
          <w:color w:val="auto"/>
        </w:rPr>
        <w:tab/>
      </w:r>
      <w:r>
        <w:rPr>
          <w:rFonts w:ascii="Times New Roman" w:cs="Times New Roman" w:eastAsia="Times New Roman" w:hAnsi="Times New Roman"/>
          <w:sz w:val="19"/>
          <w:szCs w:val="19"/>
          <w:u w:val="single" w:color="auto"/>
          <w:color w:val="auto"/>
        </w:rPr>
        <w:t>Early Termination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1158"/>
        <w:spacing w:after="0" w:line="213" w:lineRule="auto"/>
        <w:tabs>
          <w:tab w:leader="none" w:pos="1729" w:val="left"/>
        </w:tabs>
        <w:numPr>
          <w:ilvl w:val="0"/>
          <w:numId w:val="5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Material Breach</w:t>
      </w:r>
      <w:r>
        <w:rPr>
          <w:rFonts w:ascii="Times New Roman" w:cs="Times New Roman" w:eastAsia="Times New Roman" w:hAnsi="Times New Roman"/>
          <w:sz w:val="19"/>
          <w:szCs w:val="19"/>
          <w:color w:val="auto"/>
        </w:rPr>
        <w:t>. Upon any material breach of this Agreement by OncoC4 or BioNTech (the Party so allegedly breaching, the “</w:t>
      </w:r>
      <w:r>
        <w:rPr>
          <w:rFonts w:ascii="Times New Roman" w:cs="Times New Roman" w:eastAsia="Times New Roman" w:hAnsi="Times New Roman"/>
          <w:sz w:val="19"/>
          <w:szCs w:val="19"/>
          <w:b w:val="1"/>
          <w:bCs w:val="1"/>
          <w:color w:val="auto"/>
        </w:rPr>
        <w:t>Allegedly Breaching Party</w:t>
      </w:r>
      <w:r>
        <w:rPr>
          <w:rFonts w:ascii="Times New Roman" w:cs="Times New Roman" w:eastAsia="Times New Roman" w:hAnsi="Times New Roman"/>
          <w:sz w:val="19"/>
          <w:szCs w:val="19"/>
          <w:color w:val="auto"/>
        </w:rPr>
        <w:t>”), the other Party (the “</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xml:space="preserve">”) will have the right, but not the obligation, to terminate this Agreement in its entirety by providing (i) at least [***] days’ written notice to the Allegedly Breaching Party with respect to any breach of any payment obligation under this Agreement or (ii) at least [***] days’ written notice to the Allegedly Breaching Party with respect to any other breach, which notice will, in each case (A) expressly reference this Section 13.3(a) and state that it is a notice of material breach under this Section 13.3(a), (B) reasonably describe the alleged breach which is the basis of such termination, and (C) clearly state the Non-Breaching Party’s intent to terminate this Agreement if the alleged breach is not cured within the applicable cure period. For material breaches not capable of cure within [***] days that may be alleged, but excluding breaches in the form of a failure to pay an amount due or a breach of Section 2.6, 3.2(e) or 15.17, the [***] day cure period shall be extended to such longer reasonable period as in which it is possible for the Allegedly Breaching Party to cure if it provides written notice within the [***] days of its intent and plan to cure and subsequently proceeds to use Commercially Reasonable Efforts to carry out such plan (as it may be updated based upon circumstances subsequently encountered);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such extended cure period shall not exceed [***] days following the notice of breach under this Section 13.3(a) and following such [***] day period the Non-Breaching Party shall have the right, but not the obligation, to terminate this Agreement on at least [***] days’ prior written notice. The termination, if not disputed, will become effective at the end of the notice period (or if applicable such extended cure period) unless the Allegedly Breaching Party cures such breach during such notice period;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xml:space="preserve">, that (i) Non-Breaching Party may, by notice to the Breaching Party, propose a later date for such termination in order to facilitate an orderly transition of activities relating to Licensed Products in which case Section 13.4(c)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and (ii) if the termination is disputed, then the notice and cure periods under this Section 13.3(a) and the right of the Parties to terminate this Agreement shall be tolled, and otherwise this Agreement and the Parties’ rights hereunder (including the Exclusive License and if still in effect the Option) shall remain in full force and effect, in each case, pending the outcome of dispute resolution in accordance with this Agreement, at which time this Agreement either will or will not terminate based upon the results of the dispute resolution (i.e., in accordance with the arbitral award). In no event shall this Agreement be terminated by a termination under this Section 13.3(a) while dispute resolution with respect to whether a Party is entitled to terminate under this Section 13.3(a) is ongoing.</w:t>
      </w:r>
    </w:p>
    <w:p>
      <w:pPr>
        <w:spacing w:after="0" w:line="147"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0"/>
          <w:numId w:val="5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BioNTech</w:t>
      </w:r>
      <w:r>
        <w:rPr>
          <w:rFonts w:ascii="Times New Roman" w:cs="Times New Roman" w:eastAsia="Times New Roman" w:hAnsi="Times New Roman"/>
          <w:sz w:val="19"/>
          <w:szCs w:val="19"/>
          <w:color w:val="auto"/>
        </w:rPr>
        <w:t xml:space="preserve"> . BioNTech will have the right to terminate this Agreement in its entirety for convenience, for any reason or for no reason, at will, on no less than [***] months’ prior written notice to OncoC4.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67</w:t>
      </w:r>
    </w:p>
    <w:p>
      <w:pPr>
        <w:sectPr>
          <w:pgSz w:w="11900" w:h="16840" w:orient="portrait"/>
          <w:cols w:equalWidth="0" w:num="1">
            <w:col w:w="10580"/>
          </w:cols>
          <w:pgMar w:left="660" w:top="556" w:right="660" w:bottom="1440" w:gutter="0" w:footer="0" w:header="0"/>
        </w:sectPr>
      </w:pPr>
    </w:p>
    <w:bookmarkStart w:id="525" w:name="page526"/>
    <w:bookmarkEnd w:id="52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firstLine="1158"/>
        <w:spacing w:after="0" w:line="221" w:lineRule="auto"/>
        <w:tabs>
          <w:tab w:leader="none" w:pos="1729" w:val="left"/>
        </w:tabs>
        <w:numPr>
          <w:ilvl w:val="0"/>
          <w:numId w:val="5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Bankruptcy</w:t>
      </w:r>
      <w:r>
        <w:rPr>
          <w:rFonts w:ascii="Times New Roman" w:cs="Times New Roman" w:eastAsia="Times New Roman" w:hAnsi="Times New Roman"/>
          <w:sz w:val="19"/>
          <w:szCs w:val="19"/>
          <w:color w:val="auto"/>
        </w:rPr>
        <w:t xml:space="preserve"> . This Agreement may be terminated, to the extent permitted by applicable Laws, by either Party upon the filing or institution of bankruptcy, reorganization, liquidation or receivership proceedings, or upon an assignment of a substantial portion of the assets for the benefit of creditors by the other Party;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in the case of any involuntary bankruptcy, reorganization, liquidation or receivership proceeding such right to terminate will only become effective if the Party subject to such proceeding consents to the involuntary bankruptcy or such proceeding is not dismissed within ninety (90) days after the filing thereof.</w:t>
      </w:r>
    </w:p>
    <w:p>
      <w:pPr>
        <w:spacing w:after="0" w:line="137"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19"/>
          <w:szCs w:val="19"/>
          <w:color w:val="auto"/>
        </w:rPr>
        <w:t xml:space="preserve">13.4 </w:t>
      </w:r>
      <w:r>
        <w:rPr>
          <w:rFonts w:ascii="Times New Roman" w:cs="Times New Roman" w:eastAsia="Times New Roman" w:hAnsi="Times New Roman"/>
          <w:sz w:val="19"/>
          <w:szCs w:val="19"/>
          <w:u w:val="single" w:color="auto"/>
          <w:color w:val="auto"/>
        </w:rPr>
        <w:t>Effects of Termination for BioNTech Fault or by BioNTech At Will</w:t>
      </w:r>
      <w:r>
        <w:rPr>
          <w:rFonts w:ascii="Times New Roman" w:cs="Times New Roman" w:eastAsia="Times New Roman" w:hAnsi="Times New Roman"/>
          <w:sz w:val="19"/>
          <w:szCs w:val="19"/>
          <w:color w:val="auto"/>
        </w:rPr>
        <w:t xml:space="preserve"> . The following shall be the effects of termination only for the following terminations: (X) by OncoC4 under Section 13.3(a) (BioNTech uncured material breach), Section 13.3(c) (BioNTech bankruptcy) or (Y) by BioNTech under Section 13.3(b) (at will).</w:t>
      </w:r>
    </w:p>
    <w:p>
      <w:pPr>
        <w:spacing w:after="0" w:line="135" w:lineRule="exact"/>
        <w:rPr>
          <w:sz w:val="20"/>
          <w:szCs w:val="20"/>
          <w:color w:val="auto"/>
        </w:rPr>
      </w:pPr>
    </w:p>
    <w:p>
      <w:pPr>
        <w:jc w:val="both"/>
        <w:ind w:right="20" w:firstLine="1158"/>
        <w:spacing w:after="0" w:line="232" w:lineRule="auto"/>
        <w:tabs>
          <w:tab w:leader="none" w:pos="1729"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Effects of Termination Generally</w:t>
      </w:r>
      <w:r>
        <w:rPr>
          <w:rFonts w:ascii="Times New Roman" w:cs="Times New Roman" w:eastAsia="Times New Roman" w:hAnsi="Times New Roman"/>
          <w:sz w:val="19"/>
          <w:szCs w:val="19"/>
          <w:color w:val="auto"/>
        </w:rPr>
        <w:t>. Upon the effective date of termination, the Parties’ rights, licenses, and obligations under this Agreement will terminate and neither Party will have any further rights or obligations under this Agreement from and after the effective date of termination, except as set forth in this Section 13.4 and Sections 13.6-13.8.</w:t>
      </w:r>
    </w:p>
    <w:p>
      <w:pPr>
        <w:spacing w:after="0" w:line="134" w:lineRule="exact"/>
        <w:rPr>
          <w:rFonts w:ascii="Times New Roman" w:cs="Times New Roman" w:eastAsia="Times New Roman" w:hAnsi="Times New Roman"/>
          <w:sz w:val="19"/>
          <w:szCs w:val="19"/>
          <w:color w:val="auto"/>
        </w:rPr>
      </w:pPr>
    </w:p>
    <w:p>
      <w:pPr>
        <w:jc w:val="both"/>
        <w:ind w:firstLine="1158"/>
        <w:spacing w:after="0" w:line="223" w:lineRule="auto"/>
        <w:tabs>
          <w:tab w:leader="none" w:pos="1729"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Reversion of Rights</w:t>
      </w:r>
      <w:r>
        <w:rPr>
          <w:rFonts w:ascii="Times New Roman" w:cs="Times New Roman" w:eastAsia="Times New Roman" w:hAnsi="Times New Roman"/>
          <w:sz w:val="19"/>
          <w:szCs w:val="19"/>
          <w:color w:val="auto"/>
        </w:rPr>
        <w:t>. All rights that OncoC4 granted hereunder to BioNTech pursuant to the Exclusive License for Licensed Compounds and Licensed Products will terminate and revert to OncoC4. All Licensed Single Products and Combination Products, provided that such Combination Products were Developed under the CDP that on or prior to the effective date of termination were undergoing active Development or Commercialization are “</w:t>
      </w:r>
      <w:r>
        <w:rPr>
          <w:rFonts w:ascii="Times New Roman" w:cs="Times New Roman" w:eastAsia="Times New Roman" w:hAnsi="Times New Roman"/>
          <w:sz w:val="19"/>
          <w:szCs w:val="19"/>
          <w:b w:val="1"/>
          <w:bCs w:val="1"/>
          <w:color w:val="auto"/>
        </w:rPr>
        <w:t>Reversion Products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the Reversion Products shall exclude all BioNTech Products or Combination Products containing BioNTech Product(s).</w:t>
      </w:r>
    </w:p>
    <w:p>
      <w:pPr>
        <w:spacing w:after="0" w:line="137" w:lineRule="exact"/>
        <w:rPr>
          <w:rFonts w:ascii="Times New Roman" w:cs="Times New Roman" w:eastAsia="Times New Roman" w:hAnsi="Times New Roman"/>
          <w:sz w:val="19"/>
          <w:szCs w:val="19"/>
          <w:color w:val="auto"/>
        </w:rPr>
      </w:pPr>
    </w:p>
    <w:p>
      <w:pPr>
        <w:jc w:val="both"/>
        <w:ind w:firstLine="1158"/>
        <w:spacing w:after="0" w:line="221" w:lineRule="auto"/>
        <w:tabs>
          <w:tab w:leader="none" w:pos="1729"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Winding Down of Activities</w:t>
      </w:r>
      <w:r>
        <w:rPr>
          <w:rFonts w:ascii="Times New Roman" w:cs="Times New Roman" w:eastAsia="Times New Roman" w:hAnsi="Times New Roman"/>
          <w:sz w:val="19"/>
          <w:szCs w:val="19"/>
          <w:color w:val="auto"/>
        </w:rPr>
        <w:t>. If there are any on-going Development or Commercialization activities with respect to Licensed Compounds or Licensed Products at termination of this Agreement, the Parties will negotiate in good faith and adopt a plan to wind-down, discontinue and terminate such activities in an orderly fashion or, at OncoC4’s election in the case of Reversion Product(s), promptly transition such activities to OncoC4 or its designee, in each case, with due regard for patient safety and the rights of any subjects that are participants in any Clinical Trials, and take any actions the Parties deem reasonably necessary or appropriate to avoid any human health or safety problems and comply with all applicable Laws.</w:t>
      </w:r>
    </w:p>
    <w:p>
      <w:pPr>
        <w:spacing w:after="0" w:line="137"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158"/>
        <w:spacing w:after="0" w:line="227" w:lineRule="auto"/>
        <w:tabs>
          <w:tab w:leader="none" w:pos="1729"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Inventory</w:t>
      </w:r>
      <w:r>
        <w:rPr>
          <w:rFonts w:ascii="Times New Roman" w:cs="Times New Roman" w:eastAsia="Times New Roman" w:hAnsi="Times New Roman"/>
          <w:sz w:val="19"/>
          <w:szCs w:val="19"/>
          <w:color w:val="auto"/>
        </w:rPr>
        <w:t>. Upon termination of this Agreement, OncoC4 will have the right to purchase all of BioNTech and its Affiliates’ remaining inventory of Reversion Products held as of the effective date of termination of this Agreement at a price equal to BioNTech’s Fully Burdened Manufacturing Cost (excluding any portion of such costs previously paid by OncoC4 through its payment of its share of Joint Development Costs).</w:t>
      </w:r>
    </w:p>
    <w:p>
      <w:pPr>
        <w:spacing w:after="0" w:line="133"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Assistance</w:t>
      </w:r>
      <w:r>
        <w:rPr>
          <w:rFonts w:ascii="Times New Roman" w:cs="Times New Roman" w:eastAsia="Times New Roman" w:hAnsi="Times New Roman"/>
          <w:sz w:val="19"/>
          <w:szCs w:val="19"/>
          <w:color w:val="auto"/>
        </w:rPr>
        <w:t>. At OncoC4’s sole cost and expense, BioNTech will (i) provide any other assistance or take any other actions, in each case reasonably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68</w:t>
      </w:r>
    </w:p>
    <w:p>
      <w:pPr>
        <w:sectPr>
          <w:pgSz w:w="11900" w:h="16840" w:orient="portrait"/>
          <w:cols w:equalWidth="0" w:num="1">
            <w:col w:w="10580"/>
          </w:cols>
          <w:pgMar w:left="660" w:top="556" w:right="660" w:bottom="1440" w:gutter="0" w:footer="0" w:header="0"/>
        </w:sectPr>
      </w:pPr>
    </w:p>
    <w:bookmarkStart w:id="526" w:name="page527"/>
    <w:bookmarkEnd w:id="52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OncoC4, as necessary to transfer to OncoC4 the Development, Manufacture or Commercialization of the Reversion Product(s) and</w:t>
      </w:r>
    </w:p>
    <w:p>
      <w:pPr>
        <w:ind w:left="280" w:hanging="274"/>
        <w:spacing w:after="0"/>
        <w:tabs>
          <w:tab w:leader="none" w:pos="2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all documents as may be reasonably requested by OncoC4 in order to give effect to this Section 13.4.</w:t>
      </w:r>
    </w:p>
    <w:p>
      <w:pPr>
        <w:spacing w:after="0" w:line="143" w:lineRule="exact"/>
        <w:rPr>
          <w:rFonts w:ascii="Times New Roman" w:cs="Times New Roman" w:eastAsia="Times New Roman" w:hAnsi="Times New Roman"/>
          <w:sz w:val="19"/>
          <w:szCs w:val="19"/>
          <w:color w:val="auto"/>
        </w:rPr>
      </w:pPr>
    </w:p>
    <w:p>
      <w:pPr>
        <w:jc w:val="both"/>
        <w:ind w:right="20" w:firstLine="1158"/>
        <w:spacing w:after="0" w:line="227" w:lineRule="auto"/>
        <w:tabs>
          <w:tab w:leader="none" w:pos="1729" w:val="left"/>
        </w:tabs>
        <w:numPr>
          <w:ilvl w:val="1"/>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 Party Agreements</w:t>
      </w:r>
      <w:r>
        <w:rPr>
          <w:rFonts w:ascii="Times New Roman" w:cs="Times New Roman" w:eastAsia="Times New Roman" w:hAnsi="Times New Roman"/>
          <w:sz w:val="19"/>
          <w:szCs w:val="19"/>
          <w:color w:val="auto"/>
        </w:rPr>
        <w:t>. Upon OncoC4’s request, BioNTech agrees to discuss in good faith for a reasonable period of time (not less than [***] days) whether BioNTech would be willing to assign to OncoC4, in whole or in part, BioNTech’s and its Affiliates’ right, title and interest in and to any agreements between BioNTech or any of its Affiliates and Third Parties that relate to the Development, Manufacture or Commercialization of any Reversion Product(s).</w:t>
      </w:r>
    </w:p>
    <w:p>
      <w:pPr>
        <w:spacing w:after="0" w:line="133" w:lineRule="exact"/>
        <w:rPr>
          <w:rFonts w:ascii="Times New Roman" w:cs="Times New Roman" w:eastAsia="Times New Roman" w:hAnsi="Times New Roman"/>
          <w:sz w:val="19"/>
          <w:szCs w:val="19"/>
          <w:color w:val="auto"/>
        </w:rPr>
      </w:pPr>
    </w:p>
    <w:p>
      <w:pPr>
        <w:jc w:val="both"/>
        <w:ind w:firstLine="1158"/>
        <w:spacing w:after="0" w:line="218" w:lineRule="auto"/>
        <w:tabs>
          <w:tab w:leader="none" w:pos="1717" w:val="left"/>
        </w:tabs>
        <w:numPr>
          <w:ilvl w:val="1"/>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Confidential Information</w:t>
      </w:r>
      <w:r>
        <w:rPr>
          <w:rFonts w:ascii="Times New Roman" w:cs="Times New Roman" w:eastAsia="Times New Roman" w:hAnsi="Times New Roman"/>
          <w:sz w:val="19"/>
          <w:szCs w:val="19"/>
          <w:color w:val="auto"/>
        </w:rPr>
        <w:t xml:space="preserve">. Within [***] Business Days after the effective date of termination (but not expiration) of this Agreement in its entirety, each Party will, and cause its Affiliates to (i) destroy, all tangible items solely comprising, bearing or containing any Confidential Information of the other Party that are in such first Party’s or its Affiliates’ possession or Control, and provide written certification of such destruction, or (ii) return all tangible items of the other Party’s Confidential Information to such other Party, as such other Party may direct, at the first Party’s expense;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in any event, (A) each Party may retain copies of the Confidential Information of the other Party to the extent necessary to perform its obligations or exercise its rights that survive termination of this Agreement; (B) each Party may retain one copy of the Confidential Information of the other Party for its legal archives; and (C) each Party may retain Confidential Information contained in electronically stored backup files or other media created by or on behalf of the receiving Party in accordance with its standard or routine archiving and back-up procedures.</w:t>
      </w:r>
    </w:p>
    <w:p>
      <w:pPr>
        <w:spacing w:after="0" w:line="130" w:lineRule="exact"/>
        <w:rPr>
          <w:rFonts w:ascii="Times New Roman" w:cs="Times New Roman" w:eastAsia="Times New Roman" w:hAnsi="Times New Roman"/>
          <w:sz w:val="19"/>
          <w:szCs w:val="19"/>
          <w:color w:val="auto"/>
        </w:rPr>
      </w:pPr>
    </w:p>
    <w:p>
      <w:pPr>
        <w:ind w:left="1720" w:hanging="562"/>
        <w:spacing w:after="0"/>
        <w:tabs>
          <w:tab w:leader="none" w:pos="1720" w:val="left"/>
        </w:tabs>
        <w:numPr>
          <w:ilvl w:val="1"/>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Each Party will cause its Affiliates, Sublicensees and contractors to comply with the obligations in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Section </w:t>
      </w:r>
      <w:r>
        <w:rPr>
          <w:rFonts w:ascii="Times New Roman" w:cs="Times New Roman" w:eastAsia="Times New Roman" w:hAnsi="Times New Roman"/>
          <w:sz w:val="19"/>
          <w:szCs w:val="19"/>
          <w:u w:val="single" w:color="auto"/>
          <w:color w:val="auto"/>
        </w:rPr>
        <w:t>13.4</w:t>
      </w:r>
      <w:r>
        <w:rPr>
          <w:rFonts w:ascii="Times New Roman" w:cs="Times New Roman" w:eastAsia="Times New Roman" w:hAnsi="Times New Roman"/>
          <w:sz w:val="19"/>
          <w:szCs w:val="19"/>
          <w:color w:val="auto"/>
        </w:rPr>
        <w:t>.</w:t>
      </w:r>
    </w:p>
    <w:p>
      <w:pPr>
        <w:spacing w:after="0" w:line="143" w:lineRule="exact"/>
        <w:rPr>
          <w:rFonts w:ascii="Times New Roman" w:cs="Times New Roman" w:eastAsia="Times New Roman" w:hAnsi="Times New Roman"/>
          <w:sz w:val="19"/>
          <w:szCs w:val="19"/>
          <w:color w:val="auto"/>
        </w:rPr>
      </w:pPr>
    </w:p>
    <w:p>
      <w:pPr>
        <w:jc w:val="both"/>
        <w:ind w:firstLine="1158"/>
        <w:spacing w:after="0" w:line="219" w:lineRule="auto"/>
        <w:tabs>
          <w:tab w:leader="none" w:pos="1729" w:val="left"/>
        </w:tabs>
        <w:numPr>
          <w:ilvl w:val="1"/>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Sublicensee Rights</w:t>
      </w:r>
      <w:r>
        <w:rPr>
          <w:rFonts w:ascii="Times New Roman" w:cs="Times New Roman" w:eastAsia="Times New Roman" w:hAnsi="Times New Roman"/>
          <w:sz w:val="19"/>
          <w:szCs w:val="19"/>
          <w:color w:val="auto"/>
        </w:rPr>
        <w:t>. In the event of termination by OncoC4 pursuant to Section 13.3(a), any Sublicensee of rights to Mono/PD-1 Combinations, only, that is in good standing as of the effective date of termination shall have the right, by written notice to OncoC4 given within [***] days after the date that such Sublicensee learns of the termination of this Agreement, to become a direct licensee of OncoC4 on terms and conditions substantially similar to those set forth in this Agreement, but only for the scope of Sublicense rights that were granted to such Sublicensee in its Sublicense and the scope of Reversion Products rights that are returned or granted to OncoC4 hereunder, and only to the extent BioNTech assigns, licenses and transfers to OncoC4 all rights, assets and information as is necessary in order for OncoC4 to fully perform and fully comply with any and all terms and conditions of such Sublicense in all respects (large and small).</w:t>
      </w:r>
    </w:p>
    <w:p>
      <w:pPr>
        <w:spacing w:after="0" w:line="134" w:lineRule="exact"/>
        <w:rPr>
          <w:sz w:val="20"/>
          <w:szCs w:val="20"/>
          <w:color w:val="auto"/>
        </w:rPr>
      </w:pPr>
    </w:p>
    <w:p>
      <w:pPr>
        <w:ind w:firstLine="864"/>
        <w:spacing w:after="0" w:line="246" w:lineRule="auto"/>
        <w:rPr>
          <w:sz w:val="20"/>
          <w:szCs w:val="20"/>
          <w:color w:val="auto"/>
        </w:rPr>
      </w:pPr>
      <w:r>
        <w:rPr>
          <w:rFonts w:ascii="Times New Roman" w:cs="Times New Roman" w:eastAsia="Times New Roman" w:hAnsi="Times New Roman"/>
          <w:sz w:val="19"/>
          <w:szCs w:val="19"/>
          <w:color w:val="auto"/>
        </w:rPr>
        <w:t xml:space="preserve">13.5 . </w:t>
      </w:r>
      <w:r>
        <w:rPr>
          <w:rFonts w:ascii="Times New Roman" w:cs="Times New Roman" w:eastAsia="Times New Roman" w:hAnsi="Times New Roman"/>
          <w:sz w:val="19"/>
          <w:szCs w:val="19"/>
          <w:u w:val="single" w:color="auto"/>
          <w:color w:val="auto"/>
        </w:rPr>
        <w:t>Effects of Termination for OncoC4 Fault</w:t>
      </w:r>
      <w:r>
        <w:rPr>
          <w:rFonts w:ascii="Times New Roman" w:cs="Times New Roman" w:eastAsia="Times New Roman" w:hAnsi="Times New Roman"/>
          <w:sz w:val="19"/>
          <w:szCs w:val="19"/>
          <w:color w:val="auto"/>
        </w:rPr>
        <w:t>. The following shall be the effects of termination only for the following terminations: by BioNTech under Section 13.3(a) (OncoC4 uncured material breach) or 13.3(c) (OncoC4 bankruptcy):</w:t>
      </w:r>
    </w:p>
    <w:p>
      <w:pPr>
        <w:spacing w:after="0" w:line="128" w:lineRule="exact"/>
        <w:rPr>
          <w:sz w:val="20"/>
          <w:szCs w:val="20"/>
          <w:color w:val="auto"/>
        </w:rPr>
      </w:pPr>
    </w:p>
    <w:p>
      <w:pPr>
        <w:ind w:left="1740" w:hanging="582"/>
        <w:spacing w:after="0"/>
        <w:tabs>
          <w:tab w:leader="none" w:pos="1740" w:val="left"/>
        </w:tabs>
        <w:numPr>
          <w:ilvl w:val="0"/>
          <w:numId w:val="5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Exclusive License and (if still in effect) the Option shall survive (in accordance with its terms).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25" w:lineRule="exact"/>
        <w:rPr>
          <w:rFonts w:ascii="Times New Roman" w:cs="Times New Roman" w:eastAsia="Times New Roman" w:hAnsi="Times New Roman"/>
          <w:sz w:val="19"/>
          <w:szCs w:val="19"/>
          <w:color w:val="auto"/>
        </w:rPr>
      </w:pPr>
    </w:p>
    <w:p>
      <w:pPr>
        <w:ind w:left="5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69</w:t>
      </w:r>
    </w:p>
    <w:p>
      <w:pPr>
        <w:sectPr>
          <w:pgSz w:w="11900" w:h="16840" w:orient="portrait"/>
          <w:cols w:equalWidth="0" w:num="1">
            <w:col w:w="10580"/>
          </w:cols>
          <w:pgMar w:left="660" w:top="556" w:right="660" w:bottom="1440" w:gutter="0" w:footer="0" w:header="0"/>
        </w:sectPr>
      </w:pPr>
    </w:p>
    <w:bookmarkStart w:id="527" w:name="page528"/>
    <w:bookmarkEnd w:id="52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40" w:hanging="582"/>
        <w:spacing w:after="0"/>
        <w:tabs>
          <w:tab w:leader="none" w:pos="1740" w:val="left"/>
        </w:tabs>
        <w:numPr>
          <w:ilvl w:val="1"/>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of reference and access granted BioNTech in or in accordance with this Agreement shall survive.</w:t>
      </w:r>
    </w:p>
    <w:p>
      <w:pPr>
        <w:spacing w:after="0" w:line="165" w:lineRule="exact"/>
        <w:rPr>
          <w:rFonts w:ascii="Times New Roman" w:cs="Times New Roman" w:eastAsia="Times New Roman" w:hAnsi="Times New Roman"/>
          <w:sz w:val="19"/>
          <w:szCs w:val="19"/>
          <w:color w:val="auto"/>
        </w:rPr>
      </w:pPr>
    </w:p>
    <w:p>
      <w:pPr>
        <w:jc w:val="both"/>
        <w:ind w:right="40" w:firstLine="1158"/>
        <w:spacing w:after="0" w:line="232" w:lineRule="auto"/>
        <w:tabs>
          <w:tab w:leader="none" w:pos="1729" w:val="left"/>
        </w:tabs>
        <w:numPr>
          <w:ilvl w:val="1"/>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diligence obligations of BioNTech shall terminate and shall not survive, and BioNTech shall have no further diligence obligations in relation to Licensed Compounds and Licensed Products, or of any kind, express or implied, notwithstanding anything in this Agreement, at law, or equity.</w:t>
      </w:r>
    </w:p>
    <w:p>
      <w:pPr>
        <w:spacing w:after="0" w:line="134" w:lineRule="exact"/>
        <w:rPr>
          <w:rFonts w:ascii="Times New Roman" w:cs="Times New Roman" w:eastAsia="Times New Roman" w:hAnsi="Times New Roman"/>
          <w:sz w:val="19"/>
          <w:szCs w:val="19"/>
          <w:color w:val="auto"/>
        </w:rPr>
      </w:pPr>
    </w:p>
    <w:p>
      <w:pPr>
        <w:jc w:val="both"/>
        <w:ind w:right="20" w:firstLine="1158"/>
        <w:spacing w:after="0" w:line="217" w:lineRule="auto"/>
        <w:tabs>
          <w:tab w:leader="none" w:pos="1729" w:val="left"/>
        </w:tabs>
        <w:numPr>
          <w:ilvl w:val="1"/>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13.6 and Section 13.8, BioNTech’s obligations to pay Development Milestone Payments shall terminate and shall not survive termination of this Agreement, but BioNTech’s obligations to pay royalties and Sales Milestone Payments hereunder in due course as they come due shall survive, except that all royalty payment and Sales Milestone Payment amounts that would have been due in the absence of the termination shall be reduced by [***] (and, for clarity, Section 7.7(f) shall not negate such</w:t>
      </w:r>
    </w:p>
    <w:p>
      <w:pPr>
        <w:ind w:right="20" w:firstLine="6"/>
        <w:spacing w:after="0" w:line="231" w:lineRule="auto"/>
        <w:tabs>
          <w:tab w:leader="none" w:pos="465" w:val="left"/>
        </w:tabs>
        <w:numPr>
          <w:ilvl w:val="0"/>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reduction; rather in this circumstance, Section 7.7(f) shall apply to calculate the amount that would have been due in the absence of the termination, and the reduction under this Section 13.5(d) shall apply after that).</w:t>
      </w:r>
    </w:p>
    <w:p>
      <w:pPr>
        <w:spacing w:after="0" w:line="133" w:lineRule="exact"/>
        <w:rPr>
          <w:rFonts w:ascii="Times New Roman" w:cs="Times New Roman" w:eastAsia="Times New Roman" w:hAnsi="Times New Roman"/>
          <w:sz w:val="19"/>
          <w:szCs w:val="19"/>
          <w:color w:val="auto"/>
        </w:rPr>
      </w:pPr>
    </w:p>
    <w:p>
      <w:pPr>
        <w:jc w:val="both"/>
        <w:ind w:right="20" w:firstLine="1158"/>
        <w:spacing w:after="0" w:line="238" w:lineRule="auto"/>
        <w:tabs>
          <w:tab w:leader="none" w:pos="1729" w:val="left"/>
        </w:tabs>
        <w:numPr>
          <w:ilvl w:val="1"/>
          <w:numId w:val="5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OncoC4 shall have no further right or obligation (except as expressly provided in this Section 13.5) to participate in the Joint Development Program nor the activities that were provided for in the CDP, and OncoC4 shall have no further responsibility for any portion of Joint Development Costs incurred following, or otherwise allocable to any activity conducted after, the effective date of termination of this Agreement,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OncoC4 shall continue to be responsible for its otherwise applicable share of Joint Development Costs, subject to the CDP and Joint Development Budget last approved by the JSC in accordance with this Agreement (but not pursuant to an exercise by BioNTech of its final decision-making authority after a notice of termination) as of the effective date of termination, during a [***] wind-down period following the effective date of termination, and BioNTech shall be entitled to offset OncoC4’s share of such costs against payments due hereunder pursuant to BioNTech’s surviving royalty payment obligations. OncoC4 shall reasonably cooperate with BioNTech in any transition activities reasonably requested by BioNTech to transfer activities that OncoC4 or its Affiliate were performing under the Joint Development Program as of the effective date of termination to BioNTech or its Affiliate.</w:t>
      </w:r>
    </w:p>
    <w:p>
      <w:pPr>
        <w:spacing w:after="0" w:line="138" w:lineRule="exact"/>
        <w:rPr>
          <w:rFonts w:ascii="Times New Roman" w:cs="Times New Roman" w:eastAsia="Times New Roman" w:hAnsi="Times New Roman"/>
          <w:sz w:val="19"/>
          <w:szCs w:val="19"/>
          <w:color w:val="auto"/>
        </w:rPr>
      </w:pPr>
    </w:p>
    <w:p>
      <w:pPr>
        <w:jc w:val="both"/>
        <w:ind w:right="40" w:firstLine="1158"/>
        <w:spacing w:after="0" w:line="232" w:lineRule="auto"/>
        <w:tabs>
          <w:tab w:leader="none" w:pos="1729" w:val="left"/>
        </w:tabs>
        <w:numPr>
          <w:ilvl w:val="1"/>
          <w:numId w:val="5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obligations under ARTICLE IX shall survive for [***] years after the effective date of termination, and for clarity information disclosed by either Party in connection with its surviving rights and obligations under this Agreement may qualify as Confidential Information as defined herein.</w:t>
      </w:r>
    </w:p>
    <w:p>
      <w:pPr>
        <w:spacing w:after="0" w:line="134" w:lineRule="exact"/>
        <w:rPr>
          <w:rFonts w:ascii="Times New Roman" w:cs="Times New Roman" w:eastAsia="Times New Roman" w:hAnsi="Times New Roman"/>
          <w:sz w:val="19"/>
          <w:szCs w:val="19"/>
          <w:color w:val="auto"/>
        </w:rPr>
      </w:pPr>
    </w:p>
    <w:p>
      <w:pPr>
        <w:jc w:val="both"/>
        <w:ind w:firstLine="1158"/>
        <w:spacing w:after="0" w:line="220" w:lineRule="auto"/>
        <w:tabs>
          <w:tab w:leader="none" w:pos="1729" w:val="left"/>
        </w:tabs>
        <w:numPr>
          <w:ilvl w:val="1"/>
          <w:numId w:val="5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upon the effective date of termination, OncoC4 hereby assigns to BioNTech all right, title, and interest otherwise held by OncoC4 and its Affiliates in the [***] and Know-How Controlled by OncoC4 or its Affiliate that is necessary for BioNTech to Exploit Licensed Products that were actively being Developed or Commercialized at the time of the termination of this Agreement (but not including any rights with respect to any Other Active contained in a Combination Product) (and solely with respect to the Know-How, limited to the manner in which the Licensed Products were being Developed or Commercialized at the time), all Regulatory Materials in respect of such Licensed Products otherwise held by OncoC4 and its Affiliates, all inventories of such Licensed Products and Licensed Compounds for use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70</w:t>
      </w:r>
    </w:p>
    <w:p>
      <w:pPr>
        <w:sectPr>
          <w:pgSz w:w="11900" w:h="16840" w:orient="portrait"/>
          <w:cols w:equalWidth="0" w:num="1">
            <w:col w:w="10600"/>
          </w:cols>
          <w:pgMar w:left="660" w:top="556" w:right="640" w:bottom="1440" w:gutter="0" w:footer="0" w:header="0"/>
        </w:sectPr>
      </w:pPr>
    </w:p>
    <w:bookmarkStart w:id="528" w:name="page529"/>
    <w:bookmarkEnd w:id="52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9"/>
          <w:szCs w:val="19"/>
          <w:color w:val="auto"/>
        </w:rPr>
        <w:t>(but not including any Other Active contained in a Combination Product), and all contracts (to the extent assignable) for the Manufacture or Development of such Licensed Products and Licensed Compounds for use therein (but not including any Other Active contained in a Combination Product) that BioNTech elects by written notice after having [***] days to review such contracts to take assignment of (and OncoC4 shall provide copies of such contracts that BioNTech has the right to elect assignment of, subject to applicable confidentiality restrictions, within [***] days after the effective date of termination). OncoC4 shall execute and deliver to BioNTech any documents and instruments reasonably requested by BioNTech to evidence or record such assignment or to file for, prosecute, cause to issue, or enforce any of the assigned rights and/or properties, in each case, in accordance with this Section 13.5(g).</w:t>
      </w:r>
    </w:p>
    <w:p>
      <w:pPr>
        <w:spacing w:after="0" w:line="135" w:lineRule="exact"/>
        <w:rPr>
          <w:sz w:val="20"/>
          <w:szCs w:val="20"/>
          <w:color w:val="auto"/>
        </w:rPr>
      </w:pPr>
    </w:p>
    <w:p>
      <w:pPr>
        <w:ind w:left="1740" w:hanging="582"/>
        <w:spacing w:after="0"/>
        <w:tabs>
          <w:tab w:leader="none" w:pos="1740" w:val="left"/>
        </w:tabs>
        <w:numPr>
          <w:ilvl w:val="0"/>
          <w:numId w:val="5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BioNTech shall have the exclusive [***].</w:t>
      </w:r>
    </w:p>
    <w:p>
      <w:pPr>
        <w:spacing w:after="0" w:line="165" w:lineRule="exact"/>
        <w:rPr>
          <w:rFonts w:ascii="Times New Roman" w:cs="Times New Roman" w:eastAsia="Times New Roman" w:hAnsi="Times New Roman"/>
          <w:sz w:val="19"/>
          <w:szCs w:val="19"/>
          <w:color w:val="auto"/>
        </w:rPr>
      </w:pPr>
    </w:p>
    <w:p>
      <w:pPr>
        <w:jc w:val="both"/>
        <w:ind w:right="20" w:firstLine="1158"/>
        <w:spacing w:after="0" w:line="221" w:lineRule="auto"/>
        <w:tabs>
          <w:tab w:leader="none" w:pos="1717" w:val="left"/>
        </w:tabs>
        <w:numPr>
          <w:ilvl w:val="0"/>
          <w:numId w:val="5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OncoC4’s obligations hereunder to maintain in full force and effect and fully perform the Upstream Agreements, including making all payments due thereunder, as described in Section 2.7, shall survive, but only to the extent relating to Licensed Products actively Developed or Commercialized at the time of the termination of this Agreement. In addition, upon BioNTech’s request, on an Upstream Agreement-by-Upstream Agreement basis, OncoC4 agrees to discuss in good faith for a reasonable period of time (not less than [***] days) whether OncoC4 would be willing to assign to BioNTech OncoC4’s and its Affiliates’ right, title and interest in and to any such Upstream Agreement.</w:t>
      </w:r>
    </w:p>
    <w:p>
      <w:pPr>
        <w:spacing w:after="0" w:line="137" w:lineRule="exact"/>
        <w:rPr>
          <w:rFonts w:ascii="Times New Roman" w:cs="Times New Roman" w:eastAsia="Times New Roman" w:hAnsi="Times New Roman"/>
          <w:sz w:val="19"/>
          <w:szCs w:val="19"/>
          <w:color w:val="auto"/>
        </w:rPr>
      </w:pPr>
    </w:p>
    <w:p>
      <w:pPr>
        <w:ind w:left="1720" w:hanging="562"/>
        <w:spacing w:after="0"/>
        <w:tabs>
          <w:tab w:leader="none" w:pos="1720" w:val="left"/>
        </w:tabs>
        <w:numPr>
          <w:ilvl w:val="0"/>
          <w:numId w:val="5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rights and obligations of the Parties, except as provided in Sections 13.6 and 13.7, shall terminate.</w:t>
      </w:r>
    </w:p>
    <w:p>
      <w:pPr>
        <w:spacing w:after="0" w:line="166" w:lineRule="exact"/>
        <w:rPr>
          <w:sz w:val="20"/>
          <w:szCs w:val="20"/>
          <w:color w:val="auto"/>
        </w:rPr>
      </w:pPr>
    </w:p>
    <w:p>
      <w:pPr>
        <w:jc w:val="both"/>
        <w:ind w:firstLine="864"/>
        <w:spacing w:after="0" w:line="232"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u w:val="single" w:color="auto"/>
          <w:color w:val="auto"/>
        </w:rPr>
        <w:t>Accrued Obligations</w:t>
      </w:r>
      <w:r>
        <w:rPr>
          <w:rFonts w:ascii="Times New Roman" w:cs="Times New Roman" w:eastAsia="Times New Roman" w:hAnsi="Times New Roman"/>
          <w:sz w:val="19"/>
          <w:szCs w:val="19"/>
          <w:color w:val="auto"/>
        </w:rPr>
        <w:t>. Expiration or termination of this Agreement for any reason will not release either Party from any obligation or liability which, on the effective date of such expiration or termination, has already accrued to the other Party or which is attributable to a period prior to such expiration or termination.</w:t>
      </w:r>
    </w:p>
    <w:p>
      <w:pPr>
        <w:spacing w:after="0" w:line="135" w:lineRule="exact"/>
        <w:rPr>
          <w:sz w:val="20"/>
          <w:szCs w:val="20"/>
          <w:color w:val="auto"/>
        </w:rPr>
      </w:pPr>
    </w:p>
    <w:p>
      <w:pPr>
        <w:jc w:val="both"/>
        <w:ind w:right="20" w:firstLine="864"/>
        <w:spacing w:after="0" w:line="218" w:lineRule="auto"/>
        <w:rPr>
          <w:sz w:val="20"/>
          <w:szCs w:val="20"/>
          <w:color w:val="auto"/>
        </w:rPr>
      </w:pPr>
      <w:r>
        <w:rPr>
          <w:rFonts w:ascii="Times New Roman" w:cs="Times New Roman" w:eastAsia="Times New Roman" w:hAnsi="Times New Roman"/>
          <w:sz w:val="19"/>
          <w:szCs w:val="19"/>
          <w:color w:val="auto"/>
        </w:rPr>
        <w:t xml:space="preserve">13.7.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provisions set forth in the following Sections, as well as, to the extent applicable, any other Sections or defined terms referred to in such Sections or Articles or necessary to give them effect, will survive any expiration or termination of this Agreement: Sections 4.2, 7.9, 7.10, 7.13, 8.1, 8.2 (solely with respect to Joint Patents) and 8.3 (solely with respect to Joint Patents), 8.5, 8.9, 9.1 (for the time period set forth therein), 9.3, 10.6, 13.2 (solely in the event of expiration and on a Licensed Product -by- Licensed Product and country- by-country basis), 13.4 and 13.5 (each, to the extent applicable), 13.6 -13.8 (inclusive); ARTICLE VII (for the time period set forth therein), ARTICLE XI (provided that Section 11.4 shall survive solely for the time period set forth therein), ARTICLE XII, ARTICLE XIV and ARTICLE XV (except for Sections 15.17 and 15.18); and all Schedules or Exhibits that are referenced in a surviving provision. Furthermore, any other provisions required to interpret the Parties’ rights and obligations under this Agreement, including applicable definitions in ARTICLE I, will survive to the extent required.</w:t>
      </w:r>
    </w:p>
    <w:p>
      <w:pPr>
        <w:spacing w:after="0" w:line="134" w:lineRule="exact"/>
        <w:rPr>
          <w:sz w:val="20"/>
          <w:szCs w:val="20"/>
          <w:color w:val="auto"/>
        </w:rPr>
      </w:pPr>
    </w:p>
    <w:p>
      <w:pPr>
        <w:ind w:right="60" w:firstLine="864"/>
        <w:spacing w:after="0" w:line="246" w:lineRule="auto"/>
        <w:rPr>
          <w:sz w:val="20"/>
          <w:szCs w:val="20"/>
          <w:color w:val="auto"/>
        </w:rPr>
      </w:pPr>
      <w:r>
        <w:rPr>
          <w:rFonts w:ascii="Times New Roman" w:cs="Times New Roman" w:eastAsia="Times New Roman" w:hAnsi="Times New Roman"/>
          <w:sz w:val="19"/>
          <w:szCs w:val="19"/>
          <w:color w:val="auto"/>
        </w:rPr>
        <w:t xml:space="preserve">13. 8. </w:t>
      </w:r>
      <w:r>
        <w:rPr>
          <w:rFonts w:ascii="Times New Roman" w:cs="Times New Roman" w:eastAsia="Times New Roman" w:hAnsi="Times New Roman"/>
          <w:sz w:val="19"/>
          <w:szCs w:val="19"/>
          <w:u w:val="single" w:color="auto"/>
          <w:color w:val="auto"/>
        </w:rPr>
        <w:t>Non-Exclusive Remedies</w:t>
      </w:r>
      <w:r>
        <w:rPr>
          <w:rFonts w:ascii="Times New Roman" w:cs="Times New Roman" w:eastAsia="Times New Roman" w:hAnsi="Times New Roman"/>
          <w:sz w:val="19"/>
          <w:szCs w:val="19"/>
          <w:color w:val="auto"/>
        </w:rPr>
        <w:t>. All of the effects of termination (for clarity, not expiration) set forth in this ARTICLE XIII are in addition to any other rights and remedies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71</w:t>
      </w:r>
    </w:p>
    <w:p>
      <w:pPr>
        <w:sectPr>
          <w:pgSz w:w="11900" w:h="16840" w:orient="portrait"/>
          <w:cols w:equalWidth="0" w:num="1">
            <w:col w:w="10580"/>
          </w:cols>
          <w:pgMar w:left="660" w:top="556" w:right="660" w:bottom="1440" w:gutter="0" w:footer="0" w:header="0"/>
        </w:sectPr>
      </w:pPr>
    </w:p>
    <w:bookmarkStart w:id="529" w:name="page530"/>
    <w:bookmarkEnd w:id="529"/>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may be available to the Parties under this Agreement or applicable Law, and such effects of termination will not be construed to limit any such rights or remedies.</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XIV</w:t>
      </w:r>
    </w:p>
    <w:p>
      <w:pPr>
        <w:ind w:left="4200"/>
        <w:spacing w:after="0"/>
        <w:rPr>
          <w:sz w:val="20"/>
          <w:szCs w:val="20"/>
          <w:color w:val="auto"/>
        </w:rPr>
      </w:pPr>
      <w:r>
        <w:rPr>
          <w:rFonts w:ascii="Times New Roman" w:cs="Times New Roman" w:eastAsia="Times New Roman" w:hAnsi="Times New Roman"/>
          <w:sz w:val="19"/>
          <w:szCs w:val="19"/>
          <w:b w:val="1"/>
          <w:bCs w:val="1"/>
          <w:color w:val="auto"/>
        </w:rPr>
        <w:t>DISPUTE RESOLUTION</w:t>
      </w:r>
    </w:p>
    <w:p>
      <w:pPr>
        <w:spacing w:after="0" w:line="144" w:lineRule="exact"/>
        <w:rPr>
          <w:sz w:val="20"/>
          <w:szCs w:val="20"/>
          <w:color w:val="auto"/>
        </w:rPr>
      </w:pPr>
    </w:p>
    <w:p>
      <w:pPr>
        <w:jc w:val="both"/>
        <w:ind w:firstLine="864"/>
        <w:spacing w:after="0" w:line="218" w:lineRule="auto"/>
        <w:rPr>
          <w:sz w:val="20"/>
          <w:szCs w:val="20"/>
          <w:color w:val="auto"/>
        </w:rPr>
      </w:pP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19"/>
          <w:szCs w:val="19"/>
          <w:u w:val="single" w:color="auto"/>
          <w:color w:val="auto"/>
        </w:rPr>
        <w:t>Dispute Resolution; Escalation</w:t>
      </w:r>
      <w:r>
        <w:rPr>
          <w:rFonts w:ascii="Times New Roman" w:cs="Times New Roman" w:eastAsia="Times New Roman" w:hAnsi="Times New Roman"/>
          <w:sz w:val="19"/>
          <w:szCs w:val="19"/>
          <w:color w:val="auto"/>
        </w:rPr>
        <w:t>. The Parties recognize that disputes as to certain matters arising out of or in connection with this Agreement may arise from time to time. It is the objective of the Parties to establish procedures to facilitate the resolution of disputes arising out of or in connection with this Agreement in an expedited manner by mutual cooperation. To accomplish this objective, except as specified in Section 13.4(d) any and all disputes between the Parties arising out of or in connection with this Agreement (including any dispute or failure to disagree arising at the JSC or dispute regarding Section 15.17) will first be referred to the Senior Officers for resolution and the Senior Officers will attempt to resolve the matter in good faith. If the Senior Officers fail to resolve such matter within fifteen (15) Business Days after the date on which the matter is referred to the Senior Officers (unless a longer period is agreed to by the Parties), then either Party may submit the dispute for final resolution by binding arbitration in accordance with Section 14.2.</w:t>
      </w:r>
    </w:p>
    <w:p>
      <w:pPr>
        <w:spacing w:after="0" w:line="134" w:lineRule="exact"/>
        <w:rPr>
          <w:sz w:val="20"/>
          <w:szCs w:val="20"/>
          <w:color w:val="auto"/>
        </w:rPr>
      </w:pPr>
    </w:p>
    <w:p>
      <w:pPr>
        <w:jc w:val="both"/>
        <w:ind w:right="40" w:firstLine="864"/>
        <w:spacing w:after="0" w:line="214" w:lineRule="auto"/>
        <w:rPr>
          <w:sz w:val="20"/>
          <w:szCs w:val="20"/>
          <w:color w:val="auto"/>
        </w:rPr>
      </w:pPr>
      <w:r>
        <w:rPr>
          <w:rFonts w:ascii="Times New Roman" w:cs="Times New Roman" w:eastAsia="Times New Roman" w:hAnsi="Times New Roman"/>
          <w:sz w:val="19"/>
          <w:szCs w:val="19"/>
          <w:color w:val="auto"/>
        </w:rPr>
        <w:t xml:space="preserve">14 . 2 . </w:t>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xml:space="preserve">. Except as set forth in this Section 14.2 or otherwise expressly provided in this Agreement (including matters that expressly require the mutual agreement of the Parties), each dispute, difference, controversy or claim arising in connection with or related or incidental to, or question occurring under, this Agreement or the subject matter hereof that is not resolved pursuant to Section 14.1 within the time from set forth therein will at the written request of either Party be referred to and finally resolved by arbitration in accordance with the Commercial Arbitration Rules of the American Arbitration Association (the “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xml:space="preserve">”). Each Party will within [***] Business Days after the institution of the arbitration proceedings appoint one (1) arbitrator and the third arbitrator to be selected by mutual agreement of the two (2) arbitrators appointed by the Parties, and each arbitrator will have significant experience in the biopharmaceutical industry. If the two initial arbitrators are unable to select a third arbitrator within [***] Business Days after the selection of the second arbitrator, then the third arbitrator will be appointed in accordance with the Rules. The foregoing arbitration proceedings may be commenced by either Party by written notice to the other Party. Unless otherwise agreed by the Parties, all such arbitration proceedings will be held in New York, New York;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proceedings may be conducted by telephone conference call with the consent of the Parties and the arbitrator(s). All arbitration proceedings will be conducted in the English language. The arbitrators will consider grants of equitable relief and orders for specific performance as co- equal remedies along with awards of monetary damages. The arbitrators will have no authority to award punitive damages. The allocation of expenses of the arbitration, including reasonable attorney’s fees, will be determined by the arbitrators, or, in the absence of such determination, each Party will pay its own expenses and will share equally the expenses of the third arbitrator. The Parties hereby agree that the arbitrators have authority to issue rulings and orders regarding all procedural and evidentiary matters that the arbitrators deem reasonable and necessary with or without petition therefore by the Parties as well as the final ruling and judgment. Except for any appeals process provided for by AAA at the time, to which each Party hereby consents, and any court appeals available under applicable law (including New York State and U.S. federal law), all rulings by the arbitrators will be final. Notwithstanding any contrary provision of this Agreement, any Party may seek equitable measures of protection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72</w:t>
      </w:r>
    </w:p>
    <w:p>
      <w:pPr>
        <w:sectPr>
          <w:pgSz w:w="11900" w:h="16840" w:orient="portrait"/>
          <w:cols w:equalWidth="0" w:num="1">
            <w:col w:w="10600"/>
          </w:cols>
          <w:pgMar w:left="660" w:top="556" w:right="640" w:bottom="1440" w:gutter="0" w:footer="0" w:header="0"/>
        </w:sectPr>
      </w:pPr>
    </w:p>
    <w:bookmarkStart w:id="530" w:name="page531"/>
    <w:bookmarkEnd w:id="530"/>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form of attachment of assets or injunctive relief (including specific performance and injunctive relief) in any matter relating to the proprietary rights and interests of either Party from any court of competent jurisdiction. The provisions of this Section 14.2 may be enforced and judgment on the award (including equitable remedies) granted in any arbitration hereunder may be entered in any court having jurisdiction over the award or any of the Parties or any of their respective assets. Except to the extent necessary to confirm an award or as may be required by Laws, neither a Party nor an arbitrator may disclose the existence, content, or results of an arbitration without the prior written consent of both Parties. The Parties agree that, in the event of a dispute over the nature or quality of performance under this Agreement, neither Party may terminate this Agreement until final resolution of the dispute through arbitration or other judicial determination. Nothing in this Section 14.2 will preclude either Party from seeking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Notwithstanding the Parties’ agreement to arbitrate, unless the Parties agree in writing in any particular case, claims and disputes between the Parties relating to or arising out of, or for which resolution depends in whole or in part on a determination of the interpretation, scope, validity, enforceability or infringement of, Patents or Trademarks relating to any Licensed Products will not be subject to arbitration under this Agreement, and the Parties may pursue whatever rights and remedies may be available to them under law or equity, including litigation in a court of competent jurisdiction, with respect to such claims and disputes.</w:t>
      </w:r>
    </w:p>
    <w:p>
      <w:pPr>
        <w:spacing w:after="0" w:line="137" w:lineRule="exact"/>
        <w:rPr>
          <w:sz w:val="20"/>
          <w:szCs w:val="20"/>
          <w:color w:val="auto"/>
        </w:rPr>
      </w:pPr>
    </w:p>
    <w:p>
      <w:pPr>
        <w:ind w:right="20" w:firstLine="864"/>
        <w:spacing w:after="0" w:line="223"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u w:val="single" w:color="auto"/>
          <w:color w:val="auto"/>
        </w:rPr>
        <w:t>Jury Waiver</w:t>
      </w:r>
      <w:r>
        <w:rPr>
          <w:rFonts w:ascii="Times New Roman" w:cs="Times New Roman" w:eastAsia="Times New Roman" w:hAnsi="Times New Roman"/>
          <w:sz w:val="19"/>
          <w:szCs w:val="19"/>
          <w:color w:val="auto"/>
        </w:rPr>
        <w:t>. EACH PARTY, TO THE EXTENT PERMITTED BY LAW, KNOWINGLY, VOLUNTARILY, AND INTENTIONALLY WAIVES ITS RIGHT TO A TRIAL BY JURY IN ANY ACTION OR OTHER LEGAL PROCEEDING ARISING OUT OF OR RELATING TO THIS AGREEMENT AND THE TRANSACTIONS IT CONTEMPLATES TO ARBITRATE AS SET FORTH IN SECTION 14.2 (ARBITRATION). THIS WAIVER APPLIES TO ANY ACTION OR LEGAL PROCEEDING, WHETHER SOUNDING IN CONTRACT, TORT OR OTHERWISE.</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u w:val="single" w:color="auto"/>
          <w:color w:val="auto"/>
        </w:rPr>
        <w:t>ARTICLE XV</w:t>
      </w:r>
    </w:p>
    <w:p>
      <w:pPr>
        <w:ind w:left="444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44" w:lineRule="exact"/>
        <w:rPr>
          <w:sz w:val="20"/>
          <w:szCs w:val="20"/>
          <w:color w:val="auto"/>
        </w:rPr>
      </w:pPr>
    </w:p>
    <w:p>
      <w:pPr>
        <w:ind w:left="880"/>
        <w:spacing w:after="0"/>
        <w:tabs>
          <w:tab w:leader="none" w:pos="1420" w:val="left"/>
        </w:tabs>
        <w:rPr>
          <w:sz w:val="20"/>
          <w:szCs w:val="20"/>
          <w:color w:val="auto"/>
        </w:rPr>
      </w:pPr>
      <w:r>
        <w:rPr>
          <w:rFonts w:ascii="Times New Roman" w:cs="Times New Roman" w:eastAsia="Times New Roman" w:hAnsi="Times New Roman"/>
          <w:sz w:val="19"/>
          <w:szCs w:val="19"/>
          <w:color w:val="auto"/>
        </w:rPr>
        <w:t>15.1.</w:t>
      </w:r>
      <w:r>
        <w:rPr>
          <w:sz w:val="20"/>
          <w:szCs w:val="20"/>
          <w:color w:val="auto"/>
        </w:rPr>
        <w:tab/>
      </w:r>
      <w:r>
        <w:rPr>
          <w:rFonts w:ascii="Times New Roman" w:cs="Times New Roman" w:eastAsia="Times New Roman" w:hAnsi="Times New Roman"/>
          <w:sz w:val="19"/>
          <w:szCs w:val="19"/>
          <w:u w:val="single" w:color="auto"/>
          <w:color w:val="auto"/>
        </w:rPr>
        <w:t>Assignment; Successors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582"/>
        <w:spacing w:after="0"/>
        <w:tabs>
          <w:tab w:leader="none" w:pos="1740" w:val="left"/>
        </w:tabs>
        <w:numPr>
          <w:ilvl w:val="0"/>
          <w:numId w:val="5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1735"/>
        <w:spacing w:after="0" w:line="220" w:lineRule="auto"/>
        <w:tabs>
          <w:tab w:leader="none" w:pos="2293" w:val="left"/>
        </w:tabs>
        <w:numPr>
          <w:ilvl w:val="1"/>
          <w:numId w:val="5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This Agreement and the rights and obligations of each Party under this Agreement will not be assignable, delegable, transferable, pledged or otherwise disposed of by either Party without the prior written consent of the other Party;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either Party may assign or transfer this Agreement together with all of its rights and obligations hereunder,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without such consent (but with written notice to the other Party) (A) to an Affiliate or (B) to a successor in interest in connection with the transfer or sale of all or substantially all of its business or assets to which this Agreement relates, or in the event of its merger or consolidation, reorganization or similar transaction, subject to the assignee agreeing in writing to be bound by the terms and conditions of this Agreement. Any assignment in violation of this Section 15.1(a)(i)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73</w:t>
      </w:r>
    </w:p>
    <w:p>
      <w:pPr>
        <w:sectPr>
          <w:pgSz w:w="11900" w:h="16840" w:orient="portrait"/>
          <w:cols w:equalWidth="0" w:num="1">
            <w:col w:w="10600"/>
          </w:cols>
          <w:pgMar w:left="660" w:top="556" w:right="640" w:bottom="1440" w:gutter="0" w:footer="0" w:header="0"/>
        </w:sectPr>
      </w:pPr>
    </w:p>
    <w:bookmarkStart w:id="531" w:name="page532"/>
    <w:bookmarkEnd w:id="531"/>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735"/>
        <w:spacing w:after="0" w:line="215" w:lineRule="auto"/>
        <w:tabs>
          <w:tab w:leader="none" w:pos="2305" w:val="left"/>
        </w:tabs>
        <w:numPr>
          <w:ilvl w:val="2"/>
          <w:numId w:val="5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Securitization</w:t>
      </w:r>
      <w:r>
        <w:rPr>
          <w:rFonts w:ascii="Times New Roman" w:cs="Times New Roman" w:eastAsia="Times New Roman" w:hAnsi="Times New Roman"/>
          <w:sz w:val="19"/>
          <w:szCs w:val="19"/>
          <w:color w:val="auto"/>
        </w:rPr>
        <w:t xml:space="preserve">. Notwithstanding anything to the contrary in Section 15.1(a)(i) or elsewhere in this Agreement, following the earlier of (A) substantial completion by or on behalf of OncoC4 of all material Development activities to be conducted by OncoC4 under the CDP, and (B) the First Commercial Sale of a Licensed Product, OncoC4 may assign to a Third Party its right to receive milestone payments and/or royalty payments owed under ARTICLE VII (such assignment, a “ </w:t>
      </w:r>
      <w:r>
        <w:rPr>
          <w:rFonts w:ascii="Times New Roman" w:cs="Times New Roman" w:eastAsia="Times New Roman" w:hAnsi="Times New Roman"/>
          <w:sz w:val="19"/>
          <w:szCs w:val="19"/>
          <w:b w:val="1"/>
          <w:bCs w:val="1"/>
          <w:color w:val="auto"/>
        </w:rPr>
        <w:t>Securitization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Transaction</w:t>
      </w:r>
      <w:r>
        <w:rPr>
          <w:rFonts w:ascii="Times New Roman" w:cs="Times New Roman" w:eastAsia="Times New Roman" w:hAnsi="Times New Roman"/>
          <w:sz w:val="19"/>
          <w:szCs w:val="19"/>
          <w:color w:val="auto"/>
        </w:rPr>
        <w:t>”) without the prior written consent of BioNTech. In connection with a contemplated Securitization Transaction, OncoC4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disclose to Third Parties Confidential Information to the extent reasonably necessary to enable the evaluation of the Securitization Transaction opportunity (provided that such Third Parties are under obligations of confidentiality and non-use with respect to such Confidential Information that are no less stringent than those in this Agreement (but of duration customary in confidentiality agreements entered into for a similar purpose)). As part of any consummated Securitization Transaction, OncoC4 may delegate its right to receive royalty reports and to conduct audits under Section 7.6 and Section 7.8 to the counterparty in such Securitization Transaction, and to allow such counterparty to exercise its rights under such Sections, and such delegation, exercise of rights, and disclosure of Confidential Information to any such counterparty (provided that such counterparty (1) is not a BioNTech Competitor and (2) is under obligations of confidentiality and non-use with respect to such Confidential Information that are no less stringent than those in this Agreement (but of duration customary in confidentiality agreements entered into for a similar purpose)) shall not be a breach by OncoC4 of its obligations under this Agreement.</w:t>
      </w:r>
    </w:p>
    <w:p>
      <w:pPr>
        <w:spacing w:after="0" w:line="137" w:lineRule="exact"/>
        <w:rPr>
          <w:rFonts w:ascii="Times New Roman" w:cs="Times New Roman" w:eastAsia="Times New Roman" w:hAnsi="Times New Roman"/>
          <w:sz w:val="19"/>
          <w:szCs w:val="19"/>
          <w:color w:val="auto"/>
        </w:rPr>
      </w:pPr>
    </w:p>
    <w:p>
      <w:pPr>
        <w:jc w:val="both"/>
        <w:ind w:firstLine="1158"/>
        <w:spacing w:after="0" w:line="227" w:lineRule="auto"/>
        <w:tabs>
          <w:tab w:leader="none" w:pos="1729" w:val="left"/>
        </w:tabs>
        <w:numPr>
          <w:ilvl w:val="1"/>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Any permitted assignment of the rights and obligations of a Party under this Agreement will be binding on, and inure to the benefit of and be enforceable by and against, the successors and permitted assigns of the assigning Party. The permitted assignee or transferee will assume all obligations of its assignor or transferor under this Agreement. Any assignment or attempted assignment by either Party in violation of the terms of this Section 15.1(b) will be null, void and of no legal effect.</w:t>
      </w:r>
    </w:p>
    <w:p>
      <w:pPr>
        <w:spacing w:after="0" w:line="133" w:lineRule="exact"/>
        <w:rPr>
          <w:rFonts w:ascii="Times New Roman" w:cs="Times New Roman" w:eastAsia="Times New Roman" w:hAnsi="Times New Roman"/>
          <w:sz w:val="19"/>
          <w:szCs w:val="19"/>
          <w:color w:val="auto"/>
        </w:rPr>
      </w:pPr>
    </w:p>
    <w:p>
      <w:pPr>
        <w:jc w:val="both"/>
        <w:ind w:firstLine="1158"/>
        <w:spacing w:after="0" w:line="214" w:lineRule="auto"/>
        <w:tabs>
          <w:tab w:leader="none" w:pos="1729" w:val="left"/>
        </w:tabs>
        <w:numPr>
          <w:ilvl w:val="1"/>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of OncoC4</w:t>
      </w:r>
      <w:r>
        <w:rPr>
          <w:rFonts w:ascii="Times New Roman" w:cs="Times New Roman" w:eastAsia="Times New Roman" w:hAnsi="Times New Roman"/>
          <w:sz w:val="19"/>
          <w:szCs w:val="19"/>
          <w:color w:val="auto"/>
        </w:rPr>
        <w:t>. Notwithstanding anything herein, neither OncoC4 nor any of its Affiliates will be deemed to Control any Know-How, Patent, Regulatory Material, Regulatory Approval or other property right that is Controlled by a Third Party described in the definition of “Change of Control,” or such Third Party’s Affiliates (other than an Affiliate of OncoC4 existing prior to the Change of Control), (i) prior to the closing of such Change of Control, except to the extent that any such Know-How, Patent, Regulatory Material, Regulatory Approval or other property right was conceived, discovered, developed, reduced to practice, or otherwise made by such Third Party prior to such Change of Control using or incorporating any Know-How, Patent, Regulatory Material, Regulatory Approval or other property right Controlled by OncoC4 or any of its Affiliates existing prior to such Change of Control, or</w:t>
      </w:r>
    </w:p>
    <w:p>
      <w:pPr>
        <w:spacing w:after="0" w:line="2" w:lineRule="exact"/>
        <w:rPr>
          <w:rFonts w:ascii="Times New Roman" w:cs="Times New Roman" w:eastAsia="Times New Roman" w:hAnsi="Times New Roman"/>
          <w:sz w:val="19"/>
          <w:szCs w:val="19"/>
          <w:color w:val="auto"/>
        </w:rPr>
      </w:pPr>
    </w:p>
    <w:p>
      <w:pPr>
        <w:jc w:val="both"/>
        <w:ind w:right="20" w:firstLine="6"/>
        <w:spacing w:after="0" w:line="219" w:lineRule="auto"/>
        <w:tabs>
          <w:tab w:leader="none" w:pos="286" w:val="left"/>
        </w:tabs>
        <w:numPr>
          <w:ilvl w:val="0"/>
          <w:numId w:val="5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such Change of Control to the extent that such Know-How, Patent, Regulatory Material, Regulatory Approval or other property right is conceived, discovered, developed, reduced to practice, or otherwise made by such Third Party or its Affiliates (other than OncoC4 or its Affiliates existing prior to the Change of Control) after such Change of Control without using or incorporating any Know-How, Patent, Regulatory Material, Regulatory Approval or other property right Controlled by OncoC4 or any of its Affiliates existing prior to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74</w:t>
      </w:r>
    </w:p>
    <w:p>
      <w:pPr>
        <w:sectPr>
          <w:pgSz w:w="11900" w:h="16840" w:orient="portrait"/>
          <w:cols w:equalWidth="0" w:num="1">
            <w:col w:w="10580"/>
          </w:cols>
          <w:pgMar w:left="660" w:top="556" w:right="660" w:bottom="1440" w:gutter="0" w:footer="0" w:header="0"/>
        </w:sectPr>
      </w:pPr>
    </w:p>
    <w:bookmarkStart w:id="532" w:name="page533"/>
    <w:bookmarkEnd w:id="532"/>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158"/>
        <w:spacing w:after="0" w:line="214" w:lineRule="auto"/>
        <w:tabs>
          <w:tab w:leader="none" w:pos="1729" w:val="left"/>
        </w:tabs>
        <w:numPr>
          <w:ilvl w:val="1"/>
          <w:numId w:val="5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of BioNTech</w:t>
      </w:r>
      <w:r>
        <w:rPr>
          <w:rFonts w:ascii="Times New Roman" w:cs="Times New Roman" w:eastAsia="Times New Roman" w:hAnsi="Times New Roman"/>
          <w:sz w:val="19"/>
          <w:szCs w:val="19"/>
          <w:color w:val="auto"/>
        </w:rPr>
        <w:t>. Notwithstanding anything herein, neither BioNTech nor any of its Affiliates will be deemed to Control any Know-How, Patent, Regulatory Material, Regulatory Approval or other property right that is Controlled by a Third Party described in the definition of “Change of Control,” or such Third Party’s Affiliates (other than an Affiliate of BioNTech existing prior to the Change of Control), (i) prior to the closing of such Change of Control, except to the extent that any such Know-How, Patent, Regulatory Material, Regulatory Approval or other property right was conceived, discovered, developed, reduced to practice, or otherwise made by such Third Party prior to such Change of Control using or incorporating any Know-How, Patent, Regulatory Material, Regulatory Approval or other property right Controlled by BioNTech or any of its Affiliates existing prior to such Change of Control, or</w:t>
      </w:r>
    </w:p>
    <w:p>
      <w:pPr>
        <w:spacing w:after="0" w:line="2" w:lineRule="exact"/>
        <w:rPr>
          <w:rFonts w:ascii="Times New Roman" w:cs="Times New Roman" w:eastAsia="Times New Roman" w:hAnsi="Times New Roman"/>
          <w:sz w:val="19"/>
          <w:szCs w:val="19"/>
          <w:color w:val="auto"/>
        </w:rPr>
      </w:pPr>
    </w:p>
    <w:p>
      <w:pPr>
        <w:jc w:val="both"/>
        <w:ind w:right="20" w:firstLine="6"/>
        <w:spacing w:after="0" w:line="219" w:lineRule="auto"/>
        <w:tabs>
          <w:tab w:leader="none" w:pos="286" w:val="left"/>
        </w:tabs>
        <w:numPr>
          <w:ilvl w:val="0"/>
          <w:numId w:val="5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such Change of Control to the extent that such Know-How, Patent, Regulatory Material, Regulatory Approval or other property right is conceived, discovered, developed, reduced to practice, or otherwise made by such Third Party or its Affiliates (other than BioNTech or its Affiliates existing prior to the Change of Control) after such Change of Control without using or incorporating any Know-How, Patent, Regulatory Material, Regulatory Approval or other property right Controlled by BioNTech or any of its Affiliates existing prior to such Change of Control.</w:t>
      </w:r>
    </w:p>
    <w:p>
      <w:pPr>
        <w:spacing w:after="0" w:line="134" w:lineRule="exact"/>
        <w:rPr>
          <w:sz w:val="20"/>
          <w:szCs w:val="20"/>
          <w:color w:val="auto"/>
        </w:rPr>
      </w:pPr>
    </w:p>
    <w:p>
      <w:pPr>
        <w:jc w:val="both"/>
        <w:ind w:firstLine="864"/>
        <w:spacing w:after="0" w:line="219" w:lineRule="auto"/>
        <w:rPr>
          <w:sz w:val="20"/>
          <w:szCs w:val="20"/>
          <w:color w:val="auto"/>
        </w:rPr>
      </w:pPr>
      <w:r>
        <w:rPr>
          <w:rFonts w:ascii="Times New Roman" w:cs="Times New Roman" w:eastAsia="Times New Roman" w:hAnsi="Times New Roman"/>
          <w:sz w:val="19"/>
          <w:szCs w:val="19"/>
          <w:color w:val="auto"/>
        </w:rPr>
        <w:t xml:space="preserve">15.2. </w:t>
      </w:r>
      <w:r>
        <w:rPr>
          <w:rFonts w:ascii="Times New Roman" w:cs="Times New Roman" w:eastAsia="Times New Roman" w:hAnsi="Times New Roman"/>
          <w:sz w:val="19"/>
          <w:szCs w:val="19"/>
          <w:u w:val="single" w:color="auto"/>
          <w:color w:val="auto"/>
        </w:rPr>
        <w:t>Choice of Laws</w:t>
      </w:r>
      <w:r>
        <w:rPr>
          <w:rFonts w:ascii="Times New Roman" w:cs="Times New Roman" w:eastAsia="Times New Roman" w:hAnsi="Times New Roman"/>
          <w:sz w:val="19"/>
          <w:szCs w:val="19"/>
          <w:color w:val="auto"/>
        </w:rPr>
        <w:t xml:space="preserve">. Except as expressly provided herein, this Agreement will be governed by and interpreted under [***], without regard to any conflicts of law principles thereof. Any dispute, controversy, claim or difference of any kind whatsoever arising out of or in connection with this Agreement will be resolved exclusively in accordance with Section 14.2;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all questions concerning (a) ownership of Patents under this Agreement will be determined in accordance with Section 8.1 and (b) the construction or effect of Patents will be determined in accordance with the Laws of the country or other jurisdiction in which the particular patent or patent application within such Patents has been filed or granted, as the case may be. Any communication or proceedings resulting from disputes under this Agreement will be in English language. The Parties agree to exclude the application to this Agreement of the United Nations Conventions on Contracts for the International Sale of Goods (1980).</w:t>
      </w:r>
    </w:p>
    <w:p>
      <w:pPr>
        <w:spacing w:after="0" w:line="134" w:lineRule="exact"/>
        <w:rPr>
          <w:sz w:val="20"/>
          <w:szCs w:val="20"/>
          <w:color w:val="auto"/>
        </w:rPr>
      </w:pPr>
    </w:p>
    <w:p>
      <w:pPr>
        <w:jc w:val="both"/>
        <w:ind w:firstLine="864"/>
        <w:spacing w:after="0" w:line="219"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or report required or permitted to be given or made under this Agreement by one Party to the other will be in writing and will be deemed to have been delivered (a) upon personal delivery (upon written confirmation of receipt), (b) when received by the addressee, if sent by an internationally recognized overnight courier that maintains records of delivery, or registered or certified mail, postage prepaid, return receipt requested and (c) in the case of notices provided by email (which notice will be followed by an additional notice pursuant to clause (a) or (b) above if the notice is of a default under this Agreement), upon completion of transmission, with transmission confirmed, to the addressee’s email address below (or at such other addresses as may have been furnished in writing by a Party to the other as provided in this Section 15.3). For clarity, this Section 15.3 is not intended to govern day-to-day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75</w:t>
      </w:r>
    </w:p>
    <w:p>
      <w:pPr>
        <w:sectPr>
          <w:pgSz w:w="11900" w:h="16840" w:orient="portrait"/>
          <w:cols w:equalWidth="0" w:num="1">
            <w:col w:w="10580"/>
          </w:cols>
          <w:pgMar w:left="660" w:top="556" w:right="660" w:bottom="1440" w:gutter="0" w:footer="0" w:header="0"/>
        </w:sectPr>
      </w:pPr>
    </w:p>
    <w:bookmarkStart w:id="533" w:name="page534"/>
    <w:bookmarkEnd w:id="533"/>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communications between the Parties in performing their obligations under the terms of this Agreement.</w:t>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If to OncoC4:</w:t>
            </w: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OncoC4, Inc.</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w w:val="99"/>
              </w:rPr>
              <w:t>9640 Medical Center Drive</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Rockville, MD 20850</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Attention: [***]</w:t>
            </w:r>
          </w:p>
        </w:tc>
        <w:tc>
          <w:tcPr>
            <w:tcW w:w="0" w:type="dxa"/>
            <w:vAlign w:val="bottom"/>
          </w:tcPr>
          <w:p>
            <w:pPr>
              <w:spacing w:after="0"/>
              <w:rPr>
                <w:sz w:val="1"/>
                <w:szCs w:val="1"/>
                <w:color w:val="auto"/>
              </w:rPr>
            </w:pPr>
          </w:p>
        </w:tc>
      </w:tr>
      <w:tr>
        <w:trPr>
          <w:trHeight w:val="251"/>
        </w:trPr>
        <w:tc>
          <w:tcPr>
            <w:tcW w:w="4840" w:type="dxa"/>
            <w:vAlign w:val="bottom"/>
          </w:tcPr>
          <w:p>
            <w:pPr>
              <w:spacing w:after="0"/>
              <w:rPr>
                <w:sz w:val="21"/>
                <w:szCs w:val="21"/>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Email: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with copies (which shall not constitute notice) to:</w:t>
            </w: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Goodwin Procter LLP</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1900 N Street, NW</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Washington, DC 20036</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Attention: [***]</w:t>
            </w:r>
          </w:p>
        </w:tc>
        <w:tc>
          <w:tcPr>
            <w:tcW w:w="0" w:type="dxa"/>
            <w:vAlign w:val="bottom"/>
          </w:tcPr>
          <w:p>
            <w:pPr>
              <w:spacing w:after="0"/>
              <w:rPr>
                <w:sz w:val="1"/>
                <w:szCs w:val="1"/>
                <w:color w:val="auto"/>
              </w:rPr>
            </w:pPr>
          </w:p>
        </w:tc>
      </w:tr>
      <w:tr>
        <w:trPr>
          <w:trHeight w:val="251"/>
        </w:trPr>
        <w:tc>
          <w:tcPr>
            <w:tcW w:w="4840" w:type="dxa"/>
            <w:vAlign w:val="bottom"/>
          </w:tcPr>
          <w:p>
            <w:pPr>
              <w:spacing w:after="0"/>
              <w:rPr>
                <w:sz w:val="21"/>
                <w:szCs w:val="21"/>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Email: [***]</w:t>
            </w:r>
          </w:p>
        </w:tc>
        <w:tc>
          <w:tcPr>
            <w:tcW w:w="0" w:type="dxa"/>
            <w:vAlign w:val="bottom"/>
          </w:tcPr>
          <w:p>
            <w:pPr>
              <w:spacing w:after="0"/>
              <w:rPr>
                <w:sz w:val="1"/>
                <w:szCs w:val="1"/>
                <w:color w:val="auto"/>
              </w:rPr>
            </w:pPr>
          </w:p>
        </w:tc>
      </w:tr>
      <w:tr>
        <w:trPr>
          <w:trHeight w:val="445"/>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If to BioNTech:</w:t>
            </w: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BioNTech SE</w:t>
            </w:r>
          </w:p>
        </w:tc>
        <w:tc>
          <w:tcPr>
            <w:tcW w:w="0" w:type="dxa"/>
            <w:vAlign w:val="bottom"/>
          </w:tcPr>
          <w:p>
            <w:pPr>
              <w:spacing w:after="0"/>
              <w:rPr>
                <w:sz w:val="1"/>
                <w:szCs w:val="1"/>
                <w:color w:val="auto"/>
              </w:rPr>
            </w:pPr>
          </w:p>
        </w:tc>
      </w:tr>
      <w:tr>
        <w:trPr>
          <w:trHeight w:val="154"/>
        </w:trPr>
        <w:tc>
          <w:tcPr>
            <w:tcW w:w="4840" w:type="dxa"/>
            <w:vAlign w:val="bottom"/>
            <w:vMerge w:val="continue"/>
          </w:tcPr>
          <w:p>
            <w:pPr>
              <w:spacing w:after="0"/>
              <w:rPr>
                <w:sz w:val="13"/>
                <w:szCs w:val="13"/>
                <w:color w:val="auto"/>
              </w:rPr>
            </w:pPr>
          </w:p>
        </w:tc>
        <w:tc>
          <w:tcPr>
            <w:tcW w:w="3140" w:type="dxa"/>
            <w:vAlign w:val="bottom"/>
            <w:vMerge w:val="restart"/>
          </w:tcPr>
          <w:p>
            <w:pPr>
              <w:ind w:left="1040"/>
              <w:spacing w:after="0" w:line="192" w:lineRule="exact"/>
              <w:rPr>
                <w:sz w:val="20"/>
                <w:szCs w:val="20"/>
                <w:color w:val="auto"/>
              </w:rPr>
            </w:pPr>
            <w:r>
              <w:rPr>
                <w:rFonts w:ascii="Times New Roman" w:cs="Times New Roman" w:eastAsia="Times New Roman" w:hAnsi="Times New Roman"/>
                <w:sz w:val="19"/>
                <w:szCs w:val="19"/>
                <w:color w:val="auto"/>
              </w:rPr>
              <w:t>Attention: [***]</w:t>
            </w:r>
          </w:p>
        </w:tc>
        <w:tc>
          <w:tcPr>
            <w:tcW w:w="0" w:type="dxa"/>
            <w:vAlign w:val="bottom"/>
          </w:tcPr>
          <w:p>
            <w:pPr>
              <w:spacing w:after="0"/>
              <w:rPr>
                <w:sz w:val="1"/>
                <w:szCs w:val="1"/>
                <w:color w:val="auto"/>
              </w:rPr>
            </w:pPr>
          </w:p>
        </w:tc>
      </w:tr>
      <w:tr>
        <w:trPr>
          <w:trHeight w:val="38"/>
        </w:trPr>
        <w:tc>
          <w:tcPr>
            <w:tcW w:w="4840" w:type="dxa"/>
            <w:vAlign w:val="bottom"/>
          </w:tcPr>
          <w:p>
            <w:pPr>
              <w:spacing w:after="0"/>
              <w:rPr>
                <w:sz w:val="3"/>
                <w:szCs w:val="3"/>
                <w:color w:val="auto"/>
              </w:rPr>
            </w:pPr>
          </w:p>
        </w:tc>
        <w:tc>
          <w:tcPr>
            <w:tcW w:w="3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An der Goldgrube 12</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55131 Mainz</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3140" w:type="dxa"/>
            <w:vAlign w:val="bottom"/>
          </w:tcPr>
          <w:p>
            <w:pPr>
              <w:ind w:left="1040"/>
              <w:spacing w:after="0" w:line="192" w:lineRule="exact"/>
              <w:rPr>
                <w:sz w:val="20"/>
                <w:szCs w:val="20"/>
                <w:color w:val="auto"/>
              </w:rPr>
            </w:pPr>
            <w:r>
              <w:rPr>
                <w:rFonts w:ascii="Times New Roman" w:cs="Times New Roman" w:eastAsia="Times New Roman" w:hAnsi="Times New Roman"/>
                <w:sz w:val="19"/>
                <w:szCs w:val="19"/>
                <w:color w:val="auto"/>
              </w:rPr>
              <w:t>Germany</w:t>
            </w:r>
          </w:p>
        </w:tc>
        <w:tc>
          <w:tcPr>
            <w:tcW w:w="0" w:type="dxa"/>
            <w:vAlign w:val="bottom"/>
          </w:tcPr>
          <w:p>
            <w:pPr>
              <w:spacing w:after="0"/>
              <w:rPr>
                <w:sz w:val="1"/>
                <w:szCs w:val="1"/>
                <w:color w:val="auto"/>
              </w:rPr>
            </w:pPr>
          </w:p>
        </w:tc>
      </w:tr>
      <w:tr>
        <w:trPr>
          <w:trHeight w:val="251"/>
        </w:trPr>
        <w:tc>
          <w:tcPr>
            <w:tcW w:w="4840" w:type="dxa"/>
            <w:vAlign w:val="bottom"/>
          </w:tcPr>
          <w:p>
            <w:pPr>
              <w:spacing w:after="0"/>
              <w:rPr>
                <w:sz w:val="21"/>
                <w:szCs w:val="21"/>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Email: [***]</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firstLine="864"/>
        <w:spacing w:after="0" w:line="221" w:lineRule="auto"/>
        <w:rPr>
          <w:sz w:val="20"/>
          <w:szCs w:val="20"/>
          <w:color w:val="auto"/>
        </w:rPr>
      </w:pPr>
      <w:r>
        <w:rPr>
          <w:rFonts w:ascii="Times New Roman" w:cs="Times New Roman" w:eastAsia="Times New Roman" w:hAnsi="Times New Roman"/>
          <w:sz w:val="19"/>
          <w:szCs w:val="19"/>
          <w:color w:val="auto"/>
        </w:rPr>
        <w:t xml:space="preserve">15.4.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one or more provisions of this Agreement is held invalid, illegal or unenforceable in any respect, then such provision will not render any other provision of this Agreement invalid or unenforceable, and all other provisions will remain in full force and effect and will be enforceable, unless the provisions that have been found to be invalid or unenforceable will substantially affect the remaining rights or obligations granted or undertaken by either Party. The Parties agree to attempt to substitute for any invalid or unenforceable provision a provision which achieves to the greatest extent possible the economic objectives of the invalid or unenforceable provision.</w:t>
      </w:r>
    </w:p>
    <w:p>
      <w:pPr>
        <w:spacing w:after="0" w:line="137" w:lineRule="exact"/>
        <w:rPr>
          <w:sz w:val="20"/>
          <w:szCs w:val="20"/>
          <w:color w:val="auto"/>
        </w:rPr>
      </w:pPr>
    </w:p>
    <w:p>
      <w:pPr>
        <w:jc w:val="both"/>
        <w:ind w:right="20" w:firstLine="864"/>
        <w:spacing w:after="0" w:line="219"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together with all schedules and exhibits attached hereto, constitutes the entire agreement between the Parties with respect to the subject matter of this Agreement and supersedes all previous arrangements between the Parties with respect to the subject matter hereof, whether written or oral, including, effective as of the Execution Date, the Mutual Non-Disclosure Agreement between the Parties dated [***] (provided that from and after the Execution Date all information disclosed or exchanged under such agreement will be treated as if disclosed hereunder; for clarity such MNDA shall continue to govern the Parties rights and obligations prior to the Effective Date, with respect to the information exchanged thereunder). In the event of a conflict between the CDP or any schedules or attachments to this Agreement, on the one hand, and this Agreement, on the other hand, the terms of this Agreement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76</w:t>
      </w:r>
    </w:p>
    <w:p>
      <w:pPr>
        <w:sectPr>
          <w:pgSz w:w="11900" w:h="16840" w:orient="portrait"/>
          <w:cols w:equalWidth="0" w:num="1">
            <w:col w:w="10580"/>
          </w:cols>
          <w:pgMar w:left="660" w:top="556" w:right="660" w:bottom="1440" w:gutter="0" w:footer="0" w:header="0"/>
        </w:sectPr>
      </w:pPr>
    </w:p>
    <w:bookmarkStart w:id="534" w:name="page535"/>
    <w:bookmarkEnd w:id="534"/>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Each Party confirms that it is not relying on any representations or warranties of the other Party except as specifically set forth in this Agreement.</w:t>
      </w:r>
    </w:p>
    <w:p>
      <w:pPr>
        <w:spacing w:after="0" w:line="128"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9"/>
          <w:szCs w:val="19"/>
          <w:color w:val="auto"/>
        </w:rPr>
        <w:t xml:space="preserve">15. 6. </w:t>
      </w:r>
      <w:r>
        <w:rPr>
          <w:rFonts w:ascii="Times New Roman" w:cs="Times New Roman" w:eastAsia="Times New Roman" w:hAnsi="Times New Roman"/>
          <w:sz w:val="19"/>
          <w:szCs w:val="19"/>
          <w:u w:val="single" w:color="auto"/>
          <w:color w:val="auto"/>
        </w:rPr>
        <w:t>Waivers and Amendments</w:t>
      </w:r>
      <w:r>
        <w:rPr>
          <w:rFonts w:ascii="Times New Roman" w:cs="Times New Roman" w:eastAsia="Times New Roman" w:hAnsi="Times New Roman"/>
          <w:sz w:val="19"/>
          <w:szCs w:val="19"/>
          <w:color w:val="auto"/>
        </w:rPr>
        <w:t>. The failure of any Party to assert a right under this Agreement or to insist upon compliance with any term or condition of this Agreement will not constitute a waiver of that right or excuse a similar subsequent failure to perform any such term or condition by the other Party. The exercise by any Party of any right or election under the terms or covenants herein will not preclude or prejudice any Party from exercising the same or any other right it may have under this Agreement, irrespective of any previous action or proceeding taken by the Parties hereunder. Notwithstanding the authority granted to the JSC under this Agreement, (a) no waiver will be effective unless it has been given in writing and signed by the Party giving such waiver, and (b) no provision of this Agreement may be amended or modified other than by a written document signed by authorized representatives of each Party.</w:t>
      </w:r>
    </w:p>
    <w:p>
      <w:pPr>
        <w:spacing w:after="0" w:line="135" w:lineRule="exact"/>
        <w:rPr>
          <w:sz w:val="20"/>
          <w:szCs w:val="20"/>
          <w:color w:val="auto"/>
        </w:rPr>
      </w:pPr>
    </w:p>
    <w:p>
      <w:pPr>
        <w:jc w:val="both"/>
        <w:ind w:right="20" w:firstLine="864"/>
        <w:spacing w:after="0" w:line="220" w:lineRule="auto"/>
        <w:rPr>
          <w:sz w:val="20"/>
          <w:szCs w:val="20"/>
          <w:color w:val="auto"/>
        </w:rPr>
      </w:pPr>
      <w:r>
        <w:rPr>
          <w:rFonts w:ascii="Times New Roman" w:cs="Times New Roman" w:eastAsia="Times New Roman" w:hAnsi="Times New Roman"/>
          <w:sz w:val="19"/>
          <w:szCs w:val="19"/>
          <w:color w:val="auto"/>
        </w:rPr>
        <w:t xml:space="preserve">15.7. </w:t>
      </w:r>
      <w:r>
        <w:rPr>
          <w:rFonts w:ascii="Times New Roman" w:cs="Times New Roman" w:eastAsia="Times New Roman" w:hAnsi="Times New Roman"/>
          <w:sz w:val="19"/>
          <w:szCs w:val="19"/>
          <w:u w:val="single" w:color="auto"/>
          <w:color w:val="auto"/>
        </w:rPr>
        <w:t>Independent Contractors; No Agency</w:t>
      </w:r>
      <w:r>
        <w:rPr>
          <w:rFonts w:ascii="Times New Roman" w:cs="Times New Roman" w:eastAsia="Times New Roman" w:hAnsi="Times New Roman"/>
          <w:sz w:val="19"/>
          <w:szCs w:val="19"/>
          <w:color w:val="auto"/>
        </w:rPr>
        <w:t>. Neither Party will have any responsibility for the hiring, firing or compensation of the other Party’s or such other Party’s Affiliates’ employees or for any employee benefits with respect thereto. No employee or representative of a Party or its Affiliates will have any authority to bind or obligate the other Party for any sum or in any manner whatsoever, or to create or impose any contractual or other liability on such other Party, without such other Party’s written approval. For all purposes, and notwithstanding any other provision of this Agreement, each Party’s legal relationship under this Agreement to the other Party will be that of independent contractor, and the relationship between the two Parties will not constitute a partnership, joint partnership, joint venture, or agency, including for all tax purposes, except as otherwise required by applicable Law.</w:t>
      </w:r>
    </w:p>
    <w:p>
      <w:pPr>
        <w:spacing w:after="0" w:line="135" w:lineRule="exact"/>
        <w:rPr>
          <w:sz w:val="20"/>
          <w:szCs w:val="20"/>
          <w:color w:val="auto"/>
        </w:rPr>
      </w:pPr>
    </w:p>
    <w:p>
      <w:pPr>
        <w:jc w:val="both"/>
        <w:ind w:right="20" w:firstLine="864"/>
        <w:spacing w:after="0" w:line="215" w:lineRule="auto"/>
        <w:rPr>
          <w:sz w:val="20"/>
          <w:szCs w:val="20"/>
          <w:color w:val="auto"/>
        </w:rPr>
      </w:pPr>
      <w:r>
        <w:rPr>
          <w:rFonts w:ascii="Times New Roman" w:cs="Times New Roman" w:eastAsia="Times New Roman" w:hAnsi="Times New Roman"/>
          <w:sz w:val="19"/>
          <w:szCs w:val="19"/>
          <w:color w:val="auto"/>
        </w:rPr>
        <w:t xml:space="preserve">1 5 . 8 . </w:t>
      </w:r>
      <w:r>
        <w:rPr>
          <w:rFonts w:ascii="Times New Roman" w:cs="Times New Roman" w:eastAsia="Times New Roman" w:hAnsi="Times New Roman"/>
          <w:sz w:val="19"/>
          <w:szCs w:val="19"/>
          <w:u w:val="single" w:color="auto"/>
          <w:color w:val="auto"/>
        </w:rPr>
        <w:t>Affiliates, Sublicensees, and Contractors</w:t>
      </w:r>
      <w:r>
        <w:rPr>
          <w:rFonts w:ascii="Times New Roman" w:cs="Times New Roman" w:eastAsia="Times New Roman" w:hAnsi="Times New Roman"/>
          <w:sz w:val="19"/>
          <w:szCs w:val="19"/>
          <w:color w:val="auto"/>
        </w:rPr>
        <w:t xml:space="preserve">. To the extent that this Agreement imposes obligations on Affiliates, Sublicensees or contractors of a Party, such Party will cause its Affiliates and its Sublicensees and contractors to perform such obligations, as applicable. Either Party may use one or more of its Affiliates, Sublicensees or contractors to perform its obligations and duties or exercise its rights under this Agreement, solely to the extent permitted and as specified in this Agreement;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(a) each such Affiliate, Sublicensee or contractor will perform any such obligations delegated to it in compliance with the applicable terms and conditions of this Agreement as if such Affiliate, Sublicensee or contractor were a party hereto, (b) the performance of any obligations of a Party’s by its Affiliates, Sublicensees or contractors will not diminish, reduce or eliminate any obligation of such Party under this Agreement, (c) each Party will terminate promptly any contractor, and will give the other Party notice of such termination, in the case of any material breach of this Agreement by a contractor and (d) subject to such Party’s assignment to an Affiliate pursuant to Section 15.1, such Party will remain liable under this Agreement for the prompt payment and performance of all of its obligations under this Agreement. Subject to this Section 15.8, if a Party exercises its rights and performs its obligations under this Agreement through one or more of its Affiliates, “OncoC4” will be interpreted to mean “OncoC4 or its Affiliates” and “BioNTech” will be interpreted to mean “BioNTech or its Affiliates” where necessary to give each Party’s Affiliates the benefit of the rights provided to such Party in this Agreement and the ability to perform its obligations under this Agreement.</w:t>
      </w:r>
    </w:p>
    <w:p>
      <w:pPr>
        <w:spacing w:after="0" w:line="141"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19"/>
          <w:szCs w:val="19"/>
          <w:color w:val="auto"/>
        </w:rPr>
        <w:t xml:space="preserve">1 5 . 9 . </w:t>
      </w:r>
      <w:r>
        <w:rPr>
          <w:rFonts w:ascii="Times New Roman" w:cs="Times New Roman" w:eastAsia="Times New Roman" w:hAnsi="Times New Roman"/>
          <w:sz w:val="19"/>
          <w:szCs w:val="19"/>
          <w:u w:val="single" w:color="auto"/>
          <w:color w:val="auto"/>
        </w:rPr>
        <w:t>No Third Party Beneficiary Rights</w:t>
      </w:r>
      <w:r>
        <w:rPr>
          <w:rFonts w:ascii="Times New Roman" w:cs="Times New Roman" w:eastAsia="Times New Roman" w:hAnsi="Times New Roman"/>
          <w:sz w:val="19"/>
          <w:szCs w:val="19"/>
          <w:color w:val="auto"/>
        </w:rPr>
        <w:t xml:space="preserve"> . The representations, warranties, covenants and agreements set forth in this Agreement are for the sole benefit of the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77</w:t>
      </w:r>
    </w:p>
    <w:p>
      <w:pPr>
        <w:sectPr>
          <w:pgSz w:w="11900" w:h="16840" w:orient="portrait"/>
          <w:cols w:equalWidth="0" w:num="1">
            <w:col w:w="10580"/>
          </w:cols>
          <w:pgMar w:left="660" w:top="556" w:right="660" w:bottom="1440" w:gutter="0" w:footer="0" w:header="0"/>
        </w:sectPr>
      </w:pPr>
    </w:p>
    <w:bookmarkStart w:id="535" w:name="page536"/>
    <w:bookmarkEnd w:id="535"/>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their successors and permitted assigns, and they will not be construed as conferring any rights on any other Third Party. This Agreement is not intended to and will not be construed to give any Third Party any interest or rights (including any Third Party beneficiary rights) with respect to or in connection with any agreement or provision contained herein or contemplated hereby, other than, to the extent provided in ARTICLE XI, the Indemnified Parties.</w:t>
      </w:r>
    </w:p>
    <w:p>
      <w:pPr>
        <w:spacing w:after="0" w:line="134" w:lineRule="exact"/>
        <w:rPr>
          <w:sz w:val="20"/>
          <w:szCs w:val="20"/>
          <w:color w:val="auto"/>
        </w:rPr>
      </w:pPr>
    </w:p>
    <w:p>
      <w:pPr>
        <w:jc w:val="both"/>
        <w:ind w:right="20" w:firstLine="864"/>
        <w:spacing w:after="0" w:line="227" w:lineRule="auto"/>
        <w:rPr>
          <w:sz w:val="20"/>
          <w:szCs w:val="20"/>
          <w:color w:val="auto"/>
        </w:rPr>
      </w:pPr>
      <w:r>
        <w:rPr>
          <w:rFonts w:ascii="Times New Roman" w:cs="Times New Roman" w:eastAsia="Times New Roman" w:hAnsi="Times New Roman"/>
          <w:sz w:val="19"/>
          <w:szCs w:val="19"/>
          <w:color w:val="auto"/>
        </w:rPr>
        <w:t xml:space="preserve">15.10. </w:t>
      </w:r>
      <w:r>
        <w:rPr>
          <w:rFonts w:ascii="Times New Roman" w:cs="Times New Roman" w:eastAsia="Times New Roman" w:hAnsi="Times New Roman"/>
          <w:sz w:val="19"/>
          <w:szCs w:val="19"/>
          <w:u w:val="single" w:color="auto"/>
          <w:color w:val="auto"/>
        </w:rPr>
        <w:t>Non-exclusive Remedy</w:t>
      </w:r>
      <w:r>
        <w:rPr>
          <w:rFonts w:ascii="Times New Roman" w:cs="Times New Roman" w:eastAsia="Times New Roman" w:hAnsi="Times New Roman"/>
          <w:sz w:val="19"/>
          <w:szCs w:val="19"/>
          <w:color w:val="auto"/>
        </w:rPr>
        <w:t>. Except as expressly provided herein, the rights and remedies provided herein are cumulative and each Party retains all remedies at law or in equity, including the Parties’ ability to receive legal damages or equitable relief, with respect to any breach of this Agreement. Neither Party will be required (but, for clarity, will have the right as specified in this Agreement) to terminate this Agreement due to a breach of this Agreement by the other Party.</w:t>
      </w:r>
    </w:p>
    <w:p>
      <w:pPr>
        <w:spacing w:after="0" w:line="134" w:lineRule="exact"/>
        <w:rPr>
          <w:sz w:val="20"/>
          <w:szCs w:val="20"/>
          <w:color w:val="auto"/>
        </w:rPr>
      </w:pPr>
    </w:p>
    <w:p>
      <w:pPr>
        <w:ind w:right="20" w:firstLine="870"/>
        <w:spacing w:after="0" w:line="246" w:lineRule="auto"/>
        <w:tabs>
          <w:tab w:leader="none" w:pos="1140" w:val="left"/>
        </w:tabs>
        <w:numPr>
          <w:ilvl w:val="0"/>
          <w:numId w:val="5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Right of Offset; Recoupment</w:t>
      </w:r>
      <w:r>
        <w:rPr>
          <w:rFonts w:ascii="Times New Roman" w:cs="Times New Roman" w:eastAsia="Times New Roman" w:hAnsi="Times New Roman"/>
          <w:sz w:val="19"/>
          <w:szCs w:val="19"/>
          <w:color w:val="auto"/>
        </w:rPr>
        <w:t>. Every liability hereunder of a Party to the other Party is subject to and conditioned upon the recoupment of any and all liabilities owing from the other Party to the first Party, so as to establish a net liability.</w:t>
      </w:r>
    </w:p>
    <w:p>
      <w:pPr>
        <w:spacing w:after="0" w:line="128" w:lineRule="exact"/>
        <w:rPr>
          <w:sz w:val="20"/>
          <w:szCs w:val="20"/>
          <w:color w:val="auto"/>
        </w:rPr>
      </w:pPr>
    </w:p>
    <w:p>
      <w:pPr>
        <w:jc w:val="both"/>
        <w:ind w:firstLine="870"/>
        <w:spacing w:after="0" w:line="212" w:lineRule="auto"/>
        <w:tabs>
          <w:tab w:leader="none" w:pos="1140"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The Article and Section headings used herein are for reference and convenience only, and will not enter into the interpretation of this Agreement. Except as otherwise expressly specified, (a) references to an Article, Section or Exhibit means an Article or Section of, or a Schedule or Exhibit to this Agreement and all subsections thereof, unless another agreement is specified; (b) references in any Section to any clause are references to such clause of such Section;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 (d) references to “Laws” mean such Laws as in effect as of the relevant time, including all rules and regulations promulgated thereunder and any successor Laws in effect as of the relevant time, including all then-current amendments thereto; (e) words in the singular or plural form include the plural and singular form, respectively; (f) unless the context requires a different interpretation, the word “or” has the inclusive meaning that is typically associated with the phrase “and/or”; (g) the terms “including,” “include(s),” all other conjunctions of the verb “to include,” “such as,” “e.g.” and “for example” mean including the generality of any description preceding such term and will be deemed to be followed by “without limitation”; (h) whenever this Agreement refers to a number of days, such number will refer to calendar days unless Business Days are specified, and if a period of time is specified and dates from a given day or Business Day, or the day or Business Day of an act or event, it is to be calculated exclusive of that day or Business Day; (i) “monthly” means on a calendar month basis, (j) “quarter” or “quarterly” means on a Calendar Quarter basis;</w:t>
      </w:r>
    </w:p>
    <w:p>
      <w:pPr>
        <w:spacing w:after="0" w:line="7" w:lineRule="exact"/>
        <w:rPr>
          <w:rFonts w:ascii="Times New Roman" w:cs="Times New Roman" w:eastAsia="Times New Roman" w:hAnsi="Times New Roman"/>
          <w:sz w:val="19"/>
          <w:szCs w:val="19"/>
          <w:color w:val="auto"/>
        </w:rPr>
      </w:pPr>
    </w:p>
    <w:p>
      <w:pPr>
        <w:jc w:val="both"/>
        <w:ind w:firstLine="6"/>
        <w:spacing w:after="0"/>
        <w:tabs>
          <w:tab w:leader="none" w:pos="2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or “annually” means on a Calendar Year basis; (l) “year” means a 365 day period, or 366 day period in the event of a leap year, unless Calendar Year is specified; (m) references to a particular Person include such Person’s successors and assigns to the extent not prohibited by this Agreement; (n) the use of any gender herein will be deemed to encompass references to either or both genders, and the use of the singular will be deemed to include the plural (and vice versa); (o) references to drugs or pharmaceutical products or therapies include biological products or therapies; (p) the words “hereof,” “herein,” “hereby” and derivative or similar words refer to this Agreement (including any Exhibits or Schedules); (q) neither Party or its Affiliates will be deemed to be acting “on behalf of” the other Party under this Agreement, except to the extent expressly otherwise provided; (r) provisions that require that a Party, or the JSC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78</w:t>
      </w:r>
    </w:p>
    <w:p>
      <w:pPr>
        <w:sectPr>
          <w:pgSz w:w="11900" w:h="16840" w:orient="portrait"/>
          <w:cols w:equalWidth="0" w:num="1">
            <w:col w:w="10580"/>
          </w:cols>
          <w:pgMar w:left="660" w:top="556" w:right="660" w:bottom="1440" w:gutter="0" w:footer="0" w:header="0"/>
        </w:sectPr>
      </w:pPr>
    </w:p>
    <w:bookmarkStart w:id="536" w:name="page537"/>
    <w:bookmarkEnd w:id="53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“agree,” “consent” or “approve” or the like will be deemed to require that such agreement, consent or approval be specific and in writing in a written agreement, letter or approved minutes, but, except as expressly provided herein, excluding e-mail and instant messaging; (s) the words “will” and “shall” will be construed to have the same meaning and effect; and (t) conjugates of a defined term shall have the meaning that correlates to the such conjugate as compared to the defined term.</w:t>
      </w:r>
    </w:p>
    <w:p>
      <w:pPr>
        <w:spacing w:after="0" w:line="134"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19"/>
          <w:szCs w:val="19"/>
          <w:color w:val="auto"/>
        </w:rPr>
        <w:t xml:space="preserve">15 . 13 .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Each Party will duly execute and deliver, or cause to be duly executed and delivered, such further instruments and do and cause to be done such further acts and things, including the filing of such assignments, agreements, documents, and instruments, as may be consistent with this Agreement and reasonably necessary to carry out its provisions, including working collaboratively to correct and clerical, typographical, or other similar errors in any document that is to be recorded under this Agreement. Neither Party shall be required under this provision to grant any license or other right not set forth elsewhere in this Agreement.</w:t>
      </w:r>
    </w:p>
    <w:p>
      <w:pPr>
        <w:spacing w:after="0" w:line="252"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9"/>
          <w:szCs w:val="19"/>
          <w:color w:val="auto"/>
        </w:rPr>
        <w:t xml:space="preserve">15.14. </w:t>
      </w:r>
      <w:r>
        <w:rPr>
          <w:rFonts w:ascii="Times New Roman" w:cs="Times New Roman" w:eastAsia="Times New Roman" w:hAnsi="Times New Roman"/>
          <w:sz w:val="19"/>
          <w:szCs w:val="19"/>
          <w:u w:val="single" w:color="auto"/>
          <w:color w:val="auto"/>
        </w:rPr>
        <w:t>Ambiguities; No Presumption</w:t>
      </w:r>
      <w:r>
        <w:rPr>
          <w:rFonts w:ascii="Times New Roman" w:cs="Times New Roman" w:eastAsia="Times New Roman" w:hAnsi="Times New Roman"/>
          <w:sz w:val="19"/>
          <w:szCs w:val="19"/>
          <w:color w:val="auto"/>
        </w:rPr>
        <w:t xml:space="preserve"> . Each of the Parties acknowledges and agrees that this Agreement has 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under any rule of construction that requires language to be construed against the Party having authorized the provision, irrespective of which Party may be deemed to have authored the ambiguous provision.</w:t>
      </w:r>
    </w:p>
    <w:p>
      <w:pPr>
        <w:spacing w:after="0" w:line="135"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19"/>
          <w:szCs w:val="19"/>
          <w:color w:val="auto"/>
        </w:rPr>
        <w:t xml:space="preserve">15 . 15 . </w:t>
      </w:r>
      <w:r>
        <w:rPr>
          <w:rFonts w:ascii="Times New Roman" w:cs="Times New Roman" w:eastAsia="Times New Roman" w:hAnsi="Times New Roman"/>
          <w:sz w:val="19"/>
          <w:szCs w:val="19"/>
          <w:u w:val="single" w:color="auto"/>
          <w:color w:val="auto"/>
        </w:rPr>
        <w:t>Export Control</w:t>
      </w:r>
      <w:r>
        <w:rPr>
          <w:rFonts w:ascii="Times New Roman" w:cs="Times New Roman" w:eastAsia="Times New Roman" w:hAnsi="Times New Roman"/>
          <w:sz w:val="19"/>
          <w:szCs w:val="19"/>
          <w:color w:val="auto"/>
        </w:rPr>
        <w:t>. This Agreement is made subject to any restrictions required by applicable Laws concerning the export of products or technical information from the U.S. or other countries which may be imposed upon or related to the Parties from time to time. Each Party agrees that it will not export, directly or indirectly, any technology licensed to it or other technical information acquired from the other Party under this Agreement or any products using such technical information to a location or in a manner that at the time of export requires an export license or other governmental approval, except in compliance with U.S. export Laws and regulations.</w:t>
      </w:r>
    </w:p>
    <w:p>
      <w:pPr>
        <w:spacing w:after="0" w:line="252" w:lineRule="exact"/>
        <w:rPr>
          <w:sz w:val="20"/>
          <w:szCs w:val="20"/>
          <w:color w:val="auto"/>
        </w:rPr>
      </w:pPr>
    </w:p>
    <w:p>
      <w:pPr>
        <w:jc w:val="both"/>
        <w:ind w:right="20" w:firstLine="864"/>
        <w:spacing w:after="0" w:line="223" w:lineRule="auto"/>
        <w:rPr>
          <w:sz w:val="20"/>
          <w:szCs w:val="20"/>
          <w:color w:val="auto"/>
        </w:rPr>
      </w:pPr>
      <w:r>
        <w:rPr>
          <w:rFonts w:ascii="Times New Roman" w:cs="Times New Roman" w:eastAsia="Times New Roman" w:hAnsi="Times New Roman"/>
          <w:sz w:val="19"/>
          <w:szCs w:val="19"/>
          <w:color w:val="auto"/>
        </w:rPr>
        <w:t xml:space="preserve">15. 16. </w:t>
      </w:r>
      <w:r>
        <w:rPr>
          <w:rFonts w:ascii="Times New Roman" w:cs="Times New Roman" w:eastAsia="Times New Roman" w:hAnsi="Times New Roman"/>
          <w:sz w:val="19"/>
          <w:szCs w:val="19"/>
          <w:u w:val="single" w:color="auto"/>
          <w:color w:val="auto"/>
        </w:rPr>
        <w:t>Execution in Counterparts</w:t>
      </w:r>
      <w:r>
        <w:rPr>
          <w:rFonts w:ascii="Times New Roman" w:cs="Times New Roman" w:eastAsia="Times New Roman" w:hAnsi="Times New Roman"/>
          <w:sz w:val="19"/>
          <w:szCs w:val="19"/>
          <w:color w:val="auto"/>
        </w:rPr>
        <w:t>. This Agreement may be executed in counterparts, each of which, when so executed and delivered, will be deemed to be an original, and all of which counterparts, taken together, will constitute one and the same instrument even if both Parties have not executed the same counterpart. Signatures delivered by electronic transmission, including in portable document format (.pdf) sent by electronic mail or by any other electronic means (e.g., DocuSign) agreed by the Parties, will have the same effect as physical delivery of the paper document bearing the original signatures, and will be deemed original signatures.</w:t>
      </w:r>
    </w:p>
    <w:p>
      <w:pPr>
        <w:spacing w:after="0" w:line="137" w:lineRule="exact"/>
        <w:rPr>
          <w:sz w:val="20"/>
          <w:szCs w:val="20"/>
          <w:color w:val="auto"/>
        </w:rPr>
      </w:pPr>
    </w:p>
    <w:p>
      <w:pPr>
        <w:ind w:left="880"/>
        <w:spacing w:after="0"/>
        <w:tabs>
          <w:tab w:leader="none" w:pos="1520" w:val="left"/>
        </w:tabs>
        <w:rPr>
          <w:sz w:val="20"/>
          <w:szCs w:val="20"/>
          <w:color w:val="auto"/>
        </w:rPr>
      </w:pPr>
      <w:r>
        <w:rPr>
          <w:rFonts w:ascii="Times New Roman" w:cs="Times New Roman" w:eastAsia="Times New Roman" w:hAnsi="Times New Roman"/>
          <w:sz w:val="19"/>
          <w:szCs w:val="19"/>
          <w:color w:val="auto"/>
        </w:rPr>
        <w:t>15.17.</w:t>
      </w:r>
      <w:r>
        <w:rPr>
          <w:sz w:val="20"/>
          <w:szCs w:val="20"/>
          <w:color w:val="auto"/>
        </w:rPr>
        <w:tab/>
      </w:r>
      <w:r>
        <w:rPr>
          <w:rFonts w:ascii="Times New Roman" w:cs="Times New Roman" w:eastAsia="Times New Roman" w:hAnsi="Times New Roman"/>
          <w:sz w:val="19"/>
          <w:szCs w:val="19"/>
          <w:u w:val="single" w:color="auto"/>
          <w:color w:val="auto"/>
        </w:rPr>
        <w:t>BioNTech ABC Clause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firstLine="1158"/>
        <w:spacing w:after="0" w:line="246" w:lineRule="auto"/>
        <w:tabs>
          <w:tab w:leader="none" w:pos="1729" w:val="left"/>
        </w:tabs>
        <w:numPr>
          <w:ilvl w:val="0"/>
          <w:numId w:val="6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 agrees that it will not undertake any activities which will result in a violation of any applicable laws, regulations, and applicable industry and professional codes,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79</w:t>
      </w:r>
    </w:p>
    <w:p>
      <w:pPr>
        <w:sectPr>
          <w:pgSz w:w="11900" w:h="16840" w:orient="portrait"/>
          <w:cols w:equalWidth="0" w:num="1">
            <w:col w:w="10580"/>
          </w:cols>
          <w:pgMar w:left="660" w:top="556" w:right="660" w:bottom="1440" w:gutter="0" w:footer="0" w:header="0"/>
        </w:sectPr>
      </w:pPr>
    </w:p>
    <w:bookmarkStart w:id="537" w:name="page538"/>
    <w:bookmarkEnd w:id="53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including but not limited to applicable local and extraterritorial anti -bribery, anti -corruption and anti- money laundering laws (collectively “PROHIBITED CONDUCT”) in connection with the provision of professional services by OncoC4 to BioNTech for or on BioNTech’s behalf.</w:t>
      </w:r>
    </w:p>
    <w:p>
      <w:pPr>
        <w:spacing w:after="0" w:line="135" w:lineRule="exact"/>
        <w:rPr>
          <w:sz w:val="20"/>
          <w:szCs w:val="20"/>
          <w:color w:val="auto"/>
        </w:rPr>
      </w:pPr>
    </w:p>
    <w:p>
      <w:pPr>
        <w:jc w:val="both"/>
        <w:ind w:firstLine="1158"/>
        <w:spacing w:after="0" w:line="221" w:lineRule="auto"/>
        <w:tabs>
          <w:tab w:leader="none" w:pos="1729"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particular, OncoC4 agrees (i) Not to make any offer, payment, or promise to pay money or provide anything of value to a GOVERNMENT OFFICIAL (as defined below) or any other individual and/or legal entity whether directly or indirectly, for the purpose of improperly influencing any act and/or decision of, and/or for securing any improper advantage; (ii) Not to accept, receive, agree to accept and/or receive a payment and/or anything of value from any individual for undue favorable treatment in obtaining, retaining, and/or directing business for, and/or to obtain any undue special concession on behalf of OncoC4 and/or BioNTech; (iii) Not to facilitate any payments to any GOVERNMENT OFFICIAL to expedite a routine government action and/or other official act.</w:t>
      </w:r>
    </w:p>
    <w:p>
      <w:pPr>
        <w:spacing w:after="0" w:line="137" w:lineRule="exact"/>
        <w:rPr>
          <w:rFonts w:ascii="Times New Roman" w:cs="Times New Roman" w:eastAsia="Times New Roman" w:hAnsi="Times New Roman"/>
          <w:sz w:val="19"/>
          <w:szCs w:val="19"/>
          <w:color w:val="auto"/>
        </w:rPr>
      </w:pPr>
    </w:p>
    <w:p>
      <w:pPr>
        <w:jc w:val="both"/>
        <w:ind w:firstLine="1158"/>
        <w:spacing w:after="0" w:line="219" w:lineRule="auto"/>
        <w:tabs>
          <w:tab w:leader="none" w:pos="1729"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“GOVERNMENT OFFICIAL” shall be read broadly and includes (i) individuals acting on behalf of governments on a national, regional and local level (such as elected officials, customs officials, tax officials, etc.); (ii) individuals acting on behalf of government-owned or government-controlled enterprises (such as doctors and staff of public hospitals and universities, etc.);</w:t>
      </w:r>
    </w:p>
    <w:p>
      <w:pPr>
        <w:ind w:firstLine="6"/>
        <w:spacing w:after="0" w:line="231" w:lineRule="auto"/>
        <w:tabs>
          <w:tab w:leader="none" w:pos="359" w:val="left"/>
        </w:tabs>
        <w:numPr>
          <w:ilvl w:val="0"/>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individuals acting for political parties or as or on behalf of candidates for public office; and (iv) individuals acting on behalf of public international organizations (such as the WHO, World Bank, OECD, etc.).</w:t>
      </w:r>
    </w:p>
    <w:p>
      <w:pPr>
        <w:spacing w:after="0" w:line="133" w:lineRule="exact"/>
        <w:rPr>
          <w:rFonts w:ascii="Times New Roman" w:cs="Times New Roman" w:eastAsia="Times New Roman" w:hAnsi="Times New Roman"/>
          <w:sz w:val="19"/>
          <w:szCs w:val="19"/>
          <w:color w:val="auto"/>
        </w:rPr>
      </w:pPr>
    </w:p>
    <w:p>
      <w:pPr>
        <w:jc w:val="both"/>
        <w:ind w:firstLine="1158"/>
        <w:spacing w:after="0" w:line="227" w:lineRule="auto"/>
        <w:tabs>
          <w:tab w:leader="none" w:pos="1729" w:val="left"/>
        </w:tabs>
        <w:numPr>
          <w:ilvl w:val="1"/>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 agrees that if it becomes aware or has reason to suspect that any person or legal entity acting on OncoC4’s and/or BioNTech’s behalf has engaged in any activities which will result in a violation of any applicable laws, such as local and extraterritorial anti-bribery and anti-corruption Laws, regulations, and applicable industry and professional codes related to the Agreement, then the OncoC4 will immediately report such knowledge or suspicion via the following email address: [***]</w:t>
      </w:r>
    </w:p>
    <w:p>
      <w:pPr>
        <w:spacing w:after="0" w:line="133" w:lineRule="exact"/>
        <w:rPr>
          <w:rFonts w:ascii="Times New Roman" w:cs="Times New Roman" w:eastAsia="Times New Roman" w:hAnsi="Times New Roman"/>
          <w:sz w:val="19"/>
          <w:szCs w:val="19"/>
          <w:color w:val="auto"/>
        </w:rPr>
      </w:pPr>
    </w:p>
    <w:p>
      <w:pPr>
        <w:jc w:val="both"/>
        <w:ind w:firstLine="1158"/>
        <w:spacing w:after="0" w:line="223" w:lineRule="auto"/>
        <w:tabs>
          <w:tab w:leader="none" w:pos="1729" w:val="left"/>
        </w:tabs>
        <w:numPr>
          <w:ilvl w:val="1"/>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 agrees to provide reasonable cooperation in any investigation that may be conducted by or on behalf of BioNTech related to business in connection with the Agreement. Upon notice of an intended investigation, OncoC4 will provide, in a reasonable time, to BioNTech or to a third party engaged by BioNTech: (a) access to the relevant persons; and/or (b) access to relevant documents and data (e.g., invoices and requests for expense reimbursement, supporting receipts and substantiation, and original entry records for charges and payments).</w:t>
      </w:r>
    </w:p>
    <w:p>
      <w:pPr>
        <w:spacing w:after="0" w:line="137" w:lineRule="exact"/>
        <w:rPr>
          <w:rFonts w:ascii="Times New Roman" w:cs="Times New Roman" w:eastAsia="Times New Roman" w:hAnsi="Times New Roman"/>
          <w:sz w:val="19"/>
          <w:szCs w:val="19"/>
          <w:color w:val="auto"/>
        </w:rPr>
      </w:pPr>
    </w:p>
    <w:p>
      <w:pPr>
        <w:jc w:val="both"/>
        <w:ind w:right="20" w:firstLine="1158"/>
        <w:spacing w:after="0" w:line="232" w:lineRule="auto"/>
        <w:tabs>
          <w:tab w:leader="none" w:pos="1729" w:val="left"/>
        </w:tabs>
        <w:numPr>
          <w:ilvl w:val="1"/>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OncoC4 acknowledges that the obligations under this ABC Clause (Section 15.17) apply to all its Affiliates, employees, Service Providers and subcontractors. OncoC4 will bind subcontractors who act for or on its behalf under the Agreement by respective contractual clauses encompassing all provisions of this ABC Clause.</w:t>
      </w:r>
    </w:p>
    <w:p>
      <w:pPr>
        <w:spacing w:after="0" w:line="134" w:lineRule="exact"/>
        <w:rPr>
          <w:rFonts w:ascii="Times New Roman" w:cs="Times New Roman" w:eastAsia="Times New Roman" w:hAnsi="Times New Roman"/>
          <w:sz w:val="19"/>
          <w:szCs w:val="19"/>
          <w:color w:val="auto"/>
        </w:rPr>
      </w:pPr>
    </w:p>
    <w:p>
      <w:pPr>
        <w:ind w:right="40" w:firstLine="1158"/>
        <w:spacing w:after="0" w:line="246" w:lineRule="auto"/>
        <w:tabs>
          <w:tab w:leader="none" w:pos="1729" w:val="left"/>
        </w:tabs>
        <w:numPr>
          <w:ilvl w:val="1"/>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in this Agreement or any other right BioNTech may have, a breach of any of the provisions included in this ABC Clause by OncoC4 shall give BioNTech the right to immediately terminate this Agreement for cause.</w:t>
      </w:r>
    </w:p>
    <w:p>
      <w:pPr>
        <w:spacing w:after="0" w:line="128" w:lineRule="exact"/>
        <w:rPr>
          <w:sz w:val="20"/>
          <w:szCs w:val="20"/>
          <w:color w:val="auto"/>
        </w:rPr>
      </w:pPr>
    </w:p>
    <w:p>
      <w:pPr>
        <w:ind w:right="20" w:firstLine="864"/>
        <w:spacing w:after="0" w:line="246" w:lineRule="auto"/>
        <w:rPr>
          <w:sz w:val="20"/>
          <w:szCs w:val="20"/>
          <w:color w:val="auto"/>
        </w:rPr>
      </w:pPr>
      <w:r>
        <w:rPr>
          <w:rFonts w:ascii="Times New Roman" w:cs="Times New Roman" w:eastAsia="Times New Roman" w:hAnsi="Times New Roman"/>
          <w:sz w:val="19"/>
          <w:szCs w:val="19"/>
          <w:color w:val="auto"/>
        </w:rPr>
        <w:t xml:space="preserve">15.18. </w:t>
      </w:r>
      <w:r>
        <w:rPr>
          <w:rFonts w:ascii="Times New Roman" w:cs="Times New Roman" w:eastAsia="Times New Roman" w:hAnsi="Times New Roman"/>
          <w:sz w:val="19"/>
          <w:szCs w:val="19"/>
          <w:u w:val="single" w:color="auto"/>
          <w:color w:val="auto"/>
        </w:rPr>
        <w:t>Antitrust Filings</w:t>
      </w:r>
      <w:r>
        <w:rPr>
          <w:rFonts w:ascii="Times New Roman" w:cs="Times New Roman" w:eastAsia="Times New Roman" w:hAnsi="Times New Roman"/>
          <w:sz w:val="19"/>
          <w:szCs w:val="19"/>
          <w:color w:val="auto"/>
        </w:rPr>
        <w:t>. Each of BioNTech and OncoC4 agrees to prepare and make appropriate filings under the U.S. Hart-Scott-Rodino Antitrust Improvements Act (“</w:t>
      </w:r>
      <w:r>
        <w:rPr>
          <w:rFonts w:ascii="Times New Roman" w:cs="Times New Roman" w:eastAsia="Times New Roman" w:hAnsi="Times New Roman"/>
          <w:sz w:val="19"/>
          <w:szCs w:val="19"/>
          <w:b w:val="1"/>
          <w:bCs w:val="1"/>
          <w:color w:val="auto"/>
        </w:rPr>
        <w:t>HSR Act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80</w:t>
      </w:r>
    </w:p>
    <w:p>
      <w:pPr>
        <w:sectPr>
          <w:pgSz w:w="11900" w:h="16840" w:orient="portrait"/>
          <w:cols w:equalWidth="0" w:num="1">
            <w:col w:w="10580"/>
          </w:cols>
          <w:pgMar w:left="660" w:top="556" w:right="660" w:bottom="1440" w:gutter="0" w:footer="0" w:header="0"/>
        </w:sectPr>
      </w:pPr>
    </w:p>
    <w:bookmarkStart w:id="538" w:name="page539"/>
    <w:bookmarkEnd w:id="53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9"/>
          <w:szCs w:val="19"/>
          <w:color w:val="auto"/>
        </w:rPr>
        <w:t>and other antitrust requirements relating to this Agreement and the transactions contemplated hereby as soon as reasonably practicable, but in any event within [***] Business Days after the Execution Date, at each Party’s own cost and expense. The Parties agree to cooperate in the antitrust clearance process (including (i) keeping the other Party informed of any material communication received in connection with such filings and providing a copy to the other Party if such communication is in writing and (ii) permitting the other Party or its counsel to review in advance, and in good faith consider the views of the other Party or its counsel concerning any submission, filing or communication and the documents submitted therewith intended to be given the U.S. Federal Trade Commission (“</w:t>
      </w:r>
      <w:r>
        <w:rPr>
          <w:rFonts w:ascii="Times New Roman" w:cs="Times New Roman" w:eastAsia="Times New Roman" w:hAnsi="Times New Roman"/>
          <w:sz w:val="19"/>
          <w:szCs w:val="19"/>
          <w:b w:val="1"/>
          <w:bCs w:val="1"/>
          <w:color w:val="auto"/>
        </w:rPr>
        <w:t>FTC</w:t>
      </w:r>
      <w:r>
        <w:rPr>
          <w:rFonts w:ascii="Times New Roman" w:cs="Times New Roman" w:eastAsia="Times New Roman" w:hAnsi="Times New Roman"/>
          <w:sz w:val="19"/>
          <w:szCs w:val="19"/>
          <w:color w:val="auto"/>
        </w:rPr>
        <w:t>”) or the Antitrust Division of the U.S. Department of Justice (“</w:t>
      </w:r>
      <w:r>
        <w:rPr>
          <w:rFonts w:ascii="Times New Roman" w:cs="Times New Roman" w:eastAsia="Times New Roman" w:hAnsi="Times New Roman"/>
          <w:sz w:val="19"/>
          <w:szCs w:val="19"/>
          <w:b w:val="1"/>
          <w:bCs w:val="1"/>
          <w:color w:val="auto"/>
        </w:rPr>
        <w:t>DOJ</w:t>
      </w:r>
      <w:r>
        <w:rPr>
          <w:rFonts w:ascii="Times New Roman" w:cs="Times New Roman" w:eastAsia="Times New Roman" w:hAnsi="Times New Roman"/>
          <w:sz w:val="19"/>
          <w:szCs w:val="19"/>
          <w:color w:val="auto"/>
        </w:rPr>
        <w:t>”)) and to furnish promptly to the FTC, the DOJ and any other agency or authority, any information reasonably requested by them in connection with such filings. Subject to Section 13.1, the rights and obligations of the Parties under this Agreement shall not become effective until the waiting period provided by the HSR Act, or any other timeline required by another relevant agency or authority, shall have terminated or expired without any action by any government agency to challenge the transaction (the date of such termination or expiration shall be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of this Agreement). Notwithstanding any other provision of this Agreement, each of the representations and warranties made by the Parties in ARTICLE X as of the Execution Date and as of the Effective Date, as indicated in ARTICLE X, shall be true and correct in all respects as of the Execution Date and true and correct in all material respects as of the Effective Date. In the event that antitrust clearance from the FTC, DOJ or any other required agency or authority is not obtained within [***] days after the Execution Date, or such other date as the Parties may mutually agree, this Agreement may be terminated by either Party on written notice to the other. In the event a provision of this Agreement needs to be deleted or substantially revised in order to obtain regulatory clearance of this transaction, the Parties will negotiate in good faith in accordance with Section 15.4.</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81</w:t>
      </w:r>
    </w:p>
    <w:p>
      <w:pPr>
        <w:sectPr>
          <w:pgSz w:w="11900" w:h="16840" w:orient="portrait"/>
          <w:cols w:equalWidth="0" w:num="1">
            <w:col w:w="10600"/>
          </w:cols>
          <w:pgMar w:left="660" w:top="556" w:right="640" w:bottom="1440" w:gutter="0" w:footer="0" w:header="0"/>
        </w:sectPr>
      </w:pPr>
    </w:p>
    <w:bookmarkStart w:id="539" w:name="page540"/>
    <w:bookmarkEnd w:id="539"/>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each Party has caused this License and Collaboration Agreement to be executed by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duly authorized officers as of the Execution Date.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BioNTech SE</w:t>
            </w:r>
          </w:p>
        </w:tc>
        <w:tc>
          <w:tcPr>
            <w:tcW w:w="2340" w:type="dxa"/>
            <w:vAlign w:val="bottom"/>
            <w:gridSpan w:val="4"/>
          </w:tcPr>
          <w:p>
            <w:pPr>
              <w:jc w:val="center"/>
              <w:ind w:right="820"/>
              <w:spacing w:after="0"/>
              <w:rPr>
                <w:sz w:val="20"/>
                <w:szCs w:val="20"/>
                <w:color w:val="auto"/>
              </w:rPr>
            </w:pPr>
            <w:r>
              <w:rPr>
                <w:rFonts w:ascii="Times New Roman" w:cs="Times New Roman" w:eastAsia="Times New Roman" w:hAnsi="Times New Roman"/>
                <w:sz w:val="19"/>
                <w:szCs w:val="19"/>
                <w:color w:val="auto"/>
              </w:rPr>
              <w:t>BioNTech SE</w:t>
            </w:r>
          </w:p>
        </w:tc>
      </w:tr>
      <w:tr>
        <w:trPr>
          <w:trHeight w:val="758"/>
        </w:trPr>
        <w:tc>
          <w:tcPr>
            <w:tcW w:w="2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By: /s/ Sean Marett</w:t>
            </w:r>
          </w:p>
        </w:tc>
        <w:tc>
          <w:tcPr>
            <w:tcW w:w="2340" w:type="dxa"/>
            <w:vAlign w:val="bottom"/>
            <w:gridSpan w:val="4"/>
          </w:tcPr>
          <w:p>
            <w:pPr>
              <w:ind w:left="460"/>
              <w:spacing w:after="0"/>
              <w:rPr>
                <w:sz w:val="20"/>
                <w:szCs w:val="20"/>
                <w:color w:val="auto"/>
              </w:rPr>
            </w:pPr>
            <w:r>
              <w:rPr>
                <w:rFonts w:ascii="Times New Roman" w:cs="Times New Roman" w:eastAsia="Times New Roman" w:hAnsi="Times New Roman"/>
                <w:sz w:val="19"/>
                <w:szCs w:val="19"/>
                <w:color w:val="auto"/>
              </w:rPr>
              <w:t>By: /s/ Jens Holstein</w:t>
            </w: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4"/>
        </w:trPr>
        <w:tc>
          <w:tcPr>
            <w:tcW w:w="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Name: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rPr>
              <w:t>Sean Marett</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Name: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Jens Holstein</w:t>
            </w:r>
          </w:p>
        </w:tc>
      </w:tr>
      <w:tr>
        <w:trPr>
          <w:trHeight w:val="288"/>
        </w:trPr>
        <w:tc>
          <w:tcPr>
            <w:tcW w:w="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CBO and CCO</w:t>
            </w:r>
          </w:p>
        </w:tc>
        <w:tc>
          <w:tcPr>
            <w:tcW w:w="1140" w:type="dxa"/>
            <w:vAlign w:val="bottom"/>
            <w:gridSpan w:val="2"/>
          </w:tcPr>
          <w:p>
            <w:pPr>
              <w:jc w:val="center"/>
              <w:ind w:left="264"/>
              <w:spacing w:after="0"/>
              <w:rPr>
                <w:sz w:val="20"/>
                <w:szCs w:val="20"/>
                <w:color w:val="auto"/>
              </w:rPr>
            </w:pPr>
            <w:r>
              <w:rPr>
                <w:rFonts w:ascii="Times New Roman" w:cs="Times New Roman" w:eastAsia="Times New Roman" w:hAnsi="Times New Roman"/>
                <w:sz w:val="19"/>
                <w:szCs w:val="19"/>
                <w:color w:val="auto"/>
              </w:rPr>
              <w:t>Title: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OncoC4, Inc.</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Yang Liu</w:t>
      </w:r>
    </w:p>
    <w:p>
      <w:pPr>
        <w:spacing w:after="0" w:line="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Name:</w:t>
        <w:tab/>
        <w:t>Yang Liu</w:t>
      </w:r>
    </w:p>
    <w:p>
      <w:pPr>
        <w:spacing w:after="0" w:line="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Title:</w:t>
        <w:tab/>
        <w:t>President and CEO</w:t>
      </w:r>
    </w:p>
    <w:p>
      <w:pPr>
        <w:sectPr>
          <w:pgSz w:w="11900" w:h="16840" w:orient="portrait"/>
          <w:cols w:equalWidth="0" w:num="1">
            <w:col w:w="10580"/>
          </w:cols>
          <w:pgMar w:left="660" w:top="556" w:right="660" w:bottom="1440" w:gutter="0" w:footer="0" w:header="0"/>
        </w:sectPr>
      </w:pPr>
    </w:p>
    <w:bookmarkStart w:id="540" w:name="page541"/>
    <w:bookmarkEnd w:id="540"/>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1.5</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AI-025 Amino Acid Sequence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1.8</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AI-061</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2" w:name="page543"/>
    <w:bookmarkEnd w:id="542"/>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1.14</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1.25</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CD80/CD86 Compound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4" w:name="page545"/>
    <w:bookmarkEnd w:id="544"/>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1.64</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ONC-392 Backup Molecules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Schedule 1.68</w:t>
      </w:r>
    </w:p>
    <w:p>
      <w:pPr>
        <w:spacing w:after="0" w:line="7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Listed Patents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6" w:name="page547"/>
    <w:bookmarkEnd w:id="546"/>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1.75</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Expert Valuation Procedure</w:t>
      </w:r>
    </w:p>
    <w:p>
      <w:pPr>
        <w:spacing w:after="0" w:line="7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In the event that the Parties cannot reach consensus regarding the calculation of Net Sales of a Combination Product in a country in accordance with Section 1.75 within the [***] days following BioNTech’s request for negotiation, then the matter shall be resolved as set forth below, by a reputable, independent Third Party who is an expert with at least [***] years of experience in pharmaceutical product valuation (the “</w:t>
      </w:r>
      <w:r>
        <w:rPr>
          <w:rFonts w:ascii="Times New Roman" w:cs="Times New Roman" w:eastAsia="Times New Roman" w:hAnsi="Times New Roman"/>
          <w:sz w:val="19"/>
          <w:szCs w:val="19"/>
          <w:b w:val="1"/>
          <w:bCs w:val="1"/>
          <w:color w:val="auto"/>
        </w:rPr>
        <w:t>Neutral Expert</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right="20" w:firstLine="582"/>
        <w:spacing w:after="0" w:line="246"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initiate resolution by a Neutral Expert, either Party shall send the other Party a written notice that it wishes to resolve the dispute by a Neutral Expert. The date of receipt by the other Party of such written notice is the “</w:t>
      </w:r>
      <w:r>
        <w:rPr>
          <w:rFonts w:ascii="Times New Roman" w:cs="Times New Roman" w:eastAsia="Times New Roman" w:hAnsi="Times New Roman"/>
          <w:sz w:val="19"/>
          <w:szCs w:val="19"/>
          <w:b w:val="1"/>
          <w:bCs w:val="1"/>
          <w:color w:val="auto"/>
        </w:rPr>
        <w:t>Notice Date</w:t>
      </w:r>
      <w:r>
        <w:rPr>
          <w:rFonts w:ascii="Times New Roman" w:cs="Times New Roman" w:eastAsia="Times New Roman" w:hAnsi="Times New Roman"/>
          <w:sz w:val="19"/>
          <w:szCs w:val="19"/>
          <w:color w:val="auto"/>
        </w:rPr>
        <w:t>.”</w:t>
      </w:r>
    </w:p>
    <w:p>
      <w:pPr>
        <w:spacing w:after="0" w:line="128" w:lineRule="exact"/>
        <w:rPr>
          <w:rFonts w:ascii="Times New Roman" w:cs="Times New Roman" w:eastAsia="Times New Roman" w:hAnsi="Times New Roman"/>
          <w:sz w:val="19"/>
          <w:szCs w:val="19"/>
          <w:color w:val="auto"/>
        </w:rPr>
      </w:pPr>
    </w:p>
    <w:p>
      <w:pPr>
        <w:jc w:val="both"/>
        <w:ind w:right="20" w:firstLine="582"/>
        <w:spacing w:after="0" w:line="232"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 Business Days following the Notice Date, each Party shall notify the other Party in writing of its appointed expert meeting the qualifications for the Neutral Expert stated above (each, a “</w:t>
      </w:r>
      <w:r>
        <w:rPr>
          <w:rFonts w:ascii="Times New Roman" w:cs="Times New Roman" w:eastAsia="Times New Roman" w:hAnsi="Times New Roman"/>
          <w:sz w:val="19"/>
          <w:szCs w:val="19"/>
          <w:b w:val="1"/>
          <w:bCs w:val="1"/>
          <w:color w:val="auto"/>
        </w:rPr>
        <w:t>Representative Expert</w:t>
      </w:r>
      <w:r>
        <w:rPr>
          <w:rFonts w:ascii="Times New Roman" w:cs="Times New Roman" w:eastAsia="Times New Roman" w:hAnsi="Times New Roman"/>
          <w:sz w:val="19"/>
          <w:szCs w:val="19"/>
          <w:color w:val="auto"/>
        </w:rPr>
        <w:t>”). The Representative Experts for each Party shall jointly appoint the Neutral Expert within [***] Business Days thereafter.</w:t>
      </w:r>
    </w:p>
    <w:p>
      <w:pPr>
        <w:spacing w:after="0" w:line="134" w:lineRule="exact"/>
        <w:rPr>
          <w:rFonts w:ascii="Times New Roman" w:cs="Times New Roman" w:eastAsia="Times New Roman" w:hAnsi="Times New Roman"/>
          <w:sz w:val="19"/>
          <w:szCs w:val="19"/>
          <w:color w:val="auto"/>
        </w:rPr>
      </w:pPr>
    </w:p>
    <w:p>
      <w:pPr>
        <w:jc w:val="both"/>
        <w:ind w:right="20" w:firstLine="582"/>
        <w:spacing w:after="0" w:line="223"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 Business Days after the appointment of the Neutral Expert, each Party shall submit to the other Party and the Neutral Expert a written summary regarding its position with respect to the dispute. Contemporaneously with the submission of its written summary regarding its position, each Party shall provide the other Party and the Neutral Expert with copies of all documents it relied upon in its written summary;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each Party may redact any portion of such documents which are covered by an applicable privilege or do not relate to the subject matter of this Agreement.</w:t>
      </w:r>
    </w:p>
    <w:p>
      <w:pPr>
        <w:spacing w:after="0" w:line="137" w:lineRule="exact"/>
        <w:rPr>
          <w:rFonts w:ascii="Times New Roman" w:cs="Times New Roman" w:eastAsia="Times New Roman" w:hAnsi="Times New Roman"/>
          <w:sz w:val="19"/>
          <w:szCs w:val="19"/>
          <w:color w:val="auto"/>
        </w:rPr>
      </w:pPr>
    </w:p>
    <w:p>
      <w:pPr>
        <w:jc w:val="both"/>
        <w:ind w:firstLine="582"/>
        <w:spacing w:after="0" w:line="218"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 Business Days following receipt of the other Party’s written summary regarding its position, each Party may submit an opposition statement of no more than five (5) pages in length (excluding exhibits and declarations). Neither Party will be allowed to conduct any discovery. Neither Party may have any communications (either written or oral) with the other Party’s Representative Expert or the Neutral Expert other than for the sole purpose of engaging the expert panel or as expressly permitted in this Schedule 1.75;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oral presentations and follow-up written submissions may be made to the Neutral Expert at the Neutral Expert’s request. The Neutral Expert may consult in writing with the Representative Experts regarding the submissions made by either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both Representative Experts are aware of such consultation and provided an opportunity to respond. Evaluating each Party’s written submissions, the Neutral Expert shall, within [***] Business Days following receipt of the written opposition statement, select in total, either BioNTech’s submission or OncoC4’s submission. Such decision shall be final, binding and not appealable.</w:t>
      </w:r>
    </w:p>
    <w:p>
      <w:pPr>
        <w:spacing w:after="0" w:line="134" w:lineRule="exact"/>
        <w:rPr>
          <w:rFonts w:ascii="Times New Roman" w:cs="Times New Roman" w:eastAsia="Times New Roman" w:hAnsi="Times New Roman"/>
          <w:sz w:val="19"/>
          <w:szCs w:val="19"/>
          <w:color w:val="auto"/>
        </w:rPr>
      </w:pPr>
    </w:p>
    <w:p>
      <w:pPr>
        <w:ind w:right="20" w:firstLine="582"/>
        <w:spacing w:after="0" w:line="246"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Party whose submission is not selected shall be solely responsible for the expenses and fees of the Neutral Expert and the reasonable costs and fees of the other Party’s Representative Expert.</w:t>
      </w:r>
    </w:p>
    <w:p>
      <w:pPr>
        <w:spacing w:after="0" w:line="128" w:lineRule="exact"/>
        <w:rPr>
          <w:rFonts w:ascii="Times New Roman" w:cs="Times New Roman" w:eastAsia="Times New Roman" w:hAnsi="Times New Roman"/>
          <w:sz w:val="19"/>
          <w:szCs w:val="19"/>
          <w:color w:val="auto"/>
        </w:rPr>
      </w:pPr>
    </w:p>
    <w:p>
      <w:pPr>
        <w:ind w:firstLine="582"/>
        <w:spacing w:after="0" w:line="246" w:lineRule="auto"/>
        <w:tabs>
          <w:tab w:leader="none" w:pos="1152"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the dispute, any negotiations, submissions, and the rulings shall be deemed to be Confidential Information of both Parties.</w:t>
      </w:r>
    </w:p>
    <w:p>
      <w:pPr>
        <w:sectPr>
          <w:pgSz w:w="11900" w:h="16840" w:orient="portrait"/>
          <w:cols w:equalWidth="0" w:num="1">
            <w:col w:w="10580"/>
          </w:cols>
          <w:pgMar w:left="660" w:top="556" w:right="660" w:bottom="1440" w:gutter="0" w:footer="0" w:header="0"/>
        </w:sectPr>
      </w:pPr>
    </w:p>
    <w:bookmarkStart w:id="547" w:name="page548"/>
    <w:bookmarkEnd w:id="547"/>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1.77</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ONC-392 Amino Acid Sequence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8" w:name="page549"/>
    <w:bookmarkEnd w:id="548"/>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1.105</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Upstream Agreements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49" w:name="page550"/>
    <w:bookmarkEnd w:id="549"/>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2.1(b)</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Permitted Subcontractors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0" w:name="page551"/>
    <w:bookmarkEnd w:id="550"/>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Schedule 2.7</w:t>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 License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1" w:name="page552"/>
    <w:bookmarkEnd w:id="551"/>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3.1(a)</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Initial CDP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9.2(a)</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Joint Press Release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3" w:name="page554"/>
    <w:bookmarkEnd w:id="553"/>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10.2(i)</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Third-Party Agreements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4" w:name="page555"/>
    <w:bookmarkEnd w:id="554"/>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Schedule 10.2(j)</w:t>
      </w:r>
    </w:p>
    <w:p>
      <w:pPr>
        <w:spacing w:after="0" w:line="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 Agreements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5" w:name="page556"/>
    <w:bookmarkEnd w:id="555"/>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b w:val="1"/>
          <w:bCs w:val="1"/>
          <w:color w:val="auto"/>
        </w:rPr>
        <w:t>Schedule 10.2(k)</w:t>
      </w:r>
    </w:p>
    <w:p>
      <w:pPr>
        <w:spacing w:after="0" w:line="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 Agreements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10.2(q)</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Government Funding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557" w:name="page558"/>
    <w:bookmarkEnd w:id="557"/>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13.4(d)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Mediation &amp; “Baseball” Arbitration for Reversion Products</w:t>
      </w:r>
    </w:p>
    <w:p>
      <w:pPr>
        <w:spacing w:after="0" w:line="30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If the Parties are unable to mutually agree on and enter into a Reversion Agreement within [***] days following the effective date of termination and either Party refers the matter to be resolved in accordance with this Schedule 13.4(d) or they otherwise mutually agree, the matter will first be referred to the Senior Officers for resolution. The Senior Officers will attempt to resolve the matter in good faith. If the Senior Officers fail to resolve the matter within [***] Business Days after the date on which the matter is referred to the Senior Officers (unless a longer period is agreed to by the Parties), then either Party may, by written notice to the other Party, submit the matter for resolution by mediation as follows:</w:t>
      </w:r>
    </w:p>
    <w:p>
      <w:pPr>
        <w:spacing w:after="0" w:line="137"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 xml:space="preserve">The matter shall be submitted within [***] Business Days following receipt of such notice for mediation, for non-binding mediation conducted in accordance with the Rules of the American Arbitration Association, and to bear equally the costs of such mediation (including any fees or expenses of the applicable mediator);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each Party shall bear its own costs in connection with such mediation. The Parties agree to participate in good faith in such mediation for a period of [***] Business Days or such longer period as the Parties may mutually agree following receipt of the notice for mediation (the “</w:t>
      </w:r>
      <w:r>
        <w:rPr>
          <w:rFonts w:ascii="Times New Roman" w:cs="Times New Roman" w:eastAsia="Times New Roman" w:hAnsi="Times New Roman"/>
          <w:sz w:val="19"/>
          <w:szCs w:val="19"/>
          <w:b w:val="1"/>
          <w:bCs w:val="1"/>
          <w:color w:val="auto"/>
        </w:rPr>
        <w:t>Mediation Period</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9"/>
          <w:szCs w:val="19"/>
          <w:color w:val="auto"/>
        </w:rPr>
        <w:t>In connection with such mediation, the Parties shall cooperate with the American Arbitration Association and with one another in selecting a mediator, being a judge or attorney, with ten (10) years’ experience in the development and commercialization of biopharmaceutical products, who is independent of each Party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 not a current or former employee, consultant, officer, or director, or current stockholder, of either Party or their respective Affiliates, and who does not otherwise have any current or previous business relationship with either Party or their respective Affiliates) and in scheduling the mediation proceedings during the applicable Mediation Period.</w:t>
      </w:r>
    </w:p>
    <w:p>
      <w:pPr>
        <w:spacing w:after="0" w:line="137"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 xml:space="preserve">The Parties further agree that all information, whether oral or written, provided in the course of any such mediation by any of the Parties, their agents, employees, experts, and attorneys, and by the applicable mediator and any employees of the mediation service, is confidential, privileged, and inadmissible for any purpose, including impeachment, in any litigation, arbitration or other proceeding involving the Parties;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information that is otherwise admissible or discoverable shall not be rendered inadmissible or non-discoverable as a result of its use in such mediation.</w:t>
      </w:r>
    </w:p>
    <w:p>
      <w:pPr>
        <w:spacing w:after="0" w:line="13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If the Parties cannot reach resolution for any reason, including, but not limited to, the failure of either Party to agree to enter into mediation or agree to any compromise on the Reversion Agreement proposed by the mediator, on and following the expiration of the Mediation Period, then either Party may, by written notice to the other Party, submit the matter for final resolution by binding “baseball” arbitration as follows:</w:t>
      </w:r>
    </w:p>
    <w:p>
      <w:pPr>
        <w:spacing w:after="0" w:line="13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The Parties will discuss and endeavor in good faith to select and agree upon a mutually acceptable single neutral arbitrator, being a judge or attorney, with at least ten (10) years’ experience in the development and commercialization of biopharmaceutical products, who is independent of each Party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not a current or former employee, consultant, officer, or director, or current stockholder, of either Party or their respective Affiliates, and who does not otherwise have any current or previous business relationship with either Party or their respective Affiliates), within [***] days following the end of the Mediation Period; </w:t>
      </w:r>
      <w:r>
        <w:rPr>
          <w:rFonts w:ascii="Times New Roman" w:cs="Times New Roman" w:eastAsia="Times New Roman" w:hAnsi="Times New Roman"/>
          <w:sz w:val="19"/>
          <w:szCs w:val="19"/>
          <w:i w:val="1"/>
          <w:iCs w:val="1"/>
          <w:color w:val="auto"/>
        </w:rPr>
        <w:t>provide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d</w:t>
      </w:r>
      <w:r>
        <w:rPr>
          <w:rFonts w:ascii="Times New Roman" w:cs="Times New Roman" w:eastAsia="Times New Roman" w:hAnsi="Times New Roman"/>
          <w:sz w:val="19"/>
          <w:szCs w:val="19"/>
          <w:color w:val="auto"/>
          <w:highlight w:val="white"/>
        </w:rPr>
        <w:t>, that if the Parties are unable or fail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 xml:space="preserve">agree upon the arbitrator within such [***] day period, the arbitrator shall be appointed by the </w:t>
      </w:r>
      <w:r>
        <w:rPr>
          <w:rFonts w:ascii="Times New Roman" w:cs="Times New Roman" w:eastAsia="Times New Roman" w:hAnsi="Times New Roman"/>
          <w:sz w:val="19"/>
          <w:szCs w:val="19"/>
          <w:color w:val="auto"/>
        </w:rPr>
        <w:t>American Arbitration Association (or any</w:t>
      </w:r>
      <w:r>
        <w:rPr>
          <w:rFonts w:ascii="Times New Roman" w:cs="Times New Roman" w:eastAsia="Times New Roman" w:hAnsi="Times New Roman"/>
          <w:sz w:val="19"/>
          <w:szCs w:val="19"/>
          <w:color w:val="auto"/>
          <w:highlight w:val="white"/>
        </w:rPr>
        <w:t xml:space="preserve"> successor entity thereto) within [***] days thereafter. Except as otherwise mutually agreed by the Parties, the arbitration shall be conducted in accordance with the American Arbitration Association’s Final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-394335</wp:posOffset>
            </wp:positionV>
            <wp:extent cx="388620" cy="1447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388620" cy="14478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558" w:name="page559"/>
    <w:bookmarkEnd w:id="558"/>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 xml:space="preserve">Arbitration Supplementary Rules, or the equivalent successor rules then in effect to the extent consistent with and modified by this </w:t>
      </w:r>
      <w:r>
        <w:rPr>
          <w:rFonts w:ascii="Times New Roman" w:cs="Times New Roman" w:eastAsia="Times New Roman" w:hAnsi="Times New Roman"/>
          <w:sz w:val="19"/>
          <w:szCs w:val="19"/>
          <w:u w:val="single" w:color="auto"/>
          <w:color w:val="auto"/>
        </w:rPr>
        <w:t>Schedule 13.4(d)</w:t>
      </w:r>
      <w:r>
        <w:rPr>
          <w:rFonts w:ascii="Times New Roman" w:cs="Times New Roman" w:eastAsia="Times New Roman" w:hAnsi="Times New Roman"/>
          <w:sz w:val="19"/>
          <w:szCs w:val="19"/>
          <w:color w:val="auto"/>
          <w:highlight w:val="white"/>
        </w:rPr>
        <w:t>.</w:t>
      </w:r>
    </w:p>
    <w:p>
      <w:pPr>
        <w:spacing w:after="0" w:line="12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Within [***] Business Days after the selection of the arbitrator (or such other time as the Parties mutually agree), each Party will submit to the arbitrator and the other Party such Party’s proposed form of Reversion Agreement and a memorandum in support thereof, not exceeding ten (10) pages in length. Within [***] days after receiving each Party’s proposal, the arbitrator will, as final and binding, either</w:t>
      </w:r>
    </w:p>
    <w:p>
      <w:pPr>
        <w:jc w:val="both"/>
        <w:ind w:firstLine="6"/>
        <w:spacing w:after="0" w:line="215" w:lineRule="auto"/>
        <w:tabs>
          <w:tab w:leader="none" w:pos="248" w:val="left"/>
        </w:tabs>
        <w:numPr>
          <w:ilvl w:val="0"/>
          <w:numId w:val="6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select one of the two proposed Reversion Agreements (without modification) provided by the Parties or (ii) introduce a Reversion Agreement containing the terms, conditions, and elements of both of the [***] Reversion Agreement proposed by the Parties; provided, that such proposed Reversion Agreement represents compromise positions between the two Reversion Agreements proposed by the Parties, in each case that the arbitrator believes, in order of priority, is: (i) most closely in accordance with the terms and conditions of the Agreement and the intent of the Parties in entering into the Agreement, (ii) most fair and equitable to both Parties under the circumstances, and (iii) most commercially reasonable. The arbitrator may combine elements of each Parties’ proposed Reversion Agreement, so long as the arbitrator’s proposed Reversion Agreement does not introduce new positions that are not a compromise between the proposals made by either Party in each Party’s proposed Reversion Agreement, or award any other relief or take any other action. Absent fraud or manifest error, the decision of the arbitrator will be final and binding on the Parties, and the Parties shall promptly execute and enter into a Reversion Agreement in the form selected by the arbitrator.</w:t>
      </w:r>
    </w:p>
    <w:p>
      <w:pPr>
        <w:spacing w:after="0" w:line="1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Each Party shall pay its own costs and expenses in connection with the arbitration and shall be responsible for [***] of the fees and expenses of the arbitrator. The Parties agree that the arbitrator’s decision may be enforced in any court of competent jurisdiction.</w:t>
      </w:r>
    </w:p>
    <w:p>
      <w:pPr>
        <w:sectPr>
          <w:pgSz w:w="11900" w:h="16840" w:orient="portrait"/>
          <w:cols w:equalWidth="0" w:num="1">
            <w:col w:w="10580"/>
          </w:cols>
          <w:pgMar w:left="660" w:top="556" w:right="660" w:bottom="1440" w:gutter="0" w:footer="0" w:header="0"/>
        </w:sectPr>
      </w:pPr>
    </w:p>
    <w:bookmarkStart w:id="559" w:name="page560"/>
    <w:bookmarkEnd w:id="559"/>
    <w:p>
      <w:pPr>
        <w:ind w:left="9760"/>
        <w:spacing w:after="0"/>
        <w:rPr>
          <w:sz w:val="20"/>
          <w:szCs w:val="20"/>
          <w:color w:val="auto"/>
        </w:rPr>
      </w:pPr>
      <w:r>
        <w:rPr>
          <w:rFonts w:ascii="Times New Roman" w:cs="Times New Roman" w:eastAsia="Times New Roman" w:hAnsi="Times New Roman"/>
          <w:sz w:val="14"/>
          <w:szCs w:val="14"/>
          <w:b w:val="1"/>
          <w:bCs w:val="1"/>
          <w:color w:val="auto"/>
        </w:rPr>
        <w:t>Exhibit 4.49</w:t>
      </w:r>
    </w:p>
    <w:p>
      <w:pPr>
        <w:spacing w:after="0" w:line="44" w:lineRule="exact"/>
        <w:rPr>
          <w:sz w:val="20"/>
          <w:szCs w:val="20"/>
          <w:color w:val="auto"/>
        </w:rPr>
      </w:pPr>
    </w:p>
    <w:p>
      <w:pPr>
        <w:ind w:left="340" w:right="180" w:firstLine="2"/>
        <w:spacing w:after="0" w:line="234" w:lineRule="auto"/>
        <w:tabs>
          <w:tab w:leader="none" w:pos="712" w:val="left"/>
        </w:tabs>
        <w:numPr>
          <w:ilvl w:val="0"/>
          <w:numId w:val="6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78"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AMENDMENT No. 1</w:t>
      </w:r>
    </w:p>
    <w:p>
      <w:pPr>
        <w:jc w:val="center"/>
        <w:spacing w:after="0" w:line="210" w:lineRule="auto"/>
        <w:rPr>
          <w:sz w:val="20"/>
          <w:szCs w:val="20"/>
          <w:color w:val="auto"/>
        </w:rPr>
      </w:pPr>
      <w:r>
        <w:rPr>
          <w:rFonts w:ascii="Times New Roman" w:cs="Times New Roman" w:eastAsia="Times New Roman" w:hAnsi="Times New Roman"/>
          <w:sz w:val="19"/>
          <w:szCs w:val="19"/>
          <w:b w:val="1"/>
          <w:bCs w:val="1"/>
          <w:u w:val="single" w:color="auto"/>
          <w:color w:val="auto"/>
        </w:rPr>
        <w:t>to the License and Collaboration Agreement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between BioNTech SE and OncoC4, Inc.</w:t>
      </w:r>
    </w:p>
    <w:p>
      <w:pPr>
        <w:spacing w:after="0" w:line="370" w:lineRule="exact"/>
        <w:rPr>
          <w:sz w:val="20"/>
          <w:szCs w:val="20"/>
          <w:color w:val="auto"/>
        </w:rPr>
      </w:pPr>
    </w:p>
    <w:p>
      <w:pPr>
        <w:jc w:val="both"/>
        <w:ind w:firstLine="262"/>
        <w:spacing w:after="0" w:line="222" w:lineRule="auto"/>
        <w:rPr>
          <w:sz w:val="20"/>
          <w:szCs w:val="20"/>
          <w:color w:val="auto"/>
        </w:rPr>
      </w:pPr>
      <w:r>
        <w:rPr>
          <w:rFonts w:ascii="Times New Roman" w:cs="Times New Roman" w:eastAsia="Times New Roman" w:hAnsi="Times New Roman"/>
          <w:sz w:val="19"/>
          <w:szCs w:val="19"/>
          <w:color w:val="auto"/>
        </w:rPr>
        <w:t xml:space="preserve">This Amendment No. 1 to the License and Collaboration Agreement (this “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entered into as of February 14, 2024 (“</w:t>
      </w:r>
      <w:r>
        <w:rPr>
          <w:rFonts w:ascii="Times New Roman" w:cs="Times New Roman" w:eastAsia="Times New Roman" w:hAnsi="Times New Roman"/>
          <w:sz w:val="19"/>
          <w:szCs w:val="19"/>
          <w:b w:val="1"/>
          <w:bCs w:val="1"/>
          <w:color w:val="auto"/>
        </w:rPr>
        <w:t>Amendment No. 1 Effective Date</w:t>
      </w:r>
      <w:r>
        <w:rPr>
          <w:rFonts w:ascii="Times New Roman" w:cs="Times New Roman" w:eastAsia="Times New Roman" w:hAnsi="Times New Roman"/>
          <w:sz w:val="19"/>
          <w:szCs w:val="19"/>
          <w:color w:val="auto"/>
        </w:rPr>
        <w:t>”) by and between BioNTech SE, a public limited company in the form of a Societas Europaea organized under the laws of the Federal Republic of Germany, with its corporate seat at An der Goldgrube 12 55131 Mainz, registered with the commercial register of the Local Court of Mainz under HRB 48720 (“</w:t>
      </w:r>
      <w:r>
        <w:rPr>
          <w:rFonts w:ascii="Times New Roman" w:cs="Times New Roman" w:eastAsia="Times New Roman" w:hAnsi="Times New Roman"/>
          <w:sz w:val="19"/>
          <w:szCs w:val="19"/>
          <w:b w:val="1"/>
          <w:bCs w:val="1"/>
          <w:color w:val="auto"/>
        </w:rPr>
        <w:t>BioNTech</w:t>
      </w:r>
      <w:r>
        <w:rPr>
          <w:rFonts w:ascii="Times New Roman" w:cs="Times New Roman" w:eastAsia="Times New Roman" w:hAnsi="Times New Roman"/>
          <w:sz w:val="19"/>
          <w:szCs w:val="19"/>
          <w:color w:val="auto"/>
        </w:rPr>
        <w:t>”), and OncoC4, Inc., a Delaware corporation having business offices at 9640 Medical Center Drive, Rockville, MD 20850 (“</w:t>
      </w:r>
      <w:r>
        <w:rPr>
          <w:rFonts w:ascii="Times New Roman" w:cs="Times New Roman" w:eastAsia="Times New Roman" w:hAnsi="Times New Roman"/>
          <w:sz w:val="19"/>
          <w:szCs w:val="19"/>
          <w:b w:val="1"/>
          <w:bCs w:val="1"/>
          <w:color w:val="auto"/>
        </w:rPr>
        <w:t>OncoC4</w:t>
      </w:r>
      <w:r>
        <w:rPr>
          <w:rFonts w:ascii="Times New Roman" w:cs="Times New Roman" w:eastAsia="Times New Roman" w:hAnsi="Times New Roman"/>
          <w:sz w:val="19"/>
          <w:szCs w:val="19"/>
          <w:color w:val="auto"/>
        </w:rPr>
        <w:t xml:space="preserve">”). OncoC4 and BioNTech are each referred to herein, individually, as a “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xml:space="preserve"> .”</w:t>
      </w:r>
    </w:p>
    <w:p>
      <w:pPr>
        <w:spacing w:after="0" w:line="170" w:lineRule="exact"/>
        <w:rPr>
          <w:sz w:val="20"/>
          <w:szCs w:val="20"/>
          <w:color w:val="auto"/>
        </w:rPr>
      </w:pPr>
    </w:p>
    <w:p>
      <w:pPr>
        <w:jc w:val="both"/>
        <w:ind w:firstLine="852"/>
        <w:spacing w:after="0" w:line="232" w:lineRule="auto"/>
        <w:rPr>
          <w:sz w:val="20"/>
          <w:szCs w:val="20"/>
          <w:color w:val="auto"/>
        </w:rPr>
      </w:pPr>
      <w:r>
        <w:rPr>
          <w:rFonts w:ascii="Times New Roman" w:cs="Times New Roman" w:eastAsia="Times New Roman" w:hAnsi="Times New Roman"/>
          <w:sz w:val="19"/>
          <w:szCs w:val="19"/>
          <w:color w:val="auto"/>
        </w:rPr>
        <w:t>WHEREAS, BioNTech and OncoC4 are parties to that certain License and Collaboration Agreement, dated as of March 17, 2023 and Effective Date as of April 25, 2023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concerning the Exploitation of Licensed Products on the terms and subject to the conditions more particularly set forth therein.</w:t>
      </w:r>
    </w:p>
    <w:p>
      <w:pPr>
        <w:spacing w:after="0" w:line="135" w:lineRule="exact"/>
        <w:rPr>
          <w:sz w:val="20"/>
          <w:szCs w:val="20"/>
          <w:color w:val="auto"/>
        </w:rPr>
      </w:pPr>
    </w:p>
    <w:p>
      <w:pPr>
        <w:ind w:right="40" w:firstLine="852"/>
        <w:spacing w:after="0" w:line="246" w:lineRule="auto"/>
        <w:rPr>
          <w:sz w:val="20"/>
          <w:szCs w:val="20"/>
          <w:color w:val="auto"/>
        </w:rPr>
      </w:pPr>
      <w:r>
        <w:rPr>
          <w:rFonts w:ascii="Times New Roman" w:cs="Times New Roman" w:eastAsia="Times New Roman" w:hAnsi="Times New Roman"/>
          <w:sz w:val="19"/>
          <w:szCs w:val="19"/>
          <w:color w:val="auto"/>
        </w:rPr>
        <w:t>WHEREAS, the Agreement provides for the joint Development of Mono/PD-1 Combinations, and for BioNTech to solely Develop Other Combinations.</w:t>
      </w:r>
    </w:p>
    <w:p>
      <w:pPr>
        <w:spacing w:after="0" w:line="128" w:lineRule="exact"/>
        <w:rPr>
          <w:sz w:val="20"/>
          <w:szCs w:val="20"/>
          <w:color w:val="auto"/>
        </w:rPr>
      </w:pPr>
    </w:p>
    <w:p>
      <w:pPr>
        <w:jc w:val="both"/>
        <w:ind w:firstLine="852"/>
        <w:spacing w:after="0" w:line="232" w:lineRule="auto"/>
        <w:rPr>
          <w:sz w:val="20"/>
          <w:szCs w:val="20"/>
          <w:color w:val="auto"/>
        </w:rPr>
      </w:pPr>
      <w:r>
        <w:rPr>
          <w:rFonts w:ascii="Times New Roman" w:cs="Times New Roman" w:eastAsia="Times New Roman" w:hAnsi="Times New Roman"/>
          <w:sz w:val="19"/>
          <w:szCs w:val="19"/>
          <w:color w:val="auto"/>
        </w:rPr>
        <w:t>WHEREAS, it was the original intent of the Parties that the Parties would jointly Develop Licensed Single Products as Mono/PD- 1 Combinations, including where a Licensed Single Product is used as part of a combination regimen with (i) one or more PD-1 Product, (ii) one or more SOC Product, or (iii) one or more PD-1 Product and one or more SOC Product.</w:t>
      </w:r>
    </w:p>
    <w:p>
      <w:pPr>
        <w:spacing w:after="0" w:line="135" w:lineRule="exact"/>
        <w:rPr>
          <w:sz w:val="20"/>
          <w:szCs w:val="20"/>
          <w:color w:val="auto"/>
        </w:rPr>
      </w:pPr>
    </w:p>
    <w:p>
      <w:pPr>
        <w:jc w:val="both"/>
        <w:ind w:right="20" w:firstLine="852"/>
        <w:spacing w:after="0" w:line="246" w:lineRule="auto"/>
        <w:rPr>
          <w:sz w:val="20"/>
          <w:szCs w:val="20"/>
          <w:color w:val="auto"/>
        </w:rPr>
      </w:pPr>
      <w:r>
        <w:rPr>
          <w:rFonts w:ascii="Times New Roman" w:cs="Times New Roman" w:eastAsia="Times New Roman" w:hAnsi="Times New Roman"/>
          <w:sz w:val="19"/>
          <w:szCs w:val="19"/>
          <w:color w:val="auto"/>
        </w:rPr>
        <w:t>WHEREAS, the Parties mutually desire to amend, modify and restate certain terms and conditions of the Agreement to clarify the joint Development by the Parties of Mono/PD-1 Combinations.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NOW THEREFORE, in consideration of the premises and the mutual covenants herein contained, it is mutually agreed as</w:t>
      </w:r>
    </w:p>
    <w:p>
      <w:pPr>
        <w:spacing w:after="0"/>
        <w:rPr>
          <w:sz w:val="20"/>
          <w:szCs w:val="20"/>
          <w:color w:val="auto"/>
        </w:rPr>
      </w:pPr>
      <w:r>
        <w:rPr>
          <w:rFonts w:ascii="Times New Roman" w:cs="Times New Roman" w:eastAsia="Times New Roman" w:hAnsi="Times New Roman"/>
          <w:sz w:val="19"/>
          <w:szCs w:val="19"/>
          <w:color w:val="auto"/>
        </w:rPr>
        <w:t>follows:</w:t>
      </w:r>
    </w:p>
    <w:p>
      <w:pPr>
        <w:spacing w:after="0" w:line="142" w:lineRule="exact"/>
        <w:rPr>
          <w:sz w:val="20"/>
          <w:szCs w:val="20"/>
          <w:color w:val="auto"/>
        </w:rPr>
      </w:pPr>
    </w:p>
    <w:p>
      <w:pPr>
        <w:ind w:left="580" w:hanging="574"/>
        <w:spacing w:after="0"/>
        <w:tabs>
          <w:tab w:leader="none" w:pos="580" w:val="left"/>
        </w:tabs>
        <w:numPr>
          <w:ilvl w:val="0"/>
          <w:numId w:val="6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p>
    <w:p>
      <w:pPr>
        <w:spacing w:after="0" w:line="167" w:lineRule="exact"/>
        <w:rPr>
          <w:rFonts w:ascii="Times New Roman" w:cs="Times New Roman" w:eastAsia="Times New Roman" w:hAnsi="Times New Roman"/>
          <w:sz w:val="19"/>
          <w:szCs w:val="19"/>
          <w:b w:val="1"/>
          <w:bCs w:val="1"/>
          <w:color w:val="auto"/>
        </w:rPr>
      </w:pPr>
    </w:p>
    <w:p>
      <w:pPr>
        <w:ind w:left="580" w:right="2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otherwise defined herein, capitalized words in this Amendment shall have the meaning attributed to them in the Agreement (including as amended hereby).</w:t>
      </w:r>
    </w:p>
    <w:p>
      <w:pPr>
        <w:spacing w:after="0" w:line="126" w:lineRule="exact"/>
        <w:rPr>
          <w:rFonts w:ascii="Times New Roman" w:cs="Times New Roman" w:eastAsia="Times New Roman" w:hAnsi="Times New Roman"/>
          <w:sz w:val="19"/>
          <w:szCs w:val="19"/>
          <w:b w:val="1"/>
          <w:bCs w:val="1"/>
          <w:color w:val="auto"/>
        </w:rPr>
      </w:pPr>
    </w:p>
    <w:p>
      <w:pPr>
        <w:ind w:left="580" w:hanging="574"/>
        <w:spacing w:after="0"/>
        <w:tabs>
          <w:tab w:leader="none" w:pos="580" w:val="left"/>
        </w:tabs>
        <w:numPr>
          <w:ilvl w:val="0"/>
          <w:numId w:val="6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p>
    <w:p>
      <w:pPr>
        <w:spacing w:after="0" w:line="167" w:lineRule="exact"/>
        <w:rPr>
          <w:rFonts w:ascii="Times New Roman" w:cs="Times New Roman" w:eastAsia="Times New Roman" w:hAnsi="Times New Roman"/>
          <w:sz w:val="19"/>
          <w:szCs w:val="19"/>
          <w:b w:val="1"/>
          <w:bCs w:val="1"/>
          <w:color w:val="auto"/>
        </w:rPr>
      </w:pPr>
    </w:p>
    <w:p>
      <w:pPr>
        <w:ind w:left="5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Parties agree that, as of the Amendment No. 1 Effective Date, the Agreement is amended as set forth in this Section 2.</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color w:val="auto"/>
        </w:rPr>
        <w:t>The following definition shall be added to Article 1 in appropriate alphabetical order: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of Care Product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SOC Product</w:t>
      </w:r>
      <w:r>
        <w:rPr>
          <w:rFonts w:ascii="Times New Roman" w:cs="Times New Roman" w:eastAsia="Times New Roman" w:hAnsi="Times New Roman"/>
          <w:sz w:val="19"/>
          <w:szCs w:val="19"/>
          <w:color w:val="auto"/>
        </w:rPr>
        <w:t>” means, [***]”</w:t>
      </w:r>
    </w:p>
    <w:p>
      <w:pPr>
        <w:sectPr>
          <w:pgSz w:w="11900" w:h="16840" w:orient="portrait"/>
          <w:cols w:equalWidth="0" w:num="1">
            <w:col w:w="10580"/>
          </w:cols>
          <w:pgMar w:left="660" w:top="555" w:right="660" w:bottom="1440" w:gutter="0" w:footer="0" w:header="0"/>
        </w:sectPr>
      </w:pPr>
    </w:p>
    <w:bookmarkStart w:id="560" w:name="page561"/>
    <w:bookmarkEnd w:id="560"/>
    <w:p>
      <w:pPr>
        <w:ind w:left="9240"/>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right="40" w:hanging="563"/>
        <w:spacing w:after="0" w:line="246" w:lineRule="auto"/>
        <w:tabs>
          <w:tab w:leader="none" w:pos="56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color w:val="auto"/>
        </w:rPr>
        <w:t>Section 1.111 of the Agreement is hereby amended by deleting the reference to the defined term “Mono/PD-1 Combinations” and replacing it, in appropriate alphabetical order, with the reference to the defined term “Mono/PD- 1/SOC Combinations”.</w:t>
      </w:r>
    </w:p>
    <w:p>
      <w:pPr>
        <w:spacing w:after="0" w:line="12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9"/>
          <w:szCs w:val="19"/>
          <w:color w:val="auto"/>
        </w:rPr>
        <w:t>The first sentence of Section 3.1(a)(i) of the Agreement is hereby deleted in its entirety and replaced with the following:</w:t>
      </w:r>
    </w:p>
    <w:p>
      <w:pPr>
        <w:spacing w:after="0" w:line="166" w:lineRule="exact"/>
        <w:rPr>
          <w:sz w:val="20"/>
          <w:szCs w:val="20"/>
          <w:color w:val="auto"/>
        </w:rPr>
      </w:pPr>
    </w:p>
    <w:p>
      <w:pPr>
        <w:jc w:val="both"/>
        <w:ind w:left="580"/>
        <w:spacing w:after="0" w:line="219" w:lineRule="auto"/>
        <w:rPr>
          <w:sz w:val="20"/>
          <w:szCs w:val="20"/>
          <w:color w:val="auto"/>
        </w:rPr>
      </w:pPr>
      <w:r>
        <w:rPr>
          <w:rFonts w:ascii="Times New Roman" w:cs="Times New Roman" w:eastAsia="Times New Roman" w:hAnsi="Times New Roman"/>
          <w:sz w:val="19"/>
          <w:szCs w:val="19"/>
          <w:color w:val="auto"/>
        </w:rPr>
        <w:t>“OncoC4 and BioNTech shall use Commercially Reasonable Efforts to conduct Development activities with respect to the Licensed Compound and Licensed Products, either (A) as a monotherapy, (B) as a Licensed Single Product used as part of a combination regimen with one or more (I) SOC Product or (II) PD-1 Product, or (C) as a Licensed Single Product used as part of</w:t>
      </w:r>
    </w:p>
    <w:p>
      <w:pPr>
        <w:jc w:val="both"/>
        <w:ind w:left="580" w:right="20" w:hanging="10"/>
        <w:spacing w:after="0" w:line="224" w:lineRule="auto"/>
        <w:tabs>
          <w:tab w:leader="none" w:pos="716" w:val="left"/>
        </w:tabs>
        <w:numPr>
          <w:ilvl w:val="0"/>
          <w:numId w:val="6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combination regimen with both one or more SOC Product and one or more PD-1 Product ((A)-(C) collectively, the “</w:t>
      </w:r>
      <w:r>
        <w:rPr>
          <w:rFonts w:ascii="Times New Roman" w:cs="Times New Roman" w:eastAsia="Times New Roman" w:hAnsi="Times New Roman"/>
          <w:sz w:val="19"/>
          <w:szCs w:val="19"/>
          <w:b w:val="1"/>
          <w:bCs w:val="1"/>
          <w:color w:val="auto"/>
        </w:rPr>
        <w:t>Mono/PD-1/SOC Combinations</w:t>
      </w:r>
      <w:r>
        <w:rPr>
          <w:rFonts w:ascii="Times New Roman" w:cs="Times New Roman" w:eastAsia="Times New Roman" w:hAnsi="Times New Roman"/>
          <w:sz w:val="19"/>
          <w:szCs w:val="19"/>
          <w:color w:val="auto"/>
        </w:rPr>
        <w:t>”), in each case, in accordance with a joint clinical development plan (the “</w:t>
      </w:r>
      <w:r>
        <w:rPr>
          <w:rFonts w:ascii="Times New Roman" w:cs="Times New Roman" w:eastAsia="Times New Roman" w:hAnsi="Times New Roman"/>
          <w:sz w:val="19"/>
          <w:szCs w:val="19"/>
          <w:b w:val="1"/>
          <w:bCs w:val="1"/>
          <w:color w:val="auto"/>
        </w:rPr>
        <w:t>CDP</w:t>
      </w:r>
      <w:r>
        <w:rPr>
          <w:rFonts w:ascii="Times New Roman" w:cs="Times New Roman" w:eastAsia="Times New Roman" w:hAnsi="Times New Roman"/>
          <w:sz w:val="19"/>
          <w:szCs w:val="19"/>
          <w:color w:val="auto"/>
        </w:rPr>
        <w:t>”) approved by the JSC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terms of this Agreement.”</w:t>
      </w:r>
    </w:p>
    <w:p>
      <w:pPr>
        <w:spacing w:after="0" w:line="134" w:lineRule="exact"/>
        <w:rPr>
          <w:sz w:val="20"/>
          <w:szCs w:val="20"/>
          <w:color w:val="auto"/>
        </w:rPr>
      </w:pPr>
    </w:p>
    <w:p>
      <w:pPr>
        <w:ind w:left="580" w:right="20" w:hanging="563"/>
        <w:spacing w:after="0" w:line="246" w:lineRule="auto"/>
        <w:tabs>
          <w:tab w:leader="none" w:pos="56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color w:val="auto"/>
        </w:rPr>
        <w:t>All references in the Agreement to “Mono/PD-1 Combinations” are hereby deleted in their entirety and replaced with references to “Mono/PD- 1/SOC Combinations”.</w:t>
      </w:r>
    </w:p>
    <w:p>
      <w:pPr>
        <w:spacing w:after="0" w:line="126" w:lineRule="exact"/>
        <w:rPr>
          <w:sz w:val="20"/>
          <w:szCs w:val="20"/>
          <w:color w:val="auto"/>
        </w:rPr>
      </w:pPr>
    </w:p>
    <w:p>
      <w:pPr>
        <w:ind w:left="580" w:hanging="574"/>
        <w:spacing w:after="0"/>
        <w:tabs>
          <w:tab w:leader="none" w:pos="580" w:val="left"/>
        </w:tabs>
        <w:numPr>
          <w:ilvl w:val="0"/>
          <w:numId w:val="6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INTEGRATION</w:t>
      </w:r>
    </w:p>
    <w:p>
      <w:pPr>
        <w:spacing w:after="0" w:line="167" w:lineRule="exact"/>
        <w:rPr>
          <w:rFonts w:ascii="Times New Roman" w:cs="Times New Roman" w:eastAsia="Times New Roman" w:hAnsi="Times New Roman"/>
          <w:sz w:val="19"/>
          <w:szCs w:val="19"/>
          <w:b w:val="1"/>
          <w:bCs w:val="1"/>
          <w:color w:val="auto"/>
        </w:rPr>
      </w:pPr>
    </w:p>
    <w:p>
      <w:pPr>
        <w:jc w:val="both"/>
        <w:ind w:left="580" w:right="40"/>
        <w:spacing w:after="0" w:line="23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Except for the sections of the Agreement specifically amended hereunder, all terms and conditions of the Agreement remain and shall remain in full force and effect. This Amendment shall hereafter be incorporated into and deemed part of the Agreement and any future reference to the Agreement shall include the terms and conditions of this Amendment.</w:t>
      </w:r>
    </w:p>
    <w:p>
      <w:pPr>
        <w:spacing w:after="0" w:line="132" w:lineRule="exact"/>
        <w:rPr>
          <w:rFonts w:ascii="Times New Roman" w:cs="Times New Roman" w:eastAsia="Times New Roman" w:hAnsi="Times New Roman"/>
          <w:sz w:val="19"/>
          <w:szCs w:val="19"/>
          <w:b w:val="1"/>
          <w:bCs w:val="1"/>
          <w:color w:val="auto"/>
        </w:rPr>
      </w:pPr>
    </w:p>
    <w:p>
      <w:pPr>
        <w:ind w:left="580" w:hanging="574"/>
        <w:spacing w:after="0"/>
        <w:tabs>
          <w:tab w:leader="none" w:pos="580" w:val="left"/>
        </w:tabs>
        <w:numPr>
          <w:ilvl w:val="0"/>
          <w:numId w:val="6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APPLICABLE LAW &amp; JURISDICTION</w:t>
      </w:r>
    </w:p>
    <w:p>
      <w:pPr>
        <w:spacing w:after="0" w:line="167" w:lineRule="exact"/>
        <w:rPr>
          <w:rFonts w:ascii="Times New Roman" w:cs="Times New Roman" w:eastAsia="Times New Roman" w:hAnsi="Times New Roman"/>
          <w:sz w:val="19"/>
          <w:szCs w:val="19"/>
          <w:b w:val="1"/>
          <w:bCs w:val="1"/>
          <w:color w:val="auto"/>
        </w:rPr>
      </w:pPr>
    </w:p>
    <w:p>
      <w:pPr>
        <w:ind w:left="580" w:right="4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Amendment shall be governed by, and construed in accordance with, the laws which govern the Agreement, and the Parties submit to the jurisdiction and dispute resolution provisions as set forth in the Agreement.</w:t>
      </w:r>
    </w:p>
    <w:p>
      <w:pPr>
        <w:spacing w:after="0" w:line="126" w:lineRule="exact"/>
        <w:rPr>
          <w:rFonts w:ascii="Times New Roman" w:cs="Times New Roman" w:eastAsia="Times New Roman" w:hAnsi="Times New Roman"/>
          <w:sz w:val="19"/>
          <w:szCs w:val="19"/>
          <w:b w:val="1"/>
          <w:bCs w:val="1"/>
          <w:color w:val="auto"/>
        </w:rPr>
      </w:pPr>
    </w:p>
    <w:p>
      <w:pPr>
        <w:ind w:left="580" w:hanging="574"/>
        <w:spacing w:after="0"/>
        <w:tabs>
          <w:tab w:leader="none" w:pos="580" w:val="left"/>
        </w:tabs>
        <w:numPr>
          <w:ilvl w:val="0"/>
          <w:numId w:val="6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COUNTERPARTS</w:t>
      </w:r>
    </w:p>
    <w:p>
      <w:pPr>
        <w:spacing w:after="0" w:line="167" w:lineRule="exact"/>
        <w:rPr>
          <w:rFonts w:ascii="Times New Roman" w:cs="Times New Roman" w:eastAsia="Times New Roman" w:hAnsi="Times New Roman"/>
          <w:sz w:val="19"/>
          <w:szCs w:val="19"/>
          <w:b w:val="1"/>
          <w:bCs w:val="1"/>
          <w:color w:val="auto"/>
        </w:rPr>
      </w:pPr>
    </w:p>
    <w:p>
      <w:pPr>
        <w:jc w:val="both"/>
        <w:ind w:left="580"/>
        <w:spacing w:after="0" w:line="22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Amendment may be executed in counterparts, each of which, when so executed and delivered, will be deemed to be an original, and all of which counterparts, taken together, will constitute one and the same instrument even if both Parties have not executed the same counterpart. Signatures delivered by electronic transmission, including in portable document format (.pdf) sent by electronic mail or by any other electronic means (e.g., DocuSign) agreed by the Parties, will have the same effect as physical delivery of the paper document bearing the original signatures, and will be deemed original signatures.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 – Signature Page to Follow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80"/>
          </w:cols>
          <w:pgMar w:left="660" w:top="557" w:right="660" w:bottom="1440" w:gutter="0" w:footer="0" w:header="0"/>
        </w:sectPr>
      </w:pPr>
    </w:p>
    <w:bookmarkStart w:id="561" w:name="page562"/>
    <w:bookmarkEnd w:id="561"/>
    <w:p>
      <w:pPr>
        <w:jc w:val="right"/>
        <w:spacing w:after="0"/>
        <w:rPr>
          <w:sz w:val="20"/>
          <w:szCs w:val="20"/>
          <w:color w:val="auto"/>
        </w:rPr>
      </w:pPr>
      <w:r>
        <w:rPr>
          <w:rFonts w:ascii="Times New Roman" w:cs="Times New Roman" w:eastAsia="Times New Roman" w:hAnsi="Times New Roman"/>
          <w:sz w:val="19"/>
          <w:szCs w:val="19"/>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250"/>
        <w:spacing w:after="0" w:line="246" w:lineRule="auto"/>
        <w:rPr>
          <w:sz w:val="20"/>
          <w:szCs w:val="20"/>
          <w:color w:val="auto"/>
        </w:rPr>
      </w:pPr>
      <w:r>
        <w:rPr>
          <w:rFonts w:ascii="Times New Roman" w:cs="Times New Roman" w:eastAsia="Times New Roman" w:hAnsi="Times New Roman"/>
          <w:sz w:val="19"/>
          <w:szCs w:val="19"/>
          <w:color w:val="auto"/>
        </w:rPr>
        <w:t>IN WITNESS WHEREOF, the Parties intending to be bound have caused this Amendment to be executed by their duly authorized representatives as of the Amendment No. 1 Effective Date.</w:t>
      </w:r>
    </w:p>
    <w:p>
      <w:pPr>
        <w:sectPr>
          <w:pgSz w:w="11900" w:h="16840" w:orient="portrait"/>
          <w:cols w:equalWidth="0" w:num="1">
            <w:col w:w="10580"/>
          </w:cols>
          <w:pgMar w:left="660" w:top="556" w:right="66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BioNTech SE</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Ryan</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Name: James Ryan</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Title: Chief Legal Officer</w:t>
      </w:r>
    </w:p>
    <w:p>
      <w:pPr>
        <w:spacing w:after="0" w:line="3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OncoC4, Inc.</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DeYonker</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Name: James DeYonker</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Title: SVP, Head of Legal and 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BioNTech SE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Jens Holstein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Jens Holstein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CFO</w:t>
      </w:r>
    </w:p>
    <w:p>
      <w:pPr>
        <w:sectPr>
          <w:pgSz w:w="11900" w:h="16840" w:orient="portrait"/>
          <w:cols w:equalWidth="0" w:num="2">
            <w:col w:w="4660" w:space="720"/>
            <w:col w:w="5200"/>
          </w:cols>
          <w:pgMar w:left="660" w:top="556" w:right="660" w:bottom="1440" w:gutter="0" w:footer="0" w:header="0"/>
          <w:type w:val="continuous"/>
        </w:sectPr>
      </w:pPr>
    </w:p>
    <w:bookmarkStart w:id="562" w:name="page563"/>
    <w:bookmarkEnd w:id="562"/>
    <w:p>
      <w:pPr>
        <w:jc w:val="right"/>
        <w:spacing w:after="0"/>
        <w:rPr>
          <w:sz w:val="20"/>
          <w:szCs w:val="20"/>
          <w:color w:val="auto"/>
        </w:rPr>
      </w:pPr>
      <w:r>
        <w:rPr>
          <w:rFonts w:ascii="Times New Roman" w:cs="Times New Roman" w:eastAsia="Times New Roman" w:hAnsi="Times New Roman"/>
          <w:sz w:val="16"/>
          <w:szCs w:val="16"/>
          <w:b w:val="1"/>
          <w:bCs w:val="1"/>
          <w:color w:val="auto"/>
        </w:rPr>
        <w:t>Exhibit 4.50</w:t>
      </w:r>
    </w:p>
    <w:p>
      <w:pPr>
        <w:spacing w:after="0" w:line="248" w:lineRule="exact"/>
        <w:rPr>
          <w:sz w:val="20"/>
          <w:szCs w:val="20"/>
          <w:color w:val="auto"/>
        </w:rPr>
      </w:pPr>
    </w:p>
    <w:p>
      <w:pPr>
        <w:ind w:right="180" w:firstLine="2"/>
        <w:spacing w:after="0" w:line="235" w:lineRule="auto"/>
        <w:tabs>
          <w:tab w:leader="none" w:pos="372" w:val="left"/>
        </w:tabs>
        <w:numPr>
          <w:ilvl w:val="0"/>
          <w:numId w:val="6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7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9"/>
          <w:szCs w:val="19"/>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by and between</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BIONTECH SE</w:t>
      </w:r>
    </w:p>
    <w:p>
      <w:pPr>
        <w:spacing w:after="0" w:line="1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dated as of March 16, 2023</w:t>
      </w:r>
    </w:p>
    <w:p>
      <w:pPr>
        <w:sectPr>
          <w:pgSz w:w="11900" w:h="16840" w:orient="portrait"/>
          <w:cols w:equalWidth="0" w:num="1">
            <w:col w:w="10240"/>
          </w:cols>
          <w:pgMar w:left="1000" w:top="555" w:right="660"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78" w:lineRule="exact"/>
        <w:rPr>
          <w:sz w:val="20"/>
          <w:szCs w:val="20"/>
          <w:color w:val="auto"/>
        </w:rPr>
      </w:pPr>
    </w:p>
    <w:p>
      <w:pPr>
        <w:spacing w:after="0"/>
        <w:tabs>
          <w:tab w:leader="dot" w:pos="6800" w:val="left"/>
        </w:tabs>
        <w:rPr>
          <w:sz w:val="20"/>
          <w:szCs w:val="20"/>
          <w:color w:val="auto"/>
        </w:rPr>
      </w:pPr>
      <w:r>
        <w:rPr>
          <w:rFonts w:ascii="Times New Roman" w:cs="Times New Roman" w:eastAsia="Times New Roman" w:hAnsi="Times New Roman"/>
          <w:sz w:val="19"/>
          <w:szCs w:val="19"/>
          <w:b w:val="1"/>
          <w:bCs w:val="1"/>
          <w:color w:val="auto"/>
        </w:rPr>
        <w:t>ARTICLE 1 DEFINITIONS</w:t>
      </w:r>
      <w:r>
        <w:rPr>
          <w:sz w:val="20"/>
          <w:szCs w:val="20"/>
          <w:color w:val="auto"/>
        </w:rPr>
        <w:tab/>
      </w:r>
      <w:r>
        <w:rPr>
          <w:rFonts w:ascii="Times New Roman" w:cs="Times New Roman" w:eastAsia="Times New Roman" w:hAnsi="Times New Roman"/>
          <w:sz w:val="16"/>
          <w:szCs w:val="16"/>
          <w:color w:val="auto"/>
        </w:rPr>
        <w:t>1</w:t>
      </w:r>
    </w:p>
    <w:p>
      <w:pPr>
        <w:spacing w:after="0" w:line="19" w:lineRule="exact"/>
        <w:rPr>
          <w:sz w:val="20"/>
          <w:szCs w:val="20"/>
          <w:color w:val="auto"/>
        </w:rPr>
      </w:pP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2 LICENSE</w:t>
      </w:r>
      <w:r>
        <w:rPr>
          <w:sz w:val="20"/>
          <w:szCs w:val="20"/>
          <w:color w:val="auto"/>
        </w:rPr>
        <w:tab/>
      </w:r>
      <w:r>
        <w:rPr>
          <w:rFonts w:ascii="Times New Roman" w:cs="Times New Roman" w:eastAsia="Times New Roman" w:hAnsi="Times New Roman"/>
          <w:sz w:val="18"/>
          <w:szCs w:val="18"/>
          <w:color w:val="auto"/>
        </w:rPr>
        <w:t>20</w:t>
      </w: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3 GOVERNANCE</w:t>
      </w:r>
      <w:r>
        <w:rPr>
          <w:sz w:val="20"/>
          <w:szCs w:val="20"/>
          <w:color w:val="auto"/>
        </w:rPr>
        <w:tab/>
      </w:r>
      <w:r>
        <w:rPr>
          <w:rFonts w:ascii="Times New Roman" w:cs="Times New Roman" w:eastAsia="Times New Roman" w:hAnsi="Times New Roman"/>
          <w:sz w:val="18"/>
          <w:szCs w:val="18"/>
          <w:color w:val="auto"/>
        </w:rPr>
        <w:t>26</w:t>
      </w:r>
    </w:p>
    <w:p>
      <w:pPr>
        <w:spacing w:after="0" w:line="237" w:lineRule="auto"/>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4 DEVELOPMENT</w:t>
      </w:r>
      <w:r>
        <w:rPr>
          <w:sz w:val="20"/>
          <w:szCs w:val="20"/>
          <w:color w:val="auto"/>
        </w:rPr>
        <w:tab/>
      </w:r>
      <w:r>
        <w:rPr>
          <w:rFonts w:ascii="Times New Roman" w:cs="Times New Roman" w:eastAsia="Times New Roman" w:hAnsi="Times New Roman"/>
          <w:sz w:val="19"/>
          <w:szCs w:val="19"/>
          <w:color w:val="auto"/>
        </w:rPr>
        <w:t>31</w:t>
      </w:r>
    </w:p>
    <w:p>
      <w:pPr>
        <w:spacing w:after="0" w:line="238" w:lineRule="auto"/>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5 REGULATORY</w:t>
      </w:r>
      <w:r>
        <w:rPr>
          <w:sz w:val="20"/>
          <w:szCs w:val="20"/>
          <w:color w:val="auto"/>
        </w:rPr>
        <w:tab/>
      </w:r>
      <w:r>
        <w:rPr>
          <w:rFonts w:ascii="Times New Roman" w:cs="Times New Roman" w:eastAsia="Times New Roman" w:hAnsi="Times New Roman"/>
          <w:sz w:val="19"/>
          <w:szCs w:val="19"/>
          <w:color w:val="auto"/>
        </w:rPr>
        <w:t>35</w:t>
      </w: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6 MANUFACTURE &amp; SUPPLY</w:t>
      </w:r>
      <w:r>
        <w:rPr>
          <w:sz w:val="20"/>
          <w:szCs w:val="20"/>
          <w:color w:val="auto"/>
        </w:rPr>
        <w:tab/>
      </w:r>
      <w:r>
        <w:rPr>
          <w:rFonts w:ascii="Times New Roman" w:cs="Times New Roman" w:eastAsia="Times New Roman" w:hAnsi="Times New Roman"/>
          <w:sz w:val="18"/>
          <w:szCs w:val="18"/>
          <w:color w:val="auto"/>
        </w:rPr>
        <w:t>39</w:t>
      </w:r>
    </w:p>
    <w:p>
      <w:pPr>
        <w:spacing w:after="0" w:line="237" w:lineRule="auto"/>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7 COMMERCIALIZATION MATTERS</w:t>
      </w:r>
      <w:r>
        <w:rPr>
          <w:sz w:val="20"/>
          <w:szCs w:val="20"/>
          <w:color w:val="auto"/>
        </w:rPr>
        <w:tab/>
      </w:r>
      <w:r>
        <w:rPr>
          <w:rFonts w:ascii="Times New Roman" w:cs="Times New Roman" w:eastAsia="Times New Roman" w:hAnsi="Times New Roman"/>
          <w:sz w:val="19"/>
          <w:szCs w:val="19"/>
          <w:color w:val="auto"/>
        </w:rPr>
        <w:t>40</w:t>
      </w: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8 FINANCIAL TERMS</w:t>
      </w:r>
      <w:r>
        <w:rPr>
          <w:sz w:val="20"/>
          <w:szCs w:val="20"/>
          <w:color w:val="auto"/>
        </w:rPr>
        <w:tab/>
      </w:r>
      <w:r>
        <w:rPr>
          <w:rFonts w:ascii="Times New Roman" w:cs="Times New Roman" w:eastAsia="Times New Roman" w:hAnsi="Times New Roman"/>
          <w:sz w:val="18"/>
          <w:szCs w:val="18"/>
          <w:color w:val="auto"/>
        </w:rPr>
        <w:t>43</w:t>
      </w: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9 PAYMENT; RECORDS; AUDITS</w:t>
      </w:r>
      <w:r>
        <w:rPr>
          <w:sz w:val="20"/>
          <w:szCs w:val="20"/>
          <w:color w:val="auto"/>
        </w:rPr>
        <w:tab/>
      </w:r>
      <w:r>
        <w:rPr>
          <w:rFonts w:ascii="Times New Roman" w:cs="Times New Roman" w:eastAsia="Times New Roman" w:hAnsi="Times New Roman"/>
          <w:sz w:val="18"/>
          <w:szCs w:val="18"/>
          <w:color w:val="auto"/>
        </w:rPr>
        <w:t>51</w:t>
      </w:r>
    </w:p>
    <w:p>
      <w:pPr>
        <w:spacing w:after="0" w:line="237" w:lineRule="auto"/>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10 CONFIDENTIALITY</w:t>
      </w:r>
      <w:r>
        <w:rPr>
          <w:sz w:val="20"/>
          <w:szCs w:val="20"/>
          <w:color w:val="auto"/>
        </w:rPr>
        <w:tab/>
      </w:r>
      <w:r>
        <w:rPr>
          <w:rFonts w:ascii="Times New Roman" w:cs="Times New Roman" w:eastAsia="Times New Roman" w:hAnsi="Times New Roman"/>
          <w:sz w:val="19"/>
          <w:szCs w:val="19"/>
          <w:color w:val="auto"/>
        </w:rPr>
        <w:t>54</w:t>
      </w:r>
    </w:p>
    <w:p>
      <w:pPr>
        <w:spacing w:after="0" w:line="238" w:lineRule="auto"/>
        <w:rPr>
          <w:sz w:val="20"/>
          <w:szCs w:val="20"/>
          <w:color w:val="auto"/>
        </w:rPr>
      </w:pPr>
      <w:r>
        <w:rPr>
          <w:rFonts w:ascii="Times New Roman" w:cs="Times New Roman" w:eastAsia="Times New Roman" w:hAnsi="Times New Roman"/>
          <w:sz w:val="19"/>
          <w:szCs w:val="19"/>
          <w:b w:val="1"/>
          <w:bCs w:val="1"/>
          <w:color w:val="auto"/>
        </w:rPr>
        <w:t>ARTICLE 11 REPRESENTATIONS AND WARRANTIES; LIMITATION OF</w:t>
      </w:r>
    </w:p>
    <w:p>
      <w:pPr>
        <w:ind w:left="1160"/>
        <w:spacing w:after="0" w:line="237" w:lineRule="auto"/>
        <w:tabs>
          <w:tab w:leader="dot" w:pos="6660" w:val="left"/>
        </w:tabs>
        <w:rPr>
          <w:sz w:val="20"/>
          <w:szCs w:val="20"/>
          <w:color w:val="auto"/>
        </w:rPr>
      </w:pPr>
      <w:r>
        <w:rPr>
          <w:rFonts w:ascii="Times New Roman" w:cs="Times New Roman" w:eastAsia="Times New Roman" w:hAnsi="Times New Roman"/>
          <w:sz w:val="19"/>
          <w:szCs w:val="19"/>
          <w:b w:val="1"/>
          <w:bCs w:val="1"/>
          <w:color w:val="auto"/>
        </w:rPr>
        <w:t>LIABILITY</w:t>
      </w:r>
      <w:r>
        <w:rPr>
          <w:sz w:val="20"/>
          <w:szCs w:val="20"/>
          <w:color w:val="auto"/>
        </w:rPr>
        <w:tab/>
      </w:r>
      <w:r>
        <w:rPr>
          <w:rFonts w:ascii="Times New Roman" w:cs="Times New Roman" w:eastAsia="Times New Roman" w:hAnsi="Times New Roman"/>
          <w:sz w:val="19"/>
          <w:szCs w:val="19"/>
          <w:color w:val="auto"/>
        </w:rPr>
        <w:t>58</w:t>
      </w:r>
    </w:p>
    <w:p>
      <w:pPr>
        <w:spacing w:after="0" w:line="237" w:lineRule="auto"/>
        <w:tabs>
          <w:tab w:leader="dot" w:pos="6660" w:val="left"/>
        </w:tabs>
        <w:rPr>
          <w:sz w:val="20"/>
          <w:szCs w:val="20"/>
          <w:color w:val="auto"/>
        </w:rPr>
      </w:pPr>
      <w:r>
        <w:rPr>
          <w:rFonts w:ascii="Times New Roman" w:cs="Times New Roman" w:eastAsia="Times New Roman" w:hAnsi="Times New Roman"/>
          <w:sz w:val="19"/>
          <w:szCs w:val="19"/>
          <w:b w:val="1"/>
          <w:bCs w:val="1"/>
          <w:color w:val="auto"/>
        </w:rPr>
        <w:t>ARTICLE 12 INTELLECTUAL PROPERTY</w:t>
      </w:r>
      <w:r>
        <w:rPr>
          <w:sz w:val="20"/>
          <w:szCs w:val="20"/>
          <w:color w:val="auto"/>
        </w:rPr>
        <w:tab/>
      </w:r>
      <w:r>
        <w:rPr>
          <w:rFonts w:ascii="Times New Roman" w:cs="Times New Roman" w:eastAsia="Times New Roman" w:hAnsi="Times New Roman"/>
          <w:sz w:val="19"/>
          <w:szCs w:val="19"/>
          <w:color w:val="auto"/>
        </w:rPr>
        <w:t>65</w:t>
      </w:r>
    </w:p>
    <w:p>
      <w:pPr>
        <w:spacing w:after="0" w:line="238" w:lineRule="auto"/>
        <w:tabs>
          <w:tab w:leader="dot" w:pos="6660" w:val="left"/>
        </w:tabs>
        <w:rPr>
          <w:sz w:val="20"/>
          <w:szCs w:val="20"/>
          <w:color w:val="auto"/>
        </w:rPr>
      </w:pPr>
      <w:r>
        <w:rPr>
          <w:rFonts w:ascii="Times New Roman" w:cs="Times New Roman" w:eastAsia="Times New Roman" w:hAnsi="Times New Roman"/>
          <w:sz w:val="19"/>
          <w:szCs w:val="19"/>
          <w:b w:val="1"/>
          <w:bCs w:val="1"/>
          <w:color w:val="auto"/>
        </w:rPr>
        <w:t>ARTICLE 13 TERM; TERMINATION</w:t>
      </w:r>
      <w:r>
        <w:rPr>
          <w:sz w:val="20"/>
          <w:szCs w:val="20"/>
          <w:color w:val="auto"/>
        </w:rPr>
        <w:tab/>
      </w:r>
      <w:r>
        <w:rPr>
          <w:rFonts w:ascii="Times New Roman" w:cs="Times New Roman" w:eastAsia="Times New Roman" w:hAnsi="Times New Roman"/>
          <w:sz w:val="19"/>
          <w:szCs w:val="19"/>
          <w:color w:val="auto"/>
        </w:rPr>
        <w:t>72</w:t>
      </w:r>
    </w:p>
    <w:p>
      <w:pPr>
        <w:spacing w:after="0" w:line="237" w:lineRule="auto"/>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14 INDEMNIFICATION</w:t>
      </w:r>
      <w:r>
        <w:rPr>
          <w:sz w:val="20"/>
          <w:szCs w:val="20"/>
          <w:color w:val="auto"/>
        </w:rPr>
        <w:tab/>
      </w:r>
      <w:r>
        <w:rPr>
          <w:rFonts w:ascii="Times New Roman" w:cs="Times New Roman" w:eastAsia="Times New Roman" w:hAnsi="Times New Roman"/>
          <w:sz w:val="19"/>
          <w:szCs w:val="19"/>
          <w:color w:val="auto"/>
        </w:rPr>
        <w:t>82</w:t>
      </w: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15 DISPUTE RESOLUTION</w:t>
      </w:r>
      <w:r>
        <w:rPr>
          <w:sz w:val="20"/>
          <w:szCs w:val="20"/>
          <w:color w:val="auto"/>
        </w:rPr>
        <w:tab/>
      </w:r>
      <w:r>
        <w:rPr>
          <w:rFonts w:ascii="Times New Roman" w:cs="Times New Roman" w:eastAsia="Times New Roman" w:hAnsi="Times New Roman"/>
          <w:sz w:val="18"/>
          <w:szCs w:val="18"/>
          <w:color w:val="auto"/>
        </w:rPr>
        <w:t>84</w:t>
      </w:r>
    </w:p>
    <w:p>
      <w:pPr>
        <w:spacing w:after="0" w:line="1"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16 MISCELLANEOUS</w:t>
      </w:r>
      <w:r>
        <w:rPr>
          <w:sz w:val="20"/>
          <w:szCs w:val="20"/>
          <w:color w:val="auto"/>
        </w:rPr>
        <w:tab/>
      </w:r>
      <w:r>
        <w:rPr>
          <w:rFonts w:ascii="Times New Roman" w:cs="Times New Roman" w:eastAsia="Times New Roman" w:hAnsi="Times New Roman"/>
          <w:sz w:val="18"/>
          <w:szCs w:val="18"/>
          <w:color w:val="auto"/>
        </w:rPr>
        <w:t>86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Schedules</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Schedule 1.1</w:t>
      </w:r>
      <w:r>
        <w:rPr>
          <w:sz w:val="20"/>
          <w:szCs w:val="20"/>
          <w:color w:val="auto"/>
        </w:rPr>
        <w:tab/>
      </w:r>
      <w:r>
        <w:rPr>
          <w:rFonts w:ascii="Times New Roman" w:cs="Times New Roman" w:eastAsia="Times New Roman" w:hAnsi="Times New Roman"/>
          <w:sz w:val="19"/>
          <w:szCs w:val="19"/>
          <w:color w:val="auto"/>
        </w:rPr>
        <w:t>ABC Terms</w:t>
      </w:r>
    </w:p>
    <w:p>
      <w:pPr>
        <w:spacing w:after="0" w:line="20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9"/>
          <w:szCs w:val="19"/>
          <w:color w:val="auto"/>
        </w:rPr>
        <w:t>Schedule 1.49</w:t>
      </w:r>
      <w:r>
        <w:rPr>
          <w:sz w:val="20"/>
          <w:szCs w:val="20"/>
          <w:color w:val="auto"/>
        </w:rPr>
        <w:tab/>
      </w:r>
      <w:r>
        <w:rPr>
          <w:rFonts w:ascii="Times New Roman" w:cs="Times New Roman" w:eastAsia="Times New Roman" w:hAnsi="Times New Roman"/>
          <w:sz w:val="19"/>
          <w:szCs w:val="19"/>
          <w:color w:val="auto"/>
        </w:rPr>
        <w:t>Description of Duality Know-How</w:t>
      </w:r>
    </w:p>
    <w:p>
      <w:pPr>
        <w:spacing w:after="0" w:line="16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9"/>
          <w:szCs w:val="19"/>
          <w:color w:val="auto"/>
        </w:rPr>
        <w:t>Schedule 1.55</w:t>
      </w:r>
      <w:r>
        <w:rPr>
          <w:sz w:val="20"/>
          <w:szCs w:val="20"/>
          <w:color w:val="auto"/>
        </w:rPr>
        <w:tab/>
      </w:r>
      <w:r>
        <w:rPr>
          <w:rFonts w:ascii="Times New Roman" w:cs="Times New Roman" w:eastAsia="Times New Roman" w:hAnsi="Times New Roman"/>
          <w:sz w:val="19"/>
          <w:szCs w:val="19"/>
          <w:color w:val="auto"/>
        </w:rPr>
        <w:t>List of Duality Patents</w:t>
      </w:r>
    </w:p>
    <w:p>
      <w:pPr>
        <w:spacing w:after="0" w:line="16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9"/>
          <w:szCs w:val="19"/>
          <w:color w:val="auto"/>
        </w:rPr>
        <w:t>Schedule 1.89</w:t>
      </w:r>
      <w:r>
        <w:rPr>
          <w:sz w:val="20"/>
          <w:szCs w:val="20"/>
          <w:color w:val="auto"/>
        </w:rPr>
        <w:tab/>
      </w:r>
      <w:r>
        <w:rPr>
          <w:rFonts w:ascii="Times New Roman" w:cs="Times New Roman" w:eastAsia="Times New Roman" w:hAnsi="Times New Roman"/>
          <w:sz w:val="19"/>
          <w:szCs w:val="19"/>
          <w:color w:val="auto"/>
        </w:rPr>
        <w:t>List of Indications</w:t>
      </w:r>
    </w:p>
    <w:p>
      <w:pPr>
        <w:spacing w:after="0" w:line="20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color w:val="auto"/>
        </w:rPr>
        <w:t>Schedule 2.6</w:t>
      </w:r>
      <w:r>
        <w:rPr>
          <w:sz w:val="20"/>
          <w:szCs w:val="20"/>
          <w:color w:val="auto"/>
        </w:rPr>
        <w:tab/>
      </w:r>
      <w:r>
        <w:rPr>
          <w:rFonts w:ascii="Times New Roman" w:cs="Times New Roman" w:eastAsia="Times New Roman" w:hAnsi="Times New Roman"/>
          <w:sz w:val="19"/>
          <w:szCs w:val="19"/>
          <w:color w:val="auto"/>
        </w:rPr>
        <w:t>Initial Know-How Transfer</w:t>
      </w:r>
    </w:p>
    <w:p>
      <w:pPr>
        <w:spacing w:after="0" w:line="20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9"/>
          <w:szCs w:val="19"/>
          <w:color w:val="auto"/>
        </w:rPr>
        <w:t>Schedule 4.6</w:t>
        <w:tab/>
        <w:t>Agreed Preparation Activities for Initiation of a [***] Clinical Trial</w:t>
      </w:r>
    </w:p>
    <w:p>
      <w:pPr>
        <w:spacing w:after="0" w:line="20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9"/>
          <w:szCs w:val="19"/>
          <w:color w:val="auto"/>
        </w:rPr>
        <w:t>Schedule 10.4</w:t>
      </w:r>
      <w:r>
        <w:rPr>
          <w:sz w:val="20"/>
          <w:szCs w:val="20"/>
          <w:color w:val="auto"/>
        </w:rPr>
        <w:tab/>
      </w:r>
      <w:r>
        <w:rPr>
          <w:rFonts w:ascii="Times New Roman" w:cs="Times New Roman" w:eastAsia="Times New Roman" w:hAnsi="Times New Roman"/>
          <w:sz w:val="19"/>
          <w:szCs w:val="19"/>
          <w:color w:val="auto"/>
        </w:rPr>
        <w:t>Joint Press Release</w:t>
      </w:r>
    </w:p>
    <w:p>
      <w:pPr>
        <w:sectPr>
          <w:pgSz w:w="11900" w:h="16840" w:orient="portrait"/>
          <w:cols w:equalWidth="0" w:num="1">
            <w:col w:w="10560"/>
          </w:cols>
          <w:pgMar w:left="660" w:top="552" w:right="680" w:bottom="1440" w:gutter="0" w:footer="0" w:header="0"/>
        </w:sectPr>
      </w:pPr>
    </w:p>
    <w:bookmarkStart w:id="564" w:name="page565"/>
    <w:bookmarkEnd w:id="564"/>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This License and Collaboration Agreement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as of March 16,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between </w:t>
      </w:r>
      <w:r>
        <w:rPr>
          <w:rFonts w:ascii="Times New Roman" w:cs="Times New Roman" w:eastAsia="Times New Roman" w:hAnsi="Times New Roman"/>
          <w:sz w:val="19"/>
          <w:szCs w:val="19"/>
          <w:b w:val="1"/>
          <w:bCs w:val="1"/>
          <w:color w:val="auto"/>
        </w:rPr>
        <w:t>Duality Biologics (Suzhou) Co. Ltd.</w:t>
      </w:r>
      <w:r>
        <w:rPr>
          <w:rFonts w:ascii="Times New Roman" w:cs="Times New Roman" w:eastAsia="Times New Roman" w:hAnsi="Times New Roman"/>
          <w:sz w:val="19"/>
          <w:szCs w:val="19"/>
          <w:color w:val="auto"/>
        </w:rPr>
        <w:t>, a corporation organized and existing under the laws of the People’s Republic of China (“</w:t>
      </w:r>
      <w:r>
        <w:rPr>
          <w:rFonts w:ascii="Times New Roman" w:cs="Times New Roman" w:eastAsia="Times New Roman" w:hAnsi="Times New Roman"/>
          <w:sz w:val="19"/>
          <w:szCs w:val="19"/>
          <w:b w:val="1"/>
          <w:bCs w:val="1"/>
          <w:color w:val="auto"/>
        </w:rPr>
        <w:t>Duality</w:t>
      </w:r>
      <w:r>
        <w:rPr>
          <w:rFonts w:ascii="Times New Roman" w:cs="Times New Roman" w:eastAsia="Times New Roman" w:hAnsi="Times New Roman"/>
          <w:sz w:val="19"/>
          <w:szCs w:val="19"/>
          <w:color w:val="auto"/>
        </w:rPr>
        <w:t xml:space="preserve">”), having a place of business at Unit 1105-1106, No 868 Ying Hua Road, Pudong New District, Shanghai, China, and </w:t>
      </w:r>
      <w:r>
        <w:rPr>
          <w:rFonts w:ascii="Times New Roman" w:cs="Times New Roman" w:eastAsia="Times New Roman" w:hAnsi="Times New Roman"/>
          <w:sz w:val="19"/>
          <w:szCs w:val="19"/>
          <w:b w:val="1"/>
          <w:bCs w:val="1"/>
          <w:color w:val="auto"/>
        </w:rPr>
        <w:t xml:space="preserve">BioNTech SE </w:t>
      </w:r>
      <w:r>
        <w:rPr>
          <w:rFonts w:ascii="Times New Roman" w:cs="Times New Roman" w:eastAsia="Times New Roman" w:hAnsi="Times New Roman"/>
          <w:sz w:val="19"/>
          <w:szCs w:val="19"/>
          <w:color w:val="auto"/>
        </w:rPr>
        <w:t>, an company organized and existing under the laws of Germany, having a place of business at An der Goldgrube 12, D-55131 Mainz, Germany (“</w:t>
      </w:r>
      <w:r>
        <w:rPr>
          <w:rFonts w:ascii="Times New Roman" w:cs="Times New Roman" w:eastAsia="Times New Roman" w:hAnsi="Times New Roman"/>
          <w:sz w:val="19"/>
          <w:szCs w:val="19"/>
          <w:b w:val="1"/>
          <w:bCs w:val="1"/>
          <w:color w:val="auto"/>
        </w:rPr>
        <w:t>Licensee</w:t>
      </w:r>
      <w:r>
        <w:rPr>
          <w:rFonts w:ascii="Times New Roman" w:cs="Times New Roman" w:eastAsia="Times New Roman" w:hAnsi="Times New Roman"/>
          <w:sz w:val="19"/>
          <w:szCs w:val="19"/>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Duality is a clinical stage company focusing on the discovery and development of the next generation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therapeutics to treat patients in cancer and autoimmune diseases;</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is engaged in the research, development and commercialization of active immunotherapies for patient-specific approaches to the treatment of diseases;</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desires to obtain from Duality, and Duality desires to grant to Licensee, an exclusive sublicensable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Duality Licensed IP to Develop, Manufacture and Commercialize the Licensed Products in the Field in the Territory (each as defined below), subject to the terms and conditions of this Agreement; and</w:t>
      </w:r>
    </w:p>
    <w:p>
      <w:pPr>
        <w:spacing w:after="0" w:line="132" w:lineRule="exact"/>
        <w:rPr>
          <w:sz w:val="20"/>
          <w:szCs w:val="20"/>
          <w:color w:val="auto"/>
        </w:rPr>
      </w:pPr>
    </w:p>
    <w:p>
      <w:pPr>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desire to collaborate in the Development, Manufacture and Commercialization of the Licensed Products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terms and conditions of this Agreement.</w:t>
      </w:r>
    </w:p>
    <w:p>
      <w:pPr>
        <w:spacing w:after="0" w:line="123" w:lineRule="exact"/>
        <w:rPr>
          <w:sz w:val="20"/>
          <w:szCs w:val="20"/>
          <w:color w:val="auto"/>
        </w:rPr>
      </w:pPr>
    </w:p>
    <w:p>
      <w:pPr>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premises and the mutual covenants herein contained, and for other good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valuable consideration, the receipt and sufficiency of which are hereby acknowledged, Duality and Licensee hereby agree as follows:</w:t>
      </w:r>
    </w:p>
    <w:p>
      <w:pPr>
        <w:spacing w:after="0" w:line="200" w:lineRule="exact"/>
        <w:rPr>
          <w:sz w:val="20"/>
          <w:szCs w:val="20"/>
          <w:color w:val="auto"/>
        </w:rPr>
      </w:pPr>
    </w:p>
    <w:p>
      <w:pPr>
        <w:spacing w:after="0" w:line="3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w:t>
      </w:r>
    </w:p>
    <w:p>
      <w:pPr>
        <w:ind w:left="466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42"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ABC Terms</w:t>
      </w:r>
      <w:r>
        <w:rPr>
          <w:rFonts w:ascii="Times New Roman" w:cs="Times New Roman" w:eastAsia="Times New Roman" w:hAnsi="Times New Roman"/>
          <w:sz w:val="19"/>
          <w:szCs w:val="19"/>
          <w:color w:val="auto"/>
        </w:rPr>
        <w:t xml:space="preserve">” shall mean those terms set out in </w:t>
      </w:r>
      <w:r>
        <w:rPr>
          <w:rFonts w:ascii="Times New Roman" w:cs="Times New Roman" w:eastAsia="Times New Roman" w:hAnsi="Times New Roman"/>
          <w:sz w:val="19"/>
          <w:szCs w:val="19"/>
          <w:b w:val="1"/>
          <w:bCs w:val="1"/>
          <w:color w:val="auto"/>
        </w:rPr>
        <w:t>Schedule 1.1</w:t>
      </w:r>
      <w:r>
        <w:rPr>
          <w:rFonts w:ascii="Times New Roman" w:cs="Times New Roman" w:eastAsia="Times New Roman" w:hAnsi="Times New Roman"/>
          <w:sz w:val="19"/>
          <w:szCs w:val="19"/>
          <w:color w:val="auto"/>
        </w:rPr>
        <w:t xml:space="preserve"> of this Agreement.</w:t>
      </w:r>
    </w:p>
    <w:p>
      <w:pPr>
        <w:spacing w:after="0" w:line="166" w:lineRule="exact"/>
        <w:rPr>
          <w:sz w:val="20"/>
          <w:szCs w:val="20"/>
          <w:color w:val="auto"/>
        </w:rPr>
      </w:pPr>
    </w:p>
    <w:p>
      <w:pPr>
        <w:jc w:val="both"/>
        <w:ind w:left="7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Standards</w:t>
      </w:r>
      <w:r>
        <w:rPr>
          <w:rFonts w:ascii="Times New Roman" w:cs="Times New Roman" w:eastAsia="Times New Roman" w:hAnsi="Times New Roman"/>
          <w:sz w:val="19"/>
          <w:szCs w:val="19"/>
          <w:color w:val="auto"/>
        </w:rPr>
        <w:t>” shall mean with respect to a Selling Party (as defined below) International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Reporting Standards endorsed by the European Union or other applicable standard accounting principles used by Sublicensees.</w:t>
      </w:r>
    </w:p>
    <w:p>
      <w:pPr>
        <w:spacing w:after="0" w:line="123" w:lineRule="exact"/>
        <w:rPr>
          <w:sz w:val="20"/>
          <w:szCs w:val="20"/>
          <w:color w:val="auto"/>
        </w:rPr>
      </w:pPr>
    </w:p>
    <w:p>
      <w:pPr>
        <w:jc w:val="both"/>
        <w:ind w:left="7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ADC</w:t>
      </w:r>
      <w:r>
        <w:rPr>
          <w:rFonts w:ascii="Times New Roman" w:cs="Times New Roman" w:eastAsia="Times New Roman" w:hAnsi="Times New Roman"/>
          <w:sz w:val="19"/>
          <w:szCs w:val="19"/>
          <w:color w:val="auto"/>
        </w:rPr>
        <w:t>” shall mean any construct comprising an Antibody(ies) linked to a non -Antibody chemical species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 or biological activity or function, including non-Antibody chemical species that (i) directly kills, slows or stops the growth of a tumor cell through such compound’s primary mechanism of action (“</w:t>
      </w:r>
      <w:r>
        <w:rPr>
          <w:rFonts w:ascii="Times New Roman" w:cs="Times New Roman" w:eastAsia="Times New Roman" w:hAnsi="Times New Roman"/>
          <w:sz w:val="19"/>
          <w:szCs w:val="19"/>
          <w:b w:val="1"/>
          <w:bCs w:val="1"/>
          <w:color w:val="auto"/>
        </w:rPr>
        <w:t>Cytotoxic Payload</w:t>
      </w:r>
      <w:r>
        <w:rPr>
          <w:rFonts w:ascii="Times New Roman" w:cs="Times New Roman" w:eastAsia="Times New Roman" w:hAnsi="Times New Roman"/>
          <w:sz w:val="19"/>
          <w:szCs w:val="19"/>
          <w:color w:val="auto"/>
        </w:rPr>
        <w:t>”) or (ii) [***].</w:t>
      </w:r>
    </w:p>
    <w:p>
      <w:pPr>
        <w:spacing w:after="0" w:line="132" w:lineRule="exact"/>
        <w:rPr>
          <w:sz w:val="20"/>
          <w:szCs w:val="20"/>
          <w:color w:val="auto"/>
        </w:rPr>
      </w:pPr>
    </w:p>
    <w:p>
      <w:pPr>
        <w:jc w:val="both"/>
        <w:ind w:left="720"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Active(s)</w:t>
      </w:r>
      <w:r>
        <w:rPr>
          <w:rFonts w:ascii="Times New Roman" w:cs="Times New Roman" w:eastAsia="Times New Roman" w:hAnsi="Times New Roman"/>
          <w:sz w:val="19"/>
          <w:szCs w:val="19"/>
          <w:color w:val="auto"/>
        </w:rPr>
        <w:t>” shall mean any active pharmaceutical or biologic ingredient(s) that is not the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Compound.</w:t>
      </w:r>
    </w:p>
    <w:p>
      <w:pPr>
        <w:spacing w:after="0" w:line="123" w:lineRule="exact"/>
        <w:rPr>
          <w:sz w:val="20"/>
          <w:szCs w:val="20"/>
          <w:color w:val="auto"/>
        </w:rPr>
      </w:pPr>
    </w:p>
    <w:p>
      <w:pPr>
        <w:jc w:val="both"/>
        <w:ind w:left="720"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mean any company or entity controlled by, controlling, or under common control with a Party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another entity. For the purpose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Page 1 of 102</w:t>
      </w:r>
    </w:p>
    <w:p>
      <w:pPr>
        <w:sectPr>
          <w:pgSz w:w="11900" w:h="16840" w:orient="portrait"/>
          <w:cols w:equalWidth="0" w:num="1">
            <w:col w:w="10580"/>
          </w:cols>
          <w:pgMar w:left="660" w:top="1440" w:right="660" w:bottom="1440" w:gutter="0" w:footer="0" w:header="0"/>
        </w:sectPr>
      </w:pPr>
    </w:p>
    <w:bookmarkStart w:id="565" w:name="page566"/>
    <w:bookmarkEnd w:id="565"/>
    <w:p>
      <w:pPr>
        <w:spacing w:after="0" w:line="255" w:lineRule="exact"/>
        <w:rPr>
          <w:sz w:val="20"/>
          <w:szCs w:val="20"/>
          <w:color w:val="auto"/>
        </w:rPr>
      </w:pPr>
    </w:p>
    <w:p>
      <w:pPr>
        <w:jc w:val="both"/>
        <w:ind w:left="140"/>
        <w:spacing w:after="0" w:line="227" w:lineRule="auto"/>
        <w:rPr>
          <w:sz w:val="20"/>
          <w:szCs w:val="20"/>
          <w:color w:val="auto"/>
        </w:rPr>
      </w:pPr>
      <w:r>
        <w:rPr>
          <w:rFonts w:ascii="Times New Roman" w:cs="Times New Roman" w:eastAsia="Times New Roman" w:hAnsi="Times New Roman"/>
          <w:sz w:val="19"/>
          <w:szCs w:val="19"/>
          <w:color w:val="auto"/>
        </w:rPr>
        <w:t>an entity shall be deemed to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another entity, if it owns directly or indirectly, more than fifty percent (50%) of the outstanding voting securities, capital stock, or other comparable equity or ownership interest of such entity, or possession, direct or indirect, of the power to direct or cause the direction of the management or policies of an entity (whether through ownership of securities or other ownership interests, by contract or otherwise).</w:t>
      </w:r>
    </w:p>
    <w:p>
      <w:pPr>
        <w:spacing w:after="0" w:line="13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shall have the meaning provided in Section 3.9.</w:t>
      </w:r>
    </w:p>
    <w:p>
      <w:pPr>
        <w:spacing w:after="0" w:line="163"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Net Sales</w:t>
      </w:r>
      <w:r>
        <w:rPr>
          <w:rFonts w:ascii="Times New Roman" w:cs="Times New Roman" w:eastAsia="Times New Roman" w:hAnsi="Times New Roman"/>
          <w:sz w:val="19"/>
          <w:szCs w:val="19"/>
          <w:color w:val="auto"/>
        </w:rPr>
        <w:t>” shall mean for a particular Licensed Product the total Net Sales for a particular Calendar</w:t>
      </w:r>
    </w:p>
    <w:p>
      <w:pPr>
        <w:ind w:left="140"/>
        <w:spacing w:after="0"/>
        <w:rPr>
          <w:sz w:val="20"/>
          <w:szCs w:val="20"/>
          <w:color w:val="auto"/>
        </w:rPr>
      </w:pPr>
      <w:r>
        <w:rPr>
          <w:rFonts w:ascii="Times New Roman" w:cs="Times New Roman" w:eastAsia="Times New Roman" w:hAnsi="Times New Roman"/>
          <w:sz w:val="19"/>
          <w:szCs w:val="19"/>
          <w:color w:val="auto"/>
        </w:rPr>
        <w:t>Year.</w:t>
      </w:r>
    </w:p>
    <w:p>
      <w:pPr>
        <w:spacing w:after="0" w:line="142" w:lineRule="exact"/>
        <w:rPr>
          <w:sz w:val="20"/>
          <w:szCs w:val="20"/>
          <w:color w:val="auto"/>
        </w:rPr>
      </w:pPr>
    </w:p>
    <w:p>
      <w:pPr>
        <w:jc w:val="both"/>
        <w:ind w:left="14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Antibody</w:t>
      </w:r>
      <w:r>
        <w:rPr>
          <w:rFonts w:ascii="Times New Roman" w:cs="Times New Roman" w:eastAsia="Times New Roman" w:hAnsi="Times New Roman"/>
          <w:sz w:val="19"/>
          <w:szCs w:val="19"/>
          <w:color w:val="auto"/>
        </w:rPr>
        <w:t>” shall mean any antibody (including murine, chimeric, human, humanized, recombinant, transgenic,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grafted, phage display derived, or single chain antibody), or antigen binding fragment thereof. [***].</w:t>
      </w:r>
    </w:p>
    <w:p>
      <w:pPr>
        <w:spacing w:after="0" w:line="123" w:lineRule="exact"/>
        <w:rPr>
          <w:sz w:val="20"/>
          <w:szCs w:val="20"/>
          <w:color w:val="auto"/>
        </w:rPr>
      </w:pPr>
    </w:p>
    <w:p>
      <w:pPr>
        <w:jc w:val="both"/>
        <w:ind w:left="140"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Anti-Corruption Laws” </w:t>
      </w:r>
      <w:r>
        <w:rPr>
          <w:rFonts w:ascii="Times New Roman" w:cs="Times New Roman" w:eastAsia="Times New Roman" w:hAnsi="Times New Roman"/>
          <w:sz w:val="19"/>
          <w:szCs w:val="19"/>
          <w:color w:val="auto"/>
        </w:rPr>
        <w:t>means all applicable anti -bribery and anti-corruption laws and regulations,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U.S. Foreign Corrupt Practices Act of 1977, the U.K. Bribery Act 2010 and the PRC Anti- Money Laundering Law and the comparable Applicable Laws of any countries in which candidates or Licensed Products, payments or services will be provided or procured under or pursuant to this Agreement.</w:t>
      </w:r>
    </w:p>
    <w:p>
      <w:pPr>
        <w:spacing w:after="0" w:line="134" w:lineRule="exact"/>
        <w:rPr>
          <w:sz w:val="20"/>
          <w:szCs w:val="20"/>
          <w:color w:val="auto"/>
        </w:rPr>
      </w:pPr>
    </w:p>
    <w:p>
      <w:pPr>
        <w:jc w:val="both"/>
        <w:ind w:left="140" w:firstLine="432"/>
        <w:spacing w:after="0"/>
        <w:rPr>
          <w:sz w:val="20"/>
          <w:szCs w:val="20"/>
          <w:color w:val="auto"/>
        </w:rPr>
      </w:pPr>
      <w:r>
        <w:rPr>
          <w:rFonts w:ascii="Times New Roman" w:cs="Times New Roman" w:eastAsia="Times New Roman" w:hAnsi="Times New Roman"/>
          <w:sz w:val="19"/>
          <w:szCs w:val="19"/>
          <w:b w:val="1"/>
          <w:bCs w:val="1"/>
          <w:color w:val="auto"/>
        </w:rPr>
        <w:t xml:space="preserve">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Laws</w:t>
      </w:r>
      <w:r>
        <w:rPr>
          <w:rFonts w:ascii="Times New Roman" w:cs="Times New Roman" w:eastAsia="Times New Roman" w:hAnsi="Times New Roman"/>
          <w:sz w:val="19"/>
          <w:szCs w:val="19"/>
          <w:color w:val="auto"/>
        </w:rPr>
        <w:t>” shall mean collectively the applicable provisions of any and all national, supranational,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regional, state and local laws, treaties, statutes, rules, regulations, administrative codes, guidance, ordinances, judgments, decrees, directives, injunctions, orders, of any Governmental Authority and any license, franchise, permit or similar right granted under any of the foregoing (including Regulatory Approvals) and any policies and other requirements of or from any court, arbitrator, Regulatory Authority or governmental agency or Governmental Authority having jurisdiction over or related to the subject item or subject person, including all applicable GXPs, Anti-Corruption Laws, Applicable Data Protection Laws, accounting and recordkeeping laws, export control laws and laws relating to interactions with health care professionals and government officials.</w:t>
      </w:r>
    </w:p>
    <w:p>
      <w:pPr>
        <w:spacing w:after="0" w:line="199" w:lineRule="exact"/>
        <w:rPr>
          <w:sz w:val="20"/>
          <w:szCs w:val="20"/>
          <w:color w:val="auto"/>
        </w:rPr>
      </w:pPr>
    </w:p>
    <w:p>
      <w:pPr>
        <w:jc w:val="both"/>
        <w:ind w:left="14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Data Protection Law</w:t>
      </w:r>
      <w:r>
        <w:rPr>
          <w:rFonts w:ascii="Times New Roman" w:cs="Times New Roman" w:eastAsia="Times New Roman" w:hAnsi="Times New Roman"/>
          <w:sz w:val="19"/>
          <w:szCs w:val="19"/>
          <w:color w:val="auto"/>
        </w:rPr>
        <w:t>” shall mean all Applicable Laws in any jurisdiction relating to privacy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processing or protection of personal data or personal information, including the General Data Protection Regulation (EU) 2016/679 (GDPR), the UK Data Protection Act 2018, the e-Privacy Directive (2002/58/EC) and the comparable in other jurisdictions and all guidance issued by any applicable data protection authority.</w:t>
      </w:r>
    </w:p>
    <w:p>
      <w:pPr>
        <w:spacing w:after="0" w:line="134"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Biosimilar Product</w:t>
      </w:r>
      <w:r>
        <w:rPr>
          <w:rFonts w:ascii="Times New Roman" w:cs="Times New Roman" w:eastAsia="Times New Roman" w:hAnsi="Times New Roman"/>
          <w:sz w:val="19"/>
          <w:szCs w:val="19"/>
          <w:color w:val="auto"/>
        </w:rPr>
        <w:t>” shall mean with respect to a particular Licensed Product in a given country, a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comprising an ADC sold by a Third Party not authorized by Licensee or its Affiliates or Sublicensees that is approved by the applicable Regulatory Authority for such country through an application or submission filed with a Regulatory Authority for marketing approval of a biologic product claimed to be biosimilar or interchangeable to such Licensed Product, including an application filed under 42 U.S.C. § 262(k) (or any successor thereto) or any similar laws or regulations in a country outside the United States in reliance on data generated for a Regulatory Approval of such Licensed Product.</w:t>
      </w:r>
    </w:p>
    <w:p>
      <w:pPr>
        <w:spacing w:after="0" w:line="132" w:lineRule="exact"/>
        <w:rPr>
          <w:sz w:val="20"/>
          <w:szCs w:val="20"/>
          <w:color w:val="auto"/>
        </w:rPr>
      </w:pPr>
    </w:p>
    <w:p>
      <w:pPr>
        <w:ind w:left="140"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shall mean any day that is not a Saturday, a Sunday or any other day on which banks are required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authorized by law to close in Mainz,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Page 2 of 102</w:t>
      </w:r>
    </w:p>
    <w:p>
      <w:pPr>
        <w:sectPr>
          <w:pgSz w:w="11900" w:h="16840" w:orient="portrait"/>
          <w:cols w:equalWidth="0" w:num="1">
            <w:col w:w="10000"/>
          </w:cols>
          <w:pgMar w:left="1240" w:top="1440" w:right="660" w:bottom="1440" w:gutter="0" w:footer="0" w:header="0"/>
        </w:sectPr>
      </w:pPr>
    </w:p>
    <w:bookmarkStart w:id="566" w:name="page567"/>
    <w:bookmarkEnd w:id="566"/>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Rhineland-Palatine (in Germany) or any government mandated holiday in Mainland China.</w:t>
      </w:r>
    </w:p>
    <w:p>
      <w:pPr>
        <w:spacing w:after="0" w:line="164"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shall mean each period of three (3) consecutive months commencing on January 1, April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1 or October 1 (or any portion thereof at the beginning or end of the Term or other relevant period).</w:t>
      </w:r>
    </w:p>
    <w:p>
      <w:pPr>
        <w:spacing w:after="0" w:line="123"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Calendar Year </w:t>
      </w:r>
      <w:r>
        <w:rPr>
          <w:rFonts w:ascii="Times New Roman" w:cs="Times New Roman" w:eastAsia="Times New Roman" w:hAnsi="Times New Roman"/>
          <w:sz w:val="19"/>
          <w:szCs w:val="19"/>
          <w:color w:val="auto"/>
        </w:rPr>
        <w:t>” shall mean each period of twelve (12) consecutive months commencing on January 1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ending on December 31 (or any portion thereof at the beginning or end of the Term or other relevant period).</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Cell Banks</w:t>
      </w:r>
      <w:r>
        <w:rPr>
          <w:rFonts w:ascii="Times New Roman" w:cs="Times New Roman" w:eastAsia="Times New Roman" w:hAnsi="Times New Roman"/>
          <w:sz w:val="19"/>
          <w:szCs w:val="19"/>
          <w:color w:val="auto"/>
        </w:rPr>
        <w:t>” shall have the meaning provided in Section 6.3.</w:t>
      </w:r>
    </w:p>
    <w:p>
      <w:pPr>
        <w:spacing w:after="0" w:line="166"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9"/>
          <w:szCs w:val="19"/>
          <w:b w:val="1"/>
          <w:bCs w:val="1"/>
          <w:color w:val="auto"/>
        </w:rPr>
        <w:t xml:space="preserve">1.17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with respect to either Party: (a) a merger, acquisition, reorganization,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consolidation of such Party 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immediately after such merger, acquisition, reorganization, or consolidation; (b) a transaction or series of related transactions in which a Third Party, together with its Affiliates, becomes the beneficial owner, directly or indirectly, of more than fifty percent (50%) of the combined voting power of the outstanding securities of such Party; or (c) a transfer to a Third Party of all or substantially all of its assets relating to this Agreement.</w:t>
      </w:r>
    </w:p>
    <w:p>
      <w:pPr>
        <w:spacing w:after="0" w:line="199"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Clinical Trial</w:t>
      </w:r>
      <w:r>
        <w:rPr>
          <w:rFonts w:ascii="Times New Roman" w:cs="Times New Roman" w:eastAsia="Times New Roman" w:hAnsi="Times New Roman"/>
          <w:sz w:val="19"/>
          <w:szCs w:val="19"/>
          <w:color w:val="auto"/>
        </w:rPr>
        <w:t>” shall mean a Phase I Clinical Trial, Phase II Clinical Trial, Phase III Clinical Trial, Registrational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 or other human clinical trial conducted after the Regulatory Approval of a product in a country, which trial may be conducted to (a) enhance scientific knowledge of such product (e.g., for expansion of product labeling), (b) due to a request or requirement of a Regulatory Authority in such country, (c) is otherwise designed to establish that a product is reasonably safe for continued testing and to identify adverse reactions and ascertain the safety of the product, or (d) investigate the safety and efficacy of the product for its intended use, and to define warnings, precautions and adverse reactions that may be associated with the product in the dosage range to be prescribed.</w:t>
      </w:r>
    </w:p>
    <w:p>
      <w:pPr>
        <w:spacing w:after="0" w:line="135"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1.19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w:t>
      </w:r>
      <w:r>
        <w:rPr>
          <w:rFonts w:ascii="Times New Roman" w:cs="Times New Roman" w:eastAsia="Times New Roman" w:hAnsi="Times New Roman"/>
          <w:sz w:val="19"/>
          <w:szCs w:val="19"/>
          <w:color w:val="auto"/>
        </w:rPr>
        <w:t>” means chemistry, manufacturing and controls with respect to the Licensed Compound or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Products.</w:t>
      </w:r>
    </w:p>
    <w:p>
      <w:pPr>
        <w:spacing w:after="0" w:line="35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CMO</w:t>
      </w:r>
      <w:r>
        <w:rPr>
          <w:rFonts w:ascii="Times New Roman" w:cs="Times New Roman" w:eastAsia="Times New Roman" w:hAnsi="Times New Roman"/>
          <w:sz w:val="19"/>
          <w:szCs w:val="19"/>
          <w:color w:val="auto"/>
        </w:rPr>
        <w:t>” shall mean a Third Party contract manufacturing organization.</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IP</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Product</w:t>
      </w:r>
      <w:r>
        <w:rPr>
          <w:rFonts w:ascii="Times New Roman" w:cs="Times New Roman" w:eastAsia="Times New Roman" w:hAnsi="Times New Roman"/>
          <w:sz w:val="19"/>
          <w:szCs w:val="19"/>
          <w:color w:val="auto"/>
        </w:rPr>
        <w:t>” shall mean a [***].</w:t>
      </w:r>
    </w:p>
    <w:p>
      <w:pPr>
        <w:spacing w:after="0" w:line="166" w:lineRule="exact"/>
        <w:rPr>
          <w:sz w:val="20"/>
          <w:szCs w:val="20"/>
          <w:color w:val="auto"/>
        </w:rPr>
      </w:pPr>
    </w:p>
    <w:p>
      <w:pPr>
        <w:jc w:val="both"/>
        <w:ind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w:t>
      </w:r>
      <w:r>
        <w:rPr>
          <w:rFonts w:ascii="Times New Roman" w:cs="Times New Roman" w:eastAsia="Times New Roman" w:hAnsi="Times New Roman"/>
          <w:sz w:val="19"/>
          <w:szCs w:val="19"/>
          <w:color w:val="auto"/>
        </w:rPr>
        <w:t>” shall mean, with respect to a product, any and all activities undertaken before and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obtaining Regulatory Approvals relating specifically to the pre -launch, launch, promotion, detailing, marketing, pricing, reimbursement, sale, importing, exporting or transporting such product, and distribution of such product, including strategic marketing, sales force detailing, advertising, market product support, all customer support, product distribution, and invoicing and sales activities, but excluding Development and Manufacturing. “</w:t>
      </w:r>
      <w:r>
        <w:rPr>
          <w:rFonts w:ascii="Times New Roman" w:cs="Times New Roman" w:eastAsia="Times New Roman" w:hAnsi="Times New Roman"/>
          <w:sz w:val="19"/>
          <w:szCs w:val="19"/>
          <w:b w:val="1"/>
          <w:bCs w:val="1"/>
          <w:color w:val="auto"/>
        </w:rPr>
        <w:t>Commercialize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Commercialized”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Commercializing</w:t>
      </w:r>
      <w:r>
        <w:rPr>
          <w:rFonts w:ascii="Times New Roman" w:cs="Times New Roman" w:eastAsia="Times New Roman" w:hAnsi="Times New Roman"/>
          <w:sz w:val="19"/>
          <w:szCs w:val="19"/>
          <w:color w:val="auto"/>
        </w:rPr>
        <w:t>” shall have the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color w:val="auto"/>
        </w:rPr>
        <w:t>Page 3 of 102</w:t>
      </w:r>
    </w:p>
    <w:p>
      <w:pPr>
        <w:sectPr>
          <w:pgSz w:w="11900" w:h="16840" w:orient="portrait"/>
          <w:cols w:equalWidth="0" w:num="1">
            <w:col w:w="9860"/>
          </w:cols>
          <w:pgMar w:left="1380" w:top="1440" w:right="660" w:bottom="1440" w:gutter="0" w:footer="0" w:header="0"/>
        </w:sectPr>
      </w:pPr>
    </w:p>
    <w:bookmarkStart w:id="567" w:name="page568"/>
    <w:bookmarkEnd w:id="567"/>
    <w:p>
      <w:pPr>
        <w:spacing w:after="0" w:line="25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shall have the meaning provided in Section 7.2.</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meaning given in Section 3.3.</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Competitive Change of Control” </w:t>
      </w:r>
      <w:r>
        <w:rPr>
          <w:rFonts w:ascii="Times New Roman" w:cs="Times New Roman" w:eastAsia="Times New Roman" w:hAnsi="Times New Roman"/>
          <w:sz w:val="19"/>
          <w:szCs w:val="19"/>
          <w:color w:val="auto"/>
        </w:rPr>
        <w:t>shall mean a Change of Control of Duality where the incoming Third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and/or its Affiliates is a Competitor.</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shall mean all Know-How and other proprietary scientific, technical,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financial or commercial information or Data Controlled by a Party or its Affiliates, which one Party or any of its Affiliates has furnished or made available to the other Party or its Affiliates, whether in oral, written or electronic form. The existence and terms of this Agreement shall be deemed Confidential Information of each Party.</w:t>
      </w:r>
    </w:p>
    <w:p>
      <w:pPr>
        <w:spacing w:after="0" w:line="134"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9"/>
          <w:szCs w:val="19"/>
          <w:b w:val="1"/>
          <w:bCs w:val="1"/>
          <w:color w:val="auto"/>
        </w:rPr>
        <w:t xml:space="preserve">1.31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(including any variations such as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Controlling</w:t>
      </w:r>
      <w:r>
        <w:rPr>
          <w:rFonts w:ascii="Times New Roman" w:cs="Times New Roman" w:eastAsia="Times New Roman" w:hAnsi="Times New Roman"/>
          <w:sz w:val="19"/>
          <w:szCs w:val="19"/>
          <w:color w:val="auto"/>
        </w:rPr>
        <w:t>”) shall mean, with respect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Know-How, Patents or other intellectual property rights, possession by a Party or Third Party of the right, power and authority (whether by ownership, license or otherwise, other than by virtue of any rights granted under this Agreement) to grant access to, to grant use of, or to grant a license or a sublicense to such Know-How, Patents or intellectual property rights without violating the terms of any agreement or other arrangement with any Third Party. Notwithstanding anything in this Agreement to the contrary, a Party and its Affiliates will be deemed to not Control any Know-How, Patents, or other intellectual property rights that are in- licensed or acquired by such Party or its Affiliates from a Third Party after the Effective Date, unless the other Party agrees to (a) comply with the terms and conditions of the agreement under which such Know -How, Patents, or other intellectual property rights were in-licensed or acquired by such Party; and (b) pay all amounts that such Party would be obligated to pay in connection with the grant, maintenance and exercise of a (sub)license as reasonably allocable to such other Party for use in its territory under such Know-How, Patents, or other intellectual property rights.</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CRO</w:t>
      </w:r>
      <w:r>
        <w:rPr>
          <w:rFonts w:ascii="Times New Roman" w:cs="Times New Roman" w:eastAsia="Times New Roman" w:hAnsi="Times New Roman"/>
          <w:sz w:val="19"/>
          <w:szCs w:val="19"/>
          <w:color w:val="auto"/>
        </w:rPr>
        <w:t>” shall mean a contract research organization.</w:t>
      </w:r>
    </w:p>
    <w:p>
      <w:pPr>
        <w:spacing w:after="0" w:line="166" w:lineRule="exact"/>
        <w:rPr>
          <w:sz w:val="20"/>
          <w:szCs w:val="20"/>
          <w:color w:val="auto"/>
        </w:rPr>
      </w:pPr>
    </w:p>
    <w:p>
      <w:pPr>
        <w:jc w:val="both"/>
        <w:ind w:right="2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1.34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 shall mean all data, including non-clinical data, preclinical data and clinical data,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pharmacological, biological, chemical, toxicological, clinical test, safety, clinical and analytical information, quality control, trial, stability and manufacturing processes and techniques data generated by or on behalf of a Party or its Affiliates or their respective Sublicensees (in case of Licensee) and (sub)licensees (in the case of Duality) pursuant to activities conducted under this Agreement.</w:t>
      </w:r>
    </w:p>
    <w:p>
      <w:pPr>
        <w:spacing w:after="0" w:line="1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1.35</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1. 36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shall mean, with respect to a pharmaceutical or biological product, any research activities, all non-clinical and clinical drug development activities and processes, [***], regulatory affairs and other activities, in each case,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color w:val="auto"/>
        </w:rPr>
        <w:t>Page 4 of 102</w:t>
      </w:r>
    </w:p>
    <w:p>
      <w:pPr>
        <w:sectPr>
          <w:pgSz w:w="11900" w:h="16840" w:orient="portrait"/>
          <w:cols w:equalWidth="0" w:num="1">
            <w:col w:w="9860"/>
          </w:cols>
          <w:pgMar w:left="1380" w:top="1440" w:right="660" w:bottom="1440" w:gutter="0" w:footer="0" w:header="0"/>
        </w:sectPr>
      </w:pPr>
    </w:p>
    <w:bookmarkStart w:id="568" w:name="page569"/>
    <w:bookmarkEnd w:id="568"/>
    <w:p>
      <w:pPr>
        <w:spacing w:after="0" w:line="2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reasonably necessary to prepare submissions for, and obtain or maintain, Regulatory Approval of such product and interacting with Regulatory Authorities regarding the foregoing, including lifecycle management studies and other activities. “</w:t>
      </w:r>
      <w:r>
        <w:rPr>
          <w:rFonts w:ascii="Times New Roman" w:cs="Times New Roman" w:eastAsia="Times New Roman" w:hAnsi="Times New Roman"/>
          <w:sz w:val="19"/>
          <w:szCs w:val="19"/>
          <w:b w:val="1"/>
          <w:bCs w:val="1"/>
          <w:color w:val="auto"/>
        </w:rPr>
        <w:t>Develop</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Developed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Developing</w:t>
      </w:r>
      <w:r>
        <w:rPr>
          <w:rFonts w:ascii="Times New Roman" w:cs="Times New Roman" w:eastAsia="Times New Roman" w:hAnsi="Times New Roman"/>
          <w:sz w:val="19"/>
          <w:szCs w:val="19"/>
          <w:color w:val="auto"/>
        </w:rPr>
        <w:t>” shall have the correlative meanings.</w:t>
      </w:r>
    </w:p>
    <w:p>
      <w:pPr>
        <w:spacing w:after="0" w:line="1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Budget</w:t>
      </w:r>
      <w:r>
        <w:rPr>
          <w:rFonts w:ascii="Times New Roman" w:cs="Times New Roman" w:eastAsia="Times New Roman" w:hAnsi="Times New Roman"/>
          <w:sz w:val="19"/>
          <w:szCs w:val="19"/>
          <w:color w:val="auto"/>
        </w:rPr>
        <w:t>” shall have the meaning as set forth in Section 1.39.</w:t>
      </w:r>
    </w:p>
    <w:p>
      <w:pPr>
        <w:spacing w:after="0" w:line="16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1.38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Phase</w:t>
      </w:r>
      <w:r>
        <w:rPr>
          <w:rFonts w:ascii="Times New Roman" w:cs="Times New Roman" w:eastAsia="Times New Roman" w:hAnsi="Times New Roman"/>
          <w:sz w:val="19"/>
          <w:szCs w:val="19"/>
          <w:color w:val="auto"/>
        </w:rPr>
        <w:t>” shall mean the period from the Effective Date to the First Commercial Sale of the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ADC Licensed Product during which either Party is conducting any Development activities for an Original ADC Licensed Product or Licensed Compound.</w:t>
      </w:r>
    </w:p>
    <w:p>
      <w:pPr>
        <w:spacing w:after="0" w:line="13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Plan</w:t>
      </w:r>
      <w:r>
        <w:rPr>
          <w:rFonts w:ascii="Times New Roman" w:cs="Times New Roman" w:eastAsia="Times New Roman" w:hAnsi="Times New Roman"/>
          <w:sz w:val="19"/>
          <w:szCs w:val="19"/>
          <w:color w:val="auto"/>
        </w:rPr>
        <w:t>” shall mean a written plan approved by the JSC, describing [***]. The initial Development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unless otherwise agreed on by the Parties, will be agreed by the Parties latest within [***] of the Effective Date.</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Divestiture</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have the meaning provided in Section 15.2.</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shall have the meaning provided in Section 12.1(a).</w:t>
      </w:r>
    </w:p>
    <w:p>
      <w:pPr>
        <w:spacing w:after="0" w:line="16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1.44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Duality Costs </w:t>
      </w:r>
      <w:r>
        <w:rPr>
          <w:rFonts w:ascii="Times New Roman" w:cs="Times New Roman" w:eastAsia="Times New Roman" w:hAnsi="Times New Roman"/>
          <w:sz w:val="19"/>
          <w:szCs w:val="19"/>
          <w:color w:val="auto"/>
        </w:rPr>
        <w:t>” shall mean any and all costs and expenses that are reasonably incurred by or on behalf of Duality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its applicable Affiliates after the Effective Date in conducting the Ongoing Trials and/or performing other Development activities as agreed hereunder in the Territory pursuant to this Agreement and/or the Development Plan. [***]</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CMO</w:t>
      </w:r>
      <w:r>
        <w:rPr>
          <w:rFonts w:ascii="Times New Roman" w:cs="Times New Roman" w:eastAsia="Times New Roman" w:hAnsi="Times New Roman"/>
          <w:sz w:val="19"/>
          <w:szCs w:val="19"/>
          <w:color w:val="auto"/>
        </w:rPr>
        <w:t>” shall mean any CMO engaged by Duality or any Affiliate of Duality.</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1.47</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Indemnitees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1.49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Know-How</w:t>
      </w:r>
      <w:r>
        <w:rPr>
          <w:rFonts w:ascii="Times New Roman" w:cs="Times New Roman" w:eastAsia="Times New Roman" w:hAnsi="Times New Roman"/>
          <w:sz w:val="19"/>
          <w:szCs w:val="19"/>
          <w:color w:val="auto"/>
        </w:rPr>
        <w:t>” shall mean any and all Know-How (including Data) that (a) is Controlled by Duality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its Affiliates as of the Effective Date or at any time during the Term and (b) are necessary or reasonably useful for the Development, Manufacture or Commercialization of or to otherwise exploit the Licensed Compound or Licensed Products in the Field in the Territory, including but not limited with respect to (a) and (b), the Know -How (including Data) contained in Duality Solely Owned Collaboration IP, [***]. Notwithstanding the foregoing, Duality Know- How shall not include (i) any Know -How (including Data) Controlled by any Third Party that becomes an Affiliate of Duality after the Effective Date as a result of a merger, acquisition or other similar transaction, unless such Know -How (including Data) is used by either Party in the Development, Manufacturing or Commercialization of the Licensed Compound or Licensed Products, and (ii) any Know-How that is related to any Additional Active or other proprietary compound or product Controlled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color w:val="auto"/>
        </w:rPr>
        <w:t>Page 5 of 102</w:t>
      </w:r>
    </w:p>
    <w:p>
      <w:pPr>
        <w:sectPr>
          <w:pgSz w:w="11900" w:h="16840" w:orient="portrait"/>
          <w:cols w:equalWidth="0" w:num="1">
            <w:col w:w="9860"/>
          </w:cols>
          <w:pgMar w:left="1380" w:top="1440" w:right="660" w:bottom="1440" w:gutter="0" w:footer="0" w:header="0"/>
        </w:sectPr>
      </w:pPr>
    </w:p>
    <w:bookmarkStart w:id="569" w:name="page570"/>
    <w:bookmarkEnd w:id="569"/>
    <w:p>
      <w:pPr>
        <w:spacing w:after="0" w:line="2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Duality or any of its Affiliates. A description of Duality Know-How as of the Effective Date is attached hereto on </w:t>
      </w:r>
      <w:r>
        <w:rPr>
          <w:rFonts w:ascii="Times New Roman" w:cs="Times New Roman" w:eastAsia="Times New Roman" w:hAnsi="Times New Roman"/>
          <w:sz w:val="19"/>
          <w:szCs w:val="19"/>
          <w:b w:val="1"/>
          <w:bCs w:val="1"/>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1.49</w:t>
      </w:r>
      <w:r>
        <w:rPr>
          <w:rFonts w:ascii="Times New Roman" w:cs="Times New Roman" w:eastAsia="Times New Roman" w:hAnsi="Times New Roman"/>
          <w:sz w:val="19"/>
          <w:szCs w:val="19"/>
          <w:color w:val="auto"/>
        </w:rPr>
        <w:t>.</w:t>
      </w:r>
    </w:p>
    <w:p>
      <w:pPr>
        <w:spacing w:after="0" w:line="35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Licensed IP</w:t>
      </w:r>
      <w:r>
        <w:rPr>
          <w:rFonts w:ascii="Times New Roman" w:cs="Times New Roman" w:eastAsia="Times New Roman" w:hAnsi="Times New Roman"/>
          <w:sz w:val="19"/>
          <w:szCs w:val="19"/>
          <w:color w:val="auto"/>
        </w:rPr>
        <w:t>” shall mean Duality Know-How and Duality Patents.</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1.52 “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mean any new or useful invention, discovery, adaptation, redesign, modification, improvement,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enhancement, contribution or other desirable change generated in the course of performing activities under this Agreement that is solely relating to [***].</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1.53</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 Patents</w:t>
      </w:r>
      <w:r>
        <w:rPr>
          <w:rFonts w:ascii="Times New Roman" w:cs="Times New Roman" w:eastAsia="Times New Roman" w:hAnsi="Times New Roman"/>
          <w:sz w:val="19"/>
          <w:szCs w:val="19"/>
          <w:color w:val="auto"/>
        </w:rPr>
        <w:t>” shall mean any and all Duality Patents claiming the Duality Linker-Payload.</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Patents</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Product Patents</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IP</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EC Indication</w:t>
      </w:r>
      <w:r>
        <w:rPr>
          <w:rFonts w:ascii="Times New Roman" w:cs="Times New Roman" w:eastAsia="Times New Roman" w:hAnsi="Times New Roman"/>
          <w:sz w:val="19"/>
          <w:szCs w:val="19"/>
          <w:color w:val="auto"/>
        </w:rPr>
        <w:t>” means endometrial cancer.</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shall have the meaning provided in the introductory paragraph of this Agreement.</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Election Notice</w:t>
      </w:r>
      <w:r>
        <w:rPr>
          <w:rFonts w:ascii="Times New Roman" w:cs="Times New Roman" w:eastAsia="Times New Roman" w:hAnsi="Times New Roman"/>
          <w:sz w:val="19"/>
          <w:szCs w:val="19"/>
          <w:color w:val="auto"/>
        </w:rPr>
        <w:t>” shall have the meaning given in Section 2.8.</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EMA</w:t>
      </w:r>
      <w:r>
        <w:rPr>
          <w:rFonts w:ascii="Times New Roman" w:cs="Times New Roman" w:eastAsia="Times New Roman" w:hAnsi="Times New Roman"/>
          <w:sz w:val="19"/>
          <w:szCs w:val="19"/>
          <w:color w:val="auto"/>
        </w:rPr>
        <w:t>” means shall mean the European Medicines Agency and any successor entity thereto.</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EC Expansion Trial</w:t>
      </w:r>
      <w:r>
        <w:rPr>
          <w:rFonts w:ascii="Times New Roman" w:cs="Times New Roman" w:eastAsia="Times New Roman" w:hAnsi="Times New Roman"/>
          <w:sz w:val="19"/>
          <w:szCs w:val="19"/>
          <w:color w:val="auto"/>
        </w:rPr>
        <w:t>” shall have the meaning set forth in Section 1.133 in the definition of “Phase II Dose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Expansion Trial.”</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shall have the meaning provided in Section 3.5.</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shall mean the U.S. Food and Drug Administration and any successor entity thereto.</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Field</w:t>
      </w:r>
      <w:r>
        <w:rPr>
          <w:rFonts w:ascii="Times New Roman" w:cs="Times New Roman" w:eastAsia="Times New Roman" w:hAnsi="Times New Roman"/>
          <w:sz w:val="19"/>
          <w:szCs w:val="19"/>
          <w:color w:val="auto"/>
        </w:rPr>
        <w:t>” shall mean all uses.</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Commercial Sale</w:t>
      </w:r>
      <w:r>
        <w:rPr>
          <w:rFonts w:ascii="Times New Roman" w:cs="Times New Roman" w:eastAsia="Times New Roman" w:hAnsi="Times New Roman"/>
          <w:sz w:val="19"/>
          <w:szCs w:val="19"/>
          <w:color w:val="auto"/>
        </w:rPr>
        <w:t>” shall mean, with respect to an Original ADC Licensed Product, [***]</w:t>
      </w:r>
      <w:r>
        <w:rPr>
          <w:rFonts w:ascii="Arial" w:cs="Arial" w:eastAsia="Arial" w:hAnsi="Arial"/>
          <w:sz w:val="14"/>
          <w:szCs w:val="14"/>
          <w:color w:val="auto"/>
        </w:rPr>
        <w:t>.</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Dosing</w:t>
      </w:r>
      <w:r>
        <w:rPr>
          <w:rFonts w:ascii="Times New Roman" w:cs="Times New Roman" w:eastAsia="Times New Roman" w:hAnsi="Times New Roman"/>
          <w:sz w:val="19"/>
          <w:szCs w:val="19"/>
          <w:color w:val="auto"/>
        </w:rPr>
        <w:t>” shall mean, with respect to a Clinical Trial, or any portion thereof, dosing of the first human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in such Clinical Trial or such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6 of 102</w:t>
      </w:r>
    </w:p>
    <w:p>
      <w:pPr>
        <w:sectPr>
          <w:pgSz w:w="11900" w:h="16840" w:orient="portrait"/>
          <w:cols w:equalWidth="0" w:num="1">
            <w:col w:w="9860"/>
          </w:cols>
          <w:pgMar w:left="1380" w:top="1440" w:right="660" w:bottom="1440" w:gutter="0" w:footer="0" w:header="0"/>
        </w:sectPr>
      </w:pPr>
    </w:p>
    <w:bookmarkStart w:id="570" w:name="page571"/>
    <w:bookmarkEnd w:id="570"/>
    <w:p>
      <w:pPr>
        <w:spacing w:after="0" w:line="25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shall have the meaning provided in Section 16.10.</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FTE</w:t>
      </w:r>
      <w:r>
        <w:rPr>
          <w:rFonts w:ascii="Times New Roman" w:cs="Times New Roman" w:eastAsia="Times New Roman" w:hAnsi="Times New Roman"/>
          <w:sz w:val="19"/>
          <w:szCs w:val="19"/>
          <w:color w:val="auto"/>
        </w:rPr>
        <w:t>” shall mean full time equivalent.</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Fully Burdened Manufacturing Cost</w:t>
      </w:r>
      <w:r>
        <w:rPr>
          <w:rFonts w:ascii="Times New Roman" w:cs="Times New Roman" w:eastAsia="Times New Roman" w:hAnsi="Times New Roman"/>
          <w:sz w:val="19"/>
          <w:szCs w:val="19"/>
          <w:color w:val="auto"/>
        </w:rPr>
        <w:t>” shall mean, with respect to any Original ADC Licensed Product supplied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or on behalf of Duality: [***].</w:t>
      </w:r>
    </w:p>
    <w:p>
      <w:pPr>
        <w:spacing w:after="0" w:line="123" w:lineRule="exact"/>
        <w:rPr>
          <w:sz w:val="20"/>
          <w:szCs w:val="20"/>
          <w:color w:val="auto"/>
        </w:rPr>
      </w:pPr>
    </w:p>
    <w:p>
      <w:pPr>
        <w:jc w:val="both"/>
        <w:ind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GCP</w:t>
      </w:r>
      <w:r>
        <w:rPr>
          <w:rFonts w:ascii="Times New Roman" w:cs="Times New Roman" w:eastAsia="Times New Roman" w:hAnsi="Times New Roman"/>
          <w:sz w:val="19"/>
          <w:szCs w:val="19"/>
          <w:color w:val="auto"/>
        </w:rPr>
        <w:t>” means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ethical conduct of Clinical Trials, including without limitation the U.S. Code of Federal Regulations (CFR) Title 21, ICH GCP Guidelines E6(R2) as amended from time to time, national legislation implementing European Community Directive 2001/20/EC (if and as still applicable), European Community Directive 2005/28/EC, and, following the applicable transition periods, the Clinical Trial Regulation (EU) No. 536/2014 (the “CTR”) and the rules, regulations and guidelines applying in the context of the CTR, and the equivalent in other countries or regions.</w:t>
      </w:r>
    </w:p>
    <w:p>
      <w:pPr>
        <w:spacing w:after="0" w:line="132"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1.73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GCLP</w:t>
      </w:r>
      <w:r>
        <w:rPr>
          <w:rFonts w:ascii="Times New Roman" w:cs="Times New Roman" w:eastAsia="Times New Roman" w:hAnsi="Times New Roman"/>
          <w:sz w:val="19"/>
          <w:szCs w:val="19"/>
          <w:color w:val="auto"/>
        </w:rPr>
        <w:t>” shall mean any and all applicable laws, rules, regulations, guidelines and generally accepted standards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requirements regarding the treatment of human laboratory samples from Clinical Trials, including the relevant principles from GCP and the EMA’s reflection paper for laboratories that perform the analysis or evaluation of clinical trial samples, as amended from time to time.</w:t>
      </w:r>
    </w:p>
    <w:p>
      <w:pPr>
        <w:spacing w:after="0" w:line="134"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1.74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Global Trial</w:t>
      </w:r>
      <w:r>
        <w:rPr>
          <w:rFonts w:ascii="Times New Roman" w:cs="Times New Roman" w:eastAsia="Times New Roman" w:hAnsi="Times New Roman"/>
          <w:sz w:val="19"/>
          <w:szCs w:val="19"/>
          <w:color w:val="auto"/>
        </w:rPr>
        <w:t>” shall mean a Clinical Trial designed to obtain Regulatory Approvals for a Licensed Product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countries through the conduct of a Clinical Trial in multiple countries, regions and/or medical institutions and conducted as part of one (1) unified Clinical Trial or separately but concurrently in accordance with a common Clinical Trial protocol.</w:t>
      </w:r>
    </w:p>
    <w:p>
      <w:pPr>
        <w:spacing w:after="0" w:line="134"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1.75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GLP</w:t>
      </w:r>
      <w:r>
        <w:rPr>
          <w:rFonts w:ascii="Times New Roman" w:cs="Times New Roman" w:eastAsia="Times New Roman" w:hAnsi="Times New Roman"/>
          <w:sz w:val="19"/>
          <w:szCs w:val="19"/>
          <w:color w:val="auto"/>
        </w:rPr>
        <w:t>” means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quality control for laboratories to ensure the consistency and reliability of results, including without limitation the CFR Title 21, national legislation implementing European Community Directives 2004/9/EC and 2004/10/EC as amended, and the OECD Series on Principles of Good Laboratory Practice and Compliance Monitoring, and the equivalent in other countries or regions. For the purposes of this Agreement, GLP also includes the principles of Good Clinical Laboratory Practice and applicable guidelines promulgated under the ICH guidelines.</w:t>
      </w:r>
    </w:p>
    <w:p>
      <w:pPr>
        <w:spacing w:after="0" w:line="132" w:lineRule="exact"/>
        <w:rPr>
          <w:sz w:val="20"/>
          <w:szCs w:val="20"/>
          <w:color w:val="auto"/>
        </w:rPr>
      </w:pPr>
    </w:p>
    <w:p>
      <w:pPr>
        <w:jc w:val="both"/>
        <w:ind w:right="20"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means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quality control and manufacturing of pharmaceutical products, including without limitation the CFR Title 21, Parts 11, 210, 211, 600 and 610, applicable ICH Guidelines including without limitation Q7 for “Active Pharmaceuticals Ingredients”, national legislation implementing European Community Directive 2001/83/EC and Commission Directive 2003/94/EC as amended, EudraLex – Volume 4 of the Rules Governing Medicinal Products in the European Union including annexes, the CTR, Commission Delegated Regulation 2017/1569, the Detailed Commission Guideline (2017) 8179, and the equivalent in other countries or regions.</w:t>
      </w:r>
    </w:p>
    <w:p>
      <w:pPr>
        <w:spacing w:after="0" w:line="135"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Governmental Authority </w:t>
      </w:r>
      <w:r>
        <w:rPr>
          <w:rFonts w:ascii="Times New Roman" w:cs="Times New Roman" w:eastAsia="Times New Roman" w:hAnsi="Times New Roman"/>
          <w:sz w:val="19"/>
          <w:szCs w:val="19"/>
          <w:color w:val="auto"/>
        </w:rPr>
        <w:t>” is to be broadly interpreted and includes any multi-national or public international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organization or authority, national, federal, state, local, municipal, provincial, foreign government or other governmental authority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color w:val="auto"/>
        </w:rPr>
        <w:t>Page 7 of 102</w:t>
      </w:r>
    </w:p>
    <w:p>
      <w:pPr>
        <w:sectPr>
          <w:pgSz w:w="11900" w:h="16840" w:orient="portrait"/>
          <w:cols w:equalWidth="0" w:num="1">
            <w:col w:w="9860"/>
          </w:cols>
          <w:pgMar w:left="1380" w:top="1440" w:right="660" w:bottom="1440" w:gutter="0" w:footer="0" w:header="0"/>
        </w:sectPr>
      </w:pPr>
    </w:p>
    <w:bookmarkStart w:id="571" w:name="page572"/>
    <w:bookmarkEnd w:id="571"/>
    <w:p>
      <w:pPr>
        <w:spacing w:after="0" w:line="2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nature (including any governmental division, prefecture, branch, subdivision, department, agency, bureau, branch, office, commission, council, court or other tribunal, or body entitled to exercise any administrative, executive, judicial, legislative, police, regulatory, or taxing authority or power, and any Regulatory Authority.</w:t>
      </w:r>
    </w:p>
    <w:p>
      <w:pPr>
        <w:spacing w:after="0" w:line="133"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1.78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GXP” </w:t>
      </w:r>
      <w:r>
        <w:rPr>
          <w:rFonts w:ascii="Times New Roman" w:cs="Times New Roman" w:eastAsia="Times New Roman" w:hAnsi="Times New Roman"/>
          <w:sz w:val="19"/>
          <w:szCs w:val="19"/>
          <w:color w:val="auto"/>
        </w:rPr>
        <w:t>shall mean collectively, all relevant and applicable good practice quality guidelines and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encompassing such internationally recognized standards as GMP, GCP, GLP and GCLP, Good Distribution Practice (GDP), Good Pharmacovigilance Practice, Good Pharmacoepidemiology Practice and Good Review Practice.</w:t>
      </w:r>
    </w:p>
    <w:p>
      <w:pPr>
        <w:spacing w:after="0" w:line="132"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1. 79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HER2</w:t>
      </w:r>
      <w:r>
        <w:rPr>
          <w:rFonts w:ascii="Times New Roman" w:cs="Times New Roman" w:eastAsia="Times New Roman" w:hAnsi="Times New Roman"/>
          <w:sz w:val="19"/>
          <w:szCs w:val="19"/>
          <w:color w:val="auto"/>
        </w:rPr>
        <w:t>” shall mean (a) receptor tyrosine-protein kinase erbB-2, and (b) any naturally occurring variants thereof,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each case including any isoforms, polymorphisms, variants, and truncated forms, and in each case to the extent such variant, isoform, polymorphism, variant and truncated form are produced from an allele of the same gene.</w:t>
      </w:r>
    </w:p>
    <w:p>
      <w:pPr>
        <w:spacing w:after="0" w:line="132"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HER2 BC Indications</w:t>
      </w:r>
      <w:r>
        <w:rPr>
          <w:rFonts w:ascii="Times New Roman" w:cs="Times New Roman" w:eastAsia="Times New Roman" w:hAnsi="Times New Roman"/>
          <w:sz w:val="19"/>
          <w:szCs w:val="19"/>
          <w:color w:val="auto"/>
        </w:rPr>
        <w:t>” means HER2-positive breast cancer (as one Indication) and HER2-low breast cancer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other Indication).</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1.81</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HER2-Low BC Expansion Trial” </w:t>
      </w:r>
      <w:r>
        <w:rPr>
          <w:rFonts w:ascii="Times New Roman" w:cs="Times New Roman" w:eastAsia="Times New Roman" w:hAnsi="Times New Roman"/>
          <w:sz w:val="19"/>
          <w:szCs w:val="19"/>
          <w:color w:val="auto"/>
        </w:rPr>
        <w:t>has the meaning set forth in Section 1.133 in the definition of “Phase II Dose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Expansion Trial.</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shall have the meaning given in Section 15.2.</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ICH</w:t>
      </w:r>
      <w:r>
        <w:rPr>
          <w:rFonts w:ascii="Times New Roman" w:cs="Times New Roman" w:eastAsia="Times New Roman" w:hAnsi="Times New Roman"/>
          <w:sz w:val="19"/>
          <w:szCs w:val="19"/>
          <w:color w:val="auto"/>
        </w:rPr>
        <w:t>” shall mean the International Council for Harmonization of Technical Requirements for Pharmaceuticals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Human Use.</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1.85</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1. 86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w:t>
      </w:r>
      <w:r>
        <w:rPr>
          <w:rFonts w:ascii="Times New Roman" w:cs="Times New Roman" w:eastAsia="Times New Roman" w:hAnsi="Times New Roman"/>
          <w:sz w:val="19"/>
          <w:szCs w:val="19"/>
          <w:color w:val="auto"/>
        </w:rPr>
        <w:t>” shall mean an investigational new drug application, clinical study application, Clinical Trial exemption,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similar application or submission for approval to conduct human clinical investigations filed with or submitted to a Regulatory Authority in conformance with the requirements of such Regulatory Authority.</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Indication</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shall have the meaning provided in Section 3.2(b).</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shall have the meaning provided in Section 3.2(a).</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JSC</w:t>
      </w:r>
      <w:r>
        <w:rPr>
          <w:rFonts w:ascii="Times New Roman" w:cs="Times New Roman" w:eastAsia="Times New Roman" w:hAnsi="Times New Roman"/>
          <w:sz w:val="19"/>
          <w:szCs w:val="19"/>
          <w:color w:val="auto"/>
        </w:rPr>
        <w:t>” shall mean the joint steering committee to be established by the Parties pursuant to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9"/>
          <w:szCs w:val="19"/>
          <w:color w:val="auto"/>
        </w:rPr>
        <w:t>Page 8 of 102</w:t>
      </w:r>
    </w:p>
    <w:p>
      <w:pPr>
        <w:sectPr>
          <w:pgSz w:w="11900" w:h="16840" w:orient="portrait"/>
          <w:cols w:equalWidth="0" w:num="1">
            <w:col w:w="9860"/>
          </w:cols>
          <w:pgMar w:left="1380" w:top="1440" w:right="660" w:bottom="1440" w:gutter="0" w:footer="0" w:header="0"/>
        </w:sectPr>
      </w:pPr>
    </w:p>
    <w:bookmarkStart w:id="572" w:name="page573"/>
    <w:bookmarkEnd w:id="572"/>
    <w:p>
      <w:pPr>
        <w:spacing w:after="0" w:line="255" w:lineRule="exact"/>
        <w:rPr>
          <w:sz w:val="20"/>
          <w:szCs w:val="20"/>
          <w:color w:val="auto"/>
        </w:rPr>
      </w:pPr>
    </w:p>
    <w:p>
      <w:pPr>
        <w:jc w:val="both"/>
        <w:ind w:firstLine="432"/>
        <w:spacing w:after="0" w:line="219" w:lineRule="auto"/>
        <w:rPr>
          <w:sz w:val="20"/>
          <w:szCs w:val="20"/>
          <w:color w:val="auto"/>
        </w:rPr>
      </w:pPr>
      <w:r>
        <w:rPr>
          <w:rFonts w:ascii="Times New Roman" w:cs="Times New Roman" w:eastAsia="Times New Roman" w:hAnsi="Times New Roman"/>
          <w:sz w:val="19"/>
          <w:szCs w:val="19"/>
          <w:b w:val="1"/>
          <w:bCs w:val="1"/>
          <w:color w:val="auto"/>
        </w:rPr>
        <w:t xml:space="preserve">1.95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Know-How</w:t>
      </w:r>
      <w:r>
        <w:rPr>
          <w:rFonts w:ascii="Times New Roman" w:cs="Times New Roman" w:eastAsia="Times New Roman" w:hAnsi="Times New Roman"/>
          <w:sz w:val="19"/>
          <w:szCs w:val="19"/>
          <w:color w:val="auto"/>
        </w:rPr>
        <w:t>” shall mean any and all technical, scientific, regulatory and other information, trade secrets,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knowledge, techniques, materials (including cell lines) and data, in whatever form and whether or not confidential, proprietary, whether or not patentable, invention disclosures, plans, inventions, assays, designs, protocols, and formulas, processes, practices, methods, knowledge, know how, skill, experience, ideas, concepts, test data (including pharmacological, toxicological and clinical test data), analytical and quality control data, formulae, specifications, marketing, pricing, distribution, cost, sales, and manufacturing data or descriptions. “Know- How” includes any rights including copyright, database or design rights protecting such Know-How. For clarity, Know-How does not include issued Patents or published patent application or the inventions claimed thereby.</w:t>
      </w:r>
    </w:p>
    <w:p>
      <w:pPr>
        <w:spacing w:after="0" w:line="13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shall have the meaning provided in Section 9.3(b).</w:t>
      </w:r>
    </w:p>
    <w:p>
      <w:pPr>
        <w:spacing w:after="0" w:line="166"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1.97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Compound</w:t>
      </w:r>
      <w:r>
        <w:rPr>
          <w:rFonts w:ascii="Times New Roman" w:cs="Times New Roman" w:eastAsia="Times New Roman" w:hAnsi="Times New Roman"/>
          <w:sz w:val="19"/>
          <w:szCs w:val="19"/>
          <w:color w:val="auto"/>
        </w:rPr>
        <w:t>” shall mean the ADC developed by or on behalf of Duality and known as DB-1303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comprising trastuzumab. The structure of the Licensed Compound is delivered to Licensee by Duality on or before the Effective Date.</w:t>
      </w:r>
    </w:p>
    <w:p>
      <w:pPr>
        <w:spacing w:after="0" w:line="132"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1.98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Product</w:t>
      </w:r>
      <w:r>
        <w:rPr>
          <w:rFonts w:ascii="Times New Roman" w:cs="Times New Roman" w:eastAsia="Times New Roman" w:hAnsi="Times New Roman"/>
          <w:sz w:val="19"/>
          <w:szCs w:val="19"/>
          <w:color w:val="auto"/>
        </w:rPr>
        <w:t>” shall mean (i) Original ADC Licensed Product, (ii) [***], or (iii) [***]. Unless otherwise 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forth herein, the term “Licensed Product” shall also include a Combination Product.</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1.99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Added Trials</w:t>
      </w:r>
      <w:r>
        <w:rPr>
          <w:rFonts w:ascii="Times New Roman" w:cs="Times New Roman" w:eastAsia="Times New Roman" w:hAnsi="Times New Roman"/>
          <w:sz w:val="19"/>
          <w:szCs w:val="19"/>
          <w:color w:val="auto"/>
        </w:rPr>
        <w:t>” shall have the meaning given in Section 4.4.</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1.101  </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Indemnitees</w:t>
      </w:r>
      <w:r>
        <w:rPr>
          <w:rFonts w:ascii="Times New Roman" w:cs="Times New Roman" w:eastAsia="Times New Roman" w:hAnsi="Times New Roman"/>
          <w:sz w:val="19"/>
          <w:szCs w:val="19"/>
          <w:color w:val="auto"/>
        </w:rPr>
        <w:t>” shall have the meaning provided in Section 14.2.</w:t>
      </w:r>
    </w:p>
    <w:p>
      <w:pPr>
        <w:spacing w:after="0" w:line="166" w:lineRule="exact"/>
        <w:rPr>
          <w:sz w:val="20"/>
          <w:szCs w:val="20"/>
          <w:color w:val="auto"/>
        </w:rPr>
      </w:pPr>
    </w:p>
    <w:p>
      <w:pPr>
        <w:jc w:val="both"/>
        <w:ind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1.103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Know-How</w:t>
      </w:r>
      <w:r>
        <w:rPr>
          <w:rFonts w:ascii="Times New Roman" w:cs="Times New Roman" w:eastAsia="Times New Roman" w:hAnsi="Times New Roman"/>
          <w:sz w:val="19"/>
          <w:szCs w:val="19"/>
          <w:color w:val="auto"/>
        </w:rPr>
        <w:t>” shall mean any and all Know-How that is Controlled by Licensee or any of its Affiliates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that is comprised by the Licensee Solely Owned Collaboration IP. Notwithstanding the foregoing, Licensee Know-How shall not include (i) any Know-How Controlled by any Third Party that becomes an Affiliate of Licensee after the Effective Date as a result of a merger, acquisition or other similar transaction, unless such Know-How is used by Licensee in the Development, Manufacture or Commercialization of the Licensed Compound or Original ADC Licensed Products, and (ii) any Know-How that is related to any Additional Active or other proprietary compound or product Controlled by Licensee.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Licensed IP</w:t>
      </w:r>
      <w:r>
        <w:rPr>
          <w:rFonts w:ascii="Times New Roman" w:cs="Times New Roman" w:eastAsia="Times New Roman" w:hAnsi="Times New Roman"/>
          <w:sz w:val="19"/>
          <w:szCs w:val="19"/>
          <w:color w:val="auto"/>
        </w:rPr>
        <w:t>” shall mean the Licensee Know-How and Licensee Patents.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1.105  </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Patents</w:t>
      </w:r>
      <w:r>
        <w:rPr>
          <w:rFonts w:ascii="Times New Roman" w:cs="Times New Roman" w:eastAsia="Times New Roman" w:hAnsi="Times New Roman"/>
          <w:sz w:val="19"/>
          <w:szCs w:val="19"/>
          <w:color w:val="auto"/>
        </w:rPr>
        <w:t>” shall mean any and all Patents that are Controlled by Licensee or any of its Affiliates and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comprised by the Licensee Solely Owned Collaboration Patents. Notwithstanding the foregoing, Licensee Patents shall not include (i) any Patent Controlled by any Third Party that becomes an Affiliate of Licensee after the Effective Date as a result of a merger, acquisition or other similar transaction, and (ii) any Patent that Covers any Additional Active or other proprietary compound or product Controlled by Licensee provided that such Patent does not Cover the Licensed Compound or Original ADC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9 of 102</w:t>
      </w:r>
    </w:p>
    <w:p>
      <w:pPr>
        <w:sectPr>
          <w:pgSz w:w="11900" w:h="16840" w:orient="portrait"/>
          <w:cols w:equalWidth="0" w:num="1">
            <w:col w:w="9860"/>
          </w:cols>
          <w:pgMar w:left="1380" w:top="1440" w:right="660" w:bottom="1440" w:gutter="0" w:footer="0" w:header="0"/>
        </w:sectPr>
      </w:pPr>
    </w:p>
    <w:bookmarkStart w:id="573" w:name="page574"/>
    <w:bookmarkEnd w:id="573"/>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IP</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MAA</w:t>
      </w:r>
      <w:r>
        <w:rPr>
          <w:rFonts w:ascii="Times New Roman" w:cs="Times New Roman" w:eastAsia="Times New Roman" w:hAnsi="Times New Roman"/>
          <w:sz w:val="19"/>
          <w:szCs w:val="19"/>
          <w:color w:val="auto"/>
        </w:rPr>
        <w:t>” shall mean an application to a Regulatory Authority for the authorization to place a product on the market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applicable country, region or a regulatory jurisdiction, including New Drug Application and Biologics License Application, and shall include all amendments and supplements thereto, filed with the applicable Regulatory Authority to gain approval to place such product on the market in the applicable jurisdiction.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MAH</w:t>
      </w:r>
      <w:r>
        <w:rPr>
          <w:rFonts w:ascii="Times New Roman" w:cs="Times New Roman" w:eastAsia="Times New Roman" w:hAnsi="Times New Roman"/>
          <w:sz w:val="19"/>
          <w:szCs w:val="19"/>
          <w:color w:val="auto"/>
        </w:rPr>
        <w:t>” means the holder of the Marketing Authorization.</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Mainland China</w:t>
      </w:r>
      <w:r>
        <w:rPr>
          <w:rFonts w:ascii="Times New Roman" w:cs="Times New Roman" w:eastAsia="Times New Roman" w:hAnsi="Times New Roman"/>
          <w:sz w:val="19"/>
          <w:szCs w:val="19"/>
          <w:color w:val="auto"/>
        </w:rPr>
        <w:t>” means the mainland of the People’s Republic of China.</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 European Market</w:t>
      </w:r>
      <w:r>
        <w:rPr>
          <w:rFonts w:ascii="Times New Roman" w:cs="Times New Roman" w:eastAsia="Times New Roman" w:hAnsi="Times New Roman"/>
          <w:sz w:val="19"/>
          <w:szCs w:val="19"/>
          <w:color w:val="auto"/>
        </w:rPr>
        <w:t>” means [***] for the purpose of this Agreement.</w:t>
      </w:r>
    </w:p>
    <w:p>
      <w:pPr>
        <w:spacing w:after="0" w:line="166"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Manufacture</w:t>
      </w:r>
      <w:r>
        <w:rPr>
          <w:rFonts w:ascii="Times New Roman" w:cs="Times New Roman" w:eastAsia="Times New Roman" w:hAnsi="Times New Roman"/>
          <w:sz w:val="19"/>
          <w:szCs w:val="19"/>
          <w:color w:val="auto"/>
        </w:rPr>
        <w:t>” shall mean, with respect to a Licensed Product, activities related to the manufacture and supply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Licensed Product, including manufacturing supplies for Development or Commercialization, packaging, labeling, in-process and finished product testing, release of product or any component or ingredient thereof, quality assurance and quality control activities related to manufacturing and release of product, ongoing stability tests, storage, and shipment and regulatory activities directly related to any of the foregoing, but not including any Development or Commercialization activities. “</w:t>
      </w:r>
      <w:r>
        <w:rPr>
          <w:rFonts w:ascii="Times New Roman" w:cs="Times New Roman" w:eastAsia="Times New Roman" w:hAnsi="Times New Roman"/>
          <w:sz w:val="19"/>
          <w:szCs w:val="19"/>
          <w:b w:val="1"/>
          <w:bCs w:val="1"/>
          <w:color w:val="auto"/>
        </w:rPr>
        <w:t>Manufactured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Manufacturing</w:t>
      </w:r>
      <w:r>
        <w:rPr>
          <w:rFonts w:ascii="Times New Roman" w:cs="Times New Roman" w:eastAsia="Times New Roman" w:hAnsi="Times New Roman"/>
          <w:sz w:val="19"/>
          <w:szCs w:val="19"/>
          <w:color w:val="auto"/>
        </w:rPr>
        <w:t>” shall have the correlative meanings.</w:t>
      </w:r>
    </w:p>
    <w:p>
      <w:pPr>
        <w:spacing w:after="0" w:line="132"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IP</w:t>
      </w:r>
      <w:r>
        <w:rPr>
          <w:rFonts w:ascii="Times New Roman" w:cs="Times New Roman" w:eastAsia="Times New Roman" w:hAnsi="Times New Roman"/>
          <w:sz w:val="19"/>
          <w:szCs w:val="19"/>
          <w:color w:val="auto"/>
        </w:rPr>
        <w:t>” means any Patents and Know-How that are (i) generated, developed or conceived during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course of performing activities under this Agreement depending on Duality Licensed IP, and (ii) specifically related to, and (iii) necessary for the Manufacture of the Duality Linker -Payload; notwithstanding the foregoing, Manufacturing IP shall exclude Licensee Background IP.</w:t>
      </w:r>
    </w:p>
    <w:p>
      <w:pPr>
        <w:spacing w:after="0" w:line="134"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Marketing Authorization</w:t>
      </w:r>
      <w:r>
        <w:rPr>
          <w:rFonts w:ascii="Times New Roman" w:cs="Times New Roman" w:eastAsia="Times New Roman" w:hAnsi="Times New Roman"/>
          <w:sz w:val="19"/>
          <w:szCs w:val="19"/>
          <w:color w:val="auto"/>
        </w:rPr>
        <w:t>” shall mean the authorization by all relevant Regulatory Authorities of an MAA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given country or regulatory region/jurisdiction and the granting of the required authorization for the sale of a product (but which will not include any Pricing and Reimbursement Approvals unless required by Applicable Law of the respective country to initiate marketing and selling of a product in such particular country).</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MCB</w:t>
      </w:r>
      <w:r>
        <w:rPr>
          <w:rFonts w:ascii="Times New Roman" w:cs="Times New Roman" w:eastAsia="Times New Roman" w:hAnsi="Times New Roman"/>
          <w:sz w:val="19"/>
          <w:szCs w:val="19"/>
          <w:color w:val="auto"/>
        </w:rPr>
        <w:t>” shall mean the master cell bank.</w:t>
      </w:r>
    </w:p>
    <w:p>
      <w:pPr>
        <w:spacing w:after="0" w:line="16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Medical Affairs Activities” </w:t>
      </w:r>
      <w:r>
        <w:rPr>
          <w:rFonts w:ascii="Times New Roman" w:cs="Times New Roman" w:eastAsia="Times New Roman" w:hAnsi="Times New Roman"/>
          <w:sz w:val="19"/>
          <w:szCs w:val="19"/>
          <w:color w:val="auto"/>
        </w:rPr>
        <w:t>shall mean, with respect to the Territory, the coordination of medical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requests and field based medical scientific liaisons with respect to an Original ADC Licensed Product, including activities of medical scientific liaisons, activities involving key opinion leaders, and the provision of medical information services with respect to an Original ADC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10 of 102</w:t>
      </w:r>
    </w:p>
    <w:p>
      <w:pPr>
        <w:sectPr>
          <w:pgSz w:w="11900" w:h="16840" w:orient="portrait"/>
          <w:cols w:equalWidth="0" w:num="1">
            <w:col w:w="9860"/>
          </w:cols>
          <w:pgMar w:left="1380" w:top="1440" w:right="660" w:bottom="1440" w:gutter="0" w:footer="0" w:header="0"/>
        </w:sectPr>
      </w:pPr>
    </w:p>
    <w:bookmarkStart w:id="574" w:name="page575"/>
    <w:bookmarkEnd w:id="574"/>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Multi-Specific ADC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Negotiation Period</w:t>
      </w:r>
      <w:r>
        <w:rPr>
          <w:rFonts w:ascii="Times New Roman" w:cs="Times New Roman" w:eastAsia="Times New Roman" w:hAnsi="Times New Roman"/>
          <w:sz w:val="19"/>
          <w:szCs w:val="19"/>
          <w:color w:val="auto"/>
        </w:rPr>
        <w:t>” shall have the meaning set forth in Section 2.8.</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1.122 “New Indication</w:t>
      </w:r>
      <w:r>
        <w:rPr>
          <w:rFonts w:ascii="Times New Roman" w:cs="Times New Roman" w:eastAsia="Times New Roman" w:hAnsi="Times New Roman"/>
          <w:sz w:val="19"/>
          <w:szCs w:val="19"/>
          <w:color w:val="auto"/>
        </w:rPr>
        <w:t>” shall mean an entirely separate and distinct disease or medical condition in humans for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Original ADC Licensed Product is authorized.</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1.123  “Non-Arbitral Subject Matter</w:t>
      </w:r>
      <w:r>
        <w:rPr>
          <w:rFonts w:ascii="Times New Roman" w:cs="Times New Roman" w:eastAsia="Times New Roman" w:hAnsi="Times New Roman"/>
          <w:sz w:val="19"/>
          <w:szCs w:val="19"/>
          <w:color w:val="auto"/>
        </w:rPr>
        <w:t>” shall have the meaning given in Section 15.4.</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Offer Notice</w:t>
      </w:r>
      <w:r>
        <w:rPr>
          <w:rFonts w:ascii="Times New Roman" w:cs="Times New Roman" w:eastAsia="Times New Roman" w:hAnsi="Times New Roman"/>
          <w:sz w:val="19"/>
          <w:szCs w:val="19"/>
          <w:color w:val="auto"/>
        </w:rPr>
        <w:t>” shall have the meaning given in Section 2.8.</w:t>
      </w:r>
    </w:p>
    <w:p>
      <w:pPr>
        <w:spacing w:after="0" w:line="166" w:lineRule="exact"/>
        <w:rPr>
          <w:sz w:val="20"/>
          <w:szCs w:val="20"/>
          <w:color w:val="auto"/>
        </w:rPr>
      </w:pPr>
    </w:p>
    <w:p>
      <w:pPr>
        <w:jc w:val="both"/>
        <w:ind w:right="4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1.125 “Ongoing Trials” </w:t>
      </w:r>
      <w:r>
        <w:rPr>
          <w:rFonts w:ascii="Times New Roman" w:cs="Times New Roman" w:eastAsia="Times New Roman" w:hAnsi="Times New Roman"/>
          <w:sz w:val="19"/>
          <w:szCs w:val="19"/>
          <w:color w:val="auto"/>
        </w:rPr>
        <w:t>means the Clinical Trials currently being conducted by Duality in the Territory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Retained Territory entitled </w:t>
      </w:r>
      <w:r>
        <w:rPr>
          <w:rFonts w:ascii="Times New Roman" w:cs="Times New Roman" w:eastAsia="Times New Roman" w:hAnsi="Times New Roman"/>
          <w:sz w:val="19"/>
          <w:szCs w:val="19"/>
          <w:i w:val="1"/>
          <w:iCs w:val="1"/>
          <w:color w:val="auto"/>
        </w:rPr>
        <w:t>A Phase 1/2a, Multicenter, Open-Label, Non-Randomized First in Human Study to Assess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Safety, Tolerability, Pharmacokinetics, and Preliminary Antitumor Activity of DB-1303 in Patients With Advanced/Metastatic Solid Tumors with NCT number </w:t>
      </w:r>
      <w:r>
        <w:rPr>
          <w:rFonts w:ascii="Times New Roman" w:cs="Times New Roman" w:eastAsia="Times New Roman" w:hAnsi="Times New Roman"/>
          <w:sz w:val="19"/>
          <w:szCs w:val="19"/>
          <w:b w:val="1"/>
          <w:bCs w:val="1"/>
          <w:color w:val="auto"/>
        </w:rPr>
        <w:t>NCT05150691</w:t>
      </w:r>
      <w:r>
        <w:rPr>
          <w:rFonts w:ascii="Times New Roman" w:cs="Times New Roman" w:eastAsia="Times New Roman" w:hAnsi="Times New Roman"/>
          <w:sz w:val="19"/>
          <w:szCs w:val="19"/>
          <w:color w:val="auto"/>
        </w:rPr>
        <w:t>. For clarity, the Ongoing Trials include both a Phase I Clinical Trial phase,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Phase II Dose Expansion Trials.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Option Package Delivery Date</w:t>
      </w:r>
      <w:r>
        <w:rPr>
          <w:rFonts w:ascii="Times New Roman" w:cs="Times New Roman" w:eastAsia="Times New Roman" w:hAnsi="Times New Roman"/>
          <w:sz w:val="19"/>
          <w:szCs w:val="19"/>
          <w:color w:val="auto"/>
        </w:rPr>
        <w:t>” shall have the meaning provided in Section 11.2.</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Licensed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shall mean Licensee or Duality individually, and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shall mean Licensee and Duality collectively.</w:t>
      </w:r>
    </w:p>
    <w:p>
      <w:pPr>
        <w:spacing w:after="0" w:line="16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shall mean (a) patent applications filed in the applicable jurisdiction; (b) all patents,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supplemental protection certificates, that have issued or in the future issue from any of the foregoing, including utility models, design patents and certificates of invention; and (c) all divisionals, continuations, continuations-in-part, reissues, re-examination certificates, renewals, extensions or additions to any such patents and patent applications (as applicable).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shall have the meaning provided in Section 5.7.</w:t>
      </w:r>
    </w:p>
    <w:p>
      <w:pPr>
        <w:spacing w:after="0" w:line="16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Phase I Clinical Trial </w:t>
      </w:r>
      <w:r>
        <w:rPr>
          <w:rFonts w:ascii="Times New Roman" w:cs="Times New Roman" w:eastAsia="Times New Roman" w:hAnsi="Times New Roman"/>
          <w:sz w:val="19"/>
          <w:szCs w:val="19"/>
          <w:color w:val="auto"/>
        </w:rPr>
        <w:t>” means a human clinical trial of a product, the principal purpose of which explores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optimal dose and is a determination of initial tolerance or safety of such product in healthy volunteers or the target patient population, as described in 21 CFR 312.21(a) (as amended or any replacement thereof), or a similar clinical trial prescribed by the Regulatory Authority in a country other than the United States.</w:t>
      </w:r>
    </w:p>
    <w:p>
      <w:pPr>
        <w:spacing w:after="0" w:line="134"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 Clinical Trial</w:t>
      </w:r>
      <w:r>
        <w:rPr>
          <w:rFonts w:ascii="Times New Roman" w:cs="Times New Roman" w:eastAsia="Times New Roman" w:hAnsi="Times New Roman"/>
          <w:sz w:val="19"/>
          <w:szCs w:val="19"/>
          <w:color w:val="auto"/>
        </w:rPr>
        <w:t>” means a human clinical trial of a product, the principal purpose of which is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determination of safety and efficacy in the target patient population (i.e. “proof of concept”), as described in 21 C.F.R. 312.21(b) (as amended or any replacement thereof), or a similar clinical trial prescribed by the Regulatory Authority in a country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11 of 102</w:t>
      </w:r>
    </w:p>
    <w:p>
      <w:pPr>
        <w:sectPr>
          <w:pgSz w:w="11900" w:h="16840" w:orient="portrait"/>
          <w:cols w:equalWidth="0" w:num="1">
            <w:col w:w="9860"/>
          </w:cols>
          <w:pgMar w:left="1380" w:top="1440" w:right="660" w:bottom="1440" w:gutter="0" w:footer="0" w:header="0"/>
        </w:sectPr>
      </w:pPr>
    </w:p>
    <w:bookmarkStart w:id="575" w:name="page576"/>
    <w:bookmarkEnd w:id="575"/>
    <w:p>
      <w:pPr>
        <w:spacing w:after="0" w:line="25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1. 133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 Dose Expansion Trials</w:t>
      </w:r>
      <w:r>
        <w:rPr>
          <w:rFonts w:ascii="Times New Roman" w:cs="Times New Roman" w:eastAsia="Times New Roman" w:hAnsi="Times New Roman"/>
          <w:sz w:val="19"/>
          <w:szCs w:val="19"/>
          <w:color w:val="auto"/>
        </w:rPr>
        <w:t>” means the Phase II Clinical Trial portion of the Ongoing Trials consisting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two (2) dose expansion cohorts meeting the following criteria: (a) one cohort in HER2-low breast cancer (the “</w:t>
      </w:r>
      <w:r>
        <w:rPr>
          <w:rFonts w:ascii="Times New Roman" w:cs="Times New Roman" w:eastAsia="Times New Roman" w:hAnsi="Times New Roman"/>
          <w:sz w:val="19"/>
          <w:szCs w:val="19"/>
          <w:b w:val="1"/>
          <w:bCs w:val="1"/>
          <w:color w:val="auto"/>
        </w:rPr>
        <w:t>HER2-Low BC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Expansion Trial</w:t>
      </w:r>
      <w:r>
        <w:rPr>
          <w:rFonts w:ascii="Times New Roman" w:cs="Times New Roman" w:eastAsia="Times New Roman" w:hAnsi="Times New Roman"/>
          <w:sz w:val="19"/>
          <w:szCs w:val="19"/>
          <w:color w:val="auto"/>
        </w:rPr>
        <w:t>”), and (b) one cohort in endometrial cancer (the “</w:t>
      </w:r>
      <w:r>
        <w:rPr>
          <w:rFonts w:ascii="Times New Roman" w:cs="Times New Roman" w:eastAsia="Times New Roman" w:hAnsi="Times New Roman"/>
          <w:sz w:val="19"/>
          <w:szCs w:val="19"/>
          <w:b w:val="1"/>
          <w:bCs w:val="1"/>
          <w:color w:val="auto"/>
        </w:rPr>
        <w:t>EC Expansion Trial</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right="2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1.134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III Clinical Trial</w:t>
      </w:r>
      <w:r>
        <w:rPr>
          <w:rFonts w:ascii="Times New Roman" w:cs="Times New Roman" w:eastAsia="Times New Roman" w:hAnsi="Times New Roman"/>
          <w:sz w:val="19"/>
          <w:szCs w:val="19"/>
          <w:color w:val="auto"/>
        </w:rPr>
        <w:t>” means a human clinical trial of a product, the design of which is acknowledged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33"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1.135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and Reimbursement Approval</w:t>
      </w:r>
      <w:r>
        <w:rPr>
          <w:rFonts w:ascii="Times New Roman" w:cs="Times New Roman" w:eastAsia="Times New Roman" w:hAnsi="Times New Roman"/>
          <w:sz w:val="19"/>
          <w:szCs w:val="19"/>
          <w:color w:val="auto"/>
        </w:rPr>
        <w:t>” shall mean, in any country where a Regulatory Authority authorizes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reimbursement for, or approves or determines pricing or level of reimbursement for, pharmaceutical products, receipt (or, if required to make such authorization, approval or determination effective, publication) of such reimbursement authorization and/or pricing approval or determination (as the case may be).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shall have the meaning provided in Section 7.5.</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1.137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shall have the meaning provided in Section 3.9.</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1.138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shall have the meaning provided in Section 10.5.</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1. 140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Reduced Royalty Rates</w:t>
      </w:r>
      <w:r>
        <w:rPr>
          <w:rFonts w:ascii="Times New Roman" w:cs="Times New Roman" w:eastAsia="Times New Roman" w:hAnsi="Times New Roman"/>
          <w:sz w:val="19"/>
          <w:szCs w:val="19"/>
          <w:color w:val="auto"/>
        </w:rPr>
        <w:t>” shall mean the reduced royalty rates for the [***] and [***] specified in the second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table in Section 8.5.</w:t>
      </w:r>
    </w:p>
    <w:p>
      <w:pPr>
        <w:spacing w:after="0" w:line="123"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1. 141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Registrational Trial</w:t>
      </w:r>
      <w:r>
        <w:rPr>
          <w:rFonts w:ascii="Times New Roman" w:cs="Times New Roman" w:eastAsia="Times New Roman" w:hAnsi="Times New Roman"/>
          <w:sz w:val="19"/>
          <w:szCs w:val="19"/>
          <w:color w:val="auto"/>
        </w:rPr>
        <w:t>” shall mean, with respect to a product, a human clinical trial (regardless of whether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trial is referred to as a “Phase II Clinical Trial”, “Phase IIb Clinical Trial”, “Phase II/III Clinical Trial”, “Phase IIb/III Clinical Trial” or “Phase III Clinical Trial”) for such product, the results of which, together with prior information concerning such product, are determined by the sponsor to be intended to be sufficient to establish that such product is safe and effective for its intended Indication to support the filing of an MAA. [***].</w:t>
      </w:r>
    </w:p>
    <w:p>
      <w:pPr>
        <w:spacing w:after="0" w:line="133"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Regulatory Approval </w:t>
      </w:r>
      <w:r>
        <w:rPr>
          <w:rFonts w:ascii="Times New Roman" w:cs="Times New Roman" w:eastAsia="Times New Roman" w:hAnsi="Times New Roman"/>
          <w:sz w:val="19"/>
          <w:szCs w:val="19"/>
          <w:color w:val="auto"/>
        </w:rPr>
        <w:t>” shall mean any and all approvals, licenses, permits, registrations or authorizations of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any Regulatory Authority that are necessary to market (including Marketing Authorization) and sell a pharmaceutical product in any country, region or other jurisdiction. For clarity, unless it is required by the Applicable Law to initiate marketing and selling of a product in a particular country, Regulatory Approval shall not include Pricing and Reimbursement Approval.</w:t>
      </w:r>
    </w:p>
    <w:p>
      <w:pPr>
        <w:spacing w:after="0" w:line="134"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shall mean with respect to a country, any national, federal, supranational, state or local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agency, council, department, bureau or other governmental or regulatory authority having the administrative authority to regulate the development or marketing of pharmaceutical products in any country, region or jurisdiction, including the Regulatory Approvals.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1.144  </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12 of 102</w:t>
      </w:r>
    </w:p>
    <w:p>
      <w:pPr>
        <w:sectPr>
          <w:pgSz w:w="11900" w:h="16840" w:orient="portrait"/>
          <w:cols w:equalWidth="0" w:num="1">
            <w:col w:w="9860"/>
          </w:cols>
          <w:pgMar w:left="1380" w:top="1440" w:right="660" w:bottom="1440" w:gutter="0" w:footer="0" w:header="0"/>
        </w:sectPr>
      </w:pPr>
    </w:p>
    <w:bookmarkStart w:id="576" w:name="page577"/>
    <w:bookmarkEnd w:id="576"/>
    <w:p>
      <w:pPr>
        <w:spacing w:after="0" w:line="255"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Materials</w:t>
      </w:r>
      <w:r>
        <w:rPr>
          <w:rFonts w:ascii="Times New Roman" w:cs="Times New Roman" w:eastAsia="Times New Roman" w:hAnsi="Times New Roman"/>
          <w:sz w:val="19"/>
          <w:szCs w:val="19"/>
          <w:color w:val="auto"/>
        </w:rPr>
        <w:t>” shall mean, with respect to a product, regulatory applications (including MAA)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applications, filings, submissions, notifications, materials, communications, registrations, Regulatory Approvals and/or other filings made to, received from or otherwise conducted with a Regulatory Authority in order to Develop, Manufacture, market, sell or otherwise Commercialize such product in a particular country, region or jurisdiction.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shall have the meaning provided in Section 5.8.</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Retained Territory</w:t>
      </w:r>
      <w:r>
        <w:rPr>
          <w:rFonts w:ascii="Times New Roman" w:cs="Times New Roman" w:eastAsia="Times New Roman" w:hAnsi="Times New Roman"/>
          <w:sz w:val="19"/>
          <w:szCs w:val="19"/>
          <w:color w:val="auto"/>
        </w:rPr>
        <w:t>” shall mean Mainland China, Hong Kong Special Administrative Region and Macau Special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Region.</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1.148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shall have the meaning provided in Section 10.5.</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2.8.</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 shall have the meaning provided in Section 8.6.</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shall have the meaning provided in Section 15.2.</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shall have the meaning provided in Section 10.4(a)(i).</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Separate</w:t>
      </w:r>
      <w:r>
        <w:rPr>
          <w:rFonts w:ascii="Times New Roman" w:cs="Times New Roman" w:eastAsia="Times New Roman" w:hAnsi="Times New Roman"/>
          <w:sz w:val="19"/>
          <w:szCs w:val="19"/>
          <w:color w:val="auto"/>
        </w:rPr>
        <w:t>” means, [***].</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1. 154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IP</w:t>
      </w:r>
      <w:r>
        <w:rPr>
          <w:rFonts w:ascii="Times New Roman" w:cs="Times New Roman" w:eastAsia="Times New Roman" w:hAnsi="Times New Roman"/>
          <w:sz w:val="19"/>
          <w:szCs w:val="19"/>
          <w:color w:val="auto"/>
        </w:rPr>
        <w:t>” shall mean Duality Solely Owned Collaboration IP and Licensee Solely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Owned Collaboration IP, as applicable.</w:t>
      </w:r>
    </w:p>
    <w:p>
      <w:pPr>
        <w:spacing w:after="0" w:line="123"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Patents</w:t>
      </w:r>
      <w:r>
        <w:rPr>
          <w:rFonts w:ascii="Times New Roman" w:cs="Times New Roman" w:eastAsia="Times New Roman" w:hAnsi="Times New Roman"/>
          <w:sz w:val="19"/>
          <w:szCs w:val="19"/>
          <w:color w:val="auto"/>
        </w:rPr>
        <w:t>” shall mean Duality Solely Owned Collaboration Patents and Licensee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Solely Owned Collaboration Patents, as applicable.</w:t>
      </w:r>
    </w:p>
    <w:p>
      <w:pPr>
        <w:spacing w:after="0" w:line="123"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1.156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w:t>
      </w:r>
      <w:r>
        <w:rPr>
          <w:rFonts w:ascii="Times New Roman" w:cs="Times New Roman" w:eastAsia="Times New Roman" w:hAnsi="Times New Roman"/>
          <w:sz w:val="19"/>
          <w:szCs w:val="19"/>
          <w:color w:val="auto"/>
        </w:rPr>
        <w:t>” shall mean a license, sublicense, covenant not to sue or other rights granted by Licensee to a Third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under the rights it receives from Duality in accordance with Section 2.2, to Develop, Manufacture or Commercialize a Licensed Compound or a Licensed Product, but excluding any grant of rights to or agreement with (a) any Third Party acting as a service provider or subcontractor for such Party or its Affiliates, or (b) any Third Party wholesaler, distributor, or the like.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Sublicensee</w:t>
      </w:r>
      <w:r>
        <w:rPr>
          <w:rFonts w:ascii="Times New Roman" w:cs="Times New Roman" w:eastAsia="Times New Roman" w:hAnsi="Times New Roman"/>
          <w:sz w:val="19"/>
          <w:szCs w:val="19"/>
          <w:color w:val="auto"/>
        </w:rPr>
        <w:t>” means a Third Party that is receiving rights under a Sublicense.</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Successful Completion</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right="4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Target</w:t>
      </w:r>
      <w:r>
        <w:rPr>
          <w:rFonts w:ascii="Times New Roman" w:cs="Times New Roman" w:eastAsia="Times New Roman" w:hAnsi="Times New Roman"/>
          <w:sz w:val="19"/>
          <w:szCs w:val="19"/>
          <w:color w:val="auto"/>
        </w:rPr>
        <w:t>” shall mean, with regard to an Antibody or ADC and a biological target in question , that such Antibody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ADC demonstrates meaningful binding activity to such biological target and “</w:t>
      </w:r>
      <w:r>
        <w:rPr>
          <w:rFonts w:ascii="Times New Roman" w:cs="Times New Roman" w:eastAsia="Times New Roman" w:hAnsi="Times New Roman"/>
          <w:sz w:val="19"/>
          <w:szCs w:val="19"/>
          <w:b w:val="1"/>
          <w:bCs w:val="1"/>
          <w:color w:val="auto"/>
        </w:rPr>
        <w:t>Targeting</w:t>
      </w:r>
      <w:r>
        <w:rPr>
          <w:rFonts w:ascii="Times New Roman" w:cs="Times New Roman" w:eastAsia="Times New Roman" w:hAnsi="Times New Roman"/>
          <w:sz w:val="19"/>
          <w:szCs w:val="19"/>
          <w:color w:val="auto"/>
        </w:rPr>
        <w:t>” shall be construed accordingly.</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shall have the meaning provided in Section 9.3(b).</w:t>
      </w:r>
    </w:p>
    <w:p>
      <w:pPr>
        <w:spacing w:after="0" w:line="166"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Dosing</w:t>
      </w:r>
      <w:r>
        <w:rPr>
          <w:rFonts w:ascii="Times New Roman" w:cs="Times New Roman" w:eastAsia="Times New Roman" w:hAnsi="Times New Roman"/>
          <w:sz w:val="19"/>
          <w:szCs w:val="19"/>
          <w:color w:val="auto"/>
        </w:rPr>
        <w:t>” shall mean, with respect to a Clinical Trial, or any portion thereof, dosing of the [***] in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Trial or such portion thereof.</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have the meaning provided in Section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13 of 102</w:t>
      </w:r>
    </w:p>
    <w:p>
      <w:pPr>
        <w:sectPr>
          <w:pgSz w:w="11900" w:h="16840" w:orient="portrait"/>
          <w:cols w:equalWidth="0" w:num="1">
            <w:col w:w="9860"/>
          </w:cols>
          <w:pgMar w:left="1380" w:top="1440" w:right="660" w:bottom="1440" w:gutter="0" w:footer="0" w:header="0"/>
        </w:sectPr>
      </w:pPr>
    </w:p>
    <w:bookmarkStart w:id="577" w:name="page578"/>
    <w:bookmarkEnd w:id="577"/>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shall mean worldwide except Retained Territory. For clarity, Territory shall include Taiwan.</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shall mean any entity other than Licensee and its Affiliates and Duality and its Affiliates.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shall have the meaning given in Section 15.2.</w:t>
      </w:r>
    </w:p>
    <w:p>
      <w:pPr>
        <w:spacing w:after="0" w:line="166"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1.167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shall mean the United States of America, including its territories and possessions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recognized by the United Nations from time to time, but in all cases including, for clarity, Puerto Rico</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 Dollars</w:t>
      </w:r>
      <w:r>
        <w:rPr>
          <w:rFonts w:ascii="Times New Roman" w:cs="Times New Roman" w:eastAsia="Times New Roman" w:hAnsi="Times New Roman"/>
          <w:sz w:val="19"/>
          <w:szCs w:val="19"/>
          <w:color w:val="auto"/>
        </w:rPr>
        <w:t>” shall mean U.S. dollars, the lawful currency of the U.S.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1.169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shall have the meaning provided in Section 8.1.</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1.170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Valid Claim</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Wind-Down or Transfer Plan</w:t>
      </w:r>
      <w:r>
        <w:rPr>
          <w:rFonts w:ascii="Times New Roman" w:cs="Times New Roman" w:eastAsia="Times New Roman" w:hAnsi="Times New Roman"/>
          <w:sz w:val="19"/>
          <w:szCs w:val="19"/>
          <w:color w:val="auto"/>
        </w:rPr>
        <w:t>” shall mean a plan for the wind-down or transfer of any ongoing Development,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 and Commercialization (if any) activities of Licensee with respect to the Licensed Products for which the license grant in Section 2.1 has been terminated and the transfer of relevant Licensed Products, as applicable.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 xml:space="preserve">1.172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WCB</w:t>
      </w:r>
      <w:r>
        <w:rPr>
          <w:rFonts w:ascii="Times New Roman" w:cs="Times New Roman" w:eastAsia="Times New Roman" w:hAnsi="Times New Roman"/>
          <w:sz w:val="19"/>
          <w:szCs w:val="19"/>
          <w:color w:val="auto"/>
        </w:rPr>
        <w:t>” shall mean the working cell bank.</w:t>
      </w:r>
    </w:p>
    <w:p>
      <w:pPr>
        <w:spacing w:after="0" w:line="200" w:lineRule="exact"/>
        <w:rPr>
          <w:sz w:val="20"/>
          <w:szCs w:val="20"/>
          <w:color w:val="auto"/>
        </w:rPr>
      </w:pPr>
    </w:p>
    <w:p>
      <w:pPr>
        <w:spacing w:after="0" w:line="38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2</w:t>
      </w:r>
    </w:p>
    <w:p>
      <w:pPr>
        <w:ind w:left="4140"/>
        <w:spacing w:after="0"/>
        <w:rPr>
          <w:sz w:val="20"/>
          <w:szCs w:val="20"/>
          <w:color w:val="auto"/>
        </w:rPr>
      </w:pPr>
      <w:r>
        <w:rPr>
          <w:rFonts w:ascii="Times New Roman" w:cs="Times New Roman" w:eastAsia="Times New Roman" w:hAnsi="Times New Roman"/>
          <w:sz w:val="19"/>
          <w:szCs w:val="19"/>
          <w:b w:val="1"/>
          <w:bCs w:val="1"/>
          <w:color w:val="auto"/>
        </w:rPr>
        <w:t>LICENSE</w:t>
      </w:r>
    </w:p>
    <w:p>
      <w:pPr>
        <w:spacing w:after="0" w:line="14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License Grant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firstLine="567"/>
        <w:spacing w:after="0"/>
        <w:tabs>
          <w:tab w:leader="none" w:pos="1600" w:val="left"/>
        </w:tabs>
        <w:numPr>
          <w:ilvl w:val="0"/>
          <w:numId w:val="6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Territory License Grant </w:t>
      </w:r>
      <w:r>
        <w:rPr>
          <w:rFonts w:ascii="Times New Roman" w:cs="Times New Roman" w:eastAsia="Times New Roman" w:hAnsi="Times New Roman"/>
          <w:sz w:val="19"/>
          <w:szCs w:val="19"/>
          <w:color w:val="auto"/>
        </w:rPr>
        <w:t>. Subject to the terms and conditions of this Agreement (including Duality’s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retained rights in Section 2.4), Duality hereby grants to Licensee, during the Term, an exclusive (even as to Duality and its Affiliates), royalty-bearing license, with the right to sublicense through multiple tiers (in accordance with Section 2.2), under Duality Licensed IP to Develop, have Developed, Manufacture, have Manufactured, use, sell, offer for sale, import and otherwise Commercialize or have Commercialized or exploit the Licensed Products in the Field in the Territory.</w:t>
      </w:r>
    </w:p>
    <w:p>
      <w:pPr>
        <w:spacing w:after="0" w:line="251" w:lineRule="exact"/>
        <w:rPr>
          <w:rFonts w:ascii="Times New Roman" w:cs="Times New Roman" w:eastAsia="Times New Roman" w:hAnsi="Times New Roman"/>
          <w:sz w:val="19"/>
          <w:szCs w:val="19"/>
          <w:color w:val="auto"/>
        </w:rPr>
      </w:pPr>
    </w:p>
    <w:p>
      <w:pPr>
        <w:jc w:val="both"/>
        <w:ind w:left="520" w:right="20" w:firstLine="567"/>
        <w:spacing w:after="0" w:line="222" w:lineRule="auto"/>
        <w:tabs>
          <w:tab w:leader="none" w:pos="1600" w:val="left"/>
        </w:tabs>
        <w:numPr>
          <w:ilvl w:val="0"/>
          <w:numId w:val="6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Retained Territory License Grant</w:t>
      </w:r>
      <w:r>
        <w:rPr>
          <w:rFonts w:ascii="Times New Roman" w:cs="Times New Roman" w:eastAsia="Times New Roman" w:hAnsi="Times New Roman"/>
          <w:sz w:val="19"/>
          <w:szCs w:val="19"/>
          <w:color w:val="auto"/>
        </w:rPr>
        <w:t>. Subject to the terms and conditions of this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Duality’s retained rights in Section 2.4), Duality hereby grants to Licensee a sole license to Develop, have Developed, Manufacture or have Manufactured the Licensed Compound and the Licensed Products in the Retained Territory solely for the purpose of Developing, Manufacturing and Commercializing the Licensed Products in the Field in the Territory. For clarity and without limiting any rights granted to the Licensee hereunder, Duality has the full rights to Develop, Manufacture and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14 of 102</w:t>
      </w:r>
    </w:p>
    <w:p>
      <w:pPr>
        <w:sectPr>
          <w:pgSz w:w="11900" w:h="16840" w:orient="portrait"/>
          <w:cols w:equalWidth="0" w:num="1">
            <w:col w:w="9860"/>
          </w:cols>
          <w:pgMar w:left="1380" w:top="1440" w:right="660" w:bottom="1440" w:gutter="0" w:footer="0" w:header="0"/>
        </w:sectPr>
      </w:pPr>
    </w:p>
    <w:bookmarkStart w:id="578" w:name="page579"/>
    <w:bookmarkEnd w:id="578"/>
    <w:p>
      <w:pPr>
        <w:spacing w:after="0" w:line="257" w:lineRule="exact"/>
        <w:rPr>
          <w:sz w:val="20"/>
          <w:szCs w:val="20"/>
          <w:color w:val="auto"/>
        </w:rPr>
      </w:pPr>
    </w:p>
    <w:p>
      <w:pPr>
        <w:ind w:left="520" w:right="40"/>
        <w:spacing w:after="0" w:line="246" w:lineRule="auto"/>
        <w:rPr>
          <w:sz w:val="20"/>
          <w:szCs w:val="20"/>
          <w:color w:val="auto"/>
        </w:rPr>
      </w:pPr>
      <w:r>
        <w:rPr>
          <w:rFonts w:ascii="Times New Roman" w:cs="Times New Roman" w:eastAsia="Times New Roman" w:hAnsi="Times New Roman"/>
          <w:sz w:val="19"/>
          <w:szCs w:val="19"/>
          <w:color w:val="auto"/>
        </w:rPr>
        <w:t>Manufactured, Commercialize and otherwise exploit the Licensed Compound and Original ADC Licensed Products in the Retained Territory.</w:t>
      </w:r>
    </w:p>
    <w:p>
      <w:pPr>
        <w:spacing w:after="0" w:line="12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Sublicense Rights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right="60" w:firstLine="567"/>
        <w:spacing w:after="0" w:line="233" w:lineRule="auto"/>
        <w:tabs>
          <w:tab w:leader="none" w:pos="1600" w:val="left"/>
        </w:tabs>
        <w:numPr>
          <w:ilvl w:val="0"/>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Sublicense</w:t>
      </w:r>
      <w:r>
        <w:rPr>
          <w:rFonts w:ascii="Times New Roman" w:cs="Times New Roman" w:eastAsia="Times New Roman" w:hAnsi="Times New Roman"/>
          <w:sz w:val="19"/>
          <w:szCs w:val="19"/>
          <w:color w:val="auto"/>
        </w:rPr>
        <w:t>. Subject to the terms and conditions of this Agreement, Licensee and its Affiliates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have the right to grant Sublicenses (through multiple tiers) under Duality Licensed IP, to (i) any Affiliate, or (ii) to any Third Party.</w:t>
      </w:r>
    </w:p>
    <w:p>
      <w:pPr>
        <w:spacing w:after="0" w:line="131"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Sublicense Terms</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left="520" w:right="20" w:firstLine="567"/>
        <w:spacing w:after="0" w:line="224" w:lineRule="auto"/>
        <w:tabs>
          <w:tab w:leader="none" w:pos="1600" w:val="left"/>
        </w:tabs>
        <w:numPr>
          <w:ilvl w:val="0"/>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Licensee’s Responsibility</w:t>
      </w:r>
      <w:r>
        <w:rPr>
          <w:rFonts w:ascii="Times New Roman" w:cs="Times New Roman" w:eastAsia="Times New Roman" w:hAnsi="Times New Roman"/>
          <w:sz w:val="19"/>
          <w:szCs w:val="19"/>
          <w:color w:val="auto"/>
        </w:rPr>
        <w:t>. Licensee shall use Commercially Reasonable Efforts to ensure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by any of its Affiliates, Sublicensees and subcontractors hereunder is in accordance with the applicable terms of this Agreement. With respect to a patent challenge by the Sublicensee against any Duality Patents, if Licensee fails to cause such Sublicensee to cease such violation within a reasonable period of time, Licensee shall, in so far as it is not prohibited under the Applicable Laws, terminate the sublicense agreement.</w:t>
      </w:r>
    </w:p>
    <w:p>
      <w:pPr>
        <w:spacing w:after="0" w:line="133" w:lineRule="exact"/>
        <w:rPr>
          <w:sz w:val="20"/>
          <w:szCs w:val="20"/>
          <w:color w:val="auto"/>
        </w:rPr>
      </w:pPr>
    </w:p>
    <w:p>
      <w:pPr>
        <w:jc w:val="both"/>
        <w:ind w:right="4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2.3 Negative Covenants</w:t>
      </w:r>
      <w:r>
        <w:rPr>
          <w:rFonts w:ascii="Times New Roman" w:cs="Times New Roman" w:eastAsia="Times New Roman" w:hAnsi="Times New Roman"/>
          <w:sz w:val="19"/>
          <w:szCs w:val="19"/>
          <w:color w:val="auto"/>
        </w:rPr>
        <w:t>. In so far as it is not prohibited under the Applicable Laws, Licensee hereby covenants 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country-by- country basis not to, and not to permit or cause any Affiliate to [***]. Notwithstanding the foregoing, this Section shall in no way restrict [***], its Affiliates, its Sublicensees or their CMOs and other authorized Third Party under this Agreement from undertaking any research, Development, Manufacturing, Commercialization, or other exploitation or engaging in any activities involving [***] that anyone not subject to this Agreement may legally undertake before the Effective Date and during the Term in the Territory and elsewhere, [***]. [***]</w:t>
      </w:r>
    </w:p>
    <w:p>
      <w:pPr>
        <w:spacing w:after="0" w:line="132" w:lineRule="exact"/>
        <w:rPr>
          <w:sz w:val="20"/>
          <w:szCs w:val="20"/>
          <w:color w:val="auto"/>
        </w:rPr>
      </w:pPr>
    </w:p>
    <w:p>
      <w:pPr>
        <w:jc w:val="both"/>
        <w:ind w:firstLine="432"/>
        <w:spacing w:after="0" w:line="219" w:lineRule="auto"/>
        <w:rPr>
          <w:sz w:val="20"/>
          <w:szCs w:val="20"/>
          <w:color w:val="auto"/>
        </w:rPr>
      </w:pPr>
      <w:r>
        <w:rPr>
          <w:rFonts w:ascii="Times New Roman" w:cs="Times New Roman" w:eastAsia="Times New Roman" w:hAnsi="Times New Roman"/>
          <w:sz w:val="19"/>
          <w:szCs w:val="19"/>
          <w:b w:val="1"/>
          <w:bCs w:val="1"/>
          <w:color w:val="auto"/>
        </w:rPr>
        <w:t>2. 4 No Implied Licenses; Retained Rights</w:t>
      </w:r>
      <w:r>
        <w:rPr>
          <w:rFonts w:ascii="Times New Roman" w:cs="Times New Roman" w:eastAsia="Times New Roman" w:hAnsi="Times New Roman"/>
          <w:sz w:val="19"/>
          <w:szCs w:val="19"/>
          <w:color w:val="auto"/>
        </w:rPr>
        <w:t>. No right or license under any Patents or Know-How of either Party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or shall be granted by implication. All such rights or licenses are or shall be granted only as expressly provided in the terms of this Agreement. Duality hereby expressly reserves all rights not expressly licensed to Licensee in Section 2.1, including</w:t>
      </w:r>
    </w:p>
    <w:p>
      <w:pPr>
        <w:spacing w:after="0" w:line="2" w:lineRule="exact"/>
        <w:rPr>
          <w:sz w:val="20"/>
          <w:szCs w:val="20"/>
          <w:color w:val="auto"/>
        </w:rPr>
      </w:pPr>
    </w:p>
    <w:p>
      <w:pPr>
        <w:jc w:val="both"/>
        <w:ind w:right="20" w:firstLine="6"/>
        <w:spacing w:after="0" w:line="216" w:lineRule="auto"/>
        <w:tabs>
          <w:tab w:leader="none" w:pos="233"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rights under the Duality Licensed IP with respect to the Licensed Compound and Original ADC Licensed Products in the Retained Territory, subject to Licensee’s co-exclusive license as set forth in Section 2.1(b), (ii) all rights under the Duality Licensed IP to exercise its rights or perform its obligations under this Agreement, and (iii) all rights under the Duality Licensed IP to conduct Development activities in the Territory for the sole purpose of Developing or Commercializing the Original ADC Licensed Products in the Field in the Retained Territory, </w:t>
      </w:r>
      <w:r>
        <w:rPr>
          <w:rFonts w:ascii="Times New Roman" w:cs="Times New Roman" w:eastAsia="Times New Roman" w:hAnsi="Times New Roman"/>
          <w:sz w:val="19"/>
          <w:szCs w:val="19"/>
          <w:i w:val="1"/>
          <w:iCs w:val="1"/>
          <w:color w:val="auto"/>
        </w:rPr>
        <w:t>provided tha</w:t>
      </w:r>
      <w:r>
        <w:rPr>
          <w:rFonts w:ascii="Times New Roman" w:cs="Times New Roman" w:eastAsia="Times New Roman" w:hAnsi="Times New Roman"/>
          <w:sz w:val="19"/>
          <w:szCs w:val="19"/>
          <w:color w:val="auto"/>
        </w:rPr>
        <w:t>t any such Development activities in the Territory in relation to the Original ADC Licensed Product and Licensed Compound shall be undertaken for Duality by Licensee or its Affiliates, or Sublicensees or designated subcontractors.</w:t>
      </w:r>
    </w:p>
    <w:p>
      <w:pPr>
        <w:spacing w:after="0" w:line="136" w:lineRule="exact"/>
        <w:rPr>
          <w:sz w:val="20"/>
          <w:szCs w:val="20"/>
          <w:color w:val="auto"/>
        </w:rPr>
      </w:pPr>
    </w:p>
    <w:p>
      <w:pPr>
        <w:jc w:val="both"/>
        <w:ind w:right="20"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2. 5 License to Duality</w:t>
      </w:r>
      <w:r>
        <w:rPr>
          <w:rFonts w:ascii="Times New Roman" w:cs="Times New Roman" w:eastAsia="Times New Roman" w:hAnsi="Times New Roman"/>
          <w:sz w:val="19"/>
          <w:szCs w:val="19"/>
          <w:color w:val="auto"/>
        </w:rPr>
        <w:t>. Licensee hereby grants to Duality a non-exclusive, non-transferrable, non-sublicensable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(unless a sublicense was consented by Licensee in writing and is in compliance with the license terms set out in Section 2.2(b) which would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royalty-free license under the Licensee Licensed IP, during the Term of this Agreement solely to (i) perform, either itself, through its Affiliates, or through subcontractors, its obligations under this Agreement, including its Manufacturing and supply obligations under Sections 6.1, 6.4 and 6.5, and (ii) limited to the Field and the Retained Territory, to Develop, Manufacture or have Manufactured (or solely for exporting to the Territory, only where requested by Licensee to supply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15 of 102</w:t>
      </w:r>
    </w:p>
    <w:p>
      <w:pPr>
        <w:sectPr>
          <w:pgSz w:w="11900" w:h="16840" w:orient="portrait"/>
          <w:cols w:equalWidth="0" w:num="1">
            <w:col w:w="9880"/>
          </w:cols>
          <w:pgMar w:left="1380" w:top="1440" w:right="640" w:bottom="1440" w:gutter="0" w:footer="0" w:header="0"/>
        </w:sectPr>
      </w:pPr>
    </w:p>
    <w:bookmarkStart w:id="579" w:name="page580"/>
    <w:bookmarkEnd w:id="579"/>
    <w:p>
      <w:pPr>
        <w:spacing w:after="0" w:line="257" w:lineRule="exact"/>
        <w:rPr>
          <w:sz w:val="20"/>
          <w:szCs w:val="20"/>
          <w:color w:val="auto"/>
        </w:rPr>
      </w:pPr>
    </w:p>
    <w:p>
      <w:pPr>
        <w:jc w:val="both"/>
        <w:ind w:left="140"/>
        <w:spacing w:after="0" w:line="218" w:lineRule="auto"/>
        <w:rPr>
          <w:sz w:val="20"/>
          <w:szCs w:val="20"/>
          <w:color w:val="auto"/>
        </w:rPr>
      </w:pPr>
      <w:r>
        <w:rPr>
          <w:rFonts w:ascii="Times New Roman" w:cs="Times New Roman" w:eastAsia="Times New Roman" w:hAnsi="Times New Roman"/>
          <w:sz w:val="19"/>
          <w:szCs w:val="19"/>
          <w:color w:val="auto"/>
        </w:rPr>
        <w:t>Original ADC Licensed Product), or Commercialize the Licensed Compound or Original ADC Licensed Products. Duality shall use Commercially Reasonable Efforts to ensure that the performance by any of its Affiliates or subcontractors hereunder is in accordance with the applicable terms of this Agreement. With respect to a patent challenge by a (sub)licensee against any Licensee Patents, if Duality fails to cause such (sub)licensee to cease such violation within a reasonable period of time, Duality shall, in so far as it is not prohibited under the Applicable Laws, terminate such (sub)license agreement. Duality shall be responsible for any actions of its Affiliates and subcontractors who act on behalf of Duality to perform activities assigned to Duality (for or on behalf of Licensee) pursuant to this Agreement, to the same extent as if such actions had been taken by Duality itself, and Licensee shall have the right to proceed directly against Duality without any obligation to first proceed against such Affiliate, sublicensee and subcontractor.</w:t>
      </w:r>
    </w:p>
    <w:p>
      <w:pPr>
        <w:spacing w:after="0" w:line="132"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2. 6 Know-How Transfer</w:t>
      </w:r>
      <w:r>
        <w:rPr>
          <w:rFonts w:ascii="Times New Roman" w:cs="Times New Roman" w:eastAsia="Times New Roman" w:hAnsi="Times New Roman"/>
          <w:sz w:val="19"/>
          <w:szCs w:val="19"/>
          <w:color w:val="auto"/>
        </w:rPr>
        <w:t>. Within [***] days of the Effective Date, Duality shall at its cost and expense provide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Licensee [***] the documents embodying all Duality Know-How (including CMC documentation to the extent available to Duality or any of its Affiliates as of the Effective Date) Controlled by Duality or any of its Affiliates as of the Effective Date, including but not limited to the structure of the Licensed Compound (to the extent not transferred to Licensee prior to the Effective Date, [***]. A description of such documents for the initial Know-How Transfer is attached as </w:t>
      </w:r>
      <w:r>
        <w:rPr>
          <w:rFonts w:ascii="Times New Roman" w:cs="Times New Roman" w:eastAsia="Times New Roman" w:hAnsi="Times New Roman"/>
          <w:sz w:val="19"/>
          <w:szCs w:val="19"/>
          <w:b w:val="1"/>
          <w:bCs w:val="1"/>
          <w:color w:val="auto"/>
        </w:rPr>
        <w:t>Schedule 2.6</w:t>
      </w:r>
      <w:r>
        <w:rPr>
          <w:rFonts w:ascii="Times New Roman" w:cs="Times New Roman" w:eastAsia="Times New Roman" w:hAnsi="Times New Roman"/>
          <w:sz w:val="19"/>
          <w:szCs w:val="19"/>
          <w:color w:val="auto"/>
        </w:rPr>
        <w:t xml:space="preserve"> hereto. Duality shall promptly (and in any event no later than [***] from the existence of such Know-How) inform Licensee of the existence of any additional Duality Know- How that becomes Controlled by Duality after the Effective Date and during the Term. The Parties shall discuss the timing and means of the transfer of additional Duality Know-How and Duality shall provide electronic copies of such additional Duality Know-How to Licensee in accordance with Licensee’s request, in a manner in line with that for the initial Know-How transfer and at no additional cost to Licensee.</w:t>
      </w:r>
    </w:p>
    <w:p>
      <w:pPr>
        <w:spacing w:after="0" w:line="13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Non-Competition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2.8</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Article 3</w:t>
      </w:r>
    </w:p>
    <w:p>
      <w:pPr>
        <w:ind w:left="4020"/>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42" w:lineRule="exact"/>
        <w:rPr>
          <w:sz w:val="20"/>
          <w:szCs w:val="20"/>
          <w:color w:val="auto"/>
        </w:rPr>
      </w:pPr>
    </w:p>
    <w:p>
      <w:pPr>
        <w:jc w:val="both"/>
        <w:ind w:left="14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3.1 Joint Steering Committee</w:t>
      </w:r>
      <w:r>
        <w:rPr>
          <w:rFonts w:ascii="Times New Roman" w:cs="Times New Roman" w:eastAsia="Times New Roman" w:hAnsi="Times New Roman"/>
          <w:sz w:val="19"/>
          <w:szCs w:val="19"/>
          <w:color w:val="auto"/>
        </w:rPr>
        <w:t>. Within [***] days following the Effective Date, the Parties shall establish a JSC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comprised of an equal number of representatives from each Party to approve, plan, coordinate, integrate monitor and oversee the Parties’ activities in the Territory in relation to the Development of the Original ADC Licensed Product and facilitate information exchange between the Parties under this Agreement. The JSC, as may be conducted through the applicable Subcommittee, shall in particular:</w:t>
      </w:r>
    </w:p>
    <w:p>
      <w:pPr>
        <w:spacing w:after="0" w:line="135" w:lineRule="exact"/>
        <w:rPr>
          <w:sz w:val="20"/>
          <w:szCs w:val="20"/>
          <w:color w:val="auto"/>
        </w:rPr>
      </w:pPr>
    </w:p>
    <w:p>
      <w:pPr>
        <w:ind w:left="660" w:right="40" w:firstLine="567"/>
        <w:spacing w:after="0" w:line="246" w:lineRule="auto"/>
        <w:tabs>
          <w:tab w:leader="none" w:pos="1740" w:val="left"/>
        </w:tabs>
        <w:numPr>
          <w:ilvl w:val="0"/>
          <w:numId w:val="6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coordinate the overall strategy for the Development of the Original ADC Licensed Products in the Territory;</w:t>
      </w:r>
    </w:p>
    <w:p>
      <w:pPr>
        <w:spacing w:after="0" w:line="128" w:lineRule="exact"/>
        <w:rPr>
          <w:rFonts w:ascii="Times New Roman" w:cs="Times New Roman" w:eastAsia="Times New Roman" w:hAnsi="Times New Roman"/>
          <w:sz w:val="19"/>
          <w:szCs w:val="19"/>
          <w:color w:val="auto"/>
        </w:rPr>
      </w:pPr>
    </w:p>
    <w:p>
      <w:pPr>
        <w:ind w:left="660" w:right="20" w:firstLine="567"/>
        <w:spacing w:after="0" w:line="246" w:lineRule="auto"/>
        <w:tabs>
          <w:tab w:leader="none" w:pos="1740" w:val="left"/>
        </w:tabs>
        <w:numPr>
          <w:ilvl w:val="0"/>
          <w:numId w:val="6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proposed amendments or revisions to the Development Plan(s) of the Original ADC Licensed Product, including all related budgets of the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16 of 102</w:t>
      </w:r>
    </w:p>
    <w:p>
      <w:pPr>
        <w:sectPr>
          <w:pgSz w:w="11900" w:h="16840" w:orient="portrait"/>
          <w:cols w:equalWidth="0" w:num="1">
            <w:col w:w="10000"/>
          </w:cols>
          <w:pgMar w:left="1240" w:top="1440" w:right="660" w:bottom="1440" w:gutter="0" w:footer="0" w:header="0"/>
        </w:sectPr>
      </w:pPr>
    </w:p>
    <w:bookmarkStart w:id="580" w:name="page581"/>
    <w:bookmarkEnd w:id="580"/>
    <w:p>
      <w:pPr>
        <w:spacing w:after="0" w:line="257" w:lineRule="exact"/>
        <w:rPr>
          <w:sz w:val="20"/>
          <w:szCs w:val="20"/>
          <w:color w:val="auto"/>
        </w:rPr>
      </w:pPr>
    </w:p>
    <w:p>
      <w:pPr>
        <w:ind w:left="520" w:right="20" w:firstLine="567"/>
        <w:spacing w:after="0" w:line="246" w:lineRule="auto"/>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study protocols relating to the Development Plan(s) (and any amendments thereto) of the Original ADC Licensed Products;</w:t>
      </w:r>
    </w:p>
    <w:p>
      <w:pPr>
        <w:spacing w:after="0" w:line="128" w:lineRule="exact"/>
        <w:rPr>
          <w:rFonts w:ascii="Times New Roman" w:cs="Times New Roman" w:eastAsia="Times New Roman" w:hAnsi="Times New Roman"/>
          <w:sz w:val="19"/>
          <w:szCs w:val="19"/>
          <w:color w:val="auto"/>
        </w:rPr>
      </w:pPr>
    </w:p>
    <w:p>
      <w:pPr>
        <w:jc w:val="both"/>
        <w:ind w:left="520" w:right="20" w:firstLine="567"/>
        <w:spacing w:after="0" w:line="232" w:lineRule="auto"/>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serve as a forum for the sharing of information between the Parties regarding the operation of any Development activities of the Original ADC Licensed Product in the Territory and in the Retained Territory;</w:t>
      </w:r>
    </w:p>
    <w:p>
      <w:pPr>
        <w:spacing w:after="0" w:line="134" w:lineRule="exact"/>
        <w:rPr>
          <w:rFonts w:ascii="Times New Roman" w:cs="Times New Roman" w:eastAsia="Times New Roman" w:hAnsi="Times New Roman"/>
          <w:sz w:val="19"/>
          <w:szCs w:val="19"/>
          <w:color w:val="auto"/>
        </w:rPr>
      </w:pPr>
    </w:p>
    <w:p>
      <w:pPr>
        <w:ind w:left="520" w:right="20" w:firstLine="567"/>
        <w:spacing w:after="0" w:line="246" w:lineRule="auto"/>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and coordinate the on-going disclosure, sharing and/or transfer of Collaboration IPs generated in or related to the Development of the Original ADC Licensed Products in the Territory;</w:t>
      </w:r>
    </w:p>
    <w:p>
      <w:pPr>
        <w:spacing w:after="0" w:line="128" w:lineRule="exact"/>
        <w:rPr>
          <w:rFonts w:ascii="Times New Roman" w:cs="Times New Roman" w:eastAsia="Times New Roman" w:hAnsi="Times New Roman"/>
          <w:sz w:val="19"/>
          <w:szCs w:val="19"/>
          <w:color w:val="auto"/>
        </w:rPr>
      </w:pPr>
    </w:p>
    <w:p>
      <w:pPr>
        <w:ind w:left="520" w:right="20" w:firstLine="567"/>
        <w:spacing w:after="0" w:line="246" w:lineRule="auto"/>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any matters relating to the Regulatory Approvals and Regulatory Materials to be submitted to any Regulatory Authority in the Territory in respect of the Original ADC Licensed Product;</w:t>
      </w:r>
    </w:p>
    <w:p>
      <w:pPr>
        <w:spacing w:after="0" w:line="128"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coordinate supply of Original ADC Licensed Product in accordance with Article 6;</w:t>
      </w:r>
    </w:p>
    <w:p>
      <w:pPr>
        <w:spacing w:after="0" w:line="165" w:lineRule="exact"/>
        <w:rPr>
          <w:rFonts w:ascii="Times New Roman" w:cs="Times New Roman" w:eastAsia="Times New Roman" w:hAnsi="Times New Roman"/>
          <w:sz w:val="19"/>
          <w:szCs w:val="19"/>
          <w:color w:val="auto"/>
        </w:rPr>
      </w:pPr>
    </w:p>
    <w:p>
      <w:pPr>
        <w:jc w:val="both"/>
        <w:ind w:left="520" w:right="40" w:firstLine="567"/>
        <w:spacing w:after="0" w:line="232" w:lineRule="auto"/>
        <w:tabs>
          <w:tab w:leader="none" w:pos="160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the clinical protocol of and Duality’s potential participation in any Global Trial (including the HER2-Low BC Phase III Global Trial) sponsored by Licensee or any of its Affiliates and Sublicensees or Licensee Added Trials; and</w:t>
      </w:r>
    </w:p>
    <w:p>
      <w:pPr>
        <w:spacing w:after="0" w:line="134" w:lineRule="exact"/>
        <w:rPr>
          <w:rFonts w:ascii="Times New Roman" w:cs="Times New Roman" w:eastAsia="Times New Roman" w:hAnsi="Times New Roman"/>
          <w:sz w:val="19"/>
          <w:szCs w:val="19"/>
          <w:color w:val="auto"/>
        </w:rPr>
      </w:pPr>
    </w:p>
    <w:p>
      <w:pPr>
        <w:ind w:left="520" w:right="20" w:firstLine="567"/>
        <w:spacing w:after="0" w:line="246" w:lineRule="auto"/>
        <w:tabs>
          <w:tab w:leader="none" w:pos="1588"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such other functions as appropriate to further the purposes of this Agreement, as expressly set forth in this Agreement or as determined by the Parties in writing.</w:t>
      </w:r>
    </w:p>
    <w:p>
      <w:pPr>
        <w:spacing w:after="0" w:line="126"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3.2 Subcommittees</w:t>
      </w:r>
      <w:r>
        <w:rPr>
          <w:rFonts w:ascii="Times New Roman" w:cs="Times New Roman" w:eastAsia="Times New Roman" w:hAnsi="Times New Roman"/>
          <w:sz w:val="19"/>
          <w:szCs w:val="19"/>
          <w:color w:val="auto"/>
        </w:rPr>
        <w:t>. From time to time during the Term, the JSC may establish and disband one or more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subcommittee(s) (each, a “</w:t>
      </w:r>
      <w:r>
        <w:rPr>
          <w:rFonts w:ascii="Times New Roman" w:cs="Times New Roman" w:eastAsia="Times New Roman" w:hAnsi="Times New Roman"/>
          <w:sz w:val="19"/>
          <w:szCs w:val="19"/>
          <w:b w:val="1"/>
          <w:bCs w:val="1"/>
          <w:color w:val="auto"/>
        </w:rPr>
        <w:t>Subcommittee</w:t>
      </w:r>
      <w:r>
        <w:rPr>
          <w:rFonts w:ascii="Times New Roman" w:cs="Times New Roman" w:eastAsia="Times New Roman" w:hAnsi="Times New Roman"/>
          <w:sz w:val="19"/>
          <w:szCs w:val="19"/>
          <w:color w:val="auto"/>
        </w:rPr>
        <w:t xml:space="preserve"> ”) to oversee particular activities of the Parties, and the JSC may assign to such subcommittee(s) duties or tasks independent of the duties of the JSC, or delegate part of such duties of the JSC to such subcommittee(s) as it deems necessary and appropriate.</w:t>
      </w:r>
    </w:p>
    <w:p>
      <w:pPr>
        <w:spacing w:after="0" w:line="134" w:lineRule="exact"/>
        <w:rPr>
          <w:sz w:val="20"/>
          <w:szCs w:val="20"/>
          <w:color w:val="auto"/>
        </w:rPr>
      </w:pPr>
    </w:p>
    <w:p>
      <w:pPr>
        <w:jc w:val="both"/>
        <w:ind w:left="520" w:right="20" w:firstLine="567"/>
        <w:spacing w:after="0" w:line="218" w:lineRule="auto"/>
        <w:tabs>
          <w:tab w:leader="none" w:pos="1600" w:val="left"/>
        </w:tabs>
        <w:numPr>
          <w:ilvl w:val="0"/>
          <w:numId w:val="6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IP Committee</w:t>
      </w:r>
      <w:r>
        <w:rPr>
          <w:rFonts w:ascii="Times New Roman" w:cs="Times New Roman" w:eastAsia="Times New Roman" w:hAnsi="Times New Roman"/>
          <w:sz w:val="19"/>
          <w:szCs w:val="19"/>
          <w:color w:val="auto"/>
        </w:rPr>
        <w:t>. Without limiting the generality of the foregoing subsection (a), no later than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days after the Effective Date (unless otherwise agreed by the Parties) the JSC shall establish an intellectual property committee (the “</w:t>
      </w:r>
      <w:r>
        <w:rPr>
          <w:rFonts w:ascii="Times New Roman" w:cs="Times New Roman" w:eastAsia="Times New Roman" w:hAnsi="Times New Roman"/>
          <w:sz w:val="19"/>
          <w:szCs w:val="19"/>
          <w:b w:val="1"/>
          <w:bCs w:val="1"/>
          <w:color w:val="auto"/>
        </w:rPr>
        <w:t>Joint IP 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led by Licensee and comprised of an equal number of representatives from each Party. The JIPC shall provide a forum for discussion of the patenting strategies of the Original ADC Licensed Products and coordinate the Parties’ efforts in accordance with the provisions set forth in Article 12 and other matters related to the prosecution and maintenance of intellectual property rights hereunder, including submissions to and addressing notices from Regulatory Authorities that relate to regulatory-patent linkage procedures and proceedings. The JSC shall determine the desired membership of the JIPC and once formed, Licensee’s committee members shall determine the time, place and procedure of meetings. [***]</w:t>
      </w:r>
    </w:p>
    <w:p>
      <w:pPr>
        <w:spacing w:after="0" w:line="134" w:lineRule="exact"/>
        <w:rPr>
          <w:rFonts w:ascii="Times New Roman" w:cs="Times New Roman" w:eastAsia="Times New Roman" w:hAnsi="Times New Roman"/>
          <w:sz w:val="19"/>
          <w:szCs w:val="19"/>
          <w:color w:val="auto"/>
        </w:rPr>
      </w:pPr>
    </w:p>
    <w:p>
      <w:pPr>
        <w:jc w:val="both"/>
        <w:ind w:left="520" w:firstLine="567"/>
        <w:spacing w:after="0" w:line="227" w:lineRule="auto"/>
        <w:tabs>
          <w:tab w:leader="none" w:pos="1600" w:val="left"/>
        </w:tabs>
        <w:numPr>
          <w:ilvl w:val="0"/>
          <w:numId w:val="6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Without limiting the generality of the foregoing subsection (a), no later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than [***] days after the Effective Date, the JSC shall establish a joint development committee (the “</w:t>
      </w:r>
      <w:r>
        <w:rPr>
          <w:rFonts w:ascii="Times New Roman" w:cs="Times New Roman" w:eastAsia="Times New Roman" w:hAnsi="Times New Roman"/>
          <w:sz w:val="19"/>
          <w:szCs w:val="19"/>
          <w:b w:val="1"/>
          <w:bCs w:val="1"/>
          <w:color w:val="auto"/>
        </w:rPr>
        <w:t>Joint Development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led by Licensee and comprised of an equal number of representatives from each Party. The JDC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(i) oversee the implementation and progress of the Development Plan in the Territory, (ii) discuss and propose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17 of 102</w:t>
      </w:r>
    </w:p>
    <w:p>
      <w:pPr>
        <w:sectPr>
          <w:pgSz w:w="11900" w:h="16840" w:orient="portrait"/>
          <w:cols w:equalWidth="0" w:num="1">
            <w:col w:w="9860"/>
          </w:cols>
          <w:pgMar w:left="1380" w:top="1440" w:right="660" w:bottom="1440" w:gutter="0" w:footer="0" w:header="0"/>
        </w:sectPr>
      </w:pPr>
    </w:p>
    <w:bookmarkStart w:id="581" w:name="page582"/>
    <w:bookmarkEnd w:id="581"/>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to the JSC for approval any amendments to the Development Plan, (iii) oversee any Global Trials.</w:t>
      </w:r>
    </w:p>
    <w:p>
      <w:pPr>
        <w:spacing w:after="0" w:line="164"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3.3 Composition; Meetings</w:t>
      </w:r>
      <w:r>
        <w:rPr>
          <w:rFonts w:ascii="Times New Roman" w:cs="Times New Roman" w:eastAsia="Times New Roman" w:hAnsi="Times New Roman"/>
          <w:sz w:val="19"/>
          <w:szCs w:val="19"/>
          <w:color w:val="auto"/>
        </w:rPr>
        <w:t>. The JSC and each Subcommittee (each, a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be composed of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representatives from each Party (or such other equal number of representatives of each of Licensee and Duality as the JSC may determine), and each Party shall notify the other Party of its initial JSC representatives within [***] days after the Effective Date. Each Party shall designate a representative to be the co- chairperson of the JSC and Licensee shall designate a representative to chair each Subcommittee led by it, in each case who shall schedule meetings, prepare meeting agendas and meeting minutes and follow up on action items. Each Party may request and convene a Committee meeting and propose agenda therefor at any time. With respect to the JSC, these responsibilities will alternate between the Parties or each co -chairperson, as applicable, with Licensee’s co-chairperson taking the responsibility for the first meeting of the JSC. Each Party may change its representatives to the JSC (or any Subcommittee) from time to time in its sole discretion, effective upon notice to the other Party of such change. Each Party’s representatives in each Committee shall possess appropriate experience with respect to the issues falling within the functions of such Committee and requisite seniority within such Party’s organization, and shall have the authority to make decisions on behalf of the Party they represent.</w:t>
      </w:r>
    </w:p>
    <w:p>
      <w:pPr>
        <w:spacing w:after="0" w:line="137" w:lineRule="exact"/>
        <w:rPr>
          <w:sz w:val="20"/>
          <w:szCs w:val="20"/>
          <w:color w:val="auto"/>
        </w:rPr>
      </w:pPr>
    </w:p>
    <w:p>
      <w:pPr>
        <w:jc w:val="both"/>
        <w:ind w:left="140" w:right="20"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3.4 Non-Member Attendance </w:t>
      </w:r>
      <w:r>
        <w:rPr>
          <w:rFonts w:ascii="Times New Roman" w:cs="Times New Roman" w:eastAsia="Times New Roman" w:hAnsi="Times New Roman"/>
          <w:sz w:val="19"/>
          <w:szCs w:val="19"/>
          <w:color w:val="auto"/>
        </w:rPr>
        <w:t>. Each Party may from time to time invite a reasonable number of participants,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 to its representatives, to attend a meeting of any Committee (in a non-voting capacity) in the event that the planned agenda for such Committee meeting would require such participants’ expertise; provided that if either Party intends to have any Third Party (including any consultant or counsel) attend such a meeting, such Party shall provide prior written notice to the other Party, shall obtain approval from such other Party for such Third Party to attend (which shall not be unreasonably withheld by the notified Party), and shall ensure that such Third Party is bound by confidentiality and non-use obligations consistent with the terms of this Agreement.</w:t>
      </w:r>
    </w:p>
    <w:p>
      <w:pPr>
        <w:spacing w:after="0" w:line="135" w:lineRule="exact"/>
        <w:rPr>
          <w:sz w:val="20"/>
          <w:szCs w:val="20"/>
          <w:color w:val="auto"/>
        </w:rPr>
      </w:pPr>
    </w:p>
    <w:p>
      <w:pPr>
        <w:jc w:val="both"/>
        <w:ind w:left="140"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3. 5 Decision-Making</w:t>
      </w:r>
      <w:r>
        <w:rPr>
          <w:rFonts w:ascii="Times New Roman" w:cs="Times New Roman" w:eastAsia="Times New Roman" w:hAnsi="Times New Roman"/>
          <w:sz w:val="19"/>
          <w:szCs w:val="19"/>
          <w:color w:val="auto"/>
        </w:rPr>
        <w:t>. The representatives of each Party will have, collectively, [***] at each Committee on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matters brought before such Committee. The Committees may not take any action or decide any matter except at a meeting attended by [***] representing each Party and with unanimous consent.</w:t>
      </w:r>
    </w:p>
    <w:p>
      <w:pPr>
        <w:spacing w:after="0" w:line="132" w:lineRule="exact"/>
        <w:rPr>
          <w:sz w:val="20"/>
          <w:szCs w:val="20"/>
          <w:color w:val="auto"/>
        </w:rPr>
      </w:pPr>
    </w:p>
    <w:p>
      <w:pPr>
        <w:jc w:val="both"/>
        <w:ind w:right="20" w:firstLine="578"/>
        <w:spacing w:after="0" w:line="220" w:lineRule="auto"/>
        <w:tabs>
          <w:tab w:leader="none" w:pos="1152" w:val="left"/>
        </w:tabs>
        <w:numPr>
          <w:ilvl w:val="0"/>
          <w:numId w:val="6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JSC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JSC (including those matters referred to the JSC by any Subcommittee), the representatives of the Parties on the JSC cannot reach an agreement as to such matter within [***] Days after such matter was brought to the JSC for resolution or after such matter has been referred to the JSC, such disagreement shall be referred to [***] (collectively, the “</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for resolution. If the Executive Officers cannot resolve such matter within [***] days (or such other timeframe as the JSC may request in consideration of the urgency of such referred matter) after such matter has been referred to them, then:</w:t>
      </w:r>
    </w:p>
    <w:p>
      <w:pPr>
        <w:spacing w:after="0" w:line="137" w:lineRule="exact"/>
        <w:rPr>
          <w:sz w:val="20"/>
          <w:szCs w:val="20"/>
          <w:color w:val="auto"/>
        </w:rPr>
      </w:pPr>
    </w:p>
    <w:p>
      <w:pPr>
        <w:ind w:left="1160" w:right="4120" w:hanging="582"/>
        <w:spacing w:after="0" w:line="421" w:lineRule="auto"/>
        <w:tabs>
          <w:tab w:leader="none" w:pos="1148" w:val="left"/>
        </w:tabs>
        <w:numPr>
          <w:ilvl w:val="0"/>
          <w:numId w:val="6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be entitled to make final decisions with respect to: [***]</w:t>
      </w:r>
    </w:p>
    <w:p>
      <w:pPr>
        <w:spacing w:after="0" w:line="1" w:lineRule="exact"/>
        <w:rPr>
          <w:rFonts w:ascii="Times New Roman" w:cs="Times New Roman" w:eastAsia="Times New Roman" w:hAnsi="Times New Roman"/>
          <w:sz w:val="19"/>
          <w:szCs w:val="19"/>
          <w:color w:val="auto"/>
        </w:rPr>
      </w:pPr>
    </w:p>
    <w:p>
      <w:pPr>
        <w:ind w:left="1160" w:hanging="582"/>
        <w:spacing w:after="0"/>
        <w:tabs>
          <w:tab w:leader="none" w:pos="1160" w:val="left"/>
        </w:tabs>
        <w:numPr>
          <w:ilvl w:val="0"/>
          <w:numId w:val="6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be entitled to make final decisions on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18 of 102</w:t>
      </w:r>
    </w:p>
    <w:p>
      <w:pPr>
        <w:sectPr>
          <w:pgSz w:w="11900" w:h="16840" w:orient="portrait"/>
          <w:cols w:equalWidth="0" w:num="1">
            <w:col w:w="10000"/>
          </w:cols>
          <w:pgMar w:left="1240" w:top="1440" w:right="660" w:bottom="1440" w:gutter="0" w:footer="0" w:header="0"/>
        </w:sectPr>
      </w:pPr>
    </w:p>
    <w:bookmarkStart w:id="582" w:name="page583"/>
    <w:bookmarkEnd w:id="582"/>
    <w:p>
      <w:pPr>
        <w:spacing w:after="0" w:line="25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 and</w:t>
      </w:r>
    </w:p>
    <w:p>
      <w:pPr>
        <w:spacing w:after="0" w:line="166" w:lineRule="exact"/>
        <w:rPr>
          <w:sz w:val="20"/>
          <w:szCs w:val="20"/>
          <w:color w:val="auto"/>
        </w:rPr>
      </w:pPr>
    </w:p>
    <w:p>
      <w:pPr>
        <w:ind w:left="1160" w:hanging="582"/>
        <w:spacing w:after="0"/>
        <w:tabs>
          <w:tab w:leader="none" w:pos="116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w:t>
      </w:r>
    </w:p>
    <w:p>
      <w:pPr>
        <w:spacing w:after="0" w:line="161" w:lineRule="exact"/>
        <w:rPr>
          <w:rFonts w:ascii="Times New Roman" w:cs="Times New Roman" w:eastAsia="Times New Roman" w:hAnsi="Times New Roman"/>
          <w:sz w:val="19"/>
          <w:szCs w:val="19"/>
          <w:color w:val="auto"/>
        </w:rPr>
      </w:pPr>
    </w:p>
    <w:p>
      <w:pPr>
        <w:ind w:left="2880" w:hanging="717"/>
        <w:spacing w:after="0"/>
        <w:tabs>
          <w:tab w:leader="none" w:pos="2880" w:val="left"/>
        </w:tabs>
        <w:numPr>
          <w:ilvl w:val="2"/>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have final decision-making authority with respect to matters relating to [***];</w:t>
      </w:r>
    </w:p>
    <w:p>
      <w:pPr>
        <w:ind w:left="1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w:t>
      </w:r>
    </w:p>
    <w:p>
      <w:pPr>
        <w:spacing w:after="0" w:line="143" w:lineRule="exact"/>
        <w:rPr>
          <w:rFonts w:ascii="Times New Roman" w:cs="Times New Roman" w:eastAsia="Times New Roman" w:hAnsi="Times New Roman"/>
          <w:sz w:val="19"/>
          <w:szCs w:val="19"/>
          <w:color w:val="auto"/>
        </w:rPr>
      </w:pPr>
    </w:p>
    <w:p>
      <w:pPr>
        <w:ind w:left="2880" w:hanging="717"/>
        <w:spacing w:after="0"/>
        <w:tabs>
          <w:tab w:leader="none" w:pos="2880" w:val="left"/>
        </w:tabs>
        <w:numPr>
          <w:ilvl w:val="2"/>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will have final decision-making authority with respect to matters relating to [***].</w:t>
      </w:r>
    </w:p>
    <w:p>
      <w:pPr>
        <w:spacing w:after="0" w:line="163" w:lineRule="exact"/>
        <w:rPr>
          <w:rFonts w:ascii="Times New Roman" w:cs="Times New Roman" w:eastAsia="Times New Roman" w:hAnsi="Times New Roman"/>
          <w:sz w:val="19"/>
          <w:szCs w:val="19"/>
          <w:color w:val="auto"/>
        </w:rPr>
      </w:pPr>
    </w:p>
    <w:p>
      <w:pPr>
        <w:jc w:val="both"/>
        <w:ind w:left="660" w:firstLine="567"/>
        <w:spacing w:after="0" w:line="222" w:lineRule="auto"/>
        <w:tabs>
          <w:tab w:leader="none" w:pos="1740" w:val="left"/>
        </w:tabs>
        <w:numPr>
          <w:ilvl w:val="1"/>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JIPC Decisions</w:t>
      </w:r>
      <w:r>
        <w:rPr>
          <w:rFonts w:ascii="Times New Roman" w:cs="Times New Roman" w:eastAsia="Times New Roman" w:hAnsi="Times New Roman"/>
          <w:sz w:val="19"/>
          <w:szCs w:val="19"/>
          <w:color w:val="auto"/>
        </w:rPr>
        <w:t>. Except where consent or approval on any matter by a Party is expressly required herein,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reasonable discussion and good faith consideration of each Party’s view on any matter within the decision-making authority of the JIPC, together with the assistance of each Party’s outside intellectual property counsel (as required and pursuant to Section 3.4), the representatives of the Parties on the JIPC cannot reach an agreement as to such matter within [***] Days after such matter was brought to the JIPC for resolution or after such matter has been referred to the JIPC, such matter shall be escalated to the JSC by either Party.</w:t>
      </w:r>
    </w:p>
    <w:p>
      <w:pPr>
        <w:spacing w:after="0" w:line="132" w:lineRule="exact"/>
        <w:rPr>
          <w:sz w:val="20"/>
          <w:szCs w:val="20"/>
          <w:color w:val="auto"/>
        </w:rPr>
      </w:pPr>
    </w:p>
    <w:p>
      <w:pPr>
        <w:jc w:val="both"/>
        <w:ind w:firstLine="578"/>
        <w:spacing w:after="0" w:line="224" w:lineRule="auto"/>
        <w:tabs>
          <w:tab w:leader="none" w:pos="1152" w:val="left"/>
        </w:tabs>
        <w:numPr>
          <w:ilvl w:val="0"/>
          <w:numId w:val="6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JDC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JDC, the representatives of the Parties on the JDC cannot reach an agreement as to such matter within [***] Days after such matter was brought to the JDC for resolution or after such matter has been referred to the JDC, such disagreement shall be escalated to the JSC by either Party.</w:t>
      </w:r>
    </w:p>
    <w:p>
      <w:pPr>
        <w:spacing w:after="0" w:line="130" w:lineRule="exact"/>
        <w:rPr>
          <w:rFonts w:ascii="Times New Roman" w:cs="Times New Roman" w:eastAsia="Times New Roman" w:hAnsi="Times New Roman"/>
          <w:sz w:val="19"/>
          <w:szCs w:val="19"/>
          <w:color w:val="auto"/>
        </w:rPr>
      </w:pPr>
    </w:p>
    <w:p>
      <w:pPr>
        <w:ind w:left="1160" w:hanging="582"/>
        <w:spacing w:after="0"/>
        <w:tabs>
          <w:tab w:leader="none" w:pos="1160" w:val="left"/>
        </w:tabs>
        <w:numPr>
          <w:ilvl w:val="0"/>
          <w:numId w:val="6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Deadlock Resolution. </w:t>
      </w:r>
      <w:r>
        <w:rPr>
          <w:rFonts w:ascii="Times New Roman" w:cs="Times New Roman" w:eastAsia="Times New Roman" w:hAnsi="Times New Roman"/>
          <w:sz w:val="19"/>
          <w:szCs w:val="19"/>
          <w:color w:val="auto"/>
        </w:rPr>
        <w:t>In case of a deadlock with respect to the decision-making process of the JSC, Article 15</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apply.</w:t>
      </w:r>
    </w:p>
    <w:p>
      <w:pPr>
        <w:spacing w:after="0" w:line="142" w:lineRule="exact"/>
        <w:rPr>
          <w:sz w:val="20"/>
          <w:szCs w:val="20"/>
          <w:color w:val="auto"/>
        </w:rPr>
      </w:pPr>
    </w:p>
    <w:p>
      <w:pPr>
        <w:jc w:val="both"/>
        <w:ind w:left="140"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3.6 Limitations on Authority</w:t>
      </w:r>
      <w:r>
        <w:rPr>
          <w:rFonts w:ascii="Times New Roman" w:cs="Times New Roman" w:eastAsia="Times New Roman" w:hAnsi="Times New Roman"/>
          <w:sz w:val="19"/>
          <w:szCs w:val="19"/>
          <w:color w:val="auto"/>
        </w:rPr>
        <w:t>. The JSC shall have only such powers as are expressly assigned to it in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such powers shall be subject to the terms and conditions of this Agreement. Without limiting the generality of the foregoing, the JSC shall not have the power to amend this Agreement, and no decision of the JSC may be in contravention of any terms and conditions of this Agreement. For clarity, the JSC shall have no decision -making authority regarding any Development, Manufacturing, Commercialization or other activity in the Retained Territory save as contemplated by Section 3.5(a) or otherwise expressly provided in this Agreement.</w:t>
      </w:r>
    </w:p>
    <w:p>
      <w:pPr>
        <w:spacing w:after="0" w:line="132" w:lineRule="exact"/>
        <w:rPr>
          <w:sz w:val="20"/>
          <w:szCs w:val="20"/>
          <w:color w:val="auto"/>
        </w:rPr>
      </w:pPr>
    </w:p>
    <w:p>
      <w:pPr>
        <w:jc w:val="both"/>
        <w:ind w:left="140" w:firstLine="432"/>
        <w:spacing w:after="0" w:line="215" w:lineRule="auto"/>
        <w:rPr>
          <w:sz w:val="20"/>
          <w:szCs w:val="20"/>
          <w:color w:val="auto"/>
        </w:rPr>
      </w:pPr>
      <w:r>
        <w:rPr>
          <w:rFonts w:ascii="Times New Roman" w:cs="Times New Roman" w:eastAsia="Times New Roman" w:hAnsi="Times New Roman"/>
          <w:sz w:val="19"/>
          <w:szCs w:val="19"/>
          <w:b w:val="1"/>
          <w:bCs w:val="1"/>
          <w:color w:val="auto"/>
        </w:rPr>
        <w:t>3.7 Meetings</w:t>
      </w:r>
      <w:r>
        <w:rPr>
          <w:rFonts w:ascii="Times New Roman" w:cs="Times New Roman" w:eastAsia="Times New Roman" w:hAnsi="Times New Roman"/>
          <w:sz w:val="19"/>
          <w:szCs w:val="19"/>
          <w:color w:val="auto"/>
        </w:rPr>
        <w:t>. The JSC will hold a meeting every [***] months until the Development Phase ends, and afterwards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every [***] months, or as otherwise determined by the JSC. Such meetings may be in person, via videoconference, or via teleconference. The location of in -person meetings will be determined by the Parties. At least [***] Days prior to each JSC meeting, each Party shall provide written notice to the other Party of agenda items proposed by such Party for discussion at such meeting, together with appropriate information related thereto. Reasonably detailed written minutes will be kept for all JSC meetings. Meeting minutes will be prepared [***] and sent to each member of the JSC for review and approval within</w:t>
      </w:r>
    </w:p>
    <w:p>
      <w:pPr>
        <w:spacing w:after="0" w:line="2" w:lineRule="exact"/>
        <w:rPr>
          <w:sz w:val="20"/>
          <w:szCs w:val="20"/>
          <w:color w:val="auto"/>
        </w:rPr>
      </w:pPr>
    </w:p>
    <w:p>
      <w:pPr>
        <w:jc w:val="both"/>
        <w:ind w:left="140" w:firstLine="6"/>
        <w:spacing w:after="0" w:line="224" w:lineRule="auto"/>
        <w:tabs>
          <w:tab w:leader="none" w:pos="622" w:val="left"/>
        </w:tabs>
        <w:numPr>
          <w:ilvl w:val="0"/>
          <w:numId w:val="6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meeting. Minutes will be deemed approved unless a member of the JSC objects to the accuracy of such minutes within [***] Days of receipt. In the event of any such objection that is not resolved by mutual agreement of the Parties, such minutes will be amended to reflect such unresolved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19 of 102</w:t>
      </w:r>
    </w:p>
    <w:p>
      <w:pPr>
        <w:sectPr>
          <w:pgSz w:w="11900" w:h="16840" w:orient="portrait"/>
          <w:cols w:equalWidth="0" w:num="1">
            <w:col w:w="10000"/>
          </w:cols>
          <w:pgMar w:left="1240" w:top="1440" w:right="660" w:bottom="1440" w:gutter="0" w:footer="0" w:header="0"/>
        </w:sectPr>
      </w:pPr>
    </w:p>
    <w:bookmarkStart w:id="583" w:name="page584"/>
    <w:bookmarkEnd w:id="583"/>
    <w:p>
      <w:pPr>
        <w:spacing w:after="0" w:line="255"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3.8 Discontinuation of JSC</w:t>
      </w:r>
      <w:r>
        <w:rPr>
          <w:rFonts w:ascii="Times New Roman" w:cs="Times New Roman" w:eastAsia="Times New Roman" w:hAnsi="Times New Roman"/>
          <w:sz w:val="19"/>
          <w:szCs w:val="19"/>
          <w:color w:val="auto"/>
        </w:rPr>
        <w:t>. The JSC shall continue to exist until the Parties mutually agree to disband the JSC. Once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JSC is disbanded, the JSC shall have no further obligations under this Agreement and, thereafter, the Alliance Managers shall be the points of contact for the exchange of information under this Agreement, and the Parties shall reach decision directly on matters that are subject to the decision of the JSC as set forth in Section 3.1.</w:t>
      </w:r>
    </w:p>
    <w:p>
      <w:pPr>
        <w:spacing w:after="0" w:line="134" w:lineRule="exact"/>
        <w:rPr>
          <w:sz w:val="20"/>
          <w:szCs w:val="20"/>
          <w:color w:val="auto"/>
        </w:rPr>
      </w:pPr>
    </w:p>
    <w:p>
      <w:pPr>
        <w:jc w:val="both"/>
        <w:ind w:firstLine="432"/>
        <w:spacing w:after="0" w:line="216" w:lineRule="auto"/>
        <w:rPr>
          <w:sz w:val="20"/>
          <w:szCs w:val="20"/>
          <w:color w:val="auto"/>
        </w:rPr>
      </w:pPr>
      <w:r>
        <w:rPr>
          <w:rFonts w:ascii="Times New Roman" w:cs="Times New Roman" w:eastAsia="Times New Roman" w:hAnsi="Times New Roman"/>
          <w:sz w:val="19"/>
          <w:szCs w:val="19"/>
          <w:b w:val="1"/>
          <w:bCs w:val="1"/>
          <w:color w:val="auto"/>
        </w:rPr>
        <w:t>3.9 Project and Alliance Managers</w:t>
      </w:r>
      <w:r>
        <w:rPr>
          <w:rFonts w:ascii="Times New Roman" w:cs="Times New Roman" w:eastAsia="Times New Roman" w:hAnsi="Times New Roman"/>
          <w:sz w:val="19"/>
          <w:szCs w:val="19"/>
          <w:color w:val="auto"/>
        </w:rPr>
        <w:t>. Each Party shall appoint an individual, who is an employee of such Party, to act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as a project manager (the </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xml:space="preserve"> ”) who shall be responsible for implementing and coordinating activities and facilitating the exchange of information between the Parties. Each Party shall appoint an individual, who is an employee of such Party, to act as its alliance manager under this Agreement within [***] Days after the Effective Date (the “ </w:t>
      </w:r>
      <w:r>
        <w:rPr>
          <w:rFonts w:ascii="Times New Roman" w:cs="Times New Roman" w:eastAsia="Times New Roman" w:hAnsi="Times New Roman"/>
          <w:sz w:val="19"/>
          <w:szCs w:val="19"/>
          <w:b w:val="1"/>
          <w:bCs w:val="1"/>
          <w:color w:val="auto"/>
        </w:rPr>
        <w:t>Alliance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Manager</w:t>
      </w:r>
      <w:r>
        <w:rPr>
          <w:rFonts w:ascii="Times New Roman" w:cs="Times New Roman" w:eastAsia="Times New Roman" w:hAnsi="Times New Roman"/>
          <w:sz w:val="19"/>
          <w:szCs w:val="19"/>
          <w:color w:val="auto"/>
        </w:rPr>
        <w:t>”) . [***] The Project Managers shall: (a) serve as the primary points of contact between the Parties for the purpose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providing the other Party with information on the progress of a Party’s activities under this Agreement; (b) be responsible for facilitating the flow of information and otherwise promoting communication, coordination and collaboration between the Parties. The Alliance Managers shall: (a) serve as the primary points of contact between the Parties for any issues arising under this Agreement; (b) facilitate the prompt resolution of any disputes; and (c) attend JSC and Subcommittee meetings (in each case, as a non- voting participant); provided that the Alliance Managers shall not count toward the number of representatives that each Party may have on each such Committee. An Alliance Manager may also bring any matter to the attention of the JSC, if such Alliance Manager reasonably believes that such matter warrants such attention. Each Party may replace its Project Manager or Alliance Manager at any time upon written notice to the other Party.</w:t>
      </w:r>
    </w:p>
    <w:p>
      <w:pPr>
        <w:spacing w:after="0" w:line="200" w:lineRule="exact"/>
        <w:rPr>
          <w:sz w:val="20"/>
          <w:szCs w:val="20"/>
          <w:color w:val="auto"/>
        </w:rPr>
      </w:pPr>
    </w:p>
    <w:p>
      <w:pPr>
        <w:spacing w:after="0" w:line="3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4</w:t>
      </w:r>
    </w:p>
    <w:p>
      <w:pPr>
        <w:ind w:left="3820"/>
        <w:spacing w:after="0"/>
        <w:rPr>
          <w:sz w:val="20"/>
          <w:szCs w:val="20"/>
          <w:color w:val="auto"/>
        </w:rPr>
      </w:pPr>
      <w:r>
        <w:rPr>
          <w:rFonts w:ascii="Times New Roman" w:cs="Times New Roman" w:eastAsia="Times New Roman" w:hAnsi="Times New Roman"/>
          <w:sz w:val="19"/>
          <w:szCs w:val="19"/>
          <w:b w:val="1"/>
          <w:bCs w:val="1"/>
          <w:color w:val="auto"/>
        </w:rPr>
        <w:t>DEVELOPMENT</w:t>
      </w:r>
    </w:p>
    <w:p>
      <w:pPr>
        <w:spacing w:after="0" w:line="14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Overview; Diligence</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520" w:right="20" w:firstLine="567"/>
        <w:spacing w:after="0" w:line="215" w:lineRule="auto"/>
        <w:tabs>
          <w:tab w:leader="none" w:pos="1600" w:val="left"/>
        </w:tabs>
        <w:numPr>
          <w:ilvl w:val="0"/>
          <w:numId w:val="6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provided herein with respect to the Ongoing Trials, Licensee Added Trials (as applicable) and the preparatory activities for the HER2-Low BC Phase III Global Trial as set forth in Section 4.6(b), Licensee (itself and through its Affiliates and their respective Sublicensees) shall be responsible, at its own expense, for the Development of the Original ADC Licensed Products in the Field in the Territory under the oversight of JSC. Without limiting the generality of the foregoing, Licensee shall, subject to the Development Plan (i) use Commercially Reasonable Efforts to Develop and seek Regulatory Approval for [***] in the Field in each of [***], and (ii) use Commercially Reasonable Efforts to perform the Development activities assigned to it under the Development Plan(s) and in compliance with Applicable Laws (including GCP); and (iii) use Commercially Reasonable Efforts to dose the first patient in a Registrational Trial within [***] months for the applicable HER2-low breast cancer Indication or EC Indication after Successful Completion of each of the HER2-Low BC Expansion Trial and EC Expansion Trial conducted by or on behalf of Duality, taking into account the timelines and interactions with Regulatory Authorities. Licensee’s (including its Affiliates’ and Sublicensees’, as appliable) failure to dose the first patient in a Registrational Trial within such [***] months period shall not be a breach of this provision if the delay is caused by any safety issues, a requirement or decision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20 of 102</w:t>
      </w:r>
    </w:p>
    <w:p>
      <w:pPr>
        <w:sectPr>
          <w:pgSz w:w="11900" w:h="16840" w:orient="portrait"/>
          <w:cols w:equalWidth="0" w:num="1">
            <w:col w:w="9860"/>
          </w:cols>
          <w:pgMar w:left="1380" w:top="1440" w:right="660" w:bottom="1440" w:gutter="0" w:footer="0" w:header="0"/>
        </w:sectPr>
      </w:pPr>
    </w:p>
    <w:bookmarkStart w:id="584" w:name="page585"/>
    <w:bookmarkEnd w:id="584"/>
    <w:p>
      <w:pPr>
        <w:spacing w:after="0" w:line="257" w:lineRule="exact"/>
        <w:rPr>
          <w:sz w:val="20"/>
          <w:szCs w:val="20"/>
          <w:color w:val="auto"/>
        </w:rPr>
      </w:pPr>
    </w:p>
    <w:p>
      <w:pPr>
        <w:jc w:val="both"/>
        <w:ind w:left="520" w:right="20"/>
        <w:spacing w:after="0" w:line="227" w:lineRule="auto"/>
        <w:rPr>
          <w:sz w:val="20"/>
          <w:szCs w:val="20"/>
          <w:color w:val="auto"/>
        </w:rPr>
      </w:pPr>
      <w:r>
        <w:rPr>
          <w:rFonts w:ascii="Times New Roman" w:cs="Times New Roman" w:eastAsia="Times New Roman" w:hAnsi="Times New Roman"/>
          <w:sz w:val="19"/>
          <w:szCs w:val="19"/>
          <w:color w:val="auto"/>
        </w:rPr>
        <w:t>Regulatory Authority, Force Majeure Events, or any other events that are outside the reasonable control of Licensee, its Affiliates or Sublicensees. If such a delay happens, Licensee shall promptly notify Duality (within [***] Days) and shall provide detailed explanations for such delay. The Parties shall engage in good faith discussions and the Licensee shall consider in good faith and reasonably address Duality’s input and comments with respect thereto.</w:t>
      </w:r>
    </w:p>
    <w:p>
      <w:pPr>
        <w:spacing w:after="0" w:line="134" w:lineRule="exact"/>
        <w:rPr>
          <w:sz w:val="20"/>
          <w:szCs w:val="20"/>
          <w:color w:val="auto"/>
        </w:rPr>
      </w:pPr>
    </w:p>
    <w:p>
      <w:pPr>
        <w:jc w:val="both"/>
        <w:ind w:left="520" w:right="40" w:firstLine="567"/>
        <w:spacing w:after="0" w:line="227" w:lineRule="auto"/>
        <w:tabs>
          <w:tab w:leader="none" w:pos="1600" w:val="left"/>
        </w:tabs>
        <w:numPr>
          <w:ilvl w:val="0"/>
          <w:numId w:val="6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Licensee shall use Commercially Reasonable Efforts to (i) make all regulatory submissions to the applicable Regulatory Authorities within the Territory in respect of the Original ADC Licensed Product; and (ii) obtain Regulatory Approval for Original ADC Licensed Products in the Territory, in each case of (i) and (ii) in accordance with the Development Plan.</w:t>
      </w:r>
    </w:p>
    <w:p>
      <w:pPr>
        <w:spacing w:after="0" w:line="133" w:lineRule="exact"/>
        <w:rPr>
          <w:rFonts w:ascii="Times New Roman" w:cs="Times New Roman" w:eastAsia="Times New Roman" w:hAnsi="Times New Roman"/>
          <w:sz w:val="19"/>
          <w:szCs w:val="19"/>
          <w:color w:val="auto"/>
        </w:rPr>
      </w:pPr>
    </w:p>
    <w:p>
      <w:pPr>
        <w:jc w:val="both"/>
        <w:ind w:left="520" w:right="40" w:firstLine="567"/>
        <w:spacing w:after="0" w:line="227" w:lineRule="auto"/>
        <w:tabs>
          <w:tab w:leader="none" w:pos="1600" w:val="left"/>
        </w:tabs>
        <w:numPr>
          <w:ilvl w:val="0"/>
          <w:numId w:val="6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Sections 4.3 and 4.4, where responsibility for conducting any Development activities (falling within the scope of this Agreement) is designated by Licensee to Duality or its Affiliates and subcontractors, Duality, its Affiliates and subcontractors shall perform the Development activities assigned to it under the Development Plan(s), in compliance with Applicable Laws (including GCP).</w:t>
      </w:r>
    </w:p>
    <w:p>
      <w:pPr>
        <w:spacing w:after="0" w:line="132" w:lineRule="exact"/>
        <w:rPr>
          <w:sz w:val="20"/>
          <w:szCs w:val="20"/>
          <w:color w:val="auto"/>
        </w:rPr>
      </w:pPr>
    </w:p>
    <w:p>
      <w:pPr>
        <w:jc w:val="both"/>
        <w:ind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4.2 Development Plan</w:t>
      </w:r>
      <w:r>
        <w:rPr>
          <w:rFonts w:ascii="Times New Roman" w:cs="Times New Roman" w:eastAsia="Times New Roman" w:hAnsi="Times New Roman"/>
          <w:sz w:val="19"/>
          <w:szCs w:val="19"/>
          <w:color w:val="auto"/>
        </w:rPr>
        <w:t>. The Parties will agree on the initial Development Plan, which sets forth the scope, timeline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responsibilities of each Party of the Development activities to be conducted by or on behalf of Licensee in order to obtain Regulatory Approvals for the Original ADC Licensed Products in the Territory. From time to time during the Term, either Party may propose written amendments and updates to the then- current Development Plan, and shall submit such amendments and updates to the JSC for review and approval. The amendment of the Development Plan shall become effective only upon the approval of JSC.</w:t>
      </w:r>
    </w:p>
    <w:p>
      <w:pPr>
        <w:spacing w:after="0" w:line="132" w:lineRule="exact"/>
        <w:rPr>
          <w:sz w:val="20"/>
          <w:szCs w:val="20"/>
          <w:color w:val="auto"/>
        </w:rPr>
      </w:pPr>
    </w:p>
    <w:p>
      <w:pPr>
        <w:jc w:val="both"/>
        <w:ind w:firstLine="432"/>
        <w:spacing w:after="0" w:line="216" w:lineRule="auto"/>
        <w:rPr>
          <w:sz w:val="20"/>
          <w:szCs w:val="20"/>
          <w:color w:val="auto"/>
        </w:rPr>
      </w:pPr>
      <w:r>
        <w:rPr>
          <w:rFonts w:ascii="Times New Roman" w:cs="Times New Roman" w:eastAsia="Times New Roman" w:hAnsi="Times New Roman"/>
          <w:sz w:val="19"/>
          <w:szCs w:val="19"/>
          <w:b w:val="1"/>
          <w:bCs w:val="1"/>
          <w:color w:val="auto"/>
        </w:rPr>
        <w:t>4.3 Ongoing Trials</w:t>
      </w:r>
      <w:r>
        <w:rPr>
          <w:rFonts w:ascii="Times New Roman" w:cs="Times New Roman" w:eastAsia="Times New Roman" w:hAnsi="Times New Roman"/>
          <w:sz w:val="19"/>
          <w:szCs w:val="19"/>
          <w:color w:val="auto"/>
        </w:rPr>
        <w:t>. As of the Effective Date, the Parties have agreed that Duality will continue to be the sponsor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Ongoing Trials in the Territory so that the Ongoing Trials can be continued without interruption. Subject to Licensee’s obligations to fund and reimburse Duality Costs incurred in the Territory in accordance with Section 8.2 (save, for the avoidance of doubt, with respect to the portion of the Ongoing Trials that is conducted in the Retained Territory which shall be the sole responsibility of Duality), Duality shall comply with all Applicable Laws when conducting the activities set out in the Development Plan and use Commercially Reasonable Efforts to conduct the activities set out in the Development Plan including to (a) continue to conduct the Phase I Clinical Trial phase of the Ongoing Trial, and (b) initiate and conduct the Phase II Dose Expansion Trials in the U.S., Australia and Mainland China in accordance with the Development Plan (including the timeline specified therein) and complete the First Dosing in 2023, unless Duality’s failure to comply with such timeline is caused by any safety issues, a requirement or decision of a Regulatory Authority, Force Majeure Events that are outside the reasonable control of Duality, its Affiliates or (sub)licensees. If such a delay happens, Duality shall promptly notify Licensee (within [***] Days) and shall provide detailed explanations for such delay. The Parties shall engage in good faith discussions and Duality shall consider in good faith and reasonably address Licensee’s input and comments with respect thereto.</w:t>
      </w:r>
    </w:p>
    <w:p>
      <w:pPr>
        <w:spacing w:after="0" w:line="1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Licensee Added Trials</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Global Trials</w:t>
      </w: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21 of 102</w:t>
      </w:r>
    </w:p>
    <w:p>
      <w:pPr>
        <w:sectPr>
          <w:pgSz w:w="11900" w:h="16840" w:orient="portrait"/>
          <w:cols w:equalWidth="0" w:num="1">
            <w:col w:w="9880"/>
          </w:cols>
          <w:pgMar w:left="1380" w:top="1440" w:right="640" w:bottom="1440" w:gutter="0" w:footer="0" w:header="0"/>
        </w:sectPr>
      </w:pPr>
    </w:p>
    <w:bookmarkStart w:id="585" w:name="page586"/>
    <w:bookmarkEnd w:id="585"/>
    <w:p>
      <w:pPr>
        <w:spacing w:after="0" w:line="25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Phase [***] Clinical Trial</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9"/>
          <w:szCs w:val="19"/>
          <w:b w:val="1"/>
          <w:bCs w:val="1"/>
          <w:color w:val="auto"/>
        </w:rPr>
        <w:t>4. 7 Development Records</w:t>
      </w:r>
      <w:r>
        <w:rPr>
          <w:rFonts w:ascii="Times New Roman" w:cs="Times New Roman" w:eastAsia="Times New Roman" w:hAnsi="Times New Roman"/>
          <w:sz w:val="19"/>
          <w:szCs w:val="19"/>
          <w:color w:val="auto"/>
        </w:rPr>
        <w:t>. Each Party shall maintain or cause to be maintained complete, current and accurate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records of all activities conducted by or on behalf of it pursuant to the Development Plan(s), and all Know-How and other information resulting from such activities. Such records shall fully and properly reflect all work done and results achieved in the performance of the Development activities in good scientific manner appropriate for regulatory and patent purposes. Each Party shall, and shall ensure that its Affiliates and their Sublicensees will, document all non-clinical studies and Clinical Trials in formal written study records in accordance with all Applicable Laws, including applicable national and international guidelines such as ICH, GCP, GCLP and GLP. To the extent permitted by the Applicable Laws, each Party shall have the right to review and copy such records of the other Party at reasonable times and to obtain access to review the original to the extent necessary or useful for regulatory, patent or other reasonable purposes for the purpose of fulfilling its obligations under this Agreement upon reasonable notice to such other Party and at a time and location mutually acceptable to the Parties.</w:t>
      </w:r>
    </w:p>
    <w:p>
      <w:pPr>
        <w:spacing w:after="0" w:line="137" w:lineRule="exact"/>
        <w:rPr>
          <w:sz w:val="20"/>
          <w:szCs w:val="20"/>
          <w:color w:val="auto"/>
        </w:rPr>
      </w:pPr>
    </w:p>
    <w:p>
      <w:pPr>
        <w:jc w:val="both"/>
        <w:ind w:firstLine="432"/>
        <w:spacing w:after="0" w:line="216" w:lineRule="auto"/>
        <w:rPr>
          <w:sz w:val="20"/>
          <w:szCs w:val="20"/>
          <w:color w:val="auto"/>
        </w:rPr>
      </w:pPr>
      <w:r>
        <w:rPr>
          <w:rFonts w:ascii="Times New Roman" w:cs="Times New Roman" w:eastAsia="Times New Roman" w:hAnsi="Times New Roman"/>
          <w:sz w:val="19"/>
          <w:szCs w:val="19"/>
          <w:b w:val="1"/>
          <w:bCs w:val="1"/>
          <w:color w:val="auto"/>
        </w:rPr>
        <w:t>4.8 Development Reports</w:t>
      </w:r>
      <w:r>
        <w:rPr>
          <w:rFonts w:ascii="Times New Roman" w:cs="Times New Roman" w:eastAsia="Times New Roman" w:hAnsi="Times New Roman"/>
          <w:sz w:val="19"/>
          <w:szCs w:val="19"/>
          <w:color w:val="auto"/>
        </w:rPr>
        <w:t>. Each Party shall keep the other Party reasonably and timely informed of the progress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results of its and its Affiliates’, subcontractors’ and Sublicensees’/(sub)licensees’ work under the Development Plan(s) (including prompt reporting of available pre-clinical and clinical data) . Without limiting the generality of the foregoing, each Party shall provide the other Party with a written report no later than [***] days after the end of each Calendar Year setting forth in details the Development activities performed during such Calendar Year and the results thereof, and comparing such activities with the Development Plan(s) for such time period. Such reports prepared by each Party shall be provided at a level of detail reasonably sufficient to enable the other Party to determine compliance with its obligations under this Agreement. At each JSC meeting, the Parties shall discuss the status, progress and results of the Development activities conducted by the Parties pursuant to this Agreement. Each Party shall promptly respond to the other Party’s reasonable questions or requests for additional information relating to such Development activities. In the event that Duality is engaged by Licensee to conduct Development activities in the Territory, Duality shall send the Development report on [***] basis, setting forth the Development activities performed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5</w:t>
      </w:r>
    </w:p>
    <w:p>
      <w:pPr>
        <w:ind w:left="3880"/>
        <w:spacing w:after="0"/>
        <w:rPr>
          <w:sz w:val="20"/>
          <w:szCs w:val="20"/>
          <w:color w:val="auto"/>
        </w:rPr>
      </w:pPr>
      <w:r>
        <w:rPr>
          <w:rFonts w:ascii="Times New Roman" w:cs="Times New Roman" w:eastAsia="Times New Roman" w:hAnsi="Times New Roman"/>
          <w:sz w:val="19"/>
          <w:szCs w:val="19"/>
          <w:b w:val="1"/>
          <w:bCs w:val="1"/>
          <w:color w:val="auto"/>
        </w:rPr>
        <w:t>REGULATORY</w:t>
      </w:r>
    </w:p>
    <w:p>
      <w:pPr>
        <w:spacing w:after="0" w:line="14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Overview of Conduct of Regulatory Activities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520" w:right="20" w:firstLine="567"/>
        <w:spacing w:after="0" w:line="223" w:lineRule="auto"/>
        <w:tabs>
          <w:tab w:leader="none" w:pos="1600" w:val="left"/>
        </w:tabs>
        <w:numPr>
          <w:ilvl w:val="0"/>
          <w:numId w:val="6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(itself and through its Affiliates and Sublicensees, as applicable) shall be responsible for all of the costs for all regulatory activities with respect to the Licensed Products in the Territory after the Effective Date. [***], Licensee (or its Affiliate or Sublicensees) shall be the sponsor and holder of all Regulatory Approvals for the Licensed Products in the Territory. For clarity, Licensee (or one of its Affiliates or their Sublicensees) shall always be the MAH of the Original ADC Licensed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22 of 102</w:t>
      </w:r>
    </w:p>
    <w:p>
      <w:pPr>
        <w:sectPr>
          <w:pgSz w:w="11900" w:h="16840" w:orient="portrait"/>
          <w:cols w:equalWidth="0" w:num="1">
            <w:col w:w="9860"/>
          </w:cols>
          <w:pgMar w:left="1380" w:top="1440" w:right="660" w:bottom="1440" w:gutter="0" w:footer="0" w:header="0"/>
        </w:sectPr>
      </w:pPr>
    </w:p>
    <w:bookmarkStart w:id="586" w:name="page587"/>
    <w:bookmarkEnd w:id="586"/>
    <w:p>
      <w:pPr>
        <w:spacing w:after="0" w:line="257" w:lineRule="exact"/>
        <w:rPr>
          <w:sz w:val="20"/>
          <w:szCs w:val="20"/>
          <w:color w:val="auto"/>
        </w:rPr>
      </w:pPr>
    </w:p>
    <w:p>
      <w:pPr>
        <w:jc w:val="both"/>
        <w:ind w:left="520" w:right="40" w:firstLine="567"/>
        <w:spacing w:after="0" w:line="220" w:lineRule="auto"/>
        <w:tabs>
          <w:tab w:leader="none" w:pos="1600" w:val="left"/>
        </w:tabs>
        <w:numPr>
          <w:ilvl w:val="0"/>
          <w:numId w:val="6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Effective Date, Duality shall provide Licensee with one (1) electronic copy of the Regulatory Materials related to the Licensed Compound or Original ADC Licensed Products in the Territory existing and possessed by Duality as of the Effective Date. At any time during the Term, if Duality is the sponsor or holder of the Regulatory Materials and upon Licensees’ request in writing, Duality shall provide Licensee with electronic copies of the Regulatory Materials related to the Licensed Compound or Original ADC Licensed Products in the Territory received and possessed by Duality after the Effective Date promptly and no later than [***] Days after such Regulatory Materials become available.</w:t>
      </w:r>
    </w:p>
    <w:p>
      <w:pPr>
        <w:spacing w:after="0" w:line="1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Regulatory Filing; 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right="40" w:firstLine="567"/>
        <w:spacing w:after="0" w:line="219" w:lineRule="auto"/>
        <w:tabs>
          <w:tab w:leader="none" w:pos="1600" w:val="left"/>
        </w:tabs>
        <w:numPr>
          <w:ilvl w:val="0"/>
          <w:numId w:val="6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Regulatory Filings</w:t>
      </w:r>
      <w:r>
        <w:rPr>
          <w:rFonts w:ascii="Times New Roman" w:cs="Times New Roman" w:eastAsia="Times New Roman" w:hAnsi="Times New Roman"/>
          <w:sz w:val="19"/>
          <w:szCs w:val="19"/>
          <w:color w:val="auto"/>
        </w:rPr>
        <w:t>. Except with respect to regulatory filings related to the Ongoing Trials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Licensee Added Trials (if any), for which Duality shall be responsible or the Parties agree otherwise, (i) Licensee (and its Affiliates, or Sublicensees as applicable) shall lead and have sole control over preparing and submitting all regulatory filings related to the Licensed Compound and Original ADC Licensed Products, including all applications for Regulatory Approval, in the Territory at Licensee’s sole cost and expense, and (ii) Duality shall be responsible for the preparation and submission of any regulatory filings in the Retained Territory at Duality’s sole cost and expense. With respect to regulatory filings for the Ongoing Trials or and the Licensee Added Trials (if any) that are prepared by Duality, Duality shall submit all such regulatory filings to the JSC for its review and approval.</w:t>
      </w:r>
    </w:p>
    <w:p>
      <w:pPr>
        <w:spacing w:after="0" w:line="133" w:lineRule="exact"/>
        <w:rPr>
          <w:rFonts w:ascii="Times New Roman" w:cs="Times New Roman" w:eastAsia="Times New Roman" w:hAnsi="Times New Roman"/>
          <w:sz w:val="19"/>
          <w:szCs w:val="19"/>
          <w:color w:val="auto"/>
        </w:rPr>
      </w:pPr>
    </w:p>
    <w:p>
      <w:pPr>
        <w:jc w:val="both"/>
        <w:ind w:left="520" w:right="40" w:firstLine="567"/>
        <w:spacing w:after="0"/>
        <w:tabs>
          <w:tab w:leader="none" w:pos="1600" w:val="left"/>
        </w:tabs>
        <w:numPr>
          <w:ilvl w:val="0"/>
          <w:numId w:val="6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 Other than any Regulatory Approvals or applications therefor that are related to the Ongoing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Trials in the Territory or Licensee Added Trials for which Duality is the sponsor, Licensee (or its Affiliates, or Sublicensees as applicable) shall own any and all Regulatory Approvals (and applications for Regulatory Approvals), and any other regulatory filings related to the Licensed Compound and Licensed Products in the Territory, including Data and data in the regulatory filings and Regulatory Materials, which shall be held in the name of Licensee or its designees.</w:t>
      </w:r>
    </w:p>
    <w:p>
      <w:pPr>
        <w:spacing w:after="0" w:line="252" w:lineRule="exact"/>
        <w:rPr>
          <w:sz w:val="20"/>
          <w:szCs w:val="20"/>
          <w:color w:val="auto"/>
        </w:rPr>
      </w:pPr>
    </w:p>
    <w:p>
      <w:pPr>
        <w:ind w:left="440" w:right="40" w:firstLine="575"/>
        <w:spacing w:after="0" w:line="249" w:lineRule="auto"/>
        <w:tabs>
          <w:tab w:leader="none" w:pos="1450" w:val="left"/>
        </w:tabs>
        <w:numPr>
          <w:ilvl w:val="0"/>
          <w:numId w:val="6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English Translation</w:t>
      </w:r>
      <w:r>
        <w:rPr>
          <w:rFonts w:ascii="Times New Roman" w:cs="Times New Roman" w:eastAsia="Times New Roman" w:hAnsi="Times New Roman"/>
          <w:sz w:val="19"/>
          <w:szCs w:val="19"/>
          <w:color w:val="auto"/>
        </w:rPr>
        <w:t>. To the extent that the original language is not English, Duality shall provide Licensee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 certified full English translation of all Regulatory Materials.</w:t>
      </w:r>
    </w:p>
    <w:p>
      <w:pPr>
        <w:spacing w:after="0" w:line="123"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9"/>
          <w:szCs w:val="19"/>
          <w:b w:val="1"/>
          <w:bCs w:val="1"/>
          <w:color w:val="auto"/>
        </w:rPr>
        <w:t>5.3 Interactions with Regulatory Authorities</w:t>
      </w:r>
      <w:r>
        <w:rPr>
          <w:rFonts w:ascii="Times New Roman" w:cs="Times New Roman" w:eastAsia="Times New Roman" w:hAnsi="Times New Roman"/>
          <w:sz w:val="19"/>
          <w:szCs w:val="19"/>
          <w:color w:val="auto"/>
        </w:rPr>
        <w:t>. Insofar as it relates to the Ongoing Trials in the Territory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Licensee Added Trials (if any) where Duality is the sponsor, Duality shall lead interactions with Regulatory Authorities in the Territory; provided that JSC shall have final decision making authority in relation to such interactions with Regulatory Authorities and Duality shall follow all instructions provided to it by the JSC in this regard and shall provide Licensee with (i) access to or copies of all material written or electronic communication received by Duality or its Affiliates from any Regulatory Authorities in the Territory and in the Retained Territory (if applicable), and (ii) copies of all meeting minutes with any Regulatory Authorities in the Territory and in the Retained Territory (if applicable). In addition, Duality shall provide Licensee with written notice of any scheduled material meeting, conference, or discussion with a Regulatory Authority related to Regulatory Approvals related to the Ongoing Trials. Licensee (or its designee) shall have the right to (i) attend and participate in all such meetings with Regulatory Authorities related to the Ongoing Trials), and all telephone conferences and preparation meetings of Duality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23 of 102</w:t>
      </w:r>
    </w:p>
    <w:p>
      <w:pPr>
        <w:sectPr>
          <w:pgSz w:w="11900" w:h="16840" w:orient="portrait"/>
          <w:cols w:equalWidth="0" w:num="1">
            <w:col w:w="9880"/>
          </w:cols>
          <w:pgMar w:left="1380" w:top="1440" w:right="640" w:bottom="1440" w:gutter="0" w:footer="0" w:header="0"/>
        </w:sectPr>
      </w:pPr>
    </w:p>
    <w:bookmarkStart w:id="587" w:name="page588"/>
    <w:bookmarkEnd w:id="587"/>
    <w:p>
      <w:pPr>
        <w:spacing w:after="0" w:line="25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9"/>
          <w:szCs w:val="19"/>
          <w:color w:val="auto"/>
        </w:rPr>
        <w:t>Affiliates related to any such meeting, (ii) provide input on the regulatory filings in the Territory and in the Retained Territory (to the extent this impacts the position of Licensee in the Territory), and (iii) have final decision making authority in relation to any unsettled matter between the Parties with respect to regulatory filings in the Territory. Subject to the foregoing, Licensee (and/or its Affiliates, or Sublicensees as applicable) shall have the sole right to conduct all communications with Regulatory Authorities, including all meetings, conferences and discussions (including advisory committee meetings), with regard to the Licensed Compound and Licensed Products in the Territory, including in respect of the Licensee Added Trials where Licensee (or its Affiliates or Sublicensees, as applicable) is the sponsor (if any). Without limited the forgoing, the Parties agree that they will collaborate with each other as necessary to ensure the successful progression of interactions with Regulatory Authorities with respect to all trials relating to the Licensed Compound and Original ADC Licensed Products in the Territory and in the Retained Territory (to the extent this impacts the position of Licensee in the Territory).</w:t>
      </w:r>
    </w:p>
    <w:p>
      <w:pPr>
        <w:spacing w:after="0" w:line="135" w:lineRule="exact"/>
        <w:rPr>
          <w:sz w:val="20"/>
          <w:szCs w:val="20"/>
          <w:color w:val="auto"/>
        </w:rPr>
      </w:pPr>
    </w:p>
    <w:p>
      <w:pPr>
        <w:jc w:val="both"/>
        <w:ind w:right="2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5.4 [***]</w:t>
      </w:r>
      <w:r>
        <w:rPr>
          <w:rFonts w:ascii="Times New Roman" w:cs="Times New Roman" w:eastAsia="Times New Roman" w:hAnsi="Times New Roman"/>
          <w:sz w:val="19"/>
          <w:szCs w:val="19"/>
          <w:color w:val="auto"/>
        </w:rPr>
        <w:t>. [***], Duality shall transfer and assign, or shall cause the transfer or assignment, to Licensee or its designee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Duality’s cost and expense for Ongoing Trials and at Licensee’s cost and expense for Licensee Added Trials), Duality’s, or any of its Affiliates’, entire right, title, and interest in and to all IND and other Regulatory Approvals in the Territory, if any, and transfer all Regulatory Materials with respect to the Licensed Compound and Original ADC Licensed Products in the Territory that are owned, controlled or possessed by Duality or any of its Affiliates, unless the Parties agree otherwise.</w:t>
      </w:r>
    </w:p>
    <w:p>
      <w:pPr>
        <w:spacing w:after="0" w:line="133"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5.5 Replacement</w:t>
      </w:r>
      <w:r>
        <w:rPr>
          <w:rFonts w:ascii="Times New Roman" w:cs="Times New Roman" w:eastAsia="Times New Roman" w:hAnsi="Times New Roman"/>
          <w:sz w:val="19"/>
          <w:szCs w:val="19"/>
          <w:color w:val="auto"/>
        </w:rPr>
        <w:t>. Licensee may decide to replace Duality to be the sponsor of any Clinical Trials in the Territory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time after the Effective Date of the Agreement. Once Licensee informs Duality of its decision to replace Duality as the sponsor of the Ongoing Trial or a Licensee Added Trial in writing, Duality shall transfer a copy of all Regulatory Materials in its original language; to the extent that the original language is not English, Duality shall provide a certified full English translation of all documents to Licensee. If the replacement was caused by a breach of the applicable terms of this Agreement, Applicable Laws or the GXP by Duality, the costs and expenses reasonably incurred by Licensee in relation or as a result of such replacement shall be borne by Duality.</w:t>
      </w:r>
    </w:p>
    <w:p>
      <w:pPr>
        <w:spacing w:after="0" w:line="13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5.6</w:t>
      </w:r>
      <w:r>
        <w:rPr>
          <w:sz w:val="20"/>
          <w:szCs w:val="20"/>
          <w:color w:val="auto"/>
        </w:rPr>
        <w:tab/>
      </w:r>
      <w:r>
        <w:rPr>
          <w:rFonts w:ascii="Times New Roman" w:cs="Times New Roman" w:eastAsia="Times New Roman" w:hAnsi="Times New Roman"/>
          <w:sz w:val="19"/>
          <w:szCs w:val="19"/>
          <w:b w:val="1"/>
          <w:bCs w:val="1"/>
          <w:color w:val="auto"/>
        </w:rPr>
        <w:t>Data Access; Right of Reference; Access to Regulatory Materials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9"/>
          <w:szCs w:val="19"/>
          <w:b w:val="1"/>
          <w:bCs w:val="1"/>
          <w:color w:val="auto"/>
        </w:rPr>
        <w:t>5.7 Pharmacovigilance</w:t>
      </w:r>
      <w:r>
        <w:rPr>
          <w:rFonts w:ascii="Times New Roman" w:cs="Times New Roman" w:eastAsia="Times New Roman" w:hAnsi="Times New Roman"/>
          <w:sz w:val="19"/>
          <w:szCs w:val="19"/>
          <w:color w:val="auto"/>
        </w:rPr>
        <w:t>. Within [***] days of Effective Date, the Parties shall enter into a pharmacovigilance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regarding the Licensed Compound and Original ADC Licensed Products (the “</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which shall set forth standard operating procedures governing the collection, investigation, reporting, and exchange of safety information sufficient to permit each Party to comply with its regulatory and other legal obligations within the applicable timeframes. In the event of any inconsistency between the terms of this Agreement and the Pharmacovigilance Agreement, the terms of this Agreement shall prevail and govern, except to the extent such conflicting terms relate directly to the pharmacovigilance responsibilities of the Parties (including the exchange of safety data), in which case the terms of the Pharmacovigilance Agreement shall prevail and govern. Prior to the Parties entering into the Pharmacovigilance Agreement, Duality is and shall continue to be the owner of the global safety database for the Original ADC Licensed Products. The Pharmacovigilance Agreement can be amended at Licensee’s request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24 of 102</w:t>
      </w:r>
    </w:p>
    <w:p>
      <w:pPr>
        <w:sectPr>
          <w:pgSz w:w="11900" w:h="16840" w:orient="portrait"/>
          <w:cols w:equalWidth="0" w:num="1">
            <w:col w:w="9860"/>
          </w:cols>
          <w:pgMar w:left="1380" w:top="1440" w:right="660" w:bottom="1440" w:gutter="0" w:footer="0" w:header="0"/>
        </w:sectPr>
      </w:pPr>
    </w:p>
    <w:bookmarkStart w:id="588" w:name="page589"/>
    <w:bookmarkEnd w:id="588"/>
    <w:p>
      <w:pPr>
        <w:spacing w:after="0" w:line="25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9"/>
          <w:szCs w:val="19"/>
          <w:color w:val="auto"/>
        </w:rPr>
        <w:t>and as a preparation to the Commercialization, at least [***] months’ ahead of the first MAA submission. At any time during the Term, upon reasonable prior notice, during regular business hours and under obligations of confidentiality, Licensee (or its designees) shall be entitled to audit (i) any of Duality’s, its Affiliates’, or any of their respective CRO or CMOs’ manufacturing sites; and (ii) any of Duality’s or its Affiliates’ clinical sites, as selected by Licensee in its sole discretion, to assess Duality’s compliance with all GXPs and all matters arising under the Pharmacovigilance Agreement, in each case of the foregoing (i) and (ii), only in respect of any Clinical Trials run by Duality for Licensee in the Territory; provided that such audit shall not be conducted more than once in any given Calendar Year, unless it is a for- cause audit. If (a) such audit by Licensee identifies any material non-compliance by Duality (via its subcontractors) or its Affiliates (via its subcontractors) of the GXPs or the Pharmacovigilance Agreement in the Territory, and (b) such material non-compliance is confirmed to be an uncured material breach on the part of Duality pursuant to Section 13.3, then the provisions of Section 13.8 shall apply.</w:t>
      </w:r>
    </w:p>
    <w:p>
      <w:pPr>
        <w:spacing w:after="0" w:line="135" w:lineRule="exact"/>
        <w:rPr>
          <w:sz w:val="20"/>
          <w:szCs w:val="20"/>
          <w:color w:val="auto"/>
        </w:rPr>
      </w:pPr>
    </w:p>
    <w:p>
      <w:pPr>
        <w:jc w:val="both"/>
        <w:ind w:firstLine="432"/>
        <w:spacing w:after="0" w:line="214" w:lineRule="auto"/>
        <w:rPr>
          <w:sz w:val="20"/>
          <w:szCs w:val="20"/>
          <w:color w:val="auto"/>
        </w:rPr>
      </w:pPr>
      <w:r>
        <w:rPr>
          <w:rFonts w:ascii="Times New Roman" w:cs="Times New Roman" w:eastAsia="Times New Roman" w:hAnsi="Times New Roman"/>
          <w:sz w:val="19"/>
          <w:szCs w:val="19"/>
          <w:b w:val="1"/>
          <w:bCs w:val="1"/>
          <w:color w:val="auto"/>
        </w:rPr>
        <w:t>5.8 Remedial Actions</w:t>
      </w:r>
      <w:r>
        <w:rPr>
          <w:rFonts w:ascii="Times New Roman" w:cs="Times New Roman" w:eastAsia="Times New Roman" w:hAnsi="Times New Roman"/>
          <w:sz w:val="19"/>
          <w:szCs w:val="19"/>
          <w:color w:val="auto"/>
        </w:rPr>
        <w:t>. Each Party shall notify the other immediately, and promptly confirm such notice in writing,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 obtains information indicating that any Original ADC Licensed Product may be subject to any recall, corrective action, patent regulatory procedures or other regulatory action in the Territory or the Retained Territory by any Governmental Authority or Regulatory Authority (a “</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The Parties shall assist each other in gathering and evaluating such information as is necessary to determine the necessity of conducting a Remedial Action. The Parties shall collaborate in good faith and endeavor to reach an agreement on Remedial Action related decisions save that were there is any unsettled issues in relation to any Remedial Action related matters (i) with respect to the Territory, Licensee shall have the final decision making authority and Duality shall take all actions reasonably requested by Licensee in relation to such Remedial Action, save that where such Remedial Action is reasonably likely to impact Duality’s position in respect of the Original ADC Licensed Product or any Regulatory Authorities in the Retained Territory, no action will be taken by Licensee (unless immediate action is required to comply with Applicable Laws and mitigate further damage arising from the Remedial Action) without Duality’s prior written consent, and (ii) with respect to the Retained Territory, Duality shall have the final decision making authority and Licensee shall take all actions reasonably requested by Duality in relation to such Remedial Action, save that where such Remedial Action is reasonably likely to impact Licensee’s position in respect of the Original ADC Licensed Product or any Regulatory Authorities in the Territory, no action will be taken by Duality without Licensee’s prior written consent. The cost and expenses of any Remedial Action shall be borne by the Party whose action or inaction caused the Remedial Action of the Original ADC Licensed Product.</w:t>
      </w:r>
    </w:p>
    <w:p>
      <w:pPr>
        <w:spacing w:after="0" w:line="200" w:lineRule="exact"/>
        <w:rPr>
          <w:sz w:val="20"/>
          <w:szCs w:val="20"/>
          <w:color w:val="auto"/>
        </w:rPr>
      </w:pPr>
    </w:p>
    <w:p>
      <w:pPr>
        <w:spacing w:after="0" w:line="36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6</w:t>
      </w:r>
    </w:p>
    <w:p>
      <w:pPr>
        <w:ind w:left="3300"/>
        <w:spacing w:after="0"/>
        <w:rPr>
          <w:sz w:val="20"/>
          <w:szCs w:val="20"/>
          <w:color w:val="auto"/>
        </w:rPr>
      </w:pPr>
      <w:r>
        <w:rPr>
          <w:rFonts w:ascii="Times New Roman" w:cs="Times New Roman" w:eastAsia="Times New Roman" w:hAnsi="Times New Roman"/>
          <w:sz w:val="19"/>
          <w:szCs w:val="19"/>
          <w:b w:val="1"/>
          <w:bCs w:val="1"/>
          <w:color w:val="auto"/>
        </w:rPr>
        <w:t>MANUFACTURE &amp; SUPPLY</w:t>
      </w:r>
    </w:p>
    <w:p>
      <w:pPr>
        <w:spacing w:after="0" w:line="142"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6.1 Costs of CMC Activities</w:t>
      </w:r>
      <w:r>
        <w:rPr>
          <w:rFonts w:ascii="Times New Roman" w:cs="Times New Roman" w:eastAsia="Times New Roman" w:hAnsi="Times New Roman"/>
          <w:sz w:val="19"/>
          <w:szCs w:val="19"/>
          <w:color w:val="auto"/>
        </w:rPr>
        <w:t>. Duality will conduct CMC activities for the Original ADC Licensed Products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according to the scope as agreed upon by the Parties in the Development Plan. [***]</w:t>
      </w:r>
    </w:p>
    <w:p>
      <w:pPr>
        <w:spacing w:after="0" w:line="123"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6. 2 Transfer of CMC Materials from Duality to Licensee</w:t>
      </w:r>
      <w:r>
        <w:rPr>
          <w:rFonts w:ascii="Times New Roman" w:cs="Times New Roman" w:eastAsia="Times New Roman" w:hAnsi="Times New Roman"/>
          <w:sz w:val="19"/>
          <w:szCs w:val="19"/>
          <w:color w:val="auto"/>
        </w:rPr>
        <w:t>. Following the Effective Date (and thereafter from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time during the Term upon Licensee’s reasonable advance request and to the extent not previously provided), Duality shall provide to Licensee (or its designee) the CMC-related technical documents and CMC-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25 of 102</w:t>
      </w:r>
    </w:p>
    <w:p>
      <w:pPr>
        <w:sectPr>
          <w:pgSz w:w="11900" w:h="16840" w:orient="portrait"/>
          <w:cols w:equalWidth="0" w:num="1">
            <w:col w:w="9860"/>
          </w:cols>
          <w:pgMar w:left="1380" w:top="1440" w:right="660" w:bottom="1440" w:gutter="0" w:footer="0" w:header="0"/>
        </w:sectPr>
      </w:pPr>
    </w:p>
    <w:bookmarkStart w:id="589" w:name="page590"/>
    <w:bookmarkEnd w:id="589"/>
    <w:p>
      <w:pPr>
        <w:spacing w:after="0" w:line="25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related technology (and any associated manufacturing process technology) that are necessary or reasonably useful for the Manufacture of the Licensed Compound and Original ADC Licensed Product and are Controlled by Duality or any of its Affiliates as of the Effective Date and which become Controlled by Duality or any of its Affiliates during the Term, and customs and technology export licenses required by Applicable Law for such transfer(s), if any. Within [***] of Licensee’s request, Duality or a Duality CMO shall provide Licensee with reasonable assistance and on -site support in respect of the CMC-related technology and associated manufacturing process technology transferred to Licensee pursuant to this Section 6.2. Any assistance required in excess of [***] will be at the Licensee’s cost and expense. To the extent that the original language of the CMC Materials (including Third Party agreements) is not English, Duality shall provide a certified full English translation of these materials. The conclusion of new Third Party agreements regarding the CMC activities contemplated under Section 6.1 or the amendment of existing Third Party agreements regarding the same shall be subject to Licensee’s prior written approval.</w:t>
      </w:r>
    </w:p>
    <w:p>
      <w:pPr>
        <w:spacing w:after="0" w:line="135"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6.3 Transfer of Cell Banks. </w:t>
      </w:r>
      <w:r>
        <w:rPr>
          <w:rFonts w:ascii="Times New Roman" w:cs="Times New Roman" w:eastAsia="Times New Roman" w:hAnsi="Times New Roman"/>
          <w:sz w:val="19"/>
          <w:szCs w:val="19"/>
          <w:color w:val="auto"/>
        </w:rPr>
        <w:t>The Parties will enter into a separate quality agreement and thereafter a supply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to manage the logistics and shipping of the transfer of the MCB and WCB (collectively, “</w:t>
      </w:r>
      <w:r>
        <w:rPr>
          <w:rFonts w:ascii="Times New Roman" w:cs="Times New Roman" w:eastAsia="Times New Roman" w:hAnsi="Times New Roman"/>
          <w:sz w:val="19"/>
          <w:szCs w:val="19"/>
          <w:b w:val="1"/>
          <w:bCs w:val="1"/>
          <w:color w:val="auto"/>
        </w:rPr>
        <w:t>Cell Banks</w:t>
      </w:r>
      <w:r>
        <w:rPr>
          <w:rFonts w:ascii="Times New Roman" w:cs="Times New Roman" w:eastAsia="Times New Roman" w:hAnsi="Times New Roman"/>
          <w:sz w:val="19"/>
          <w:szCs w:val="19"/>
          <w:color w:val="auto"/>
        </w:rPr>
        <w:t>”) used for the Manufacturing of the Antibody incorporated into the Licensed Products within [***] days after the Effective Date. [***]</w:t>
      </w:r>
    </w:p>
    <w:p>
      <w:pPr>
        <w:spacing w:after="0" w:line="132"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6.4 Initial Clinical Supply</w:t>
      </w:r>
      <w:r>
        <w:rPr>
          <w:rFonts w:ascii="Times New Roman" w:cs="Times New Roman" w:eastAsia="Times New Roman" w:hAnsi="Times New Roman"/>
          <w:sz w:val="19"/>
          <w:szCs w:val="19"/>
          <w:color w:val="auto"/>
        </w:rPr>
        <w:t>. Duality shall, by itself or through one or more Duality CMO(s) in the Retained Territory,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supply to Licensee, its Affiliates or Sublicensees, [***] and in accordance with a separate clinical supply agreement as contemplated below; provided that Licensee shall be [***]. Unless otherwise agreed by the Parties, the Parties shall negotiate in good faith a clinical supply agreement and related quality agreement with such negotiation to be commenced within [***] days after the Effective Date and completed no later than [***] days after the Effective Date, which clinical supply agreement shall contain customary language regarding supply of the Original ADC Licensed Products to Licensee (including equitable allocation in the event of disruption to or shortage of product supply) . [***]</w:t>
      </w:r>
    </w:p>
    <w:p>
      <w:pPr>
        <w:spacing w:after="0" w:line="135"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6.5 Ongoing Supply</w:t>
      </w:r>
      <w:r>
        <w:rPr>
          <w:rFonts w:ascii="Times New Roman" w:cs="Times New Roman" w:eastAsia="Times New Roman" w:hAnsi="Times New Roman"/>
          <w:sz w:val="19"/>
          <w:szCs w:val="19"/>
          <w:color w:val="auto"/>
        </w:rPr>
        <w:t>. Except as may otherwise be provided under the clinical supply agreement entered into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pursuant to Section 6.4 and until the Licensee has qualified a new manufacturing site to Manufacture the Licensed Compound and the Original ADC Licensed Products in the Territory, Licensee shall be solely responsible for (i) Manufacturing the Licensed Compound and Original ADC Licensed Products intended for use in the Territory and (ii) the associated costs and expenses of such Manufacturing activities, subject to Duality’s performance of its obligations under this Agreement. Once the Original ADC Licensed Product is approved, [***].</w:t>
      </w:r>
    </w:p>
    <w:p>
      <w:pPr>
        <w:spacing w:after="0" w:line="200" w:lineRule="exact"/>
        <w:rPr>
          <w:sz w:val="20"/>
          <w:szCs w:val="20"/>
          <w:color w:val="auto"/>
        </w:rPr>
      </w:pPr>
    </w:p>
    <w:p>
      <w:pPr>
        <w:spacing w:after="0" w:line="3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7</w:t>
      </w:r>
    </w:p>
    <w:p>
      <w:pPr>
        <w:ind w:left="2960"/>
        <w:spacing w:after="0"/>
        <w:rPr>
          <w:sz w:val="20"/>
          <w:szCs w:val="20"/>
          <w:color w:val="auto"/>
        </w:rPr>
      </w:pPr>
      <w:r>
        <w:rPr>
          <w:rFonts w:ascii="Times New Roman" w:cs="Times New Roman" w:eastAsia="Times New Roman" w:hAnsi="Times New Roman"/>
          <w:sz w:val="19"/>
          <w:szCs w:val="19"/>
          <w:b w:val="1"/>
          <w:bCs w:val="1"/>
          <w:color w:val="auto"/>
        </w:rPr>
        <w:t>COMMERCIALIZATION MATTERS</w:t>
      </w:r>
    </w:p>
    <w:p>
      <w:pPr>
        <w:spacing w:after="0" w:line="142"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9"/>
          <w:szCs w:val="19"/>
          <w:b w:val="1"/>
          <w:bCs w:val="1"/>
          <w:color w:val="auto"/>
        </w:rPr>
        <w:t>7.1 Overview; Diligence</w:t>
      </w:r>
      <w:r>
        <w:rPr>
          <w:rFonts w:ascii="Times New Roman" w:cs="Times New Roman" w:eastAsia="Times New Roman" w:hAnsi="Times New Roman"/>
          <w:sz w:val="19"/>
          <w:szCs w:val="19"/>
          <w:color w:val="auto"/>
        </w:rPr>
        <w:t>. Subject to the terms and conditions of this Agreement (including the diligence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set forth below), Licensee (itself or through its Affiliates or Sublicensees, as applicable) shall be solely responsible for Commercialization of the Original ADC Licensed Products in the Field in the Territory including: (i) developing and executing a commercial launch and pre-launch plan, (ii) developing the global pricing strategy and negotiating with applicable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26 of 102</w:t>
      </w:r>
    </w:p>
    <w:p>
      <w:pPr>
        <w:sectPr>
          <w:pgSz w:w="11900" w:h="16840" w:orient="portrait"/>
          <w:cols w:equalWidth="0" w:num="1">
            <w:col w:w="9860"/>
          </w:cols>
          <w:pgMar w:left="1380" w:top="1440" w:right="660" w:bottom="1440" w:gutter="0" w:footer="0" w:header="0"/>
        </w:sectPr>
      </w:pPr>
    </w:p>
    <w:bookmarkStart w:id="590" w:name="page591"/>
    <w:bookmarkEnd w:id="590"/>
    <w:p>
      <w:pPr>
        <w:spacing w:after="0" w:line="25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9"/>
          <w:szCs w:val="19"/>
          <w:color w:val="auto"/>
        </w:rPr>
        <w:t>Authorities regarding price and reimbursement of the Original ADC Licensed Products; (iii) marketing, advertising and promotion; (iv) booking sales; (v) distribution and handling all aspects of order processing, invoicing and collection, inventory and receivables; (vi) providing customer support, and performing other related functions; (vii) conforming its practices and procedures to Applicable Laws relating to the marketing, detailing and promotion of the Original ADC Licensed Products in the Field; and (viii) developing and implementing the global and local Medical Affairs Activities and medical information infrastructure required in the Field in the Territory. Licensee shall bear all of the costs and expenses incurred in connection with such Commercialization activities in the Territory. [***]</w:t>
      </w:r>
    </w:p>
    <w:p>
      <w:pPr>
        <w:spacing w:after="0" w:line="133"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7.2 Commercialization Plan</w:t>
      </w:r>
      <w:r>
        <w:rPr>
          <w:rFonts w:ascii="Times New Roman" w:cs="Times New Roman" w:eastAsia="Times New Roman" w:hAnsi="Times New Roman"/>
          <w:sz w:val="19"/>
          <w:szCs w:val="19"/>
          <w:color w:val="auto"/>
        </w:rPr>
        <w:t>. No later than [***] months before the anticipated date of the submission of the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MAA for an Original ADC Licensed Product in the Territory, Licensee shall prepare a written Commercialization plan that sets forth the timeline and details of all major Commercialization activities planned for such Original ADC Licensed Product in the Territory (the “</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The Commercialization Plan shall be updated at least once a year.</w:t>
      </w:r>
    </w:p>
    <w:p>
      <w:pPr>
        <w:spacing w:after="0" w:line="134" w:lineRule="exact"/>
        <w:rPr>
          <w:sz w:val="20"/>
          <w:szCs w:val="20"/>
          <w:color w:val="auto"/>
        </w:rPr>
      </w:pPr>
    </w:p>
    <w:p>
      <w:pPr>
        <w:jc w:val="both"/>
        <w:ind w:right="20" w:firstLine="432"/>
        <w:spacing w:after="0"/>
        <w:rPr>
          <w:sz w:val="20"/>
          <w:szCs w:val="20"/>
          <w:color w:val="auto"/>
        </w:rPr>
      </w:pPr>
      <w:r>
        <w:rPr>
          <w:rFonts w:ascii="Times New Roman" w:cs="Times New Roman" w:eastAsia="Times New Roman" w:hAnsi="Times New Roman"/>
          <w:sz w:val="19"/>
          <w:szCs w:val="19"/>
          <w:b w:val="1"/>
          <w:bCs w:val="1"/>
          <w:color w:val="auto"/>
        </w:rPr>
        <w:t>7.3 Coordination of Commercialization Activities</w:t>
      </w:r>
      <w:r>
        <w:rPr>
          <w:rFonts w:ascii="Times New Roman" w:cs="Times New Roman" w:eastAsia="Times New Roman" w:hAnsi="Times New Roman"/>
          <w:sz w:val="19"/>
          <w:szCs w:val="19"/>
          <w:color w:val="auto"/>
        </w:rPr>
        <w:t>. The Parties recognize that they may benefit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coordination of certain activities in support of the Commercialization of an Original ADC Licensed Product across their territories. As such, the Parties may coordinate such activities where appropriate, including scientific and medical communication and Licensed Product positioning. For clarity, Licensee shall not conduct any Commercialization of any Original ADC Licensed Product outside the Territory without Duality’s express prior written consent and Duality shall not conduct any Commercialization of Original ADC Licensed Products outside of the Retained Territory without Licensee’s express prior written consent.</w:t>
      </w:r>
    </w:p>
    <w:p>
      <w:pPr>
        <w:spacing w:after="0" w:line="226"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7.4 Commercialization Reports</w:t>
      </w:r>
      <w:r>
        <w:rPr>
          <w:rFonts w:ascii="Times New Roman" w:cs="Times New Roman" w:eastAsia="Times New Roman" w:hAnsi="Times New Roman"/>
          <w:sz w:val="19"/>
          <w:szCs w:val="19"/>
          <w:color w:val="auto"/>
        </w:rPr>
        <w:t>. Licensee shall keep Duality informed of its, its Affiliates’ and Sublicensees’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Commercialization activities in the Territory with respect to each Original ADC Licensed Product and Duality shall keep Licensee informed of Duality’s, its Affiliates’ and sublicensees’ Commercialization activities in the Retained Territory with respect to each Original ADC Licensed Product. In addition, each Party shall make available to the other Party such additional information about its Commercialization activities as may be reasonably requested by the other Party from time to time. Without limiting the generality of the foregoing, Licensee shall, [***], provide Duality with [***].</w:t>
      </w:r>
    </w:p>
    <w:p>
      <w:pPr>
        <w:spacing w:after="0" w:line="132"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7.5 Trademarks</w:t>
      </w:r>
      <w:r>
        <w:rPr>
          <w:rFonts w:ascii="Times New Roman" w:cs="Times New Roman" w:eastAsia="Times New Roman" w:hAnsi="Times New Roman"/>
          <w:sz w:val="19"/>
          <w:szCs w:val="19"/>
          <w:color w:val="auto"/>
        </w:rPr>
        <w:t>. Licensee shall be responsible for the registration, filing, maintenance and enforcement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trademarks (including domain names) developed for the Original ADC Licensed Products in the Field in the Territory (the “</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The Parties will discuss in good faith and enter into a separate branding agreement outlining terms for ownership, use, management and enforcement of trademarks (including domain names) adopted to identify the Original ADC Licensed Products in the Field in the Retained Territory.</w:t>
      </w:r>
    </w:p>
    <w:p>
      <w:pPr>
        <w:spacing w:after="0" w:line="133"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7.6 Original ADC Licensed Products Tracking in the Territory and Retained Territory</w:t>
      </w:r>
      <w:r>
        <w:rPr>
          <w:rFonts w:ascii="Times New Roman" w:cs="Times New Roman" w:eastAsia="Times New Roman" w:hAnsi="Times New Roman"/>
          <w:sz w:val="19"/>
          <w:szCs w:val="19"/>
          <w:color w:val="auto"/>
        </w:rPr>
        <w:t>. Licensee shall, and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ensure that its Affiliates and Sublicensees, maintain adequate records to permit the Parties to trace the distribution, sale, and use of all Original ADC Licensed Products through all relevant channels (e.g. wholesalers, hospitals and pharmacies) in the Territory. Duality shall, and shall ensure that its Affiliates and (sub)licensees, maintain adequate records to permit the Parties to trace the distribution, sale, and use of all Original ADC Licensed Products through all relevant channels (e.g. wholesalers, hospitals and pharmacies) in the Retained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27 of 102</w:t>
      </w:r>
    </w:p>
    <w:p>
      <w:pPr>
        <w:sectPr>
          <w:pgSz w:w="11900" w:h="16840" w:orient="portrait"/>
          <w:cols w:equalWidth="0" w:num="1">
            <w:col w:w="9860"/>
          </w:cols>
          <w:pgMar w:left="1380" w:top="1440" w:right="660" w:bottom="1440" w:gutter="0" w:footer="0" w:header="0"/>
        </w:sectPr>
      </w:pPr>
    </w:p>
    <w:bookmarkStart w:id="591" w:name="page592"/>
    <w:bookmarkEnd w:id="591"/>
    <w:p>
      <w:pPr>
        <w:spacing w:after="0" w:line="255" w:lineRule="exact"/>
        <w:rPr>
          <w:sz w:val="20"/>
          <w:szCs w:val="20"/>
          <w:color w:val="auto"/>
        </w:rPr>
      </w:pPr>
    </w:p>
    <w:p>
      <w:pPr>
        <w:jc w:val="both"/>
        <w:ind w:firstLine="432"/>
        <w:spacing w:after="0" w:line="214" w:lineRule="auto"/>
        <w:rPr>
          <w:sz w:val="20"/>
          <w:szCs w:val="20"/>
          <w:color w:val="auto"/>
        </w:rPr>
      </w:pPr>
      <w:r>
        <w:rPr>
          <w:rFonts w:ascii="Times New Roman" w:cs="Times New Roman" w:eastAsia="Times New Roman" w:hAnsi="Times New Roman"/>
          <w:sz w:val="19"/>
          <w:szCs w:val="19"/>
          <w:b w:val="1"/>
          <w:bCs w:val="1"/>
          <w:color w:val="auto"/>
        </w:rPr>
        <w:t>7.7 No Diversion</w:t>
      </w:r>
      <w:r>
        <w:rPr>
          <w:rFonts w:ascii="Times New Roman" w:cs="Times New Roman" w:eastAsia="Times New Roman" w:hAnsi="Times New Roman"/>
          <w:sz w:val="19"/>
          <w:szCs w:val="19"/>
          <w:color w:val="auto"/>
        </w:rPr>
        <w:t>. Each Party hereby covenants and agrees that during the Term, and except as expressly permitted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it shall not (and shall cause its Affiliates and Sublicensees (with respect to Licensee), (sub)licensees (with respect to Duality) and subcontractors not to), either itself or through a Third Party, develop, use, market, promote, import, export, sell or actively offer for sale (online or otherwise) the Licensed Products in the other Party’s territory. Without limiting the generality of the foregoing, except as mutually agreed by the Parties, each Party shall not (a) engage in any advertising activities relating to the Licensed Products directed primarily to customers in the other Party’s territory, or (b) actively or intentionally solicit orders from any prospective purchaser located in the other Party’s territory or prospective purchasers whose delivery address is located in the other Party’s territory. To the extent permitted by Applicable Laws, including applicable antitrust laws, if a Party receives any order for Licensed Products from a prospective purchaser located in or with a nominated delivery address in a country or jurisdiction in the other Party’s territory, such Party shall immediately refer that order to the other Party and shall not accept any such order or deliver or tender (or cause to be delivered or tendered) the Licensed Products under such order. If a Party should reasonably know that a customer or distributor is actively engaged itself or through a Third Party in the sale or distribution of the Licensed Products in the other Party’s territory, then such Party shall (i) within [***] Days of gaining knowledge of such activities, notify the other Party regarding such activities and provide all information available to such Party that the other Party may reasonably request concerning such activities and (ii) use Commercially Reasonable Efforts (including cessation of sales or delivery to such customer) necessary to limit such sale or distribution in the other Party’s territory, unless otherwise agreed in writing by the Parties prior to such sale or delivery.</w:t>
      </w:r>
    </w:p>
    <w:p>
      <w:pPr>
        <w:spacing w:after="0" w:line="200" w:lineRule="exact"/>
        <w:rPr>
          <w:sz w:val="20"/>
          <w:szCs w:val="20"/>
          <w:color w:val="auto"/>
        </w:rPr>
      </w:pPr>
    </w:p>
    <w:p>
      <w:pPr>
        <w:spacing w:after="0" w:line="36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8</w:t>
      </w:r>
    </w:p>
    <w:p>
      <w:pPr>
        <w:ind w:left="3660"/>
        <w:spacing w:after="0"/>
        <w:rPr>
          <w:sz w:val="20"/>
          <w:szCs w:val="20"/>
          <w:color w:val="auto"/>
        </w:rPr>
      </w:pPr>
      <w:r>
        <w:rPr>
          <w:rFonts w:ascii="Times New Roman" w:cs="Times New Roman" w:eastAsia="Times New Roman" w:hAnsi="Times New Roman"/>
          <w:sz w:val="19"/>
          <w:szCs w:val="19"/>
          <w:b w:val="1"/>
          <w:bCs w:val="1"/>
          <w:color w:val="auto"/>
        </w:rPr>
        <w:t>FINANCIAL TERMS</w:t>
      </w:r>
    </w:p>
    <w:p>
      <w:pPr>
        <w:spacing w:after="0" w:line="142"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8.1 Upfront Payment</w:t>
      </w:r>
      <w:r>
        <w:rPr>
          <w:rFonts w:ascii="Times New Roman" w:cs="Times New Roman" w:eastAsia="Times New Roman" w:hAnsi="Times New Roman"/>
          <w:sz w:val="19"/>
          <w:szCs w:val="19"/>
          <w:color w:val="auto"/>
        </w:rPr>
        <w:t>. In partial consideration of Duality’s granting of the licenses and rights to Licensee hereunder,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Licensee shall make a one-time, non-refundable, non-creditable payment to Duality of [***] (the “</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within [***] days after the receipt of an invoice issued by Duality to the Licensee on or after the Effective Date.</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w:t>
      </w:r>
    </w:p>
    <w:p>
      <w:pPr>
        <w:spacing w:after="0" w:line="166" w:lineRule="exact"/>
        <w:rPr>
          <w:sz w:val="20"/>
          <w:szCs w:val="20"/>
          <w:color w:val="auto"/>
        </w:rPr>
      </w:pPr>
    </w:p>
    <w:p>
      <w:pPr>
        <w:jc w:val="both"/>
        <w:ind w:left="520" w:firstLine="567"/>
        <w:spacing w:after="0" w:line="219" w:lineRule="auto"/>
        <w:tabs>
          <w:tab w:leader="none" w:pos="1600" w:val="left"/>
        </w:tabs>
        <w:numPr>
          <w:ilvl w:val="0"/>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Funding Payments</w:t>
      </w:r>
      <w:r>
        <w:rPr>
          <w:rFonts w:ascii="Times New Roman" w:cs="Times New Roman" w:eastAsia="Times New Roman" w:hAnsi="Times New Roman"/>
          <w:sz w:val="19"/>
          <w:szCs w:val="19"/>
          <w:color w:val="auto"/>
        </w:rPr>
        <w:t>. Licensee shall, within [***] days after the receipt of an invoice issued by Duality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Licensee on or after the Effective Date, pay to Duality (i) an amount of [***] to fund Duality Costs in connection with the HER2-Low BC Expansion Trial in the Territory; and (ii) an amount of [***] to fund Duality Costs in connection with the EC Expansion Trial in the Territory. Duality’s invoice shall include documentation regarding the occurrence of the [***] Dosing in each of the HER2-Low BC Expansion Trial and EC Expansion Trial and supporting documents specifying the expenses spent. Duality will use the amount paid by Licensee solely for administration and conduct of the corresponding Phase II Dose Expansion Trial after the Effective Date (i.e., the HER2-Low BC Expansion Trial or the EC Expansion Trial, as applicable).</w:t>
      </w:r>
    </w:p>
    <w:p>
      <w:pPr>
        <w:spacing w:after="0" w:line="13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28 of 102</w:t>
      </w:r>
    </w:p>
    <w:p>
      <w:pPr>
        <w:sectPr>
          <w:pgSz w:w="11900" w:h="16840" w:orient="portrait"/>
          <w:cols w:equalWidth="0" w:num="1">
            <w:col w:w="9860"/>
          </w:cols>
          <w:pgMar w:left="1380" w:top="1440" w:right="660" w:bottom="1440" w:gutter="0" w:footer="0" w:header="0"/>
        </w:sectPr>
      </w:pPr>
    </w:p>
    <w:bookmarkStart w:id="592" w:name="page593"/>
    <w:bookmarkEnd w:id="592"/>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left="520" w:firstLine="567"/>
        <w:spacing w:after="0" w:line="217" w:lineRule="auto"/>
        <w:tabs>
          <w:tab w:leader="none" w:pos="1600" w:val="left"/>
        </w:tabs>
        <w:numPr>
          <w:ilvl w:val="0"/>
          <w:numId w:val="6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Invoicing</w:t>
      </w:r>
      <w:r>
        <w:rPr>
          <w:rFonts w:ascii="Times New Roman" w:cs="Times New Roman" w:eastAsia="Times New Roman" w:hAnsi="Times New Roman"/>
          <w:sz w:val="19"/>
          <w:szCs w:val="19"/>
          <w:color w:val="auto"/>
        </w:rPr>
        <w:t>. With respect to each of the HER2-Low BC Expansion Trial and the EC Expansion Trial,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Duality will issue the first invoice for reimbursement of Duality Costs after Duality’s full consumption of the funding as specified in Section 8.2(a) above, and be accompanied with supporting documentation itemizing the breakdown of the costs and expenses that were incurred and are reimbursable hereunder. Thereafter, no later than [***] setting forth the amount of actual Duality Costs incurred during such Calendar Quarter in the Territory which shall be reimbursed by Licensee pursuant to this Section 8.2, along with supporting documentation itemzing the breakdown of the costs and expenses that were incurred and are reimbursable hereunder. With respect to [***], Duality will issue the first invoice for reimbursement of Duality Costs within [***] Days after the first Calendar Quarter after the Effective Date and thereafter the preceding sentence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Each invoice issued by Duality shall list Duality Costs actually incurred in U.S. Dollars (and if any item was originally in another currency, the exchange rate used for converting the original currency to U.S. Dollar in accordance with Section 9.2). [***]</w:t>
      </w:r>
    </w:p>
    <w:p>
      <w:pPr>
        <w:spacing w:after="0" w:line="131" w:lineRule="exact"/>
        <w:rPr>
          <w:rFonts w:ascii="Times New Roman" w:cs="Times New Roman" w:eastAsia="Times New Roman" w:hAnsi="Times New Roman"/>
          <w:sz w:val="19"/>
          <w:szCs w:val="19"/>
          <w:color w:val="auto"/>
        </w:rPr>
      </w:pPr>
    </w:p>
    <w:p>
      <w:pPr>
        <w:jc w:val="both"/>
        <w:ind w:left="520" w:right="20" w:firstLine="567"/>
        <w:spacing w:after="0" w:line="233" w:lineRule="auto"/>
        <w:tabs>
          <w:tab w:leader="none" w:pos="1600" w:val="left"/>
        </w:tabs>
        <w:numPr>
          <w:ilvl w:val="0"/>
          <w:numId w:val="6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Other Clinical Trials</w:t>
      </w:r>
      <w:r>
        <w:rPr>
          <w:rFonts w:ascii="Times New Roman" w:cs="Times New Roman" w:eastAsia="Times New Roman" w:hAnsi="Times New Roman"/>
          <w:sz w:val="19"/>
          <w:szCs w:val="19"/>
          <w:color w:val="auto"/>
        </w:rPr>
        <w:t>. At Licensee’s request, Duality shall perform any other Clinical Trial (in addition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Ongoing Trials) of an Original ADC Licensed Product for an Indication other than the HER2 BC Indications and EC Indication. The Parties shall discuss (through the JSC) Licensee’s [***].</w:t>
      </w:r>
    </w:p>
    <w:p>
      <w:pPr>
        <w:spacing w:after="0" w:line="132"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8.3 Development and Regulatory Milestone Payments of the Original ADC Licensed Product</w:t>
      </w:r>
      <w:r>
        <w:rPr>
          <w:rFonts w:ascii="Times New Roman" w:cs="Times New Roman" w:eastAsia="Times New Roman" w:hAnsi="Times New Roman"/>
          <w:sz w:val="19"/>
          <w:szCs w:val="19"/>
          <w:color w:val="auto"/>
        </w:rPr>
        <w:t>. With respect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milestone events set forth in the tables below, promptly following the first achievement, whether by Duality or any of Duality’s Affiliates (when designated by Licensee) or by Licensee or any of Licensee’s Affiliates or Sublicensees, of the corresponding milestone event by the first Original ADC Licensed Product, Licensee or Duality, as the case may be, shall notify the other Party within [***] Days of such achievement, and Licensee shall pay to Duality the corresponding non-refundable, non- creditable milestone payment -within [***] days after the receipt of an invoice issued by Duality to Licensee on or after the achievement of the applicable milestone event: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8.4 Sales Milestone Payments of the Original ADC Licensed Products</w:t>
      </w:r>
      <w:r>
        <w:rPr>
          <w:rFonts w:ascii="Times New Roman" w:cs="Times New Roman" w:eastAsia="Times New Roman" w:hAnsi="Times New Roman"/>
          <w:sz w:val="19"/>
          <w:szCs w:val="19"/>
          <w:color w:val="auto"/>
        </w:rPr>
        <w:t>. Licensee shall pay to Duality the additional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one-time, non-refundable, non-creditable payments set forth in the table below within [***] days after the receipt of an invoice issued by Duality to Licensee on or after the first achievement of each milestone event described below.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29 of 102</w:t>
      </w:r>
    </w:p>
    <w:p>
      <w:pPr>
        <w:sectPr>
          <w:pgSz w:w="11900" w:h="16840" w:orient="portrait"/>
          <w:cols w:equalWidth="0" w:num="1">
            <w:col w:w="9860"/>
          </w:cols>
          <w:pgMar w:left="1380" w:top="1440" w:right="660" w:bottom="1440" w:gutter="0" w:footer="0" w:header="0"/>
        </w:sectPr>
      </w:pPr>
    </w:p>
    <w:bookmarkStart w:id="593" w:name="page594"/>
    <w:bookmarkEnd w:id="593"/>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Within [***] days after the end of the Calendar Quarter in which any milestone event set forth above in this Section 8.4 for which a milestone payment is payable is achieved, Licensee shall deliver a written notice to Duality of such achievement, and Licensee shall pay to Duality the corresponding milestone payment within [***] days after the receipt of an invoice issued by Duality to Licensee. For clarity, each of the milestone payments set forth above in this Section 8.4 shall be additive such that if multiple milestone events specified above are achieved in the same Calendar Quarter, then the milestone payments for all such milestone events shall be payable by Licensee.</w:t>
      </w:r>
    </w:p>
    <w:p>
      <w:pPr>
        <w:spacing w:after="0" w:line="250" w:lineRule="exact"/>
        <w:rPr>
          <w:sz w:val="20"/>
          <w:szCs w:val="20"/>
          <w:color w:val="auto"/>
        </w:rPr>
      </w:pPr>
    </w:p>
    <w:p>
      <w:pPr>
        <w:jc w:val="both"/>
        <w:ind w:left="720"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8.5 Royalties</w:t>
      </w:r>
      <w:r>
        <w:rPr>
          <w:rFonts w:ascii="Times New Roman" w:cs="Times New Roman" w:eastAsia="Times New Roman" w:hAnsi="Times New Roman"/>
          <w:sz w:val="19"/>
          <w:szCs w:val="19"/>
          <w:color w:val="auto"/>
        </w:rPr>
        <w:t>. Licensee shall pay tiered royalties to Duality on Annual Net Sales of: (i) all Original ADC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Products in the Territory in each Calendar Quarter as set forth below, in the first table in this Section 8.5, calculated by [***]; and (ii) any [***] or [***] at the Reduced Royalty Rates for each respective Annual Net Sales threshold, as set forth in the second or third table, as the case may be, in this Section 8.5, calculated by [***].</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t>
      </w:r>
    </w:p>
    <w:p>
      <w:pPr>
        <w:spacing w:after="0" w:line="392" w:lineRule="exact"/>
        <w:rPr>
          <w:sz w:val="20"/>
          <w:szCs w:val="20"/>
          <w:color w:val="auto"/>
        </w:rPr>
      </w:pPr>
    </w:p>
    <w:p>
      <w:pPr>
        <w:jc w:val="both"/>
        <w:ind w:left="720"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8.6 Royalty Term</w:t>
      </w:r>
      <w:r>
        <w:rPr>
          <w:rFonts w:ascii="Times New Roman" w:cs="Times New Roman" w:eastAsia="Times New Roman" w:hAnsi="Times New Roman"/>
          <w:sz w:val="19"/>
          <w:szCs w:val="19"/>
          <w:color w:val="auto"/>
        </w:rPr>
        <w:t>. Royalties under Section 8.5 shall be payable, on a [***] basis, during the period beginning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and continuing until the latest of: [***] (the “</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9"/>
          <w:szCs w:val="19"/>
          <w:b w:val="1"/>
          <w:bCs w:val="1"/>
          <w:color w:val="auto"/>
        </w:rPr>
        <w:t>8.7</w:t>
      </w:r>
      <w:r>
        <w:rPr>
          <w:sz w:val="20"/>
          <w:szCs w:val="20"/>
          <w:color w:val="auto"/>
        </w:rPr>
        <w:tab/>
      </w:r>
      <w:r>
        <w:rPr>
          <w:rFonts w:ascii="Times New Roman" w:cs="Times New Roman" w:eastAsia="Times New Roman" w:hAnsi="Times New Roman"/>
          <w:sz w:val="19"/>
          <w:szCs w:val="19"/>
          <w:b w:val="1"/>
          <w:bCs w:val="1"/>
          <w:color w:val="auto"/>
        </w:rPr>
        <w:t>Royalty Payment Reduction of Licensed Products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9</w:t>
      </w:r>
    </w:p>
    <w:p>
      <w:pPr>
        <w:ind w:left="3860"/>
        <w:spacing w:after="0"/>
        <w:rPr>
          <w:sz w:val="20"/>
          <w:szCs w:val="20"/>
          <w:color w:val="auto"/>
        </w:rPr>
      </w:pPr>
      <w:r>
        <w:rPr>
          <w:rFonts w:ascii="Times New Roman" w:cs="Times New Roman" w:eastAsia="Times New Roman" w:hAnsi="Times New Roman"/>
          <w:sz w:val="19"/>
          <w:szCs w:val="19"/>
          <w:b w:val="1"/>
          <w:bCs w:val="1"/>
          <w:color w:val="auto"/>
        </w:rPr>
        <w:t>PAYMENT; RECORDS; AUDITS</w:t>
      </w:r>
    </w:p>
    <w:p>
      <w:pPr>
        <w:spacing w:after="0" w:line="142" w:lineRule="exact"/>
        <w:rPr>
          <w:sz w:val="20"/>
          <w:szCs w:val="20"/>
          <w:color w:val="auto"/>
        </w:rPr>
      </w:pPr>
    </w:p>
    <w:p>
      <w:pPr>
        <w:jc w:val="both"/>
        <w:ind w:left="7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9.1 Payment; Reports</w:t>
      </w:r>
      <w:r>
        <w:rPr>
          <w:rFonts w:ascii="Times New Roman" w:cs="Times New Roman" w:eastAsia="Times New Roman" w:hAnsi="Times New Roman"/>
          <w:sz w:val="19"/>
          <w:szCs w:val="19"/>
          <w:color w:val="auto"/>
        </w:rPr>
        <w:t>. Royalties shall be calculated and reported for each Calendar Quarter within [***] days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end of each Calendar Quarter. Each payment shall be accompanied by a report of [***]. Except as may otherwise be expressly provided herein, Licensee shall not have the right to set off, withhold or make any deduction from any payment of royalties or other payments due to Duality hereunder for any reason whatsoever.</w:t>
      </w:r>
    </w:p>
    <w:p>
      <w:pPr>
        <w:spacing w:after="0" w:line="131"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9"/>
          <w:szCs w:val="19"/>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Exchange Rate; Manner and Place of Payment</w:t>
      </w:r>
      <w:r>
        <w:rPr>
          <w:rFonts w:ascii="Times New Roman" w:cs="Times New Roman" w:eastAsia="Times New Roman" w:hAnsi="Times New Roman"/>
          <w:sz w:val="19"/>
          <w:szCs w:val="19"/>
          <w:color w:val="auto"/>
        </w:rPr>
        <w:t>. All payments hereunder shall be payable in U.S. dollars within</w:t>
      </w:r>
    </w:p>
    <w:p>
      <w:pPr>
        <w:jc w:val="both"/>
        <w:ind w:left="720" w:firstLine="6"/>
        <w:spacing w:after="0" w:line="217" w:lineRule="auto"/>
        <w:tabs>
          <w:tab w:leader="none" w:pos="1185" w:val="left"/>
        </w:tabs>
        <w:numPr>
          <w:ilvl w:val="0"/>
          <w:numId w:val="6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receipt of an invoice from Duality. With respect to sales of Licensed Products invoiced in a currency other than U.S. dollars, sales milestones and royalties shall be converted into U.S. dollar using the exchange rate mechanism generally applied by Licensee or its Affiliates or Sublicensees for consolidation purposes, in accordance with the Accounting Standards, for the Calendar Quarter for which a payment is due. All payments owed under this Agreement shall be made by wire transfer in immediately available funds to a bank and account designated in writing by Duality, unless otherwise specified in writing by Duality.</w:t>
      </w:r>
    </w:p>
    <w:p>
      <w:pPr>
        <w:spacing w:after="0" w:line="135"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9"/>
          <w:szCs w:val="19"/>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9"/>
          <w:szCs w:val="19"/>
          <w:color w:val="auto"/>
        </w:rPr>
        <w:t>Page 30 of 102</w:t>
      </w:r>
    </w:p>
    <w:p>
      <w:pPr>
        <w:sectPr>
          <w:pgSz w:w="11900" w:h="16840" w:orient="portrait"/>
          <w:cols w:equalWidth="0" w:num="1">
            <w:col w:w="10580"/>
          </w:cols>
          <w:pgMar w:left="660" w:top="1440" w:right="660" w:bottom="1440" w:gutter="0" w:footer="0" w:header="0"/>
        </w:sectPr>
      </w:pPr>
    </w:p>
    <w:bookmarkStart w:id="594" w:name="page595"/>
    <w:bookmarkEnd w:id="594"/>
    <w:p>
      <w:pPr>
        <w:spacing w:after="0" w:line="255" w:lineRule="exact"/>
        <w:rPr>
          <w:sz w:val="20"/>
          <w:szCs w:val="20"/>
          <w:color w:val="auto"/>
        </w:rPr>
      </w:pPr>
    </w:p>
    <w:p>
      <w:pPr>
        <w:jc w:val="both"/>
        <w:ind w:left="520" w:firstLine="567"/>
        <w:spacing w:after="0" w:line="224" w:lineRule="auto"/>
        <w:tabs>
          <w:tab w:leader="none" w:pos="1600" w:val="left"/>
        </w:tabs>
        <w:numPr>
          <w:ilvl w:val="0"/>
          <w:numId w:val="6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Taxes on Income</w:t>
      </w:r>
      <w:r>
        <w:rPr>
          <w:rFonts w:ascii="Times New Roman" w:cs="Times New Roman" w:eastAsia="Times New Roman" w:hAnsi="Times New Roman"/>
          <w:sz w:val="19"/>
          <w:szCs w:val="19"/>
          <w:color w:val="auto"/>
        </w:rPr>
        <w:t>. Except as otherwise provided in this Section 9.3, Licensee shall be solely responsible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payment of all value added taxes, fees, duties, surcharges, and other deductions or withholding taxes imposed by or on any entity in the Territory in connection with the payments and activities contemplated hereunder. Except as otherwise set forth in this Section, each Party shall be solely responsible for the payment of all taxes imposed on such Party’s income arising directly or indirectly from the activities of the Parties under this Agreement.</w:t>
      </w:r>
    </w:p>
    <w:p>
      <w:pPr>
        <w:spacing w:after="0" w:line="132" w:lineRule="exact"/>
        <w:rPr>
          <w:rFonts w:ascii="Times New Roman" w:cs="Times New Roman" w:eastAsia="Times New Roman" w:hAnsi="Times New Roman"/>
          <w:sz w:val="19"/>
          <w:szCs w:val="19"/>
          <w:color w:val="auto"/>
        </w:rPr>
      </w:pPr>
    </w:p>
    <w:p>
      <w:pPr>
        <w:jc w:val="both"/>
        <w:ind w:left="520" w:firstLine="567"/>
        <w:spacing w:after="0"/>
        <w:tabs>
          <w:tab w:leader="none" w:pos="1600" w:val="left"/>
        </w:tabs>
        <w:numPr>
          <w:ilvl w:val="0"/>
          <w:numId w:val="6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In the event that any withholding tax, fee, duty or surcharge applicable to or assessable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respect of any of the Upfront Payment, development, regulatory or sales milestone payments, or royalty payments to be made by Licensee to Duality under this Agreement (collectively, the “ </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is required to be withheld and deducted under Applicable Laws (“</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Licensee (or its Affiliate paying on behalf of Licensee) shall make such deduction and withholding and will pay the remaining License Payments to Duality. For clarity, Licensee’s reimbursement of Duality Costs shall not be deemed to be License Payments or subject to any Tax Withholdings.</w:t>
      </w:r>
    </w:p>
    <w:p>
      <w:pPr>
        <w:spacing w:after="0" w:line="225" w:lineRule="exact"/>
        <w:rPr>
          <w:rFonts w:ascii="Times New Roman" w:cs="Times New Roman" w:eastAsia="Times New Roman" w:hAnsi="Times New Roman"/>
          <w:sz w:val="19"/>
          <w:szCs w:val="19"/>
          <w:color w:val="auto"/>
        </w:rPr>
      </w:pPr>
    </w:p>
    <w:p>
      <w:pPr>
        <w:jc w:val="both"/>
        <w:ind w:left="520" w:firstLine="567"/>
        <w:spacing w:after="0" w:line="216" w:lineRule="auto"/>
        <w:tabs>
          <w:tab w:leader="none" w:pos="1600" w:val="left"/>
        </w:tabs>
        <w:numPr>
          <w:ilvl w:val="0"/>
          <w:numId w:val="6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Cooperation</w:t>
      </w:r>
      <w:r>
        <w:rPr>
          <w:rFonts w:ascii="Times New Roman" w:cs="Times New Roman" w:eastAsia="Times New Roman" w:hAnsi="Times New Roman"/>
          <w:sz w:val="19"/>
          <w:szCs w:val="19"/>
          <w:color w:val="auto"/>
        </w:rPr>
        <w:t>. Licensee shall make such deduction of taxes and withholding tax payments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taxing authority(ies) in a timely manner and shall promptly provide Duality with the appropriate proof of payment and relevant receipt(s) with respect to such deduction or withholding. To the extent permitted by Applicable Laws, Licensee shall provide Duality reasonable assistance in order to allow Duality to obtain the benefit of any present or future treaty against double taxation or refund or reduction in taxes which may apply to the License Payments. Each Party agrees to use commercially reasonable efforts to cooperate with the other Party in claiming refunds, reductions, or exemptions from such deductions or withholdings under any relevant agreement or treaty that is in effect. Duality will provide Licensee with any tax forms or other documentation reasonably necessary in order for Licensee not to withhold or to withhold tax at a reduced rate under an applicable bilateral income tax treaty. If the taxes originally paid or otherwise borne by a Party are in whole or in part subsequently determined not to have been chargeable, all reasonably necessary steps will be taken by each Party to obtain a refund of these undue taxes from the applicable Governmental Authority or other fiscal authority and any amount of undue taxes repaid by such authority to the receiving Party will be transferred to the paying Party within [***] days of receipt.</w:t>
      </w:r>
    </w:p>
    <w:p>
      <w:pPr>
        <w:spacing w:after="0" w:line="133"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9.4 Blocked Currency</w:t>
      </w:r>
      <w:r>
        <w:rPr>
          <w:rFonts w:ascii="Times New Roman" w:cs="Times New Roman" w:eastAsia="Times New Roman" w:hAnsi="Times New Roman"/>
          <w:sz w:val="19"/>
          <w:szCs w:val="19"/>
          <w:color w:val="auto"/>
        </w:rPr>
        <w:t>. In the event that, by reason of Applicable Law in any country or region, it becomes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impossible or illegal, after reasonable efforts by Licensee to do so, for Licensee or its Affiliate to transfer, or have transferred on its behalf, payments owed Duality hereunder, Licensee shall promptly notify Duality of the conditions preventing such transfer and such payments will be deposited in local currency in the relevant country or region to the credit of Duality in a recognized banking institution designated by Duality provided such arrangements are legal under all Applicable Laws.</w:t>
      </w:r>
    </w:p>
    <w:p>
      <w:pPr>
        <w:spacing w:after="0" w:line="133"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9.5 Records; Audits</w:t>
      </w:r>
      <w:r>
        <w:rPr>
          <w:rFonts w:ascii="Times New Roman" w:cs="Times New Roman" w:eastAsia="Times New Roman" w:hAnsi="Times New Roman"/>
          <w:sz w:val="19"/>
          <w:szCs w:val="19"/>
          <w:color w:val="auto"/>
        </w:rPr>
        <w:t>. Licensee shall keep, and require its Affiliates and Sublicensees to keep, complete, fair and true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books of accounts and records for the purpose of determining the amounts payable to Duality pursuant to this Agreement. Such books and records shall be kept for at least [***] Years following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31 of 102</w:t>
      </w:r>
    </w:p>
    <w:p>
      <w:pPr>
        <w:sectPr>
          <w:pgSz w:w="11900" w:h="16840" w:orient="portrait"/>
          <w:cols w:equalWidth="0" w:num="1">
            <w:col w:w="9860"/>
          </w:cols>
          <w:pgMar w:left="1380" w:top="1440" w:right="660" w:bottom="1440" w:gutter="0" w:footer="0" w:header="0"/>
        </w:sectPr>
      </w:pPr>
    </w:p>
    <w:bookmarkStart w:id="595" w:name="page596"/>
    <w:bookmarkEnd w:id="595"/>
    <w:p>
      <w:pPr>
        <w:spacing w:after="0" w:line="25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Calendar Year to which they pertain. Duality shall have the right to cause an independent, certified public accountant reasonably acceptable to Licensee to audit such records to confirm Net Sales, royalties and other payments for a period covering not more than the preceding [***] Years; provided that (a) such audit shall not be more frequent than once in any [***] month period, and (b) once such accountant has conducted a review and audit of any records pursuant to this Section 9.5 in respect of any given period, it may not subsequently re-inspect such records with respect to such period, unless, in each case of (a) and (b), for cause. Prior to engagement by an independent, certified public accountant, such accountant must have executed and delivered to Licensee and its Affiliates a confidentiality agreement as reasonably requested by Licensee, which will include provisions limiting such accountant’s disclosure to Duality to only the results and basis for such results of such inspection</w:t>
      </w:r>
      <w:r>
        <w:rPr>
          <w:rFonts w:ascii="Arial" w:cs="Arial" w:eastAsia="Arial" w:hAnsi="Arial"/>
          <w:sz w:val="14"/>
          <w:szCs w:val="14"/>
          <w:color w:val="auto"/>
        </w:rPr>
        <w:t>.</w:t>
      </w:r>
      <w:r>
        <w:rPr>
          <w:rFonts w:ascii="Times New Roman" w:cs="Times New Roman" w:eastAsia="Times New Roman" w:hAnsi="Times New Roman"/>
          <w:sz w:val="19"/>
          <w:szCs w:val="19"/>
          <w:color w:val="auto"/>
        </w:rPr>
        <w:t xml:space="preserve"> Such audits may be exercised during normal business hours upon reasonable prior written notice to Licensee. Prompt adjustments shall be made by the Parties to reflect the results of such audit. Duality shall bear the full cost of such audit unless such audit discloses an underpayment by Licensee of more than [***] of the amount of royalties or other payments due under this Agreement for any applicable Calendar Quarter, in which case, Licensee shall bear the cost of such audit and shall promptly remit to Duality the amount of any underpayment. Any overpayment by Licensee revealed by an audit shall be fully- creditable against future payment owed by Licensee to Duality (and if no further payments are due, shall be refunded by Duality at the request of Licensee). Any underpayment by Licensee identified by an audit shall not be subject to Section 9.6.</w:t>
      </w:r>
    </w:p>
    <w:p>
      <w:pPr>
        <w:spacing w:after="0" w:line="200" w:lineRule="exact"/>
        <w:rPr>
          <w:sz w:val="20"/>
          <w:szCs w:val="20"/>
          <w:color w:val="auto"/>
        </w:rPr>
      </w:pPr>
    </w:p>
    <w:p>
      <w:pPr>
        <w:spacing w:after="0" w:line="355"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9. 6 Late Payments</w:t>
      </w:r>
      <w:r>
        <w:rPr>
          <w:rFonts w:ascii="Times New Roman" w:cs="Times New Roman" w:eastAsia="Times New Roman" w:hAnsi="Times New Roman"/>
          <w:sz w:val="19"/>
          <w:szCs w:val="19"/>
          <w:color w:val="auto"/>
        </w:rPr>
        <w:t>. In the event that Licensee fails to make any payment due under this Agreement (save as set out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9.5), simple interest shall thereafter accrue on the sum due from the due date until the date of payment at [***].</w:t>
      </w:r>
    </w:p>
    <w:p>
      <w:pPr>
        <w:spacing w:after="0" w:line="200" w:lineRule="exact"/>
        <w:rPr>
          <w:sz w:val="20"/>
          <w:szCs w:val="20"/>
          <w:color w:val="auto"/>
        </w:rPr>
      </w:pPr>
    </w:p>
    <w:p>
      <w:pPr>
        <w:spacing w:after="0" w:line="3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b w:val="1"/>
          <w:bCs w:val="1"/>
          <w:color w:val="auto"/>
        </w:rPr>
        <w:t>Article 10</w:t>
      </w:r>
    </w:p>
    <w:p>
      <w:pPr>
        <w:ind w:left="3640"/>
        <w:spacing w:after="0"/>
        <w:rPr>
          <w:sz w:val="20"/>
          <w:szCs w:val="20"/>
          <w:color w:val="auto"/>
        </w:rPr>
      </w:pPr>
      <w:r>
        <w:rPr>
          <w:rFonts w:ascii="Times New Roman" w:cs="Times New Roman" w:eastAsia="Times New Roman" w:hAnsi="Times New Roman"/>
          <w:sz w:val="19"/>
          <w:szCs w:val="19"/>
          <w:b w:val="1"/>
          <w:bCs w:val="1"/>
          <w:color w:val="auto"/>
        </w:rPr>
        <w:t>CONFIDENTIALITY</w:t>
      </w:r>
    </w:p>
    <w:p>
      <w:pPr>
        <w:spacing w:after="0" w:line="14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9"/>
          <w:szCs w:val="19"/>
          <w:b w:val="1"/>
          <w:bCs w:val="1"/>
          <w:color w:val="auto"/>
        </w:rPr>
        <w:t>10.1 Confidential Information</w:t>
      </w:r>
      <w:r>
        <w:rPr>
          <w:rFonts w:ascii="Times New Roman" w:cs="Times New Roman" w:eastAsia="Times New Roman" w:hAnsi="Times New Roman"/>
          <w:sz w:val="19"/>
          <w:szCs w:val="19"/>
          <w:color w:val="auto"/>
        </w:rPr>
        <w:t>. Except to the extent expressly authorized by this Agreement or otherwise agreed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writing by the Parties, each Party (in such capacity, the “ </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agrees that, during the Term and for [***] years thereafter, it shall keep confidential and shall not publish or otherwise disclose to any Third Party, and shall not use for any purpose other than as expressly provided for in this Agreement or any other written agreement between the Parties, any Confidential Information, including any Know -How, furnished or made available to it by or on behalf of the other Party (in such capacity, the “</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The Receiving Party shall use at least the same standard of care as it uses to protect proprietary or confidential information of its own (but in no event less than reasonable care) to ensure that its, and its Affiliates’, employees, agents, contractors, consultants and other representatives do not disclose or make any unauthorized use of the Confidential Information. The Receiving Party shall promptly notify the Disclosing Party upon discovery of any unauthorized use or disclosure of the Disclosing Party’s Confidential Information.</w:t>
      </w:r>
    </w:p>
    <w:p>
      <w:pPr>
        <w:spacing w:after="0" w:line="137"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10.2 Exceptions</w:t>
      </w:r>
      <w:r>
        <w:rPr>
          <w:rFonts w:ascii="Times New Roman" w:cs="Times New Roman" w:eastAsia="Times New Roman" w:hAnsi="Times New Roman"/>
          <w:sz w:val="19"/>
          <w:szCs w:val="19"/>
          <w:color w:val="auto"/>
        </w:rPr>
        <w:t>. Confidential Information shall not include any information which the Receiving Party can prove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evidence: (a) is at the time of disclosure, or thereafter becomes, through no act or failure to act on the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32 of 102</w:t>
      </w:r>
    </w:p>
    <w:p>
      <w:pPr>
        <w:sectPr>
          <w:pgSz w:w="11900" w:h="16840" w:orient="portrait"/>
          <w:cols w:equalWidth="0" w:num="1">
            <w:col w:w="9860"/>
          </w:cols>
          <w:pgMar w:left="1380" w:top="1440" w:right="660" w:bottom="1440" w:gutter="0" w:footer="0" w:header="0"/>
        </w:sectPr>
      </w:pPr>
    </w:p>
    <w:bookmarkStart w:id="596" w:name="page597"/>
    <w:bookmarkEnd w:id="596"/>
    <w:p>
      <w:pPr>
        <w:spacing w:after="0" w:line="257"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Receiving Party, generally known or available to the public or part of the public domain; (b) is known by the Receiving Party and/or any of its Affiliates at the time of receiving such information, as evidenced by its records; (c) is hereafter furnished to the Receiving Party and/or any of its Affiliates by a Third Party, as a matter of right and without restriction on disclosure; or (d) is independently discovered or developed by the Receiving Party and/or any of its Affiliates, without the use of or reference to Confidential Information of the Disclosing Party.</w:t>
      </w:r>
    </w:p>
    <w:p>
      <w:pPr>
        <w:spacing w:after="0" w:line="13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10.3 Authorized Disclosure</w:t>
      </w:r>
      <w:r>
        <w:rPr>
          <w:rFonts w:ascii="Times New Roman" w:cs="Times New Roman" w:eastAsia="Times New Roman" w:hAnsi="Times New Roman"/>
          <w:sz w:val="19"/>
          <w:szCs w:val="19"/>
          <w:color w:val="auto"/>
        </w:rPr>
        <w:t>. Notwithstanding the provisions of Section 10.1, the Receiving Party may disclose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Confidential Information of the Disclosing Party as expressly permitted by this Agreement, or if and to the extent such disclosure is reasonably necessary in the following instances:</w:t>
      </w:r>
    </w:p>
    <w:p>
      <w:pPr>
        <w:spacing w:after="0" w:line="134" w:lineRule="exact"/>
        <w:rPr>
          <w:sz w:val="20"/>
          <w:szCs w:val="20"/>
          <w:color w:val="auto"/>
        </w:rPr>
      </w:pPr>
    </w:p>
    <w:p>
      <w:pPr>
        <w:ind w:left="1600" w:hanging="513"/>
        <w:spacing w:after="0"/>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filing or prosecuting or defending Patents as permitted by this Agreement;</w:t>
      </w:r>
    </w:p>
    <w:p>
      <w:pPr>
        <w:spacing w:after="0" w:line="165" w:lineRule="exact"/>
        <w:rPr>
          <w:rFonts w:ascii="Times New Roman" w:cs="Times New Roman" w:eastAsia="Times New Roman" w:hAnsi="Times New Roman"/>
          <w:sz w:val="19"/>
          <w:szCs w:val="19"/>
          <w:color w:val="auto"/>
        </w:rPr>
      </w:pPr>
    </w:p>
    <w:p>
      <w:pPr>
        <w:ind w:left="520" w:firstLine="567"/>
        <w:spacing w:after="0" w:line="246"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required in connection with any judicial, regulatory or administrative process relating to or arising from this Agreement (including any enforcement hereof) or to comply with applicable court orders;</w:t>
      </w:r>
    </w:p>
    <w:p>
      <w:pPr>
        <w:spacing w:after="0" w:line="128" w:lineRule="exact"/>
        <w:rPr>
          <w:rFonts w:ascii="Times New Roman" w:cs="Times New Roman" w:eastAsia="Times New Roman" w:hAnsi="Times New Roman"/>
          <w:sz w:val="19"/>
          <w:szCs w:val="19"/>
          <w:color w:val="auto"/>
        </w:rPr>
      </w:pPr>
    </w:p>
    <w:p>
      <w:pPr>
        <w:jc w:val="both"/>
        <w:ind w:left="520" w:right="20" w:firstLine="567"/>
        <w:spacing w:after="0" w:line="223"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Affiliates, employees, contractors, consultants or agents of the Receiving Party who have a need to know such information in order for the Receiving Party to exercise its rights or fulfill its obligations under this Agreement; provided, in each case, that any such Affiliate, actual or potential licensee or Sublicensee, employee, contractor, consultant or agent agrees to be bound by terms of confidentiality and non-use comparable in scope to those set forth in this Article 10;</w:t>
      </w:r>
    </w:p>
    <w:p>
      <w:pPr>
        <w:spacing w:after="0" w:line="137" w:lineRule="exact"/>
        <w:rPr>
          <w:rFonts w:ascii="Times New Roman" w:cs="Times New Roman" w:eastAsia="Times New Roman" w:hAnsi="Times New Roman"/>
          <w:sz w:val="19"/>
          <w:szCs w:val="19"/>
          <w:color w:val="auto"/>
        </w:rPr>
      </w:pPr>
    </w:p>
    <w:p>
      <w:pPr>
        <w:jc w:val="both"/>
        <w:ind w:left="520" w:right="20" w:firstLine="567"/>
        <w:spacing w:after="0" w:line="220"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disclosure is made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consistent with the confidentiality provisions of this Agreement as they apply to the Receiving Party (provided, however, that in the case of financial advisers, including investment bankers, the term of confidentiality may be shortened to [***] years from the date of disclosure and in the case of attorneys, no written agreement shall be required);</w:t>
      </w:r>
    </w:p>
    <w:p>
      <w:pPr>
        <w:spacing w:after="0" w:line="134" w:lineRule="exact"/>
        <w:rPr>
          <w:rFonts w:ascii="Times New Roman" w:cs="Times New Roman" w:eastAsia="Times New Roman" w:hAnsi="Times New Roman"/>
          <w:sz w:val="19"/>
          <w:szCs w:val="19"/>
          <w:color w:val="auto"/>
        </w:rPr>
      </w:pPr>
    </w:p>
    <w:p>
      <w:pPr>
        <w:jc w:val="both"/>
        <w:ind w:left="520" w:firstLine="567"/>
        <w:spacing w:after="0" w:line="223"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existing investors, acquirors or collaborators or potential bona fide investors, acquirors, licensees, Sublicensees or collaborators in connection with due diligence or similar investigations by such Third Parties; provided, in each case, that any such existing or potential investor, acquiror, licensees, Sublicensees or collaborator agrees to be bound by confidentiality and non-use obligations consistent with those contained in this Agreement as they apply to the Receiving Party (but of duration customary in confidentiality agreements entered into for similar purpose);</w:t>
      </w:r>
    </w:p>
    <w:p>
      <w:pPr>
        <w:spacing w:after="0" w:line="137" w:lineRule="exact"/>
        <w:rPr>
          <w:rFonts w:ascii="Times New Roman" w:cs="Times New Roman" w:eastAsia="Times New Roman" w:hAnsi="Times New Roman"/>
          <w:sz w:val="19"/>
          <w:szCs w:val="19"/>
          <w:color w:val="auto"/>
        </w:rPr>
      </w:pPr>
    </w:p>
    <w:p>
      <w:pPr>
        <w:ind w:left="520" w:right="40" w:firstLine="567"/>
        <w:spacing w:after="0" w:line="246"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Regulatory Authorities as required by Applicable Laws in relation to Regulatory Approvals and regulatory procedures, proceedings and other filings;</w:t>
      </w:r>
    </w:p>
    <w:p>
      <w:pPr>
        <w:spacing w:after="0" w:line="128" w:lineRule="exact"/>
        <w:rPr>
          <w:rFonts w:ascii="Times New Roman" w:cs="Times New Roman" w:eastAsia="Times New Roman" w:hAnsi="Times New Roman"/>
          <w:sz w:val="19"/>
          <w:szCs w:val="19"/>
          <w:color w:val="auto"/>
        </w:rPr>
      </w:pPr>
    </w:p>
    <w:p>
      <w:pPr>
        <w:ind w:left="520" w:right="20" w:firstLine="567"/>
        <w:spacing w:after="0" w:line="246" w:lineRule="auto"/>
        <w:tabs>
          <w:tab w:leader="none" w:pos="1600" w:val="left"/>
        </w:tabs>
        <w:numPr>
          <w:ilvl w:val="0"/>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(i) Governmental Authorities to the extent useful or necessary to make regulatory filings and obtain or maintain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33 of 102</w:t>
      </w:r>
    </w:p>
    <w:p>
      <w:pPr>
        <w:sectPr>
          <w:pgSz w:w="11900" w:h="16840" w:orient="portrait"/>
          <w:cols w:equalWidth="0" w:num="1">
            <w:col w:w="9860"/>
          </w:cols>
          <w:pgMar w:left="1380" w:top="1440" w:right="660" w:bottom="1440" w:gutter="0" w:footer="0" w:header="0"/>
        </w:sectPr>
      </w:pPr>
    </w:p>
    <w:bookmarkStart w:id="597" w:name="page598"/>
    <w:bookmarkEnd w:id="597"/>
    <w:p>
      <w:pPr>
        <w:spacing w:after="0" w:line="257" w:lineRule="exact"/>
        <w:rPr>
          <w:sz w:val="20"/>
          <w:szCs w:val="20"/>
          <w:color w:val="auto"/>
        </w:rPr>
      </w:pPr>
    </w:p>
    <w:p>
      <w:pPr>
        <w:jc w:val="both"/>
        <w:ind w:left="520" w:right="20"/>
        <w:spacing w:after="0" w:line="223" w:lineRule="auto"/>
        <w:rPr>
          <w:sz w:val="20"/>
          <w:szCs w:val="20"/>
          <w:color w:val="auto"/>
        </w:rPr>
      </w:pPr>
      <w:r>
        <w:rPr>
          <w:rFonts w:ascii="Times New Roman" w:cs="Times New Roman" w:eastAsia="Times New Roman" w:hAnsi="Times New Roman"/>
          <w:sz w:val="19"/>
          <w:szCs w:val="19"/>
          <w:color w:val="auto"/>
        </w:rPr>
        <w:t>Approvals (including fulfilling post-approval regulatory obligations) for any Licensed Product; (ii) Governmental Authorities, technical committees or similar public health or scientific bodies for purposes of securing product use recommendations, tenders, direct procurement contracts or responding to relevant requests for information; (iii) comply with Applicable Laws with respect to performance under this Agreement; and (iv) to Governmental Authorities in order to respond to inquiries, requests or investigations relating to Licensed Products or this Agreement; and</w:t>
      </w:r>
    </w:p>
    <w:p>
      <w:pPr>
        <w:spacing w:after="0" w:line="137" w:lineRule="exact"/>
        <w:rPr>
          <w:sz w:val="20"/>
          <w:szCs w:val="20"/>
          <w:color w:val="auto"/>
        </w:rPr>
      </w:pPr>
    </w:p>
    <w:p>
      <w:pPr>
        <w:ind w:left="1600" w:hanging="513"/>
        <w:spacing w:after="0"/>
        <w:tabs>
          <w:tab w:leader="none" w:pos="1600" w:val="left"/>
        </w:tabs>
        <w:numPr>
          <w:ilvl w:val="0"/>
          <w:numId w:val="6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mutually agreed to by the Parties in writing.</w:t>
      </w:r>
    </w:p>
    <w:p>
      <w:pPr>
        <w:spacing w:after="0" w:line="16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Notwithstanding the foregoing, in the event a Party is required to make a disclosure of the other Party’s Confidential Information pursuant to Section 10.3(a) or Section 10.3(b), it will, except where impracticable for necessary disclosures, give reasonable advance notice to the other Party of such disclosure requirement and will use its reasonable efforts to secure and cooperate with the other Party, as necessary, to seek and obtain, confidential treatment of such Confidential Information required to be disclosed to the extent legally permissible and will limit the disclosure of that Confidential Information required to be disclosure to (i) to advisors (including lawyers and accountants) or Governmental Authorities on a need to know basis, in each case under appropriate confidentiality provisions or professional standards of confidentiality substantially equivalent to those of this Agreement, or (ii) to the extent agreed to by the Parties.</w:t>
      </w:r>
    </w:p>
    <w:p>
      <w:pPr>
        <w:spacing w:after="0" w:line="13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10.4</w:t>
        <w:tab/>
        <w:t>Public Announcements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600" w:hanging="513"/>
        <w:spacing w:after="0"/>
        <w:tabs>
          <w:tab w:leader="none" w:pos="1600" w:val="left"/>
        </w:tabs>
        <w:numPr>
          <w:ilvl w:val="1"/>
          <w:numId w:val="6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Press Releases and Publicity</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140" w:firstLine="578"/>
        <w:spacing w:after="0" w:line="215" w:lineRule="auto"/>
        <w:tabs>
          <w:tab w:leader="none" w:pos="1000" w:val="left"/>
        </w:tabs>
        <w:numPr>
          <w:ilvl w:val="0"/>
          <w:numId w:val="6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following the Effective Date and on a date mutually agreed by the Parties, the Parties shall issue a joint press release announcing the execution of this Agreement in substantially the form attached hereto as </w:t>
      </w:r>
      <w:r>
        <w:rPr>
          <w:rFonts w:ascii="Times New Roman" w:cs="Times New Roman" w:eastAsia="Times New Roman" w:hAnsi="Times New Roman"/>
          <w:sz w:val="19"/>
          <w:szCs w:val="19"/>
          <w:b w:val="1"/>
          <w:bCs w:val="1"/>
          <w:color w:val="auto"/>
        </w:rPr>
        <w:t>Schedule 10.4</w:t>
      </w:r>
      <w:r>
        <w:rPr>
          <w:rFonts w:ascii="Times New Roman" w:cs="Times New Roman" w:eastAsia="Times New Roman" w:hAnsi="Times New Roman"/>
          <w:sz w:val="19"/>
          <w:szCs w:val="19"/>
          <w:color w:val="auto"/>
        </w:rPr>
        <w:t>. Except as required by applicable securities laws (including disclosure requirements of the U.S.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or any stock exchange on which securities issued by a Party or its Affiliates are traded), neither Party shall make any other public announcement or statement, whether oral or written, concerning this Agreement or the subject matter hereof without the prior written consent of the other Party, which shall not be unreasonably withheld or delayed; provided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other Party pursuant to this Section 10.4 and which do not reveal non-public information about the other Party.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Licensee shall have final decision making authority in respect of the proposed text of any required public announcement relating to the Licensed Product in the Territory and Retained Territory.</w:t>
      </w:r>
    </w:p>
    <w:p>
      <w:pPr>
        <w:spacing w:after="0" w:line="140" w:lineRule="exact"/>
        <w:rPr>
          <w:rFonts w:ascii="Times New Roman" w:cs="Times New Roman" w:eastAsia="Times New Roman" w:hAnsi="Times New Roman"/>
          <w:sz w:val="19"/>
          <w:szCs w:val="19"/>
          <w:color w:val="auto"/>
        </w:rPr>
      </w:pPr>
    </w:p>
    <w:p>
      <w:pPr>
        <w:jc w:val="both"/>
        <w:ind w:left="-140" w:right="20" w:firstLine="578"/>
        <w:spacing w:after="0" w:line="232" w:lineRule="auto"/>
        <w:tabs>
          <w:tab w:leader="none" w:pos="1012" w:val="left"/>
        </w:tabs>
        <w:numPr>
          <w:ilvl w:val="0"/>
          <w:numId w:val="6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termination of this Agreement for any reason, if in the reasonable opinion of the either Party’s legal counsel, public disclosure of such termination is required under the Applicable Law or the rules of a stock exchange on which the securities of either Party (or any controlling Affiliate of such Party)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34 of 102</w:t>
      </w:r>
    </w:p>
    <w:p>
      <w:pPr>
        <w:sectPr>
          <w:pgSz w:w="11900" w:h="16840" w:orient="portrait"/>
          <w:cols w:equalWidth="0" w:num="1">
            <w:col w:w="9860"/>
          </w:cols>
          <w:pgMar w:left="1380" w:top="1440" w:right="660" w:bottom="1440" w:gutter="0" w:footer="0" w:header="0"/>
        </w:sectPr>
      </w:pPr>
    </w:p>
    <w:bookmarkStart w:id="598" w:name="page599"/>
    <w:bookmarkEnd w:id="598"/>
    <w:p>
      <w:pPr>
        <w:spacing w:after="0" w:line="25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(or to which an application for listing has been submitted), the Parties shall cooperate in good faith to coordinate public disclosure, if any, of such termination and the reasons therefor. The principles to be observed in such disclosures shall be accuracy, compliance with Applicable Law, the rules of the applicable stock exchange and regulatory guidance documents, and reasonable sensitivity to potential negative investor reaction to such news and neither Party shall make any other public announcement or statement, whether oral or written, concerning the termination of this Agreement without the prior written consent of the other Party, which shall not be unreasonably withheld or delayed.</w:t>
      </w:r>
    </w:p>
    <w:p>
      <w:pPr>
        <w:spacing w:after="0" w:line="137" w:lineRule="exact"/>
        <w:rPr>
          <w:sz w:val="20"/>
          <w:szCs w:val="20"/>
          <w:color w:val="auto"/>
        </w:rPr>
      </w:pPr>
    </w:p>
    <w:p>
      <w:pPr>
        <w:jc w:val="both"/>
        <w:ind w:right="20" w:firstLine="578"/>
        <w:spacing w:after="0" w:line="227" w:lineRule="auto"/>
        <w:tabs>
          <w:tab w:leader="none" w:pos="1152" w:val="left"/>
        </w:tabs>
        <w:numPr>
          <w:ilvl w:val="0"/>
          <w:numId w:val="6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10.4 and subject to Section 10.5, the Parties have the right to publicly disclose (A) the achievement of milestones under this Agreement; and (B) the commencement, completion, material data and key results of Clinical Trials conducted under this Agreement. After a publication has been made available to the public, each Party may post such publication or a link to it on its corporate web site without the prior written consent of the other Party.</w:t>
      </w:r>
    </w:p>
    <w:p>
      <w:pPr>
        <w:spacing w:after="0" w:line="131" w:lineRule="exact"/>
        <w:rPr>
          <w:rFonts w:ascii="Times New Roman" w:cs="Times New Roman" w:eastAsia="Times New Roman" w:hAnsi="Times New Roman"/>
          <w:sz w:val="19"/>
          <w:szCs w:val="19"/>
          <w:color w:val="auto"/>
        </w:rPr>
      </w:pPr>
    </w:p>
    <w:p>
      <w:pPr>
        <w:jc w:val="both"/>
        <w:ind w:left="660" w:firstLine="567"/>
        <w:spacing w:after="0" w:line="218" w:lineRule="auto"/>
        <w:tabs>
          <w:tab w:leader="none" w:pos="1740" w:val="left"/>
        </w:tabs>
        <w:numPr>
          <w:ilvl w:val="1"/>
          <w:numId w:val="6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Filing of this Agreement</w:t>
      </w:r>
      <w:r>
        <w:rPr>
          <w:rFonts w:ascii="Times New Roman" w:cs="Times New Roman" w:eastAsia="Times New Roman" w:hAnsi="Times New Roman"/>
          <w:sz w:val="19"/>
          <w:szCs w:val="19"/>
          <w:color w:val="auto"/>
        </w:rPr>
        <w:t>. The Parties shall coordinate in advance with each other in connection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filing of this Agreement (including redaction of certain provisions of this Agreement) with the SEC or any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or any stock exchange or other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or any stock exchange or other governmental agency.</w:t>
      </w:r>
    </w:p>
    <w:p>
      <w:pPr>
        <w:spacing w:after="0" w:line="134" w:lineRule="exact"/>
        <w:rPr>
          <w:sz w:val="20"/>
          <w:szCs w:val="20"/>
          <w:color w:val="auto"/>
        </w:rPr>
      </w:pPr>
    </w:p>
    <w:p>
      <w:pPr>
        <w:jc w:val="both"/>
        <w:ind w:left="140" w:firstLine="432"/>
        <w:spacing w:after="0" w:line="215" w:lineRule="auto"/>
        <w:rPr>
          <w:sz w:val="20"/>
          <w:szCs w:val="20"/>
          <w:color w:val="auto"/>
        </w:rPr>
      </w:pPr>
      <w:r>
        <w:rPr>
          <w:rFonts w:ascii="Times New Roman" w:cs="Times New Roman" w:eastAsia="Times New Roman" w:hAnsi="Times New Roman"/>
          <w:sz w:val="19"/>
          <w:szCs w:val="19"/>
          <w:b w:val="1"/>
          <w:bCs w:val="1"/>
          <w:color w:val="auto"/>
        </w:rPr>
        <w:t>10.5 Publication</w:t>
      </w:r>
      <w:r>
        <w:rPr>
          <w:rFonts w:ascii="Times New Roman" w:cs="Times New Roman" w:eastAsia="Times New Roman" w:hAnsi="Times New Roman"/>
          <w:sz w:val="19"/>
          <w:szCs w:val="19"/>
          <w:color w:val="auto"/>
        </w:rPr>
        <w:t>. If either Party proposes to publicly present or publish in any publication or venue, in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Territories, any Clinical Trial data, non - clinical data or any associated results or conclusions generated by or on behalf of Licensee pursuant to Clinical Trials (each such proposed presentation or publication, a “ </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it shall obtain the other Party’s prior written consent and otherwise comply with this Section 10.5. The proposing Party shall provide the other Party with a copy of such Proposed Publication at least [***] days prior to the earlier of its presentation or intended submission for publication; provided that in the case of abstracts, this period shall be at least [***] Days (such applicable period, the “</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The proposing Party agrees that it will not submit or present any Proposed Publication (i) until the other Party has provided written comments during such Review Period on the material in such Proposed Publication, or (ii) until the applicable Review Period (as may be extended by subsection (C) below) has elapsed without written comments from the other Party, in which case the proposing Party may proceed and the Proposed Publication will be considered approved in its entirety. If the proposing Party receives written comments from the other Party during the applicable Review Period, it shall consider the comments of the other Party in good faith, but will retain the sole authority to submit the manuscript for such Proposed Publication; provided that the proposing Party agrees to (A) delete any Confidential Information of the other Party that the other Party identifies for deletion in the other Party’s written comments, (B) delete any Clinical Trial data, non-clinical data, results, conclusions or other related information that is not specific to or resulting from any Clinical Trial conducted in the proposing Party’s territory, and (C) delay such Proposed Publication for a period of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35 of 102</w:t>
      </w:r>
    </w:p>
    <w:p>
      <w:pPr>
        <w:sectPr>
          <w:pgSz w:w="11900" w:h="16840" w:orient="portrait"/>
          <w:cols w:equalWidth="0" w:num="1">
            <w:col w:w="10000"/>
          </w:cols>
          <w:pgMar w:left="1240" w:top="1440" w:right="660" w:bottom="1440" w:gutter="0" w:footer="0" w:header="0"/>
        </w:sectPr>
      </w:pPr>
    </w:p>
    <w:bookmarkStart w:id="599" w:name="page600"/>
    <w:bookmarkEnd w:id="599"/>
    <w:p>
      <w:pPr>
        <w:spacing w:after="0" w:line="25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9"/>
          <w:szCs w:val="19"/>
          <w:color w:val="auto"/>
        </w:rPr>
        <w:t>to an additional [***] days after the end of the applicable Review Period to enable the other Party to draft and file patents with respect to any subject matter to be made public in such Proposed Publication and to which the other Party has the applicable intellectual property rights to file such patents. The proposing Party shall provide the other Party a copy of the Proposed Publication at the time of the submission or presentation. The proposing Party shall require its Affiliates, (sub)licensees (in case that Duality is the proposing Party), Sublicensees (in case that Licensee is the proposing Party) and contractors to comply with the obligations of this Section 10.5 as if they were the proposing Party, and shall be liable for their non-compliance.</w:t>
      </w:r>
    </w:p>
    <w:p>
      <w:pPr>
        <w:spacing w:after="0" w:line="135" w:lineRule="exact"/>
        <w:rPr>
          <w:sz w:val="20"/>
          <w:szCs w:val="20"/>
          <w:color w:val="auto"/>
        </w:rPr>
      </w:pPr>
    </w:p>
    <w:p>
      <w:pPr>
        <w:jc w:val="both"/>
        <w:ind w:right="2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10. 6 Publication and Listing of Clinical Trials </w:t>
      </w:r>
      <w:r>
        <w:rPr>
          <w:rFonts w:ascii="Times New Roman" w:cs="Times New Roman" w:eastAsia="Times New Roman" w:hAnsi="Times New Roman"/>
          <w:sz w:val="19"/>
          <w:szCs w:val="19"/>
          <w:color w:val="auto"/>
        </w:rPr>
        <w:t>. Each Party agrees to comply, with respect to the listing of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Trials or the publication of Clinical Trial information and results with respect to Licensed Products and to the extent applicable to its activities conducted under this Agreement, with any Applicable Law or applicable court order, stipulations, consent agreements and settlements entered into by such Party; provided that any listings or publications made pursuant to this Section 10.6 shall be considered a publication hereunder and shall be subject to Section 10.5.</w:t>
      </w:r>
    </w:p>
    <w:p>
      <w:pPr>
        <w:spacing w:after="0" w:line="133" w:lineRule="exact"/>
        <w:rPr>
          <w:sz w:val="20"/>
          <w:szCs w:val="20"/>
          <w:color w:val="auto"/>
        </w:rPr>
      </w:pPr>
    </w:p>
    <w:p>
      <w:pPr>
        <w:jc w:val="both"/>
        <w:ind w:right="2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10.7 Prior Non -Disclosure Agreement</w:t>
      </w:r>
      <w:r>
        <w:rPr>
          <w:rFonts w:ascii="Times New Roman" w:cs="Times New Roman" w:eastAsia="Times New Roman" w:hAnsi="Times New Roman"/>
          <w:sz w:val="19"/>
          <w:szCs w:val="19"/>
          <w:color w:val="auto"/>
        </w:rPr>
        <w:t>. As of the Effective Date, the terms of this Article 10 shall supersede any prior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non-disclosure, secrecy or confidentiality agreement between the Parties (or their Affiliates) to the extent dealing with the subject of this Agreement. Any information disclosed pursuant to any such prior agreement relating to the subject to this Agreement shall be deemed Confidential Information for purposes of this Agreement.</w:t>
      </w:r>
    </w:p>
    <w:p>
      <w:pPr>
        <w:spacing w:after="0" w:line="134"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10.8 Equitable Relief</w:t>
      </w:r>
      <w:r>
        <w:rPr>
          <w:rFonts w:ascii="Times New Roman" w:cs="Times New Roman" w:eastAsia="Times New Roman" w:hAnsi="Times New Roman"/>
          <w:sz w:val="19"/>
          <w:szCs w:val="19"/>
          <w:color w:val="auto"/>
        </w:rPr>
        <w:t>. Given the nature of the Confidential Information and the competitive damage that would result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 Party upon unauthorized disclosure, use or transfer of its Confidential Information to any Third Party, the Parties agree that monetary damages would not be a sufficient remedy for any breach of this Article 10. In addition to all other remedies, a Party shall be entitled to seek specific performance and injunctive and other equitable relief as a remedy for any breach or threatened breach of this Article 10.</w:t>
      </w:r>
    </w:p>
    <w:p>
      <w:pPr>
        <w:spacing w:after="0" w:line="200" w:lineRule="exact"/>
        <w:rPr>
          <w:sz w:val="20"/>
          <w:szCs w:val="20"/>
          <w:color w:val="auto"/>
        </w:rPr>
      </w:pPr>
    </w:p>
    <w:p>
      <w:pPr>
        <w:spacing w:after="0" w:line="3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11</w:t>
      </w:r>
    </w:p>
    <w:p>
      <w:pPr>
        <w:ind w:left="1360"/>
        <w:spacing w:after="0"/>
        <w:rPr>
          <w:sz w:val="20"/>
          <w:szCs w:val="20"/>
          <w:color w:val="auto"/>
        </w:rPr>
      </w:pPr>
      <w:r>
        <w:rPr>
          <w:rFonts w:ascii="Times New Roman" w:cs="Times New Roman" w:eastAsia="Times New Roman" w:hAnsi="Times New Roman"/>
          <w:sz w:val="19"/>
          <w:szCs w:val="19"/>
          <w:b w:val="1"/>
          <w:bCs w:val="1"/>
          <w:color w:val="auto"/>
        </w:rPr>
        <w:t>REPRESENTATIONS AND WARRANTIES; LIMITATION OF LIABILITY</w:t>
      </w:r>
    </w:p>
    <w:p>
      <w:pPr>
        <w:spacing w:after="0" w:line="139"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11.1</w:t>
        <w:tab/>
        <w:t>Mutual Representations and Warranties</w:t>
      </w:r>
      <w:r>
        <w:rPr>
          <w:rFonts w:ascii="Times New Roman" w:cs="Times New Roman" w:eastAsia="Times New Roman" w:hAnsi="Times New Roman"/>
          <w:sz w:val="19"/>
          <w:szCs w:val="19"/>
          <w:color w:val="auto"/>
        </w:rPr>
        <w:t>. Each Party represents and warrants to the other that, as of the</w:t>
      </w:r>
    </w:p>
    <w:p>
      <w:pPr>
        <w:spacing w:after="0"/>
        <w:rPr>
          <w:sz w:val="20"/>
          <w:szCs w:val="20"/>
          <w:color w:val="auto"/>
        </w:rPr>
      </w:pPr>
      <w:r>
        <w:rPr>
          <w:rFonts w:ascii="Times New Roman" w:cs="Times New Roman" w:eastAsia="Times New Roman" w:hAnsi="Times New Roman"/>
          <w:sz w:val="19"/>
          <w:szCs w:val="19"/>
          <w:color w:val="auto"/>
        </w:rPr>
        <w:t>Effective Date:</w:t>
      </w:r>
    </w:p>
    <w:p>
      <w:pPr>
        <w:spacing w:after="0" w:line="144" w:lineRule="exact"/>
        <w:rPr>
          <w:sz w:val="20"/>
          <w:szCs w:val="20"/>
          <w:color w:val="auto"/>
        </w:rPr>
      </w:pPr>
    </w:p>
    <w:p>
      <w:pPr>
        <w:ind w:left="520" w:right="20" w:firstLine="567"/>
        <w:spacing w:after="0" w:line="246" w:lineRule="auto"/>
        <w:tabs>
          <w:tab w:leader="none" w:pos="1600" w:val="left"/>
        </w:tabs>
        <w:numPr>
          <w:ilvl w:val="0"/>
          <w:numId w:val="6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28" w:lineRule="exact"/>
        <w:rPr>
          <w:rFonts w:ascii="Times New Roman" w:cs="Times New Roman" w:eastAsia="Times New Roman" w:hAnsi="Times New Roman"/>
          <w:sz w:val="19"/>
          <w:szCs w:val="19"/>
          <w:color w:val="auto"/>
        </w:rPr>
      </w:pPr>
    </w:p>
    <w:p>
      <w:pPr>
        <w:jc w:val="both"/>
        <w:ind w:left="520" w:right="20" w:firstLine="567"/>
        <w:spacing w:after="0" w:line="232" w:lineRule="auto"/>
        <w:tabs>
          <w:tab w:leader="none" w:pos="1600" w:val="left"/>
        </w:tabs>
        <w:numPr>
          <w:ilvl w:val="0"/>
          <w:numId w:val="6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authorized to execute and deliver this Agreement and to perform its obligations hereunder, and the person or persons executing this Agreement on its behalf has been duly authorized to do so by all requisite corporate or partnership action;</w:t>
      </w:r>
    </w:p>
    <w:p>
      <w:pPr>
        <w:spacing w:after="0" w:line="134" w:lineRule="exact"/>
        <w:rPr>
          <w:rFonts w:ascii="Times New Roman" w:cs="Times New Roman" w:eastAsia="Times New Roman" w:hAnsi="Times New Roman"/>
          <w:sz w:val="19"/>
          <w:szCs w:val="19"/>
          <w:color w:val="auto"/>
        </w:rPr>
      </w:pPr>
    </w:p>
    <w:p>
      <w:pPr>
        <w:jc w:val="both"/>
        <w:ind w:left="520" w:right="20" w:firstLine="567"/>
        <w:spacing w:after="0" w:line="232" w:lineRule="auto"/>
        <w:tabs>
          <w:tab w:leader="none" w:pos="1600" w:val="left"/>
        </w:tabs>
        <w:numPr>
          <w:ilvl w:val="0"/>
          <w:numId w:val="6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legally binding upon it, enforceable in accordance with its terms, and does not (i) conflict with any agreement, instrument or understanding, oral or written, to which it is a party or by which it may be bound, (ii) conflict with or result in a breach of any provision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36 of 102</w:t>
      </w:r>
    </w:p>
    <w:p>
      <w:pPr>
        <w:sectPr>
          <w:pgSz w:w="11900" w:h="16840" w:orient="portrait"/>
          <w:cols w:equalWidth="0" w:num="1">
            <w:col w:w="9860"/>
          </w:cols>
          <w:pgMar w:left="1380" w:top="1440" w:right="660" w:bottom="1440" w:gutter="0" w:footer="0" w:header="0"/>
        </w:sectPr>
      </w:pPr>
    </w:p>
    <w:bookmarkStart w:id="600" w:name="page601"/>
    <w:bookmarkEnd w:id="600"/>
    <w:p>
      <w:pPr>
        <w:spacing w:after="0" w:line="257" w:lineRule="exact"/>
        <w:rPr>
          <w:sz w:val="20"/>
          <w:szCs w:val="20"/>
          <w:color w:val="auto"/>
        </w:rPr>
      </w:pPr>
    </w:p>
    <w:p>
      <w:pPr>
        <w:ind w:left="660" w:right="20"/>
        <w:spacing w:after="0" w:line="246" w:lineRule="auto"/>
        <w:rPr>
          <w:sz w:val="20"/>
          <w:szCs w:val="20"/>
          <w:color w:val="auto"/>
        </w:rPr>
      </w:pPr>
      <w:r>
        <w:rPr>
          <w:rFonts w:ascii="Times New Roman" w:cs="Times New Roman" w:eastAsia="Times New Roman" w:hAnsi="Times New Roman"/>
          <w:sz w:val="19"/>
          <w:szCs w:val="19"/>
          <w:color w:val="auto"/>
        </w:rPr>
        <w:t>organizational documents, or (iii) violate any material law or regulation of any court, governmental body or administrative or other agency having jurisdiction over it; and</w:t>
      </w:r>
    </w:p>
    <w:p>
      <w:pPr>
        <w:spacing w:after="0" w:line="128" w:lineRule="exact"/>
        <w:rPr>
          <w:sz w:val="20"/>
          <w:szCs w:val="20"/>
          <w:color w:val="auto"/>
        </w:rPr>
      </w:pPr>
    </w:p>
    <w:p>
      <w:pPr>
        <w:jc w:val="both"/>
        <w:ind w:left="660" w:right="20" w:firstLine="567"/>
        <w:spacing w:after="0" w:line="227" w:lineRule="auto"/>
        <w:tabs>
          <w:tab w:leader="none" w:pos="1740" w:val="left"/>
        </w:tabs>
        <w:numPr>
          <w:ilvl w:val="0"/>
          <w:numId w:val="6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shall conduct, and shall cause its Affiliates and sublicensees to conduct all activities under this Agreement in compliance with all Applicable Laws, all applicable national and international guidelines and any Regulatory Authority and Governmental Authority health care programs having jurisdiction, each as may be amended from time to time.</w:t>
      </w:r>
    </w:p>
    <w:p>
      <w:pPr>
        <w:spacing w:after="0" w:line="132" w:lineRule="exact"/>
        <w:rPr>
          <w:sz w:val="20"/>
          <w:szCs w:val="20"/>
          <w:color w:val="auto"/>
        </w:rPr>
      </w:pPr>
    </w:p>
    <w:p>
      <w:pPr>
        <w:jc w:val="both"/>
        <w:ind w:left="140" w:firstLine="432"/>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11.2 Additional Duality Representations and Warranties </w:t>
      </w:r>
      <w:r>
        <w:rPr>
          <w:rFonts w:ascii="Times New Roman" w:cs="Times New Roman" w:eastAsia="Times New Roman" w:hAnsi="Times New Roman"/>
          <w:sz w:val="19"/>
          <w:szCs w:val="19"/>
          <w:color w:val="auto"/>
        </w:rPr>
        <w:t>. Duality represents and warrants to Licensee, as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Date (solely with respect to the Licensed Products) and as of the date of delivery to Licensee of the data package in accordance with Section 2.7(d) (“</w:t>
      </w:r>
      <w:r>
        <w:rPr>
          <w:rFonts w:ascii="Times New Roman" w:cs="Times New Roman" w:eastAsia="Times New Roman" w:hAnsi="Times New Roman"/>
          <w:sz w:val="19"/>
          <w:szCs w:val="19"/>
          <w:b w:val="1"/>
          <w:bCs w:val="1"/>
          <w:color w:val="auto"/>
        </w:rPr>
        <w:t>Option Package Delivery Date</w:t>
      </w:r>
      <w:r>
        <w:rPr>
          <w:rFonts w:ascii="Times New Roman" w:cs="Times New Roman" w:eastAsia="Times New Roman" w:hAnsi="Times New Roman"/>
          <w:sz w:val="19"/>
          <w:szCs w:val="19"/>
          <w:color w:val="auto"/>
        </w:rPr>
        <w:t xml:space="preserve"> ”) (solely with respect to the Duality Immune Agonist ADC Product) as expressly set out below in this Section 11.2.</w:t>
      </w:r>
    </w:p>
    <w:p>
      <w:pPr>
        <w:spacing w:after="0" w:line="13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With respect to the [***], the below representations and warranties regarding Licensed Products are given as of the Effective Date but only specifically in relation to [***].</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With respect to the [***], the below representations and warranties regarding Licensed Products are given as of the Effective Date but only specifically in relation to [***].</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11.3</w:t>
        <w:tab/>
        <w:t>Additional Licensee Representations and Warranties</w:t>
      </w:r>
      <w:r>
        <w:rPr>
          <w:rFonts w:ascii="Times New Roman" w:cs="Times New Roman" w:eastAsia="Times New Roman" w:hAnsi="Times New Roman"/>
          <w:sz w:val="19"/>
          <w:szCs w:val="19"/>
          <w:color w:val="auto"/>
        </w:rPr>
        <w:t>. Licensee represents and warrants to Duality, as of the</w:t>
      </w:r>
    </w:p>
    <w:p>
      <w:pPr>
        <w:ind w:left="140"/>
        <w:spacing w:after="0"/>
        <w:rPr>
          <w:sz w:val="20"/>
          <w:szCs w:val="20"/>
          <w:color w:val="auto"/>
        </w:rPr>
      </w:pPr>
      <w:r>
        <w:rPr>
          <w:rFonts w:ascii="Times New Roman" w:cs="Times New Roman" w:eastAsia="Times New Roman" w:hAnsi="Times New Roman"/>
          <w:sz w:val="19"/>
          <w:szCs w:val="19"/>
          <w:color w:val="auto"/>
        </w:rPr>
        <w:t>Effective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40"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11.4 Mutual Covenants</w:t>
      </w:r>
      <w:r>
        <w:rPr>
          <w:rFonts w:ascii="Times New Roman" w:cs="Times New Roman" w:eastAsia="Times New Roman" w:hAnsi="Times New Roman"/>
          <w:sz w:val="19"/>
          <w:szCs w:val="19"/>
          <w:color w:val="auto"/>
        </w:rPr>
        <w:t>. In addition to any covenants made by the Parties elsewhere in this Agreement, each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hereby covenants to the other that:</w:t>
      </w:r>
    </w:p>
    <w:p>
      <w:pPr>
        <w:spacing w:after="0" w:line="125" w:lineRule="exact"/>
        <w:rPr>
          <w:sz w:val="20"/>
          <w:szCs w:val="20"/>
          <w:color w:val="auto"/>
        </w:rPr>
      </w:pPr>
    </w:p>
    <w:p>
      <w:pPr>
        <w:jc w:val="both"/>
        <w:ind w:left="660" w:firstLine="567"/>
        <w:spacing w:after="0" w:line="219" w:lineRule="auto"/>
        <w:tabs>
          <w:tab w:leader="none" w:pos="1740" w:val="left"/>
        </w:tabs>
        <w:numPr>
          <w:ilvl w:val="0"/>
          <w:numId w:val="6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all patient authorizations and consents required under Applicable Laws (in connection with any applicable clinical study) permit the granting of access of Data that such Party is required to provide to the other Party pursuant to Section 5.6, and (ii) it will comply with Applicable Laws in transferring personal and other Data in connection with the granting of access of Data that such Party is required to provide to the other Party pursuant to Section 5.6. Each Party will obtain all the necessary authorizations, consents and approvals in order for such Party to grant access to its Data with the other Party, including obtaining the necessary patient authorizations and consents, and obtaining the necessary approvals from and completing all necessary filing procedures with the applicable Governmental Authorities in the Territory and within the Retained Territory (to the extent required to preserve Licensee’s position in the Territory);</w:t>
      </w:r>
    </w:p>
    <w:p>
      <w:pPr>
        <w:spacing w:after="0" w:line="133" w:lineRule="exact"/>
        <w:rPr>
          <w:rFonts w:ascii="Times New Roman" w:cs="Times New Roman" w:eastAsia="Times New Roman" w:hAnsi="Times New Roman"/>
          <w:sz w:val="19"/>
          <w:szCs w:val="19"/>
          <w:color w:val="auto"/>
        </w:rPr>
      </w:pPr>
    </w:p>
    <w:p>
      <w:pPr>
        <w:jc w:val="both"/>
        <w:ind w:left="660" w:firstLine="567"/>
        <w:spacing w:after="0" w:line="223" w:lineRule="auto"/>
        <w:tabs>
          <w:tab w:leader="none" w:pos="1740" w:val="left"/>
        </w:tabs>
        <w:numPr>
          <w:ilvl w:val="0"/>
          <w:numId w:val="6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will not knowingly, during the Term, employ or use the services of any person who is debarred or disqualified in connection with activities relating to the Licensed Compound or Licensed Products; and in the event that it becomes aware of the debarment or disqualification or threatened debarment or disqualification of any person providing services to it with respect to any activities relating to the Licensed Compound or Licensed Products, it will immediately notify the other Party in writing and it will cease employing,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37 of 102</w:t>
      </w:r>
    </w:p>
    <w:p>
      <w:pPr>
        <w:sectPr>
          <w:pgSz w:w="11900" w:h="16840" w:orient="portrait"/>
          <w:cols w:equalWidth="0" w:num="1">
            <w:col w:w="10000"/>
          </w:cols>
          <w:pgMar w:left="1240" w:top="1440" w:right="660" w:bottom="1440" w:gutter="0" w:footer="0" w:header="0"/>
        </w:sectPr>
      </w:pPr>
    </w:p>
    <w:bookmarkStart w:id="601" w:name="page602"/>
    <w:bookmarkEnd w:id="601"/>
    <w:p>
      <w:pPr>
        <w:spacing w:after="0" w:line="257" w:lineRule="exact"/>
        <w:rPr>
          <w:sz w:val="20"/>
          <w:szCs w:val="20"/>
          <w:color w:val="auto"/>
        </w:rPr>
      </w:pPr>
    </w:p>
    <w:p>
      <w:pPr>
        <w:ind w:left="520" w:right="20"/>
        <w:spacing w:after="0" w:line="246" w:lineRule="auto"/>
        <w:rPr>
          <w:sz w:val="20"/>
          <w:szCs w:val="20"/>
          <w:color w:val="auto"/>
        </w:rPr>
      </w:pPr>
      <w:r>
        <w:rPr>
          <w:rFonts w:ascii="Times New Roman" w:cs="Times New Roman" w:eastAsia="Times New Roman" w:hAnsi="Times New Roman"/>
          <w:sz w:val="19"/>
          <w:szCs w:val="19"/>
          <w:color w:val="auto"/>
        </w:rPr>
        <w:t>contracting with, or retaining any such person to perform any services relating to the Licensed Compound or Licensed Products;</w:t>
      </w:r>
    </w:p>
    <w:p>
      <w:pPr>
        <w:spacing w:after="0" w:line="128" w:lineRule="exact"/>
        <w:rPr>
          <w:sz w:val="20"/>
          <w:szCs w:val="20"/>
          <w:color w:val="auto"/>
        </w:rPr>
      </w:pPr>
    </w:p>
    <w:p>
      <w:pPr>
        <w:jc w:val="both"/>
        <w:ind w:left="520" w:right="20" w:firstLine="567"/>
        <w:spacing w:after="0" w:line="223" w:lineRule="auto"/>
        <w:tabs>
          <w:tab w:leader="none" w:pos="1600"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and shall cause its Affiliates, subcontractors, Sublicensees (in case of Licensee) or sublicensees (in case of Duality) to conduct all activities under this Agreement (including, as set forth in the Development Plan(s) with respect to the Licensed Products in the Field in the Territory) in compliance with all Applicable Laws, and any Regulatory Authority and Governmental Authority health care programs having jurisdiction, each as may be amended from time to time;</w:t>
      </w:r>
    </w:p>
    <w:p>
      <w:pPr>
        <w:spacing w:after="0" w:line="137" w:lineRule="exact"/>
        <w:rPr>
          <w:rFonts w:ascii="Times New Roman" w:cs="Times New Roman" w:eastAsia="Times New Roman" w:hAnsi="Times New Roman"/>
          <w:sz w:val="19"/>
          <w:szCs w:val="19"/>
          <w:color w:val="auto"/>
        </w:rPr>
      </w:pPr>
    </w:p>
    <w:p>
      <w:pPr>
        <w:ind w:left="520" w:right="20" w:firstLine="567"/>
        <w:spacing w:after="0" w:line="246" w:lineRule="auto"/>
        <w:tabs>
          <w:tab w:leader="none" w:pos="1600"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its obligations with respect to Development of Licensed Products in the Territory in adherence with the Development Plan as may be amended from time to time;</w:t>
      </w:r>
    </w:p>
    <w:p>
      <w:pPr>
        <w:spacing w:after="0" w:line="128" w:lineRule="exact"/>
        <w:rPr>
          <w:rFonts w:ascii="Times New Roman" w:cs="Times New Roman" w:eastAsia="Times New Roman" w:hAnsi="Times New Roman"/>
          <w:sz w:val="19"/>
          <w:szCs w:val="19"/>
          <w:color w:val="auto"/>
        </w:rPr>
      </w:pPr>
    </w:p>
    <w:p>
      <w:pPr>
        <w:jc w:val="both"/>
        <w:ind w:left="520" w:right="20" w:firstLine="567"/>
        <w:spacing w:after="0" w:line="232" w:lineRule="auto"/>
        <w:tabs>
          <w:tab w:leader="none" w:pos="1600"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comply, and ensure that shall use commercially reasonable efforts to cause its Affiliates, subcontractors and Sublicensees (in case of Licensee) or sublicensees (in case of Duality) to comply with and commit to uphold the ABC Terms in the performance of activities under this Agreement;</w:t>
      </w:r>
    </w:p>
    <w:p>
      <w:pPr>
        <w:spacing w:after="0" w:line="134" w:lineRule="exact"/>
        <w:rPr>
          <w:rFonts w:ascii="Times New Roman" w:cs="Times New Roman" w:eastAsia="Times New Roman" w:hAnsi="Times New Roman"/>
          <w:sz w:val="19"/>
          <w:szCs w:val="19"/>
          <w:color w:val="auto"/>
        </w:rPr>
      </w:pPr>
    </w:p>
    <w:p>
      <w:pPr>
        <w:jc w:val="both"/>
        <w:ind w:left="520" w:firstLine="567"/>
        <w:spacing w:after="0" w:line="223" w:lineRule="auto"/>
        <w:tabs>
          <w:tab w:leader="none" w:pos="1600"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have (and shall ensure its Affiliates and (sub)licensees, and subcontractors as applicable, have), at all times, a reasonably sufficient number of suitably qualified personnel to allow the Party (or its Affiliates,sublicensees or subcontractors, as applicable) to conduct, in compliance with all Development timeframes set out in the applicable Development Plans and GXPs, any Clinical Trials that the Party is required to conduct with respect to the Licensed Products in its territory, or in the other Party’s territory as permitted under this Agreement; and</w:t>
      </w:r>
    </w:p>
    <w:p>
      <w:pPr>
        <w:spacing w:after="0" w:line="137" w:lineRule="exact"/>
        <w:rPr>
          <w:rFonts w:ascii="Times New Roman" w:cs="Times New Roman" w:eastAsia="Times New Roman" w:hAnsi="Times New Roman"/>
          <w:sz w:val="19"/>
          <w:szCs w:val="19"/>
          <w:color w:val="auto"/>
        </w:rPr>
      </w:pPr>
    </w:p>
    <w:p>
      <w:pPr>
        <w:jc w:val="both"/>
        <w:ind w:left="520" w:right="20" w:firstLine="567"/>
        <w:spacing w:after="0" w:line="227" w:lineRule="auto"/>
        <w:tabs>
          <w:tab w:leader="none" w:pos="1600"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not induce or solicit, or attempt to induce or solicit, any employees of the other Party or any of its Affiliates to leave the employment of, or to terminate his/her employment, services or engagement with, the other Party or its applicable Affiliate, or enter into any employment or services agreement or arrangement with such Party or any of its Affiliates.</w:t>
      </w:r>
    </w:p>
    <w:p>
      <w:pPr>
        <w:spacing w:after="0" w:line="132" w:lineRule="exact"/>
        <w:rPr>
          <w:sz w:val="20"/>
          <w:szCs w:val="20"/>
          <w:color w:val="auto"/>
        </w:rPr>
      </w:pPr>
    </w:p>
    <w:p>
      <w:pPr>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 Duality Covenants. </w:t>
      </w:r>
      <w:r>
        <w:rPr>
          <w:rFonts w:ascii="Times New Roman" w:cs="Times New Roman" w:eastAsia="Times New Roman" w:hAnsi="Times New Roman"/>
          <w:sz w:val="19"/>
          <w:szCs w:val="19"/>
          <w:color w:val="auto"/>
        </w:rPr>
        <w:t>In addition to any covenants made by Duality elsewhere in this Agreement, Duality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to Licensee as follows: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11.6 Performance by Affiliates, Sublicensees and Subcontractors</w:t>
      </w:r>
      <w:r>
        <w:rPr>
          <w:rFonts w:ascii="Times New Roman" w:cs="Times New Roman" w:eastAsia="Times New Roman" w:hAnsi="Times New Roman"/>
          <w:sz w:val="19"/>
          <w:szCs w:val="19"/>
          <w:color w:val="auto"/>
        </w:rPr>
        <w:t>. (a) Subject to Licensee’s prior written consent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explicitly stated in the Development Plan or this Agreement, Duality may perform some or all of its respective obligations under this Agreement through one or more Affiliates, subcontractors or sublicensees; and (b) Licensee may perform some or all of its respective obligations under this Agreement through one or more Affiliates, subcontractors or Sublicensees; provided that with respect to the foregoing clauses (a) and (b), the Party involving its Affiliates, subcontractors or Sublicensees (in case of Licensee) or sublicensees (in case of Duality) shall at all times be fully responsible for the performance and payment of such Affiliate, subcontractor or Sublicensees (in case of Licensee) or sublicensees (in case of Duality).</w:t>
      </w:r>
    </w:p>
    <w:p>
      <w:pPr>
        <w:spacing w:after="0" w:line="135" w:lineRule="exact"/>
        <w:rPr>
          <w:sz w:val="20"/>
          <w:szCs w:val="20"/>
          <w:color w:val="auto"/>
        </w:rPr>
      </w:pPr>
    </w:p>
    <w:p>
      <w:pPr>
        <w:ind w:right="1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11.7 Disclaimer</w:t>
      </w:r>
      <w:r>
        <w:rPr>
          <w:rFonts w:ascii="Times New Roman" w:cs="Times New Roman" w:eastAsia="Times New Roman" w:hAnsi="Times New Roman"/>
          <w:sz w:val="19"/>
          <w:szCs w:val="19"/>
          <w:color w:val="auto"/>
        </w:rPr>
        <w:t>. EXCEPT AS EXPRESSLY SET FORTH IN THIS AGREEMENT, THE TECHNOLOGY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38 of 102</w:t>
      </w:r>
    </w:p>
    <w:p>
      <w:pPr>
        <w:sectPr>
          <w:pgSz w:w="11900" w:h="16840" w:orient="portrait"/>
          <w:cols w:equalWidth="0" w:num="1">
            <w:col w:w="9860"/>
          </w:cols>
          <w:pgMar w:left="1380" w:top="1440" w:right="660" w:bottom="1440" w:gutter="0" w:footer="0" w:header="0"/>
        </w:sectPr>
      </w:pPr>
    </w:p>
    <w:bookmarkStart w:id="602" w:name="page603"/>
    <w:bookmarkEnd w:id="602"/>
    <w:p>
      <w:pPr>
        <w:spacing w:after="0" w:line="257" w:lineRule="exact"/>
        <w:rPr>
          <w:sz w:val="20"/>
          <w:szCs w:val="20"/>
          <w:color w:val="auto"/>
        </w:rPr>
      </w:pPr>
    </w:p>
    <w:p>
      <w:pPr>
        <w:jc w:val="both"/>
        <w:ind w:right="80"/>
        <w:spacing w:after="0" w:line="223" w:lineRule="auto"/>
        <w:rPr>
          <w:sz w:val="20"/>
          <w:szCs w:val="20"/>
          <w:color w:val="auto"/>
        </w:rPr>
      </w:pPr>
      <w:r>
        <w:rPr>
          <w:rFonts w:ascii="Times New Roman" w:cs="Times New Roman" w:eastAsia="Times New Roman" w:hAnsi="Times New Roman"/>
          <w:sz w:val="19"/>
          <w:szCs w:val="19"/>
          <w:color w:val="auto"/>
        </w:rPr>
        <w:t>PROVIDED BY DUALITY TO LICENSEE HEREUNDER ARE PROVIDED “AS IS,” AND DUALITY EXPRESSLY DISCLAIMS ANY AND ALL WARRANTIES OF ANY KIND, EXPRESS OR IMPLIED, INCLUDING THE WARRANTIES OF DESIGN, MERCHANTABILITY, FITNESS FOR A PARTICULAR PURPOSE, OBTAINING SUCCESSFUL RESULTS, NON -INFRINGEMENT OF THE INTELLECTUAL PROPERTY RIGHTS OF THIRD PARTIES, OR ARISING FROM A COURSE OF DEALING, USAGE OR TRADE PRACTICES.</w:t>
      </w:r>
    </w:p>
    <w:p>
      <w:pPr>
        <w:spacing w:after="0" w:line="36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12</w:t>
      </w:r>
    </w:p>
    <w:p>
      <w:pPr>
        <w:ind w:left="326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4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12.1</w:t>
        <w:tab/>
        <w:t>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firstLine="567"/>
        <w:spacing w:after="0" w:line="222" w:lineRule="auto"/>
        <w:tabs>
          <w:tab w:leader="none" w:pos="1600" w:val="left"/>
        </w:tabs>
        <w:numPr>
          <w:ilvl w:val="0"/>
          <w:numId w:val="6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Background IP</w:t>
      </w:r>
      <w:r>
        <w:rPr>
          <w:rFonts w:ascii="Times New Roman" w:cs="Times New Roman" w:eastAsia="Times New Roman" w:hAnsi="Times New Roman"/>
          <w:sz w:val="19"/>
          <w:szCs w:val="19"/>
          <w:color w:val="auto"/>
        </w:rPr>
        <w:t>. (i) Duality shall retain all right, title and interest in and to any Patents, Know-How,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intellectual property rights Controlled by Duality or any of its Affiliates on or prior to the Effective Date or during the Term independent of the activities hereunder (“</w:t>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and (ii) Licensee shall retain all right, title and interest in and to any Patents, Know-How, and other intellectual property rights Controlled (other than pursuant to this Agreement) by Licensee or any of its Affiliates on or prior to the Effective Date or during the Term independent of the activities hereunder, specifically relating to ADC (the “</w:t>
      </w:r>
      <w:r>
        <w:rPr>
          <w:rFonts w:ascii="Times New Roman" w:cs="Times New Roman" w:eastAsia="Times New Roman" w:hAnsi="Times New Roman"/>
          <w:sz w:val="19"/>
          <w:szCs w:val="19"/>
          <w:b w:val="1"/>
          <w:bCs w:val="1"/>
          <w:color w:val="auto"/>
        </w:rPr>
        <w:t>Licensee Background IP</w:t>
      </w:r>
      <w:r>
        <w:rPr>
          <w:rFonts w:ascii="Times New Roman" w:cs="Times New Roman" w:eastAsia="Times New Roman" w:hAnsi="Times New Roman"/>
          <w:sz w:val="19"/>
          <w:szCs w:val="19"/>
          <w:color w:val="auto"/>
        </w:rPr>
        <w:t>”).</w:t>
      </w:r>
    </w:p>
    <w:p>
      <w:pPr>
        <w:spacing w:after="0" w:line="131"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Solely Owned Collaboration IP and Solely Owned Collaboration Patents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600" w:hanging="513"/>
        <w:spacing w:after="0"/>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520" w:firstLine="567"/>
        <w:spacing w:after="0" w:line="233" w:lineRule="auto"/>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Data and Regulatory Materials. </w:t>
      </w:r>
      <w:r>
        <w:rPr>
          <w:rFonts w:ascii="Times New Roman" w:cs="Times New Roman" w:eastAsia="Times New Roman" w:hAnsi="Times New Roman"/>
          <w:sz w:val="19"/>
          <w:szCs w:val="19"/>
          <w:color w:val="auto"/>
        </w:rPr>
        <w:t>Notwithstanding anything contrary in this Section 12.1, the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rights to Regulatory Materials are allocated in accordance with Sections 5.2(b) and 5.4. The ownership rights to Data are allocated in accordance with Section 5.6(a).</w:t>
      </w:r>
    </w:p>
    <w:p>
      <w:pPr>
        <w:spacing w:after="0" w:line="133"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520" w:right="20" w:firstLine="567"/>
        <w:spacing w:after="0" w:line="222" w:lineRule="auto"/>
        <w:tabs>
          <w:tab w:leader="none" w:pos="1588"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Disclosures; Cooperation</w:t>
      </w:r>
      <w:r>
        <w:rPr>
          <w:rFonts w:ascii="Times New Roman" w:cs="Times New Roman" w:eastAsia="Times New Roman" w:hAnsi="Times New Roman"/>
          <w:sz w:val="19"/>
          <w:szCs w:val="19"/>
          <w:color w:val="auto"/>
        </w:rPr>
        <w:t>. Each Party shall, and shall ensure that each of its Affiliates, (sub)licensees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case of Duality), Sublicensees (in the case of Licensee) and subcontractors under this Agreement has a contractual obligation to disclose to such Party all Collaboration IP, Data and other Know-How generated, invented, discovered, developed, made or otherwise created by or for them or their employees, agents or independent contractors, and to provide sufficient documentary proof to evidence ownership, rights and interest with respect thereto, so that such Party can comply with its obligations under this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39 of 102</w:t>
      </w:r>
    </w:p>
    <w:p>
      <w:pPr>
        <w:sectPr>
          <w:pgSz w:w="11900" w:h="16840" w:orient="portrait"/>
          <w:cols w:equalWidth="0" w:num="1">
            <w:col w:w="9860"/>
          </w:cols>
          <w:pgMar w:left="1380" w:top="1440" w:right="660" w:bottom="1440" w:gutter="0" w:footer="0" w:header="0"/>
        </w:sectPr>
      </w:pPr>
    </w:p>
    <w:bookmarkStart w:id="603" w:name="page604"/>
    <w:bookmarkEnd w:id="603"/>
    <w:p>
      <w:pPr>
        <w:spacing w:after="0" w:line="255" w:lineRule="exact"/>
        <w:rPr>
          <w:sz w:val="20"/>
          <w:szCs w:val="20"/>
          <w:color w:val="auto"/>
        </w:rPr>
      </w:pPr>
    </w:p>
    <w:p>
      <w:pPr>
        <w:ind w:left="1580" w:hanging="493"/>
        <w:spacing w:after="0"/>
        <w:tabs>
          <w:tab w:leader="none" w:pos="1580" w:val="left"/>
        </w:tabs>
        <w:numPr>
          <w:ilvl w:val="0"/>
          <w:numId w:val="6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Inventorship Determination</w:t>
      </w:r>
      <w:r>
        <w:rPr>
          <w:rFonts w:ascii="Times New Roman" w:cs="Times New Roman" w:eastAsia="Times New Roman" w:hAnsi="Times New Roman"/>
          <w:sz w:val="19"/>
          <w:szCs w:val="19"/>
          <w:color w:val="auto"/>
        </w:rPr>
        <w:t>. The Parties agree that [***].</w:t>
      </w:r>
    </w:p>
    <w:p>
      <w:pPr>
        <w:spacing w:after="0" w:line="16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12.2</w:t>
        <w:tab/>
        <w:t>Patent Prosecution and Maintenance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20" w:right="20" w:firstLine="567"/>
        <w:spacing w:after="0" w:line="249" w:lineRule="auto"/>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Definition</w:t>
      </w:r>
      <w:r>
        <w:rPr>
          <w:rFonts w:ascii="Times New Roman" w:cs="Times New Roman" w:eastAsia="Times New Roman" w:hAnsi="Times New Roman"/>
          <w:sz w:val="19"/>
          <w:szCs w:val="19"/>
          <w:color w:val="auto"/>
        </w:rPr>
        <w:t>. For purposes of this Section 12.2, the terms “prosecute,” “prosecuting” and “prosecution,”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when used in reference to any Patent, shall be deemed to include, without limitation, [***] with respect to such Patent.</w:t>
      </w:r>
    </w:p>
    <w:p>
      <w:pPr>
        <w:spacing w:after="0" w:line="124"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12.3</w:t>
        <w:tab/>
        <w:t>Infringement by Third Parties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firstLine="567"/>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In the event that either Duality or Licensee becomes aware of any infringement or threatened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infringement by a Third Party of any Solely Owned Collaboration Patent, Duality Product Patent, Duality Linker-Payload Patent, [***] any related declaratory judgment or equivalent action, including administrative proceedings, alleging the invalidity, unenforceability or non-infringement of any such Patent, it shall notify the other Party in writing to that effect.</w:t>
      </w:r>
    </w:p>
    <w:p>
      <w:pPr>
        <w:spacing w:after="0" w:line="280"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600" w:hanging="513"/>
        <w:spacing w:after="0"/>
        <w:tabs>
          <w:tab w:leader="none" w:pos="1600"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12.4</w:t>
        <w:tab/>
        <w:t>Infringement of Third Party Rights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Marking</w:t>
      </w:r>
      <w:r>
        <w:rPr>
          <w:rFonts w:ascii="Times New Roman" w:cs="Times New Roman" w:eastAsia="Times New Roman" w:hAnsi="Times New Roman"/>
          <w:sz w:val="18"/>
          <w:szCs w:val="18"/>
          <w:color w:val="auto"/>
        </w:rPr>
        <w:t>. [***]</w:t>
      </w:r>
    </w:p>
    <w:p>
      <w:pPr>
        <w:spacing w:after="0" w:line="166"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12.6 Patent Listings</w:t>
      </w:r>
      <w:r>
        <w:rPr>
          <w:rFonts w:ascii="Times New Roman" w:cs="Times New Roman" w:eastAsia="Times New Roman" w:hAnsi="Times New Roman"/>
          <w:sz w:val="19"/>
          <w:szCs w:val="19"/>
          <w:color w:val="auto"/>
        </w:rPr>
        <w:t>. On a Licensed Product-by-Licensed Product basis, as between the Parties, [***] to make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patent listings of Duality Product Patents, Solely Owned Collaboration Patents, [***] or other patent-related submissions with Regulatory Authorities with respect to such Licensed Product, except for Duality Linker-Payload Patents [***], [***] to make all patent listings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 will be obliged to make all patent listings or other patent-related submissions with Regulatory Authorities in [***]. [***] reasonable requests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40 of 102</w:t>
      </w:r>
    </w:p>
    <w:p>
      <w:pPr>
        <w:sectPr>
          <w:pgSz w:w="11900" w:h="16840" w:orient="portrait"/>
          <w:cols w:equalWidth="0" w:num="1">
            <w:col w:w="9860"/>
          </w:cols>
          <w:pgMar w:left="1380" w:top="1440" w:right="660" w:bottom="1440" w:gutter="0" w:footer="0" w:header="0"/>
        </w:sectPr>
      </w:pPr>
    </w:p>
    <w:bookmarkStart w:id="604" w:name="page605"/>
    <w:bookmarkEnd w:id="604"/>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including meeting any submission deadlines, to the extent required or permitted by Applicable Laws.</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12.7</w:t>
        <w:tab/>
        <w:t>Patent Right Term Extension</w:t>
      </w: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38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Article 13</w:t>
      </w:r>
    </w:p>
    <w:p>
      <w:pPr>
        <w:ind w:left="3660"/>
        <w:spacing w:after="0"/>
        <w:rPr>
          <w:sz w:val="20"/>
          <w:szCs w:val="20"/>
          <w:color w:val="auto"/>
        </w:rPr>
      </w:pPr>
      <w:r>
        <w:rPr>
          <w:rFonts w:ascii="Times New Roman" w:cs="Times New Roman" w:eastAsia="Times New Roman" w:hAnsi="Times New Roman"/>
          <w:sz w:val="19"/>
          <w:szCs w:val="19"/>
          <w:b w:val="1"/>
          <w:bCs w:val="1"/>
          <w:color w:val="auto"/>
        </w:rPr>
        <w:t>TERM; TERMINATION</w:t>
      </w:r>
    </w:p>
    <w:p>
      <w:pPr>
        <w:spacing w:after="0" w:line="142"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b w:val="1"/>
          <w:bCs w:val="1"/>
          <w:color w:val="auto"/>
        </w:rPr>
        <w:t>13.1 Term</w:t>
      </w:r>
      <w:r>
        <w:rPr>
          <w:rFonts w:ascii="Times New Roman" w:cs="Times New Roman" w:eastAsia="Times New Roman" w:hAnsi="Times New Roman"/>
          <w:sz w:val="19"/>
          <w:szCs w:val="19"/>
          <w:color w:val="auto"/>
        </w:rPr>
        <w:t>. The term of this Agreement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commence on the Effective Date, and unless terminated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earlier as provided in this Article 13, shall continue in full force and effect, on [***] except as provided otherwise in this Article 13.</w:t>
      </w:r>
    </w:p>
    <w:p>
      <w:pPr>
        <w:spacing w:after="0" w:line="331"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13.3</w:t>
        <w:tab/>
        <w:t>Termination for Material Breach by Either Party.</w:t>
      </w:r>
    </w:p>
    <w:p>
      <w:pPr>
        <w:spacing w:after="0" w:line="166" w:lineRule="exact"/>
        <w:rPr>
          <w:sz w:val="20"/>
          <w:szCs w:val="20"/>
          <w:color w:val="auto"/>
        </w:rPr>
      </w:pPr>
    </w:p>
    <w:p>
      <w:pPr>
        <w:jc w:val="both"/>
        <w:ind w:left="660" w:firstLine="567"/>
        <w:spacing w:after="0" w:line="215" w:lineRule="auto"/>
        <w:tabs>
          <w:tab w:leader="none" w:pos="1740" w:val="left"/>
        </w:tabs>
        <w:numPr>
          <w:ilvl w:val="0"/>
          <w:numId w:val="6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Right. </w:t>
      </w:r>
      <w:r>
        <w:rPr>
          <w:rFonts w:ascii="Times New Roman" w:cs="Times New Roman" w:eastAsia="Times New Roman" w:hAnsi="Times New Roman"/>
          <w:sz w:val="19"/>
          <w:szCs w:val="19"/>
          <w:color w:val="auto"/>
        </w:rPr>
        <w:t>A Party shall have the right to terminate this Agreement (in its entirety or 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Product-by-Licensed Product and country-by-country basis) upon written notice to the other Party if such other Party is in material breach of this Agreement and has not cured such breach within [***] days after written notice from the terminating Party requesting cure of the breach. In case the alleged material breach is a material breach of Licensee’s diligence obligations set forth in Sections 4.1 and/or 7.1 of this Agreement, Duality shall only be entitled to terminate the Agreement with effect to the country or countries with respect to which Licensee has in fact materially breached the diligence obligations with respect to the Original ADC Licensed Product and not cured such breach, If at the end of the cure period the breaching Party has failed to perform the activities of the cure plan to cure the breach, the non-breaching Party shall be entitled to terminate the Agreement with [***] prior notice. If the existence of material breach or the failure to cure such material breach is not disputed by the breaching Party and the Agreement is terminated by the non-breaching Party, the consequences of termination set forth in Section 13.7 or 13.8 (as the case may be) shall apply. If the existence of material breach or the failure to cure such material breach is disputed by the breaching Party, Section 13.7 or 13.8 (as the case may be) shall apply if the existence of material breach or the failure to cure such material breach is determined pursuant to Section 15.2 and the Agreement is thereafter terminated by the breaching Party.</w:t>
      </w:r>
    </w:p>
    <w:p>
      <w:pPr>
        <w:spacing w:after="0" w:line="140" w:lineRule="exact"/>
        <w:rPr>
          <w:rFonts w:ascii="Times New Roman" w:cs="Times New Roman" w:eastAsia="Times New Roman" w:hAnsi="Times New Roman"/>
          <w:sz w:val="19"/>
          <w:szCs w:val="19"/>
          <w:color w:val="auto"/>
        </w:rPr>
      </w:pPr>
    </w:p>
    <w:p>
      <w:pPr>
        <w:jc w:val="both"/>
        <w:ind w:left="660" w:right="20" w:firstLine="567"/>
        <w:spacing w:after="0" w:line="222" w:lineRule="auto"/>
        <w:tabs>
          <w:tab w:leader="none" w:pos="1740" w:val="left"/>
        </w:tabs>
        <w:numPr>
          <w:ilvl w:val="0"/>
          <w:numId w:val="6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Dispute as to Material Breach</w:t>
      </w:r>
      <w:r>
        <w:rPr>
          <w:rFonts w:ascii="Times New Roman" w:cs="Times New Roman" w:eastAsia="Times New Roman" w:hAnsi="Times New Roman"/>
          <w:sz w:val="19"/>
          <w:szCs w:val="19"/>
          <w:color w:val="auto"/>
        </w:rPr>
        <w:t>. In the event that the breaching Party disputes the existence of material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breach or the failure to cure such material breach by initiating arbitration proceedings pursuant to Section 15.2 within the cure period, the non-breaching Party shall not have the right to terminate in accordance with Section 13.3(a) unless and until the relevant dispute has been resolved pursuant to Section 15.2. During the pendency of such dispute, the applicable cure period shall be tolled, all the terms of this Agreement shall remain in effect, and the Parties shall continue to perform all of their respective obligations hereunder.</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13.4</w:t>
        <w:tab/>
        <w:t>Termination for Other Causes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501"/>
        <w:spacing w:after="0"/>
        <w:tabs>
          <w:tab w:leader="none" w:pos="1740" w:val="left"/>
        </w:tabs>
        <w:numPr>
          <w:ilvl w:val="0"/>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41 of 102</w:t>
      </w:r>
    </w:p>
    <w:p>
      <w:pPr>
        <w:sectPr>
          <w:pgSz w:w="11900" w:h="16840" w:orient="portrait"/>
          <w:cols w:equalWidth="0" w:num="1">
            <w:col w:w="10000"/>
          </w:cols>
          <w:pgMar w:left="1240" w:top="1440" w:right="660" w:bottom="1440" w:gutter="0" w:footer="0" w:header="0"/>
        </w:sectPr>
      </w:pPr>
    </w:p>
    <w:bookmarkStart w:id="605" w:name="page606"/>
    <w:bookmarkEnd w:id="605"/>
    <w:p>
      <w:pPr>
        <w:spacing w:after="0" w:line="255" w:lineRule="exact"/>
        <w:rPr>
          <w:sz w:val="20"/>
          <w:szCs w:val="20"/>
          <w:color w:val="auto"/>
        </w:rPr>
      </w:pPr>
    </w:p>
    <w:p>
      <w:pPr>
        <w:jc w:val="both"/>
        <w:ind w:left="540" w:right="20" w:firstLine="579"/>
        <w:spacing w:after="0" w:line="214" w:lineRule="auto"/>
        <w:tabs>
          <w:tab w:leader="none" w:pos="1620" w:val="left"/>
        </w:tabs>
        <w:numPr>
          <w:ilvl w:val="0"/>
          <w:numId w:val="6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Bankruptcy</w:t>
      </w:r>
      <w:r>
        <w:rPr>
          <w:rFonts w:ascii="Times New Roman" w:cs="Times New Roman" w:eastAsia="Times New Roman" w:hAnsi="Times New Roman"/>
          <w:sz w:val="19"/>
          <w:szCs w:val="19"/>
          <w:color w:val="auto"/>
        </w:rPr>
        <w:t>. A Party shall have the right to terminate this Agreement upon written notice to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upon the filing or institution of bankruptcy, reorganization, dissolution, liquidation or winding up of such other Party, or the making or seeking to make or arrange an assignment of a substantial portion of such other Party’s assets for the benefit of creditors of such other Party, or the initiation of proceedings in voluntary or involuntary bankruptcy against such other Party, or is adjudged bankrupt, or the appointment of a receiver or trustee of such other Party’s property, in each case that is not discharged within [***] days, or immediately upon written notice to the Party, if such Party otherwise admits to the other Party in writing its inability generally to meet its obligations as and when they fall due in the general course of business. In the event a Party is bankrupted or a bankruptcy proceedings is commenced by or against such Party or its Affiliates or any country or jurisdiction, all rights under this Agreement will be fully exercisable and the bankrupt Party (in any capacity, including debtor-in-possession) and its successors and assigns (including a trustee) shall continue to perform all of the obligations provided in this Agreement to be performed by such Party. If the bankrupt Party and its successors and assigns are restricted by Applicable Laws from performing its obligations hereunder and the other Party elects to retain its rights hereunder, then the bankrupt Party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w:t>
      </w:r>
    </w:p>
    <w:p>
      <w:pPr>
        <w:spacing w:after="0" w:line="147" w:lineRule="exact"/>
        <w:rPr>
          <w:rFonts w:ascii="Times New Roman" w:cs="Times New Roman" w:eastAsia="Times New Roman" w:hAnsi="Times New Roman"/>
          <w:sz w:val="19"/>
          <w:szCs w:val="19"/>
          <w:color w:val="auto"/>
        </w:rPr>
      </w:pPr>
    </w:p>
    <w:p>
      <w:pPr>
        <w:ind w:left="1620" w:hanging="501"/>
        <w:spacing w:after="0"/>
        <w:tabs>
          <w:tab w:leader="none" w:pos="1620" w:val="left"/>
        </w:tabs>
        <w:numPr>
          <w:ilvl w:val="0"/>
          <w:numId w:val="6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left="540" w:right="20" w:firstLine="579"/>
        <w:spacing w:after="0" w:line="249" w:lineRule="auto"/>
        <w:tabs>
          <w:tab w:leader="none" w:pos="1620" w:val="left"/>
        </w:tabs>
        <w:numPr>
          <w:ilvl w:val="0"/>
          <w:numId w:val="6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Mutual Agreement. </w:t>
      </w:r>
      <w:r>
        <w:rPr>
          <w:rFonts w:ascii="Times New Roman" w:cs="Times New Roman" w:eastAsia="Times New Roman" w:hAnsi="Times New Roman"/>
          <w:sz w:val="19"/>
          <w:szCs w:val="19"/>
          <w:color w:val="auto"/>
        </w:rPr>
        <w:t>The Parties may terminate this Agreement in full or on a Licensed Product-by-Licensed Product or a country-by-country basis, at any time during the Term upon mutual agreement in writing.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13.5  General Effects of Expiration or Termination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40" w:firstLine="579"/>
        <w:spacing w:after="0" w:line="222" w:lineRule="auto"/>
        <w:tabs>
          <w:tab w:leader="none" w:pos="1620" w:val="left"/>
        </w:tabs>
        <w:numPr>
          <w:ilvl w:val="1"/>
          <w:numId w:val="6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Accrued Rights and Obligations</w:t>
      </w:r>
      <w:r>
        <w:rPr>
          <w:rFonts w:ascii="Times New Roman" w:cs="Times New Roman" w:eastAsia="Times New Roman" w:hAnsi="Times New Roman"/>
          <w:sz w:val="19"/>
          <w:szCs w:val="19"/>
          <w:color w:val="auto"/>
        </w:rPr>
        <w:t>. Neither expiration nor any termination of this Agreement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whatsoever reason shall relieve either Party of any obligation or liability (incluidng but not limited to any payment obligation under Article 8) accruing prior to such expiration or termination, nor shall expiration or any termination of this Agreement for whatsoever reason preclude either Party from pursuing all rights and remedies it may have under this Agreement, at law or in equity, with respect to breach of this Agreement. Such obligations and rights shall survive termination and expiration of this Agreement.</w:t>
      </w:r>
    </w:p>
    <w:p>
      <w:pPr>
        <w:spacing w:after="0" w:line="131" w:lineRule="exact"/>
        <w:rPr>
          <w:rFonts w:ascii="Times New Roman" w:cs="Times New Roman" w:eastAsia="Times New Roman" w:hAnsi="Times New Roman"/>
          <w:sz w:val="19"/>
          <w:szCs w:val="19"/>
          <w:color w:val="auto"/>
        </w:rPr>
      </w:pPr>
    </w:p>
    <w:p>
      <w:pPr>
        <w:jc w:val="both"/>
        <w:ind w:left="540" w:right="20" w:firstLine="579"/>
        <w:spacing w:after="0" w:line="233" w:lineRule="auto"/>
        <w:tabs>
          <w:tab w:leader="none" w:pos="1620" w:val="left"/>
        </w:tabs>
        <w:numPr>
          <w:ilvl w:val="1"/>
          <w:numId w:val="6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non-expired Options</w:t>
      </w:r>
      <w:r>
        <w:rPr>
          <w:rFonts w:ascii="Times New Roman" w:cs="Times New Roman" w:eastAsia="Times New Roman" w:hAnsi="Times New Roman"/>
          <w:sz w:val="19"/>
          <w:szCs w:val="19"/>
          <w:color w:val="auto"/>
        </w:rPr>
        <w:t>. In case of termination of the entire Agreement, all non-expired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 periods under the Agreement shall automatically terminate. Upon termination of one or more Licensed Products, the option period shall only terminate with respect to the terminated Licensed Products.</w:t>
      </w:r>
    </w:p>
    <w:p>
      <w:pPr>
        <w:spacing w:after="0" w:line="131" w:lineRule="exact"/>
        <w:rPr>
          <w:rFonts w:ascii="Times New Roman" w:cs="Times New Roman" w:eastAsia="Times New Roman" w:hAnsi="Times New Roman"/>
          <w:sz w:val="19"/>
          <w:szCs w:val="19"/>
          <w:color w:val="auto"/>
        </w:rPr>
      </w:pPr>
    </w:p>
    <w:p>
      <w:pPr>
        <w:jc w:val="both"/>
        <w:ind w:left="540" w:right="40" w:firstLine="567"/>
        <w:spacing w:after="0" w:line="227" w:lineRule="auto"/>
        <w:tabs>
          <w:tab w:leader="none" w:pos="1620" w:val="left"/>
        </w:tabs>
        <w:numPr>
          <w:ilvl w:val="0"/>
          <w:numId w:val="6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Surviving Terms. </w:t>
      </w:r>
      <w:r>
        <w:rPr>
          <w:rFonts w:ascii="Times New Roman" w:cs="Times New Roman" w:eastAsia="Times New Roman" w:hAnsi="Times New Roman"/>
          <w:sz w:val="19"/>
          <w:szCs w:val="19"/>
          <w:color w:val="auto"/>
        </w:rPr>
        <w:t>The Parties’ rights and obligations under Articles 1 (Definitions), 8 (Financial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otherwise set out in this Article 13 the Financial Terms only survive in accordance with the respective applicable terms with respect to Licensee’s sell-off right in Sections 13.6(e), 13.7(b)(iv) and 13.8(b)(iii)), Article 9 (Payment), Article 10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42 of 102</w:t>
      </w:r>
    </w:p>
    <w:p>
      <w:pPr>
        <w:sectPr>
          <w:pgSz w:w="11900" w:h="16840" w:orient="portrait"/>
          <w:cols w:equalWidth="0" w:num="1">
            <w:col w:w="9880"/>
          </w:cols>
          <w:pgMar w:left="1360" w:top="1440" w:right="660" w:bottom="1440" w:gutter="0" w:footer="0" w:header="0"/>
        </w:sectPr>
      </w:pPr>
    </w:p>
    <w:bookmarkStart w:id="606" w:name="page607"/>
    <w:bookmarkEnd w:id="606"/>
    <w:p>
      <w:pPr>
        <w:spacing w:after="0" w:line="257" w:lineRule="exact"/>
        <w:rPr>
          <w:sz w:val="20"/>
          <w:szCs w:val="20"/>
          <w:color w:val="auto"/>
        </w:rPr>
      </w:pPr>
    </w:p>
    <w:p>
      <w:pPr>
        <w:jc w:val="both"/>
        <w:ind w:left="660" w:right="40"/>
        <w:spacing w:after="0" w:line="232" w:lineRule="auto"/>
        <w:rPr>
          <w:sz w:val="20"/>
          <w:szCs w:val="20"/>
          <w:color w:val="auto"/>
        </w:rPr>
      </w:pPr>
      <w:r>
        <w:rPr>
          <w:rFonts w:ascii="Times New Roman" w:cs="Times New Roman" w:eastAsia="Times New Roman" w:hAnsi="Times New Roman"/>
          <w:sz w:val="19"/>
          <w:szCs w:val="19"/>
          <w:color w:val="auto"/>
        </w:rPr>
        <w:t>Section 12.1 and with respect to [***] only, Sections 12.2 and 12.4, Sections 13.5 to 13.10, Article 14 (Indemnification and Insurance), Article 15 (Dispute Resolution) and Article 16 (Miscellaneous) of this Agreement shall survive expiration or any termination of this Agreement.</w:t>
      </w:r>
    </w:p>
    <w:p>
      <w:pPr>
        <w:spacing w:after="0" w:line="13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13.6</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13. 7 Consequences of Termination by Duality for Material Breach or Patent Challenge by Licensee</w:t>
      </w:r>
      <w:r>
        <w:rPr>
          <w:rFonts w:ascii="Times New Roman" w:cs="Times New Roman" w:eastAsia="Times New Roman" w:hAnsi="Times New Roman"/>
          <w:sz w:val="19"/>
          <w:szCs w:val="19"/>
          <w:color w:val="auto"/>
        </w:rPr>
        <w:t>. If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arbitration tribunal in accordance with the process set out in Section 15.2 confirmed the existence of a material breach on the part of Licensee, and such material breach was not or cannot be cured, or in case of an uncured patent challenge by Licensee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13.4(a)(i)), the following shall apply:</w:t>
      </w:r>
    </w:p>
    <w:p>
      <w:pPr>
        <w:spacing w:after="0" w:line="142" w:lineRule="exact"/>
        <w:rPr>
          <w:sz w:val="20"/>
          <w:szCs w:val="20"/>
          <w:color w:val="auto"/>
        </w:rPr>
      </w:pPr>
    </w:p>
    <w:p>
      <w:pPr>
        <w:ind w:left="1740" w:hanging="513"/>
        <w:spacing w:after="0"/>
        <w:tabs>
          <w:tab w:leader="none" w:pos="1740" w:val="left"/>
        </w:tabs>
        <w:numPr>
          <w:ilvl w:val="1"/>
          <w:numId w:val="6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Duality’s Election to Continue</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left="660" w:right="20" w:firstLine="567"/>
        <w:spacing w:after="0" w:line="233" w:lineRule="auto"/>
        <w:tabs>
          <w:tab w:leader="none" w:pos="1740" w:val="left"/>
        </w:tabs>
        <w:numPr>
          <w:ilvl w:val="1"/>
          <w:numId w:val="6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Duality’s Election to Terminate. </w:t>
      </w:r>
      <w:r>
        <w:rPr>
          <w:rFonts w:ascii="Times New Roman" w:cs="Times New Roman" w:eastAsia="Times New Roman" w:hAnsi="Times New Roman"/>
          <w:sz w:val="19"/>
          <w:szCs w:val="19"/>
          <w:color w:val="auto"/>
        </w:rPr>
        <w:t>Duality may, in its sole discretion, elect to terminate the Agreement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 or in its entirety, as applicable) for material breach in accordance with Section 13.3. The consequences of such a termination for material breach shall be as follows:</w:t>
      </w:r>
    </w:p>
    <w:p>
      <w:pPr>
        <w:spacing w:after="0" w:line="131" w:lineRule="exact"/>
        <w:rPr>
          <w:rFonts w:ascii="Times New Roman" w:cs="Times New Roman" w:eastAsia="Times New Roman" w:hAnsi="Times New Roman"/>
          <w:sz w:val="19"/>
          <w:szCs w:val="19"/>
          <w:color w:val="auto"/>
        </w:rPr>
      </w:pPr>
    </w:p>
    <w:p>
      <w:pPr>
        <w:ind w:left="1140" w:hanging="562"/>
        <w:spacing w:after="0"/>
        <w:tabs>
          <w:tab w:leader="none" w:pos="1140" w:val="left"/>
        </w:tabs>
        <w:numPr>
          <w:ilvl w:val="0"/>
          <w:numId w:val="6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Licenses Granted to Licensee</w:t>
      </w:r>
      <w:r>
        <w:rPr>
          <w:rFonts w:ascii="Times New Roman" w:cs="Times New Roman" w:eastAsia="Times New Roman" w:hAnsi="Times New Roman"/>
          <w:sz w:val="19"/>
          <w:szCs w:val="19"/>
          <w:color w:val="auto"/>
        </w:rPr>
        <w:t>. In case of a termination of the entire Agreement, [***].</w:t>
      </w:r>
    </w:p>
    <w:p>
      <w:pPr>
        <w:spacing w:after="0" w:line="165" w:lineRule="exact"/>
        <w:rPr>
          <w:rFonts w:ascii="Times New Roman" w:cs="Times New Roman" w:eastAsia="Times New Roman" w:hAnsi="Times New Roman"/>
          <w:sz w:val="19"/>
          <w:szCs w:val="19"/>
          <w:color w:val="auto"/>
        </w:rPr>
      </w:pPr>
    </w:p>
    <w:p>
      <w:pPr>
        <w:ind w:left="1160" w:hanging="582"/>
        <w:spacing w:after="0"/>
        <w:tabs>
          <w:tab w:leader="none" w:pos="1160" w:val="left"/>
        </w:tabs>
        <w:numPr>
          <w:ilvl w:val="0"/>
          <w:numId w:val="6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Rights Granted to Duality</w:t>
      </w:r>
      <w:r>
        <w:rPr>
          <w:rFonts w:ascii="Times New Roman" w:cs="Times New Roman" w:eastAsia="Times New Roman" w:hAnsi="Times New Roman"/>
          <w:sz w:val="19"/>
          <w:szCs w:val="19"/>
          <w:color w:val="auto"/>
        </w:rPr>
        <w:t>. In case of termination of the entire Agreement, [***].</w:t>
      </w:r>
    </w:p>
    <w:p>
      <w:pPr>
        <w:spacing w:after="0" w:line="165" w:lineRule="exact"/>
        <w:rPr>
          <w:rFonts w:ascii="Times New Roman" w:cs="Times New Roman" w:eastAsia="Times New Roman" w:hAnsi="Times New Roman"/>
          <w:sz w:val="19"/>
          <w:szCs w:val="19"/>
          <w:color w:val="auto"/>
        </w:rPr>
      </w:pPr>
    </w:p>
    <w:p>
      <w:pPr>
        <w:ind w:right="20" w:firstLine="578"/>
        <w:spacing w:after="0" w:line="249" w:lineRule="auto"/>
        <w:tabs>
          <w:tab w:leader="none" w:pos="1152" w:val="left"/>
        </w:tabs>
        <w:numPr>
          <w:ilvl w:val="0"/>
          <w:numId w:val="6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Wind-Down or Transfer of Activities. </w:t>
      </w:r>
      <w:r>
        <w:rPr>
          <w:rFonts w:ascii="Times New Roman" w:cs="Times New Roman" w:eastAsia="Times New Roman" w:hAnsi="Times New Roman"/>
          <w:sz w:val="19"/>
          <w:szCs w:val="19"/>
          <w:color w:val="auto"/>
        </w:rPr>
        <w:t>Licensee shall, as directed by Duality in its sole discretion on a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Trial-by-Clinical Trial basis, either:</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140" w:hanging="562"/>
        <w:spacing w:after="0"/>
        <w:tabs>
          <w:tab w:leader="none" w:pos="1140" w:val="left"/>
        </w:tabs>
        <w:numPr>
          <w:ilvl w:val="1"/>
          <w:numId w:val="6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ind w:left="1160" w:hanging="582"/>
        <w:spacing w:after="0"/>
        <w:tabs>
          <w:tab w:leader="none" w:pos="1160" w:val="left"/>
        </w:tabs>
        <w:numPr>
          <w:ilvl w:val="1"/>
          <w:numId w:val="6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Sublicenses. </w:t>
      </w:r>
      <w:r>
        <w:rPr>
          <w:rFonts w:ascii="Times New Roman" w:cs="Times New Roman" w:eastAsia="Times New Roman" w:hAnsi="Times New Roman"/>
          <w:sz w:val="19"/>
          <w:szCs w:val="19"/>
          <w:color w:val="auto"/>
        </w:rPr>
        <w:t>Duality shall grant to Licensee’s or Licensee’s Affiliate’s Sublicensees a direct license, provided that</w:t>
      </w:r>
    </w:p>
    <w:p>
      <w:pPr>
        <w:jc w:val="both"/>
        <w:ind w:right="20" w:firstLine="2"/>
        <w:spacing w:after="0" w:line="219" w:lineRule="auto"/>
        <w:tabs>
          <w:tab w:leader="none" w:pos="315" w:val="left"/>
        </w:tabs>
        <w:numPr>
          <w:ilvl w:val="0"/>
          <w:numId w:val="6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sublicense agreement is consistent with the relevant terms and conditions of this Agreement at the time of termination of this Agreement, (B) such Sublicensee then is not in material breach of its sublicense agreement and (C) such Sublicensee then has not caused Licensee to be in material breach of this Agreement due to any act or omission of such Sublicensee. The scope of such direct license shall be no less than the scope of the license granted in this Agreement and sublicensed to such Sublicensee and such direct license shall be on terms and conditions substantially similar to those set forth in this Agreement.</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13. 8 Consequences of Termination by Licensee for Material Breach or Patent Challenge by Duality. </w:t>
      </w:r>
      <w:r>
        <w:rPr>
          <w:rFonts w:ascii="Times New Roman" w:cs="Times New Roman" w:eastAsia="Times New Roman" w:hAnsi="Times New Roman"/>
          <w:sz w:val="19"/>
          <w:szCs w:val="19"/>
          <w:color w:val="auto"/>
        </w:rPr>
        <w:t>If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arbitration tribunal in accordance with the process set out in Section 15.2 confirmed (A) the existence of a material breach on the part of Duality, and such material breach was not or cannot be cured, or (B) in case of [***], with the Licensee’s Executive Officer having the final say, the following shall apply:</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13.9</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 xml:space="preserve">13.10  </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43 of 102</w:t>
      </w:r>
    </w:p>
    <w:p>
      <w:pPr>
        <w:sectPr>
          <w:pgSz w:w="11900" w:h="16840" w:orient="portrait"/>
          <w:cols w:equalWidth="0" w:num="1">
            <w:col w:w="10000"/>
          </w:cols>
          <w:pgMar w:left="1240" w:top="1440" w:right="660" w:bottom="1440" w:gutter="0" w:footer="0" w:header="0"/>
        </w:sectPr>
      </w:pPr>
    </w:p>
    <w:bookmarkStart w:id="607" w:name="page608"/>
    <w:bookmarkEnd w:id="607"/>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Article 14</w:t>
      </w:r>
    </w:p>
    <w:p>
      <w:pPr>
        <w:ind w:left="3780"/>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142"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9"/>
          <w:szCs w:val="19"/>
          <w:b w:val="1"/>
          <w:bCs w:val="1"/>
          <w:color w:val="auto"/>
        </w:rPr>
        <w:t>14.1 Indemnification of Duality</w:t>
      </w:r>
      <w:r>
        <w:rPr>
          <w:rFonts w:ascii="Times New Roman" w:cs="Times New Roman" w:eastAsia="Times New Roman" w:hAnsi="Times New Roman"/>
          <w:sz w:val="19"/>
          <w:szCs w:val="19"/>
          <w:color w:val="auto"/>
        </w:rPr>
        <w:t>. Licensee shall indemnify and hold harmless each of Duality and its Affiliates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their respective directors, officers, employees, consultants, agents and successors and assigns of any of the foregoing (the “</w:t>
      </w:r>
      <w:r>
        <w:rPr>
          <w:rFonts w:ascii="Times New Roman" w:cs="Times New Roman" w:eastAsia="Times New Roman" w:hAnsi="Times New Roman"/>
          <w:sz w:val="19"/>
          <w:szCs w:val="19"/>
          <w:b w:val="1"/>
          <w:bCs w:val="1"/>
          <w:color w:val="auto"/>
        </w:rPr>
        <w:t>Duality Indemnitees</w:t>
      </w:r>
      <w:r>
        <w:rPr>
          <w:rFonts w:ascii="Times New Roman" w:cs="Times New Roman" w:eastAsia="Times New Roman" w:hAnsi="Times New Roman"/>
          <w:sz w:val="19"/>
          <w:szCs w:val="19"/>
          <w:color w:val="auto"/>
        </w:rPr>
        <w:t xml:space="preserve">”) from and against any and all losses, damages, liabilities, expenses and costs, including reasonable legal expense and attorneys’ fees (“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incurred by any Duality Indemnitee as a result of any claims, demands, actions, suits or proceedings brought by a Third Party (“</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arising directly or indirectly out of: (a) the practice by Licensee or its Affiliates or Sublicensees or subcontractors of the icense in Section 2.1; (b) the research, Development, Manufacture or have Manufactured, use, handling, storage, Commercialization or other disposition of the Licensed Compound or the Licensed Products by Licensee or its Affiliates or Sublicensees or subcontractors; (c) the negligence or willful misconduct of any Licensee Indemnitee; or (d) any breach of any representations, warranties or covenants by Licensee under this Agreement; except, in each case, (x) to the extent such Third Party Claims fall within the scope of the indemnification obligations of Duality set forth in Section 14.2, or (y) arising from or occurring as a result of a Duality Indemnitee’s negligence, illegal conduct or wilful misconduct in performing its or their obligations or exercising their rights under this Agreement. Licensee’s indemnification obligation specifically excludes any and all Third Party Claims, including but not limited the payment of royalties, that relate to or are incurred by the use of the Duality Licensed IP by Licensee, its Affiliates and/or Sublicensees under this Agreement and that result from Third Party Agreements of Duality or Duality’s Affiliates existing at the Effective Date.</w:t>
      </w:r>
    </w:p>
    <w:p>
      <w:pPr>
        <w:spacing w:after="0" w:line="137"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9"/>
          <w:szCs w:val="19"/>
          <w:b w:val="1"/>
          <w:bCs w:val="1"/>
          <w:color w:val="auto"/>
        </w:rPr>
        <w:t>14.2 Indemnification of Licensee</w:t>
      </w:r>
      <w:r>
        <w:rPr>
          <w:rFonts w:ascii="Times New Roman" w:cs="Times New Roman" w:eastAsia="Times New Roman" w:hAnsi="Times New Roman"/>
          <w:sz w:val="19"/>
          <w:szCs w:val="19"/>
          <w:color w:val="auto"/>
        </w:rPr>
        <w:t>. Duality shall indemnify and hold harmless each of Licensee and its Affiliates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their respective directors, officers, employees, consultants, agents and successors and assigns of any of the foregoing (the “</w:t>
      </w:r>
      <w:r>
        <w:rPr>
          <w:rFonts w:ascii="Times New Roman" w:cs="Times New Roman" w:eastAsia="Times New Roman" w:hAnsi="Times New Roman"/>
          <w:sz w:val="19"/>
          <w:szCs w:val="19"/>
          <w:b w:val="1"/>
          <w:bCs w:val="1"/>
          <w:color w:val="auto"/>
        </w:rPr>
        <w:t>Licensee Indemnitees</w:t>
      </w:r>
      <w:r>
        <w:rPr>
          <w:rFonts w:ascii="Times New Roman" w:cs="Times New Roman" w:eastAsia="Times New Roman" w:hAnsi="Times New Roman"/>
          <w:sz w:val="19"/>
          <w:szCs w:val="19"/>
          <w:color w:val="auto"/>
        </w:rPr>
        <w:t>”), from and against any and all Losses incurred by any Licensee Indemnitee as a result of any Third Party Claims arising directly or indirectly out of: (a) the practice by Duality or its Affiliates or sublicensees or subcontractors of the license granted to Duality under Section 2.5; (b) the Development, Manufacture, use, handling, storage, sale or other disposition of the Licensed Compound or Licensed Products by Duality or its Affiliates or sublicensees or subcontractors; (c) the negligence or willful misconduct of any Duality Indemnitee; or (d) any breach of any representations, warranties or covenants by Duality under this Agreement; except, in each case, (x) to the extent such Third Party Claims fall within the scope of the indemnification obligations of Licensee set forth in Section 14.1 or (y) arising from or occurring as a result of a Licensee Indemnitee’s negligence, illegal conduct or wilful misconduct in performing its or their obligations or exercising their rights under this Agreement. In addition to the above, and not subject to (x), regardless of any information provided by Duality to Licensee regarding agreements with Third Parties entered into prior to the Effective Date, Duality’s indemnification obligation shall cover any and all Third Party Claims, including but not limited to the payment of royalties, (a) that relate to or are incurred by the use of the Duality Licensed IP by Licensee, its Affiliates and/or Sublicensees under this Agreement and (b) that result from such Third Party agreements of Duality or Duality’s Affiliates existing at the Effective Date.</w:t>
      </w:r>
    </w:p>
    <w:p>
      <w:pPr>
        <w:spacing w:after="0" w:line="137" w:lineRule="exact"/>
        <w:rPr>
          <w:sz w:val="20"/>
          <w:szCs w:val="20"/>
          <w:color w:val="auto"/>
        </w:rPr>
      </w:pPr>
    </w:p>
    <w:p>
      <w:pPr>
        <w:jc w:val="both"/>
        <w:ind w:left="140" w:right="4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14.3 Procedure</w:t>
      </w:r>
      <w:r>
        <w:rPr>
          <w:rFonts w:ascii="Times New Roman" w:cs="Times New Roman" w:eastAsia="Times New Roman" w:hAnsi="Times New Roman"/>
          <w:sz w:val="19"/>
          <w:szCs w:val="19"/>
          <w:color w:val="auto"/>
        </w:rPr>
        <w:t>. If any Duality Indemnitee or Licensee Indemnitee intends to claim indemnification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Article 14 (the “</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Duality or Licensee, as the case may be, shall promptly notify the indemnifying Party (the “</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9"/>
          <w:szCs w:val="19"/>
          <w:color w:val="auto"/>
        </w:rPr>
        <w:t>Page 44 of 102</w:t>
      </w:r>
    </w:p>
    <w:p>
      <w:pPr>
        <w:sectPr>
          <w:pgSz w:w="11900" w:h="16840" w:orient="portrait"/>
          <w:cols w:equalWidth="0" w:num="1">
            <w:col w:w="10020"/>
          </w:cols>
          <w:pgMar w:left="1240" w:top="1440" w:right="640" w:bottom="1440" w:gutter="0" w:footer="0" w:header="0"/>
        </w:sectPr>
      </w:pPr>
    </w:p>
    <w:bookmarkStart w:id="608" w:name="page609"/>
    <w:bookmarkEnd w:id="608"/>
    <w:p>
      <w:pPr>
        <w:spacing w:after="0" w:line="2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writing of any Third Party Claim, in respect of which the Indemnitee intends to claim such indemnification. Each indemnification claim notice must contain a description of the claim, the nature and amount of such loss (to the extent known at the time). The Indemnitor shall have sole control of the defense and/or settlement thereof and the Indemnitee shall be entitled to participate in (but not control) the defence of such Third Party Claim and to employ counsel of its choice for this purpose, at its own expense. The indemnity arrangement in this Article 14 shall not apply to amounts paid in settlement of any action with respect to a Third Party Claim, if such settlement is effected without the consent of the Indemnitor, which consent shall not be withheld or delayed unreasonably. The failure to deliver written notice to the Indemnitee within a reasonable time after the commencement of any action with respect to a Third Party Claim shall only relieve the Indemnitor of its indemnification obligations under this Article 14 if and to the extent the Indemnitee is actually prejudiced thereby. Duality or Licensee, as the case may be, and the Indemnitee shall cooperate fully with the Indemnitor and its legal representatives in the investigation of any action with respect to a Third Party Claim covered by these indemnification provisions. The Indemnitor shall not settle any Third Party Claim without the prior written consent of the Indemnitee if the settlement is reasonably expected to: (a) result in or impose any obligation (including any payment obligation) on the Indemnitee or otherwise adversely affect the business of the Indemnitee in any manner, or (b) result in any admission of wrong -doing or fault by the Indemnitee. The costs and expenses, including fees and disbursements of counsel, incurred by the Indemnitee in connection with any claim shall be reimbursed by the Indemnitor on a calendar quarter basis, without prejudice to the Indemnitor’s right to contest the Indemnitee’s right to indemnification and subject to refund in the event the Indemnitee is ultimately held not to be obligated to indemnify the Indemnitee.</w:t>
      </w:r>
    </w:p>
    <w:p>
      <w:pPr>
        <w:spacing w:after="0" w:line="134" w:lineRule="exact"/>
        <w:rPr>
          <w:sz w:val="20"/>
          <w:szCs w:val="20"/>
          <w:color w:val="auto"/>
        </w:rPr>
      </w:pPr>
    </w:p>
    <w:p>
      <w:pPr>
        <w:jc w:val="both"/>
        <w:ind w:right="2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14.4 Insurance</w:t>
      </w:r>
      <w:r>
        <w:rPr>
          <w:rFonts w:ascii="Times New Roman" w:cs="Times New Roman" w:eastAsia="Times New Roman" w:hAnsi="Times New Roman"/>
          <w:sz w:val="19"/>
          <w:szCs w:val="19"/>
          <w:color w:val="auto"/>
        </w:rPr>
        <w:t>. Each Party, at its own expense, shall maintain product liability and other appropriate insurance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self-insure) in an amount consistent with sound business practice and reasonable in light of its obligations under this Agreement during the Term. Each Party shall provide a certificate of insurance (or evidence of self - insurance) evidencing such coverage to the other Party upon request. Such insurance shall not be construed to create a limit on either Party’s liability with respect to its indemnification obligations under this Article 14.</w:t>
      </w:r>
    </w:p>
    <w:p>
      <w:pPr>
        <w:spacing w:after="0" w:line="13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15</w:t>
      </w:r>
    </w:p>
    <w:p>
      <w:pPr>
        <w:ind w:left="3480"/>
        <w:spacing w:after="0"/>
        <w:rPr>
          <w:sz w:val="20"/>
          <w:szCs w:val="20"/>
          <w:color w:val="auto"/>
        </w:rPr>
      </w:pPr>
      <w:r>
        <w:rPr>
          <w:rFonts w:ascii="Times New Roman" w:cs="Times New Roman" w:eastAsia="Times New Roman" w:hAnsi="Times New Roman"/>
          <w:sz w:val="19"/>
          <w:szCs w:val="19"/>
          <w:b w:val="1"/>
          <w:bCs w:val="1"/>
          <w:color w:val="auto"/>
        </w:rPr>
        <w:t>DISPUTE RESOLUTION</w:t>
      </w:r>
    </w:p>
    <w:p>
      <w:pPr>
        <w:spacing w:after="0" w:line="142"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9"/>
          <w:szCs w:val="19"/>
          <w:b w:val="1"/>
          <w:bCs w:val="1"/>
          <w:color w:val="auto"/>
        </w:rPr>
        <w:t>15.1 Deadlock Resolution</w:t>
      </w:r>
      <w:r>
        <w:rPr>
          <w:rFonts w:ascii="Times New Roman" w:cs="Times New Roman" w:eastAsia="Times New Roman" w:hAnsi="Times New Roman"/>
          <w:sz w:val="19"/>
          <w:szCs w:val="19"/>
          <w:color w:val="auto"/>
        </w:rPr>
        <w:t>. In the event a deadlock occurs with respect to the decision-making process of the JSC,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deadlock shall be subject to binding determination by an expert panel in the Hong Kong Special Administrative Region. The expert panel shall consist of [***] members, [***] of which [***] appointed by each Party and the [***] member shall be selected by the other [***] members (collectively, the “</w:t>
      </w:r>
      <w:r>
        <w:rPr>
          <w:rFonts w:ascii="Times New Roman" w:cs="Times New Roman" w:eastAsia="Times New Roman" w:hAnsi="Times New Roman"/>
          <w:sz w:val="19"/>
          <w:szCs w:val="19"/>
          <w:b w:val="1"/>
          <w:bCs w:val="1"/>
          <w:color w:val="auto"/>
        </w:rPr>
        <w:t>Experts</w:t>
      </w:r>
      <w:r>
        <w:rPr>
          <w:rFonts w:ascii="Times New Roman" w:cs="Times New Roman" w:eastAsia="Times New Roman" w:hAnsi="Times New Roman"/>
          <w:sz w:val="19"/>
          <w:szCs w:val="19"/>
          <w:color w:val="auto"/>
        </w:rPr>
        <w:t>”) . The panel must be appointed within [***] days of the occurrence of a deadlock event or such longer period as the Parties may agree. Each Expert shall be a person having not less than [***] years’ experience in the area of expertise in the business of pharmaceuticals (including biologics) and having no conflict of interest with either Party. If the issues in dispute involve scientific, technical or commercial matters, the experts chosen hereunder shall have educational training or industry experience sufficient to demonstrate a reasonable level of relevant scientific,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45 of 102</w:t>
      </w:r>
    </w:p>
    <w:p>
      <w:pPr>
        <w:sectPr>
          <w:pgSz w:w="11900" w:h="16840" w:orient="portrait"/>
          <w:cols w:equalWidth="0" w:num="1">
            <w:col w:w="9860"/>
          </w:cols>
          <w:pgMar w:left="1380" w:top="1440" w:right="660" w:bottom="1440" w:gutter="0" w:footer="0" w:header="0"/>
        </w:sectPr>
      </w:pPr>
    </w:p>
    <w:bookmarkStart w:id="609" w:name="page610"/>
    <w:bookmarkEnd w:id="609"/>
    <w:p>
      <w:pPr>
        <w:spacing w:after="0" w:line="257" w:lineRule="exact"/>
        <w:rPr>
          <w:sz w:val="20"/>
          <w:szCs w:val="20"/>
          <w:color w:val="auto"/>
        </w:rPr>
      </w:pPr>
    </w:p>
    <w:p>
      <w:pPr>
        <w:jc w:val="both"/>
        <w:ind w:right="40"/>
        <w:spacing w:after="0" w:line="223" w:lineRule="auto"/>
        <w:rPr>
          <w:sz w:val="20"/>
          <w:szCs w:val="20"/>
          <w:color w:val="auto"/>
        </w:rPr>
      </w:pPr>
      <w:r>
        <w:rPr>
          <w:rFonts w:ascii="Times New Roman" w:cs="Times New Roman" w:eastAsia="Times New Roman" w:hAnsi="Times New Roman"/>
          <w:sz w:val="19"/>
          <w:szCs w:val="19"/>
          <w:color w:val="auto"/>
        </w:rPr>
        <w:t>and industry knowledge, as necessary to resolve the dispute. With respect to any dispute to be submitted to an Expert pursuant to this Agreement, the use of the Expert shall be the exclusive remedy of the Parties, and neither Party shall attempt to adjudicate such dispute in any other forum. The decision of the Experts shall be final and binding on the applicable Parties involved in such dispute and deadlock resolution procedure contemplated by this Section 15.1 and shall not be capable of challenge, whether by arbitration, in court or otherwise. All proceedings and communications shall be in English.</w:t>
      </w:r>
    </w:p>
    <w:p>
      <w:pPr>
        <w:spacing w:after="0" w:line="135" w:lineRule="exact"/>
        <w:rPr>
          <w:sz w:val="20"/>
          <w:szCs w:val="20"/>
          <w:color w:val="auto"/>
        </w:rPr>
      </w:pPr>
    </w:p>
    <w:p>
      <w:pPr>
        <w:jc w:val="both"/>
        <w:ind w:right="20" w:firstLine="432"/>
        <w:spacing w:after="0" w:line="218" w:lineRule="auto"/>
        <w:rPr>
          <w:sz w:val="20"/>
          <w:szCs w:val="20"/>
          <w:color w:val="auto"/>
        </w:rPr>
      </w:pPr>
      <w:r>
        <w:rPr>
          <w:rFonts w:ascii="Times New Roman" w:cs="Times New Roman" w:eastAsia="Times New Roman" w:hAnsi="Times New Roman"/>
          <w:sz w:val="19"/>
          <w:szCs w:val="19"/>
          <w:b w:val="1"/>
          <w:bCs w:val="1"/>
          <w:color w:val="auto"/>
        </w:rPr>
        <w:t>15.2 Disputes</w:t>
      </w:r>
      <w:r>
        <w:rPr>
          <w:rFonts w:ascii="Times New Roman" w:cs="Times New Roman" w:eastAsia="Times New Roman" w:hAnsi="Times New Roman"/>
          <w:sz w:val="19"/>
          <w:szCs w:val="19"/>
          <w:color w:val="auto"/>
        </w:rPr>
        <w:t>. Subject to Sections 15.4 and 15.5, upon the written request of either Party to the other Party,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differences, claim, dispute, or controversy as to the breach, enforcement, interpretation or validity of this Agreement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be referred to the Executive Officers for resolution. In the event such executives are unable to resolve such Dispute within [***] days after the initial written request, then, upon the written demand of either Party and subject to Section 15.4 below, the Dispute shall be referred to and finally resolved by binding arbitration administered by the Hong Kong International Arbitration Centre (“</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(or any successor entity thereto) pursuant to the United Nations Commission on International Trade Law (“</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xml:space="preserve">”) Arbitration Rules in force when the notice of arbitration is submitted, as modified by the HKIAC Procedures for the Administration of Arbitration under the UNCITRAL Arbitration Rules (the “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as modified by Section 15.3 below.</w:t>
      </w:r>
    </w:p>
    <w:p>
      <w:pPr>
        <w:spacing w:after="0" w:line="13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15.3</w:t>
        <w:tab/>
        <w:t>Arbitration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520" w:firstLine="567"/>
        <w:spacing w:after="0" w:line="215" w:lineRule="auto"/>
        <w:tabs>
          <w:tab w:leader="none" w:pos="1600" w:val="left"/>
        </w:tabs>
        <w:numPr>
          <w:ilvl w:val="0"/>
          <w:numId w:val="6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Procedure</w:t>
      </w:r>
      <w:r>
        <w:rPr>
          <w:rFonts w:ascii="Times New Roman" w:cs="Times New Roman" w:eastAsia="Times New Roman" w:hAnsi="Times New Roman"/>
          <w:sz w:val="19"/>
          <w:szCs w:val="19"/>
          <w:color w:val="auto"/>
        </w:rPr>
        <w:t>. The arbitration shall be conducted by a panel of three arbitrators experienced in the business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pharmaceuticals (including biologicals). If the issues in dispute involve scientific, technical or commercial matters, the arbitrators chosen hereunder shall engage experts having educational training or industry experience sufficient to demonstrate a reasonable level of relevant scientific, medical and industry knowledge, as necessary to resolve the dispute. Within [***] days after initiation of arbitration, each of the Parties shall select one arbitrator and these two arbitrators shall jointly select a third arbitrator. If a Party fails to select an arbitrator or if the two arbitrators selected by the Parties are unable or fail to agree upon the third arbitrator within such [***] day period, any unselected arbitrator or third arbitrator, as the case may be, shall be appointed in accordance with the Rules. The place of arbitration and the seat of arbitration shall be Hong Kong Special Administrative Region, and all proceedings and communications shall be in English. Unless agreed by the Parties in writing, all documents provided under or in connection with this Agreement shall be in the English language or accompanied by a certified English translation. If such document is translated into any other language, the English language version shall prevail unless the document is a constitution, statutory or other official document. The laws governing this arbitration agreement shall be the laws of Hong Kong Special Administrative Region and the arbitral award shall be final and binding on the Parties. Except to the extent necessary to confirm an award or as may be required by law, neither a Party nor the arbitrators may disclose the existence, content, or results of arbitration without the prior written consent of both Parties.</w:t>
      </w:r>
    </w:p>
    <w:p>
      <w:pPr>
        <w:spacing w:after="0" w:line="133" w:lineRule="exact"/>
        <w:rPr>
          <w:rFonts w:ascii="Times New Roman" w:cs="Times New Roman" w:eastAsia="Times New Roman" w:hAnsi="Times New Roman"/>
          <w:sz w:val="19"/>
          <w:szCs w:val="19"/>
          <w:color w:val="auto"/>
        </w:rPr>
      </w:pPr>
    </w:p>
    <w:p>
      <w:pPr>
        <w:jc w:val="both"/>
        <w:ind w:left="520" w:right="40" w:firstLine="567"/>
        <w:spacing w:after="0" w:line="233" w:lineRule="auto"/>
        <w:tabs>
          <w:tab w:leader="none" w:pos="1600" w:val="left"/>
        </w:tabs>
        <w:numPr>
          <w:ilvl w:val="0"/>
          <w:numId w:val="6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Arbitrators’ Award </w:t>
      </w:r>
      <w:r>
        <w:rPr>
          <w:rFonts w:ascii="Times New Roman" w:cs="Times New Roman" w:eastAsia="Times New Roman" w:hAnsi="Times New Roman"/>
          <w:sz w:val="19"/>
          <w:szCs w:val="19"/>
          <w:color w:val="auto"/>
        </w:rPr>
        <w:t>. The arbitrators shall, within [***] days after the conclusion of the 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hearing, issue a written award and statement of decision describing the essential findings and conclusions on which the award is based, including the calculation of any damages awarded.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46 of 102</w:t>
      </w:r>
    </w:p>
    <w:p>
      <w:pPr>
        <w:sectPr>
          <w:pgSz w:w="11900" w:h="16840" w:orient="portrait"/>
          <w:cols w:equalWidth="0" w:num="1">
            <w:col w:w="9880"/>
          </w:cols>
          <w:pgMar w:left="1380" w:top="1440" w:right="640" w:bottom="1440" w:gutter="0" w:footer="0" w:header="0"/>
        </w:sectPr>
      </w:pPr>
    </w:p>
    <w:bookmarkStart w:id="610" w:name="page611"/>
    <w:bookmarkEnd w:id="610"/>
    <w:p>
      <w:pPr>
        <w:spacing w:after="0" w:line="257" w:lineRule="exact"/>
        <w:rPr>
          <w:sz w:val="20"/>
          <w:szCs w:val="20"/>
          <w:color w:val="auto"/>
        </w:rPr>
      </w:pPr>
    </w:p>
    <w:p>
      <w:pPr>
        <w:ind w:left="520" w:right="20"/>
        <w:spacing w:after="0" w:line="246" w:lineRule="auto"/>
        <w:rPr>
          <w:sz w:val="20"/>
          <w:szCs w:val="20"/>
          <w:color w:val="auto"/>
        </w:rPr>
      </w:pPr>
      <w:r>
        <w:rPr>
          <w:rFonts w:ascii="Times New Roman" w:cs="Times New Roman" w:eastAsia="Times New Roman" w:hAnsi="Times New Roman"/>
          <w:sz w:val="19"/>
          <w:szCs w:val="19"/>
          <w:color w:val="auto"/>
        </w:rPr>
        <w:t>decision or award rendered by the arbitrators shall be final and non-appealable, and judgment may be entered upon it in any court of competent jurisdiction.</w:t>
      </w:r>
    </w:p>
    <w:p>
      <w:pPr>
        <w:spacing w:after="0" w:line="126" w:lineRule="exact"/>
        <w:rPr>
          <w:sz w:val="20"/>
          <w:szCs w:val="20"/>
          <w:color w:val="auto"/>
        </w:rPr>
      </w:pPr>
    </w:p>
    <w:p>
      <w:pPr>
        <w:jc w:val="both"/>
        <w:ind w:left="520" w:right="20" w:firstLine="567"/>
        <w:spacing w:after="0" w:line="224" w:lineRule="auto"/>
        <w:tabs>
          <w:tab w:leader="none" w:pos="1600" w:val="left"/>
        </w:tabs>
        <w:numPr>
          <w:ilvl w:val="0"/>
          <w:numId w:val="6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Each Party shall bear its own attorney’s fees, costs, and disbursements arising out of the 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shall pay an equal share of the fees and costs of the arbitrators; provided, however, that the arbitrators shall be authorized to determine whether a Party is the prevailing party, and if so, to award to that prevailing party reimbursement for any or all of its reasonable attorneys’ fees, costs and disbursements (including, for example, expert witness fees and expenses, photocopy charges, travel expenses, etc.), and/or the fees and costs of the HKIACand the arbitrator.</w:t>
      </w:r>
    </w:p>
    <w:p>
      <w:pPr>
        <w:spacing w:after="0" w:line="132" w:lineRule="exact"/>
        <w:rPr>
          <w:rFonts w:ascii="Times New Roman" w:cs="Times New Roman" w:eastAsia="Times New Roman" w:hAnsi="Times New Roman"/>
          <w:sz w:val="19"/>
          <w:szCs w:val="19"/>
          <w:color w:val="auto"/>
        </w:rPr>
      </w:pPr>
    </w:p>
    <w:p>
      <w:pPr>
        <w:ind w:left="520" w:right="20" w:firstLine="567"/>
        <w:spacing w:after="0" w:line="249" w:lineRule="auto"/>
        <w:tabs>
          <w:tab w:leader="none" w:pos="1600" w:val="left"/>
        </w:tabs>
        <w:numPr>
          <w:ilvl w:val="0"/>
          <w:numId w:val="6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Protective Orders. </w:t>
      </w:r>
      <w:r>
        <w:rPr>
          <w:rFonts w:ascii="Times New Roman" w:cs="Times New Roman" w:eastAsia="Times New Roman" w:hAnsi="Times New Roman"/>
          <w:sz w:val="19"/>
          <w:szCs w:val="19"/>
          <w:color w:val="auto"/>
        </w:rPr>
        <w:t>At the request of either Party, the Tribunal shall enter an appropriate protective order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maintain the confidentiality of information produced or exchanged in the course of the arbitration proceedings.</w:t>
      </w:r>
    </w:p>
    <w:p>
      <w:pPr>
        <w:spacing w:after="0" w:line="1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15.5 Interim Relief</w:t>
      </w:r>
      <w:r>
        <w:rPr>
          <w:rFonts w:ascii="Times New Roman" w:cs="Times New Roman" w:eastAsia="Times New Roman" w:hAnsi="Times New Roman"/>
          <w:sz w:val="19"/>
          <w:szCs w:val="19"/>
          <w:color w:val="auto"/>
        </w:rPr>
        <w:t>. Each Party shall be entitled to take action in any court with competent jurisdiction to apply for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granted emergency or other interim relief and otherwise enforce by injunction, specific performance or other equitable relief, without prejudice to any other rights and remedies that it may have under this Agreement.</w:t>
      </w:r>
    </w:p>
    <w:p>
      <w:pPr>
        <w:spacing w:after="0" w:line="132"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15. 6 Continued Performance</w:t>
      </w:r>
      <w:r>
        <w:rPr>
          <w:rFonts w:ascii="Times New Roman" w:cs="Times New Roman" w:eastAsia="Times New Roman" w:hAnsi="Times New Roman"/>
          <w:sz w:val="19"/>
          <w:szCs w:val="19"/>
          <w:color w:val="auto"/>
        </w:rPr>
        <w:t>. Provided that this Agreement has not been terminated in its entirety, the Parties agree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 performing under this Agreement in accordance with its provisions, pending the final resolution of any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Article 16</w:t>
      </w:r>
    </w:p>
    <w:p>
      <w:pPr>
        <w:ind w:left="372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42"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9"/>
          <w:szCs w:val="19"/>
          <w:b w:val="1"/>
          <w:bCs w:val="1"/>
          <w:color w:val="auto"/>
        </w:rPr>
        <w:t>16.1 Governing Law</w:t>
      </w:r>
      <w:r>
        <w:rPr>
          <w:rFonts w:ascii="Times New Roman" w:cs="Times New Roman" w:eastAsia="Times New Roman" w:hAnsi="Times New Roman"/>
          <w:sz w:val="19"/>
          <w:szCs w:val="19"/>
          <w:color w:val="auto"/>
        </w:rPr>
        <w:t>. This Agreement and any disputes, claims, or actions related thereto shall be governed by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construed in accordance with the laws of the State of New York, without regard to the conflicts of law provisions thereof.</w:t>
      </w:r>
    </w:p>
    <w:p>
      <w:pPr>
        <w:spacing w:after="0" w:line="123" w:lineRule="exact"/>
        <w:rPr>
          <w:sz w:val="20"/>
          <w:szCs w:val="20"/>
          <w:color w:val="auto"/>
        </w:rPr>
      </w:pPr>
    </w:p>
    <w:p>
      <w:pPr>
        <w:jc w:val="both"/>
        <w:ind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16.2 Entire Agreement; Amendment </w:t>
      </w:r>
      <w:r>
        <w:rPr>
          <w:rFonts w:ascii="Times New Roman" w:cs="Times New Roman" w:eastAsia="Times New Roman" w:hAnsi="Times New Roman"/>
          <w:sz w:val="19"/>
          <w:szCs w:val="19"/>
          <w:color w:val="auto"/>
        </w:rPr>
        <w:t>. This Agreement, including the Schedules hereto, sets forth all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agreements and understandings between the Parties with respect to the subject matter hereof and thereof, and supersedes and terminates all prior agreements and understandings between the Parties with respect to the subject matter hereof and thereof. There are no other agreements or understandings with respect to the subject matter hereof, either oral or written, between the Parties. Except as expressly set forth in this Agreement, no subsequent amendment, modification or addition to this Agreement shall be binding upon the Parties unless reduced to writing and signed by the respective authorized officers of the Parties.</w:t>
      </w:r>
    </w:p>
    <w:p>
      <w:pPr>
        <w:spacing w:after="0" w:line="132"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16.3 Further Assurances</w:t>
      </w:r>
      <w:r>
        <w:rPr>
          <w:rFonts w:ascii="Times New Roman" w:cs="Times New Roman" w:eastAsia="Times New Roman" w:hAnsi="Times New Roman"/>
          <w:sz w:val="19"/>
          <w:szCs w:val="19"/>
          <w:color w:val="auto"/>
        </w:rPr>
        <w:t>. Each Party shall duly execute and deliver, or cause to be duly executed and delivered,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further instruments and do and cause to be done such further acts and things, including the filing of such assignments, agreements, documents, and instruments, as may be necessary or as any other Party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47 of 102</w:t>
      </w:r>
    </w:p>
    <w:p>
      <w:pPr>
        <w:sectPr>
          <w:pgSz w:w="11900" w:h="16840" w:orient="portrait"/>
          <w:cols w:equalWidth="0" w:num="1">
            <w:col w:w="9860"/>
          </w:cols>
          <w:pgMar w:left="1380" w:top="1440" w:right="660" w:bottom="1440" w:gutter="0" w:footer="0" w:header="0"/>
        </w:sectPr>
      </w:pPr>
    </w:p>
    <w:bookmarkStart w:id="611" w:name="page612"/>
    <w:bookmarkEnd w:id="611"/>
    <w:p>
      <w:pPr>
        <w:spacing w:after="0" w:line="25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9"/>
          <w:szCs w:val="19"/>
          <w:color w:val="auto"/>
        </w:rPr>
        <w:t>request in connection with this Agreement or to carry out more effectively the provisions and purposes hereof, or to better assure and confirm unto such other Party its rights and remedies under this Agreement.</w:t>
      </w:r>
    </w:p>
    <w:p>
      <w:pPr>
        <w:spacing w:after="0" w:line="126" w:lineRule="exact"/>
        <w:rPr>
          <w:sz w:val="20"/>
          <w:szCs w:val="20"/>
          <w:color w:val="auto"/>
        </w:rPr>
      </w:pPr>
    </w:p>
    <w:p>
      <w:pPr>
        <w:jc w:val="both"/>
        <w:ind w:right="40" w:firstLine="432"/>
        <w:spacing w:after="0" w:line="220" w:lineRule="auto"/>
        <w:rPr>
          <w:sz w:val="20"/>
          <w:szCs w:val="20"/>
          <w:color w:val="auto"/>
        </w:rPr>
      </w:pPr>
      <w:r>
        <w:rPr>
          <w:rFonts w:ascii="Times New Roman" w:cs="Times New Roman" w:eastAsia="Times New Roman" w:hAnsi="Times New Roman"/>
          <w:sz w:val="19"/>
          <w:szCs w:val="19"/>
          <w:b w:val="1"/>
          <w:bCs w:val="1"/>
          <w:color w:val="auto"/>
        </w:rPr>
        <w:t>16.4 Relationship Between the Parties</w:t>
      </w:r>
      <w:r>
        <w:rPr>
          <w:rFonts w:ascii="Times New Roman" w:cs="Times New Roman" w:eastAsia="Times New Roman" w:hAnsi="Times New Roman"/>
          <w:sz w:val="19"/>
          <w:szCs w:val="19"/>
          <w:color w:val="auto"/>
        </w:rPr>
        <w:t>. The Parties’ relationship, as established by this Agreement, is solely that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independent contractors. This Agreement does not create any partnership, joint venture or similar business relationship or legal entity of any type between the Parties. Neither Party is a legal representative of the other Party, and neither Party can assume or create any obligation, representation, warranty or guarantee, express or implied, on behalf of the other Party for any purpose whatsoever. Neither Party shall treat or report the relationship arising under this Agreement as a partnership for United States tax purposes unless otherwise required pursuant to a determination within the meaning of Section 1313 of the Internal Revenue Code of 1986, as amended.</w:t>
      </w:r>
    </w:p>
    <w:p>
      <w:pPr>
        <w:spacing w:after="0" w:line="135"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16. 5 Non-Waiver </w:t>
      </w:r>
      <w:r>
        <w:rPr>
          <w:rFonts w:ascii="Times New Roman" w:cs="Times New Roman" w:eastAsia="Times New Roman" w:hAnsi="Times New Roman"/>
          <w:sz w:val="19"/>
          <w:szCs w:val="19"/>
          <w:color w:val="auto"/>
        </w:rPr>
        <w:t>. The failure of a Party to insist upon strict performance of any provision of this Agreement 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of a particular scope, and shall be signed by such Party.</w:t>
      </w:r>
    </w:p>
    <w:p>
      <w:pPr>
        <w:spacing w:after="0" w:line="133" w:lineRule="exact"/>
        <w:rPr>
          <w:sz w:val="20"/>
          <w:szCs w:val="20"/>
          <w:color w:val="auto"/>
        </w:rPr>
      </w:pPr>
    </w:p>
    <w:p>
      <w:pPr>
        <w:jc w:val="both"/>
        <w:ind w:right="40" w:firstLine="432"/>
        <w:spacing w:after="0" w:line="216" w:lineRule="auto"/>
        <w:rPr>
          <w:sz w:val="20"/>
          <w:szCs w:val="20"/>
          <w:color w:val="auto"/>
        </w:rPr>
      </w:pPr>
      <w:r>
        <w:rPr>
          <w:rFonts w:ascii="Times New Roman" w:cs="Times New Roman" w:eastAsia="Times New Roman" w:hAnsi="Times New Roman"/>
          <w:sz w:val="19"/>
          <w:szCs w:val="19"/>
          <w:b w:val="1"/>
          <w:bCs w:val="1"/>
          <w:color w:val="auto"/>
        </w:rPr>
        <w:t>16.6 Assignment</w:t>
      </w:r>
      <w:r>
        <w:rPr>
          <w:rFonts w:ascii="Times New Roman" w:cs="Times New Roman" w:eastAsia="Times New Roman" w:hAnsi="Times New Roman"/>
          <w:sz w:val="19"/>
          <w:szCs w:val="19"/>
          <w:color w:val="auto"/>
        </w:rPr>
        <w:t>. Except as expressly provided hereunder, neither this Agreement nor any rights or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 may be assigned by a Party without the prior written consent of the other Party (which shall not be unreasonably withheld, conditioned or delayed), except to (a) an Affiliate; provided that this Agreement shall be assigned in whole, and the assigning Party shall remain liable and responsible to the non-assigning Party hereto for the performance and observance of all such duties and obligations by such Affiliate; (b) a Third Party in connection with the sale of all or substantially all of its assets to which this Agreement relates, whether in a sale of stock, sale of assets, business combination, reorganization, or other transaction or series of related transactions. Unless expressly stated otherwise in this Agreement, Duality may assign without the prior consent of Licensee its right to receive payments under this Agreement or grant any security interest in its rights, title and interest in this Agreement, in whole or in part and in their entirety or in portions, to an institutional financier in connection with a financing transaction; provided that Duality has given Licensee a prior written notice regarding such assignment. The rights and obligations of the Parties under this Agreement shall be binding upon and inure to the benefit of the permitted assigns of the Parties. Any assignment not in accordance with this Agreement shall be void.</w:t>
      </w:r>
    </w:p>
    <w:p>
      <w:pPr>
        <w:spacing w:after="0" w:line="137" w:lineRule="exact"/>
        <w:rPr>
          <w:sz w:val="20"/>
          <w:szCs w:val="20"/>
          <w:color w:val="auto"/>
        </w:rPr>
      </w:pPr>
    </w:p>
    <w:p>
      <w:pPr>
        <w:jc w:val="both"/>
        <w:ind w:right="60" w:firstLine="432"/>
        <w:spacing w:after="0" w:line="233" w:lineRule="auto"/>
        <w:rPr>
          <w:sz w:val="20"/>
          <w:szCs w:val="20"/>
          <w:color w:val="auto"/>
        </w:rPr>
      </w:pPr>
      <w:r>
        <w:rPr>
          <w:rFonts w:ascii="Times New Roman" w:cs="Times New Roman" w:eastAsia="Times New Roman" w:hAnsi="Times New Roman"/>
          <w:sz w:val="19"/>
          <w:szCs w:val="19"/>
          <w:b w:val="1"/>
          <w:bCs w:val="1"/>
          <w:color w:val="auto"/>
        </w:rPr>
        <w:t>16.7 Third Party Beneficiaries</w:t>
      </w:r>
      <w:r>
        <w:rPr>
          <w:rFonts w:ascii="Times New Roman" w:cs="Times New Roman" w:eastAsia="Times New Roman" w:hAnsi="Times New Roman"/>
          <w:sz w:val="19"/>
          <w:szCs w:val="19"/>
          <w:color w:val="auto"/>
        </w:rPr>
        <w:t>. This Agreement is not intended to and shall not be construed to give any Third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interest or rights (including any third party beneficiary rights) with respect to or in connection with any agreement or provision contained herein or contemplated hereby.</w:t>
      </w:r>
    </w:p>
    <w:p>
      <w:pPr>
        <w:spacing w:after="0" w:line="132" w:lineRule="exact"/>
        <w:rPr>
          <w:sz w:val="20"/>
          <w:szCs w:val="20"/>
          <w:color w:val="auto"/>
        </w:rPr>
      </w:pPr>
    </w:p>
    <w:p>
      <w:pPr>
        <w:jc w:val="both"/>
        <w:ind w:right="60"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16.8 Severability</w:t>
      </w:r>
      <w:r>
        <w:rPr>
          <w:rFonts w:ascii="Times New Roman" w:cs="Times New Roman" w:eastAsia="Times New Roman" w:hAnsi="Times New Roman"/>
          <w:sz w:val="19"/>
          <w:szCs w:val="19"/>
          <w:color w:val="auto"/>
        </w:rPr>
        <w:t>. If, for any reason, any part of this Agreement is adjudicated invalid, unenforceable or illegal by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court of competent jurisdiction, such adjudication shall not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 The Parties shall use their commercially reasonable efforts to replace the invalid, illegal or unenforceable provision(s) with valid,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48 of 102</w:t>
      </w:r>
    </w:p>
    <w:p>
      <w:pPr>
        <w:sectPr>
          <w:pgSz w:w="11900" w:h="16840" w:orient="portrait"/>
          <w:cols w:equalWidth="0" w:num="1">
            <w:col w:w="9900"/>
          </w:cols>
          <w:pgMar w:left="1380" w:top="1440" w:right="620" w:bottom="1440" w:gutter="0" w:footer="0" w:header="0"/>
        </w:sectPr>
      </w:pPr>
    </w:p>
    <w:bookmarkStart w:id="612" w:name="page613"/>
    <w:bookmarkEnd w:id="612"/>
    <w:p>
      <w:pPr>
        <w:spacing w:after="0" w:line="257" w:lineRule="exact"/>
        <w:rPr>
          <w:sz w:val="20"/>
          <w:szCs w:val="20"/>
          <w:color w:val="auto"/>
        </w:rPr>
      </w:pPr>
    </w:p>
    <w:p>
      <w:pPr>
        <w:jc w:val="both"/>
        <w:ind w:left="660" w:right="20"/>
        <w:spacing w:after="0" w:line="246" w:lineRule="auto"/>
        <w:rPr>
          <w:sz w:val="20"/>
          <w:szCs w:val="20"/>
          <w:color w:val="auto"/>
        </w:rPr>
      </w:pPr>
      <w:r>
        <w:rPr>
          <w:rFonts w:ascii="Times New Roman" w:cs="Times New Roman" w:eastAsia="Times New Roman" w:hAnsi="Times New Roman"/>
          <w:sz w:val="19"/>
          <w:szCs w:val="19"/>
          <w:color w:val="auto"/>
        </w:rPr>
        <w:t>enforceable provision(s) in a way that, to the extent practicable and legally permissible, implements the original intent of the Parties.</w:t>
      </w:r>
    </w:p>
    <w:p>
      <w:pPr>
        <w:spacing w:after="0" w:line="126" w:lineRule="exact"/>
        <w:rPr>
          <w:sz w:val="20"/>
          <w:szCs w:val="20"/>
          <w:color w:val="auto"/>
        </w:rPr>
      </w:pPr>
    </w:p>
    <w:p>
      <w:pPr>
        <w:jc w:val="both"/>
        <w:ind w:left="660" w:right="20" w:firstLine="432"/>
        <w:spacing w:after="0" w:line="222" w:lineRule="auto"/>
        <w:rPr>
          <w:sz w:val="20"/>
          <w:szCs w:val="20"/>
          <w:color w:val="auto"/>
        </w:rPr>
      </w:pPr>
      <w:r>
        <w:rPr>
          <w:rFonts w:ascii="Times New Roman" w:cs="Times New Roman" w:eastAsia="Times New Roman" w:hAnsi="Times New Roman"/>
          <w:sz w:val="19"/>
          <w:szCs w:val="19"/>
          <w:b w:val="1"/>
          <w:bCs w:val="1"/>
          <w:color w:val="auto"/>
        </w:rPr>
        <w:t>16.9 Notices</w:t>
      </w:r>
      <w:r>
        <w:rPr>
          <w:rFonts w:ascii="Times New Roman" w:cs="Times New Roman" w:eastAsia="Times New Roman" w:hAnsi="Times New Roman"/>
          <w:sz w:val="19"/>
          <w:szCs w:val="19"/>
          <w:color w:val="auto"/>
        </w:rPr>
        <w:t>. Any notice to be given under this Agreement must be in writing and delivered either in person, by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method of mail (postage prepaid) requiring return receipt, or by overnight courier or facsimile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delivered by overnight courier, [***] Business Days after delivery; or (c) if sent by facsimile, upon electronic confirmation of receipt.</w:t>
      </w:r>
    </w:p>
    <w:p>
      <w:pPr>
        <w:sectPr>
          <w:pgSz w:w="11900" w:h="16840" w:orient="portrait"/>
          <w:cols w:equalWidth="0" w:num="1">
            <w:col w:w="10520"/>
          </w:cols>
          <w:pgMar w:left="720" w:top="1440" w:right="660"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to Duality: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Duality Biologics (Suzhou) Co., Ltd</w:t>
      </w:r>
    </w:p>
    <w:p>
      <w:pPr>
        <w:spacing w:after="0" w:line="17" w:lineRule="exact"/>
        <w:rPr>
          <w:sz w:val="20"/>
          <w:szCs w:val="20"/>
          <w:color w:val="auto"/>
        </w:rPr>
      </w:pPr>
    </w:p>
    <w:p>
      <w:pPr>
        <w:sectPr>
          <w:pgSz w:w="11900" w:h="16840" w:orient="portrait"/>
          <w:cols w:equalWidth="0" w:num="2">
            <w:col w:w="4440" w:space="720"/>
            <w:col w:w="5360"/>
          </w:cols>
          <w:pgMar w:left="720" w:top="1440" w:right="660"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9"/>
          <w:szCs w:val="19"/>
          <w:color w:val="auto"/>
        </w:rPr>
        <w:t>Unit 1106, No 868 Yinghua Road, Pudong New District, Shanghai,</w:t>
      </w:r>
    </w:p>
    <w:p>
      <w:pPr>
        <w:ind w:left="5160"/>
        <w:spacing w:after="0"/>
        <w:rPr>
          <w:sz w:val="20"/>
          <w:szCs w:val="20"/>
          <w:color w:val="auto"/>
        </w:rPr>
      </w:pPr>
      <w:r>
        <w:rPr>
          <w:rFonts w:ascii="Times New Roman" w:cs="Times New Roman" w:eastAsia="Times New Roman" w:hAnsi="Times New Roman"/>
          <w:sz w:val="19"/>
          <w:szCs w:val="19"/>
          <w:color w:val="auto"/>
        </w:rPr>
        <w:t>China</w:t>
      </w:r>
    </w:p>
    <w:p>
      <w:pPr>
        <w:spacing w:after="0" w:line="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Attention: [***]</w:t>
      </w:r>
    </w:p>
    <w:p>
      <w:pPr>
        <w:spacing w:after="0" w:line="2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Email: [***]</w:t>
      </w:r>
    </w:p>
    <w:p>
      <w:pPr>
        <w:sectPr>
          <w:pgSz w:w="11900" w:h="16840" w:orient="portrait"/>
          <w:cols w:equalWidth="0" w:num="1">
            <w:col w:w="10520"/>
          </w:cols>
          <w:pgMar w:left="720" w:top="1440" w:right="660"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ectPr>
          <w:pgSz w:w="11900" w:h="16840" w:orient="portrait"/>
          <w:cols w:equalWidth="0" w:num="2">
            <w:col w:w="4440" w:space="720"/>
            <w:col w:w="5360"/>
          </w:cols>
          <w:pgMar w:left="720" w:top="1440" w:right="660"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20"/>
          </w:cols>
          <w:pgMar w:left="720" w:top="1440" w:right="660"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to Licensee: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BIONTECH SE</w:t>
      </w:r>
    </w:p>
    <w:p>
      <w:pPr>
        <w:spacing w:after="0" w:line="210" w:lineRule="auto"/>
        <w:rPr>
          <w:sz w:val="20"/>
          <w:szCs w:val="20"/>
          <w:color w:val="auto"/>
        </w:rPr>
      </w:pP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19"/>
          <w:szCs w:val="19"/>
          <w:color w:val="auto"/>
        </w:rPr>
        <w:t>Address: An der Goldgrube 12,</w:t>
      </w:r>
    </w:p>
    <w:p>
      <w:pPr>
        <w:spacing w:after="0" w:line="211" w:lineRule="auto"/>
        <w:rPr>
          <w:sz w:val="20"/>
          <w:szCs w:val="20"/>
          <w:color w:val="auto"/>
        </w:rPr>
      </w:pPr>
      <w:r>
        <w:rPr>
          <w:rFonts w:ascii="Times New Roman" w:cs="Times New Roman" w:eastAsia="Times New Roman" w:hAnsi="Times New Roman"/>
          <w:sz w:val="19"/>
          <w:szCs w:val="19"/>
          <w:color w:val="auto"/>
        </w:rPr>
        <w:t>55131 Mainz,</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Germany</w:t>
      </w:r>
    </w:p>
    <w:p>
      <w:pPr>
        <w:spacing w:after="0" w:line="200" w:lineRule="exact"/>
        <w:rPr>
          <w:sz w:val="20"/>
          <w:szCs w:val="20"/>
          <w:color w:val="auto"/>
        </w:rPr>
      </w:pPr>
    </w:p>
    <w:p>
      <w:pPr>
        <w:sectPr>
          <w:pgSz w:w="11900" w:h="16840" w:orient="portrait"/>
          <w:cols w:equalWidth="0" w:num="2">
            <w:col w:w="4440" w:space="720"/>
            <w:col w:w="5360"/>
          </w:cols>
          <w:pgMar w:left="720" w:top="1440" w:right="660"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9"/>
          <w:szCs w:val="19"/>
          <w:color w:val="auto"/>
        </w:rPr>
        <w:t>Email: [***]</w:t>
      </w:r>
    </w:p>
    <w:p>
      <w:pPr>
        <w:spacing w:after="0" w:line="200" w:lineRule="exact"/>
        <w:rPr>
          <w:sz w:val="20"/>
          <w:szCs w:val="20"/>
          <w:color w:val="auto"/>
        </w:rPr>
      </w:pPr>
    </w:p>
    <w:p>
      <w:pPr>
        <w:sectPr>
          <w:pgSz w:w="11900" w:h="16840" w:orient="portrait"/>
          <w:cols w:equalWidth="0" w:num="2">
            <w:col w:w="4440" w:space="720"/>
            <w:col w:w="5360"/>
          </w:cols>
          <w:pgMar w:left="720" w:top="1440" w:right="660" w:bottom="1440" w:gutter="0" w:footer="0" w:header="0"/>
          <w:type w:val="continuous"/>
        </w:sectPr>
      </w:pPr>
    </w:p>
    <w:p>
      <w:pPr>
        <w:spacing w:after="0" w:line="96" w:lineRule="exact"/>
        <w:rPr>
          <w:sz w:val="20"/>
          <w:szCs w:val="20"/>
          <w:color w:val="auto"/>
        </w:rPr>
      </w:pPr>
    </w:p>
    <w:p>
      <w:pPr>
        <w:jc w:val="both"/>
        <w:ind w:left="660" w:firstLine="432"/>
        <w:spacing w:after="0" w:line="218" w:lineRule="auto"/>
        <w:rPr>
          <w:sz w:val="20"/>
          <w:szCs w:val="20"/>
          <w:color w:val="auto"/>
        </w:rPr>
      </w:pPr>
      <w:r>
        <w:rPr>
          <w:rFonts w:ascii="Times New Roman" w:cs="Times New Roman" w:eastAsia="Times New Roman" w:hAnsi="Times New Roman"/>
          <w:sz w:val="19"/>
          <w:szCs w:val="19"/>
          <w:b w:val="1"/>
          <w:bCs w:val="1"/>
          <w:color w:val="auto"/>
        </w:rPr>
        <w:t>16.10 Force Majeure</w:t>
      </w:r>
      <w:r>
        <w:rPr>
          <w:rFonts w:ascii="Times New Roman" w:cs="Times New Roman" w:eastAsia="Times New Roman" w:hAnsi="Times New Roman"/>
          <w:sz w:val="19"/>
          <w:szCs w:val="19"/>
          <w:color w:val="auto"/>
        </w:rPr>
        <w:t>. Each Party shall be excused from liability for the failure or delay in performance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obligation under this Agreement by reason of any event beyond such Party’s reasonable control including but not limited to acts of God, fire, flood, explosion, earthquake, or other natural forces, regional or worldwide epidemic, pandemic, war, civil unrest, acts of terrorism, accident, destruction or other casualty, and a material change in Applicable Law (a “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xml:space="preserve"> ”). Such excuse from liability shall be effective only to the extent and duration of the event(s) causing the failure or delay in performance and provided that the Party has not caused such event(s) to occur. Notice of a Party’s failure or delay in performance due to a Force Majeure Event must be given to the other Party within [***] days after its occurrence. The Party affected by a Force Majeure Event will use reasonable efforts to resume performance of its obligations and will keep the other Party informed of actions related thereto. If any such failure or delay in a Party’s performance hereunder continues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9"/>
          <w:szCs w:val="19"/>
          <w:color w:val="auto"/>
        </w:rPr>
        <w:t>Page 49 of 102</w:t>
      </w:r>
    </w:p>
    <w:p>
      <w:pPr>
        <w:sectPr>
          <w:pgSz w:w="11900" w:h="16840" w:orient="portrait"/>
          <w:cols w:equalWidth="0" w:num="1">
            <w:col w:w="10520"/>
          </w:cols>
          <w:pgMar w:left="720" w:top="1440" w:right="660" w:bottom="1440" w:gutter="0" w:footer="0" w:header="0"/>
          <w:type w:val="continuous"/>
        </w:sectPr>
      </w:pPr>
    </w:p>
    <w:bookmarkStart w:id="613" w:name="page614"/>
    <w:bookmarkEnd w:id="613"/>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more than [***] days, the other Party may terminate this Agreement upon written notice to the delayed Party.</w:t>
      </w:r>
    </w:p>
    <w:p>
      <w:pPr>
        <w:spacing w:after="0" w:line="164"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9"/>
          <w:szCs w:val="19"/>
          <w:b w:val="1"/>
          <w:bCs w:val="1"/>
          <w:color w:val="auto"/>
        </w:rPr>
        <w:t>16.11 Interpretation</w:t>
      </w:r>
      <w:r>
        <w:rPr>
          <w:rFonts w:ascii="Times New Roman" w:cs="Times New Roman" w:eastAsia="Times New Roman" w:hAnsi="Times New Roman"/>
          <w:sz w:val="19"/>
          <w:szCs w:val="19"/>
          <w:color w:val="auto"/>
        </w:rPr>
        <w:t>. The headings of clauses contained in this Agreement preceding the text of the sections,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The words “include”, “including”, “containing”, “comprising” and similar words shall not be deemed to be terms of limitation and shall be deemed to be followed by “without limitation,” whether or not specifically stated, and the language following such words shall not be deemed to set forth an exhaustive list. The word “or” means “and/or” unless the context dictates otherwise because the subject of the conjunction are mutually exclusive. The words “herein,” “hereof” and “hereunder” and other words of similar import refer to this Agreement as a whole and not to any particular Section or other subdivision. The words “pharmaceuticals” or “drugs” include biologics unless expressly indicated otherwise. All references to days in this Agreement shall mean calendar days, unless otherwise specified. All references to any Applicable Law in this Agreement shall mean such Applicable Law as amended, restated, supplanted or otherwise modified from time to time. Ambiguities and uncertainties in this Agreement, if any, shall not be interpreted against either Party, irrespective of which Party may be deemed to have caused the ambiguity or uncertainty to exist.</w:t>
      </w:r>
    </w:p>
    <w:p>
      <w:pPr>
        <w:spacing w:after="0" w:line="133"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9"/>
          <w:szCs w:val="19"/>
          <w:b w:val="1"/>
          <w:bCs w:val="1"/>
          <w:color w:val="auto"/>
        </w:rPr>
        <w:t>16.12 Construction</w:t>
      </w:r>
      <w:r>
        <w:rPr>
          <w:rFonts w:ascii="Times New Roman" w:cs="Times New Roman" w:eastAsia="Times New Roman" w:hAnsi="Times New Roman"/>
          <w:sz w:val="19"/>
          <w:szCs w:val="19"/>
          <w:color w:val="auto"/>
        </w:rPr>
        <w:t>. The Parties hereto acknowledge and agree that: (a) each Party and its counsel reviewed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33" w:lineRule="exact"/>
        <w:rPr>
          <w:sz w:val="20"/>
          <w:szCs w:val="20"/>
          <w:color w:val="auto"/>
        </w:rPr>
      </w:pPr>
    </w:p>
    <w:p>
      <w:pPr>
        <w:jc w:val="both"/>
        <w:ind w:firstLine="432"/>
        <w:spacing w:after="0" w:line="219" w:lineRule="auto"/>
        <w:rPr>
          <w:sz w:val="20"/>
          <w:szCs w:val="20"/>
          <w:color w:val="auto"/>
        </w:rPr>
      </w:pPr>
      <w:r>
        <w:rPr>
          <w:rFonts w:ascii="Times New Roman" w:cs="Times New Roman" w:eastAsia="Times New Roman" w:hAnsi="Times New Roman"/>
          <w:sz w:val="19"/>
          <w:szCs w:val="19"/>
          <w:b w:val="1"/>
          <w:bCs w:val="1"/>
          <w:color w:val="auto"/>
        </w:rPr>
        <w:t>16.13 Counterparts; Electronic Signatures</w:t>
      </w:r>
      <w:r>
        <w:rPr>
          <w:rFonts w:ascii="Times New Roman" w:cs="Times New Roman" w:eastAsia="Times New Roman" w:hAnsi="Times New Roman"/>
          <w:sz w:val="19"/>
          <w:szCs w:val="19"/>
          <w:color w:val="auto"/>
        </w:rPr>
        <w:t>. This Agreement may be executed in two (2) or more counterparts,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by transmission of facsimile or PDF copies of signature pages to the Parties or their representative legal counsel, each of which shall be deemed an original document, and all of which, together with this writing, shall be deemed one and the same instrument. Electronic, facsimile or PDF image signatures shall be treated as original signatures, with the understanding that each Party expressly agrees that such Party shall be bound by its own electronically transmitted signature and shall accept the electronically transmitted signature of the other Party (including through the use of eSignature platforms such as DocuSign®). No Party will raise the use of electronic delivery to transmit a signature or the fact that any signature or agreement or instrument was transmitted or communicated through the use of electronic delivery as a defense to the formation of a contract.</w:t>
      </w:r>
    </w:p>
    <w:p>
      <w:pPr>
        <w:spacing w:after="0" w:line="200" w:lineRule="exact"/>
        <w:rPr>
          <w:sz w:val="20"/>
          <w:szCs w:val="20"/>
          <w:color w:val="auto"/>
        </w:rPr>
      </w:pPr>
    </w:p>
    <w:p>
      <w:pPr>
        <w:spacing w:after="0" w:line="35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Page 50 of 102</w:t>
      </w:r>
    </w:p>
    <w:p>
      <w:pPr>
        <w:sectPr>
          <w:pgSz w:w="11900" w:h="16840" w:orient="portrait"/>
          <w:cols w:equalWidth="0" w:num="1">
            <w:col w:w="9860"/>
          </w:cols>
          <w:pgMar w:left="1380" w:top="1440" w:right="660" w:bottom="1440" w:gutter="0" w:footer="0" w:header="0"/>
        </w:sectPr>
      </w:pPr>
    </w:p>
    <w:bookmarkStart w:id="614" w:name="page615"/>
    <w:bookmarkEnd w:id="614"/>
    <w:p>
      <w:pPr>
        <w:spacing w:after="0" w:line="2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duly executed this</w:t>
      </w:r>
      <w:r>
        <w:rPr>
          <w:rFonts w:ascii="Times New Roman" w:cs="Times New Roman" w:eastAsia="Times New Roman" w:hAnsi="Times New Roman"/>
          <w:sz w:val="19"/>
          <w:szCs w:val="19"/>
          <w:b w:val="1"/>
          <w:bCs w:val="1"/>
          <w:color w:val="auto"/>
        </w:rPr>
        <w:t xml:space="preserve"> License and Collaboration Agreement </w:t>
      </w:r>
      <w:r>
        <w:rPr>
          <w:rFonts w:ascii="Times New Roman" w:cs="Times New Roman" w:eastAsia="Times New Roman" w:hAnsi="Times New Roman"/>
          <w:sz w:val="19"/>
          <w:szCs w:val="19"/>
          <w:color w:val="auto"/>
        </w:rPr>
        <w:t>as of the Effective</w:t>
      </w:r>
    </w:p>
    <w:p>
      <w:pPr>
        <w:ind w:left="20"/>
        <w:spacing w:after="0"/>
        <w:rPr>
          <w:sz w:val="20"/>
          <w:szCs w:val="20"/>
          <w:color w:val="auto"/>
        </w:rPr>
      </w:pPr>
      <w:r>
        <w:rPr>
          <w:rFonts w:ascii="Times New Roman" w:cs="Times New Roman" w:eastAsia="Times New Roman" w:hAnsi="Times New Roman"/>
          <w:sz w:val="19"/>
          <w:szCs w:val="19"/>
          <w:color w:val="auto"/>
        </w:rPr>
        <w:t>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0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tc>
        <w:tc>
          <w:tcPr>
            <w:tcW w:w="5860" w:type="dxa"/>
            <w:vAlign w:val="bottom"/>
            <w:gridSpan w:val="9"/>
          </w:tcPr>
          <w:p>
            <w:pPr>
              <w:ind w:left="1140"/>
              <w:spacing w:after="0"/>
              <w:rPr>
                <w:sz w:val="20"/>
                <w:szCs w:val="20"/>
                <w:color w:val="auto"/>
              </w:rPr>
            </w:pPr>
            <w:r>
              <w:rPr>
                <w:rFonts w:ascii="Times New Roman" w:cs="Times New Roman" w:eastAsia="Times New Roman" w:hAnsi="Times New Roman"/>
                <w:sz w:val="19"/>
                <w:szCs w:val="19"/>
                <w:b w:val="1"/>
                <w:bCs w:val="1"/>
                <w:color w:val="auto"/>
              </w:rPr>
              <w:t>BioNTech SE</w:t>
            </w:r>
          </w:p>
        </w:tc>
      </w:tr>
      <w:tr>
        <w:trPr>
          <w:trHeight w:val="386"/>
        </w:trPr>
        <w:tc>
          <w:tcPr>
            <w:tcW w:w="41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By: /s/ Zhongyuan John Zhu</w:t>
            </w: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By: /s/ Ugur Sahin</w:t>
            </w:r>
          </w:p>
        </w:tc>
      </w:tr>
      <w:tr>
        <w:trPr>
          <w:trHeight w:val="20"/>
        </w:trPr>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0"/>
        </w:trPr>
        <w:tc>
          <w:tcPr>
            <w:tcW w:w="41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Name: Zhongyuan John Zhu</w:t>
            </w: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Name: Ugur Sahin</w:t>
            </w:r>
          </w:p>
        </w:tc>
      </w:tr>
      <w:tr>
        <w:trPr>
          <w:trHeight w:val="20"/>
        </w:trPr>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0"/>
        </w:trPr>
        <w:tc>
          <w:tcPr>
            <w:tcW w:w="41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Title: Chief Executive Officer</w:t>
            </w: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Title: Chief Executive Officer</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7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By: /s/ Sean Marett</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220"/>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Name: Sean Marett</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220"/>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60" w:type="dxa"/>
            <w:vAlign w:val="bottom"/>
            <w:gridSpan w:val="9"/>
          </w:tcPr>
          <w:p>
            <w:pPr>
              <w:ind w:left="1240"/>
              <w:spacing w:after="0"/>
              <w:rPr>
                <w:sz w:val="20"/>
                <w:szCs w:val="20"/>
                <w:color w:val="auto"/>
              </w:rPr>
            </w:pPr>
            <w:r>
              <w:rPr>
                <w:rFonts w:ascii="Times New Roman" w:cs="Times New Roman" w:eastAsia="Times New Roman" w:hAnsi="Times New Roman"/>
                <w:sz w:val="19"/>
                <w:szCs w:val="19"/>
                <w:color w:val="auto"/>
              </w:rPr>
              <w:t>Title: Chief Business Officer and Chief Commercial Officer</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Signature Page to HER2 Collaboration And License Agreement Page 51 of 102</w:t>
      </w:r>
    </w:p>
    <w:p>
      <w:pPr>
        <w:sectPr>
          <w:pgSz w:w="11900" w:h="16840" w:orient="portrait"/>
          <w:cols w:equalWidth="0" w:num="1">
            <w:col w:w="10580"/>
          </w:cols>
          <w:pgMar w:left="640" w:top="1440" w:right="680" w:bottom="1440" w:gutter="0" w:footer="0" w:header="0"/>
        </w:sectPr>
      </w:pPr>
    </w:p>
    <w:bookmarkStart w:id="615" w:name="page616"/>
    <w:bookmarkEnd w:id="615"/>
    <w:p>
      <w:pPr>
        <w:spacing w:after="0" w:line="255"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19"/>
          <w:szCs w:val="19"/>
          <w:b w:val="1"/>
          <w:bCs w:val="1"/>
          <w:color w:val="auto"/>
        </w:rPr>
        <w:t>Schedule 1.1</w:t>
      </w:r>
    </w:p>
    <w:p>
      <w:pPr>
        <w:spacing w:after="0" w:line="166" w:lineRule="exact"/>
        <w:rPr>
          <w:sz w:val="20"/>
          <w:szCs w:val="20"/>
          <w:color w:val="auto"/>
        </w:rPr>
      </w:pPr>
    </w:p>
    <w:p>
      <w:pPr>
        <w:ind w:left="4794"/>
        <w:spacing w:after="0"/>
        <w:rPr>
          <w:sz w:val="20"/>
          <w:szCs w:val="20"/>
          <w:color w:val="auto"/>
        </w:rPr>
      </w:pPr>
      <w:r>
        <w:rPr>
          <w:rFonts w:ascii="Times New Roman" w:cs="Times New Roman" w:eastAsia="Times New Roman" w:hAnsi="Times New Roman"/>
          <w:sz w:val="19"/>
          <w:szCs w:val="19"/>
          <w:b w:val="1"/>
          <w:bCs w:val="1"/>
          <w:color w:val="auto"/>
        </w:rPr>
        <w:t>ABC Terms</w:t>
      </w:r>
    </w:p>
    <w:p>
      <w:pPr>
        <w:spacing w:after="0" w:line="192" w:lineRule="exact"/>
        <w:rPr>
          <w:sz w:val="20"/>
          <w:szCs w:val="20"/>
          <w:color w:val="auto"/>
        </w:rPr>
      </w:pPr>
    </w:p>
    <w:p>
      <w:pPr>
        <w:jc w:val="both"/>
        <w:ind w:left="294" w:right="40" w:hanging="294"/>
        <w:spacing w:after="0" w:line="288" w:lineRule="auto"/>
        <w:tabs>
          <w:tab w:leader="none" w:pos="294"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it will not undertake any activities which will result in a violation of any applicable laws, regulations, and applicable industry and professional codes, including but not limited to applicable local and extraterritorial anti-bribery, Anti-Corruption Laws and anti-money laundering laws (collectively "</w:t>
      </w:r>
      <w:r>
        <w:rPr>
          <w:rFonts w:ascii="Times New Roman" w:cs="Times New Roman" w:eastAsia="Times New Roman" w:hAnsi="Times New Roman"/>
          <w:sz w:val="19"/>
          <w:szCs w:val="19"/>
          <w:b w:val="1"/>
          <w:bCs w:val="1"/>
          <w:color w:val="auto"/>
        </w:rPr>
        <w:t>Prohibited Conduct</w:t>
      </w:r>
      <w:r>
        <w:rPr>
          <w:rFonts w:ascii="Times New Roman" w:cs="Times New Roman" w:eastAsia="Times New Roman" w:hAnsi="Times New Roman"/>
          <w:sz w:val="19"/>
          <w:szCs w:val="19"/>
          <w:color w:val="auto"/>
        </w:rPr>
        <w:t>") in connection with the performance of any activities under this Agreement.</w:t>
      </w:r>
    </w:p>
    <w:p>
      <w:pPr>
        <w:spacing w:after="0" w:line="55" w:lineRule="exact"/>
        <w:rPr>
          <w:rFonts w:ascii="Times New Roman" w:cs="Times New Roman" w:eastAsia="Times New Roman" w:hAnsi="Times New Roman"/>
          <w:sz w:val="19"/>
          <w:szCs w:val="19"/>
          <w:color w:val="auto"/>
        </w:rPr>
      </w:pPr>
    </w:p>
    <w:p>
      <w:pPr>
        <w:jc w:val="both"/>
        <w:ind w:left="294" w:hanging="294"/>
        <w:spacing w:after="0" w:line="282" w:lineRule="auto"/>
        <w:tabs>
          <w:tab w:leader="none" w:pos="294"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particular, each Party agrees that during the course of the performance of activities under this Agreement, it (i) shall not make any offer, payment, or promise to pay money or provide anything of value to a Government Official (as defined below) or any other individual and/or legal entity whether directly or indirectly, for the purpose of improperly influencing any act and/or decision of, and/or for securing any improper advantage; (ii) shall not accept, receive, agree to accept and/or receive a payment and/or anything of value from any individual for undue favorable treatment in obtaining, retaining, and/or directing business for, and/or to obtain any undue special concession on behalf of either Party; and (iii) shall not facilitate any payments to any Government Official to expedite a routine government action and/or other official act.</w:t>
      </w:r>
    </w:p>
    <w:p>
      <w:pPr>
        <w:spacing w:after="0" w:line="61" w:lineRule="exact"/>
        <w:rPr>
          <w:rFonts w:ascii="Times New Roman" w:cs="Times New Roman" w:eastAsia="Times New Roman" w:hAnsi="Times New Roman"/>
          <w:sz w:val="19"/>
          <w:szCs w:val="19"/>
          <w:color w:val="auto"/>
        </w:rPr>
      </w:pPr>
    </w:p>
    <w:p>
      <w:pPr>
        <w:jc w:val="both"/>
        <w:ind w:left="294" w:right="40"/>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Government Official</w:t>
      </w:r>
      <w:r>
        <w:rPr>
          <w:rFonts w:ascii="Times New Roman" w:cs="Times New Roman" w:eastAsia="Times New Roman" w:hAnsi="Times New Roman"/>
          <w:sz w:val="19"/>
          <w:szCs w:val="19"/>
          <w:color w:val="auto"/>
        </w:rPr>
        <w:t>” shall include (i) individuals acting on behalf of governments on a national, regional and local level (such as elected officials, customs officials, tax officials, etc.); (ii) individuals acting on behalf of government-owned or government-controlled enterprises; (iii) individuals acting for political parties or as or on behalf of candidates for public office; and (iv) individuals acting on behalf of public international organizations (such as the WHO, World Bank, OECD, etc.).</w:t>
      </w:r>
    </w:p>
    <w:p>
      <w:pPr>
        <w:spacing w:after="0" w:line="53" w:lineRule="exact"/>
        <w:rPr>
          <w:rFonts w:ascii="Times New Roman" w:cs="Times New Roman" w:eastAsia="Times New Roman" w:hAnsi="Times New Roman"/>
          <w:sz w:val="19"/>
          <w:szCs w:val="19"/>
          <w:color w:val="auto"/>
        </w:rPr>
      </w:pPr>
    </w:p>
    <w:p>
      <w:pPr>
        <w:jc w:val="both"/>
        <w:ind w:left="294" w:right="40" w:hanging="294"/>
        <w:spacing w:after="0" w:line="288" w:lineRule="auto"/>
        <w:tabs>
          <w:tab w:leader="none" w:pos="294"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and expenses incurred on behalf of either Party shall be accurately recorded and maintained in the respective Party’s books and records in a timely manner and in reasonable detail in accordance with the applicable generally accepted accounting principles. False, misleading, incomplete, duplicated, inaccurate or artificial entries for the foregoing expenses in a Party’s books and records are strictly prohibited.</w:t>
      </w:r>
    </w:p>
    <w:p>
      <w:pPr>
        <w:spacing w:after="0" w:line="55" w:lineRule="exact"/>
        <w:rPr>
          <w:rFonts w:ascii="Times New Roman" w:cs="Times New Roman" w:eastAsia="Times New Roman" w:hAnsi="Times New Roman"/>
          <w:sz w:val="19"/>
          <w:szCs w:val="19"/>
          <w:color w:val="auto"/>
        </w:rPr>
      </w:pPr>
    </w:p>
    <w:p>
      <w:pPr>
        <w:jc w:val="both"/>
        <w:ind w:left="294" w:right="40" w:hanging="294"/>
        <w:spacing w:after="0" w:line="276" w:lineRule="auto"/>
        <w:tabs>
          <w:tab w:leader="none" w:pos="294"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w:t>
      </w:r>
      <w:r>
        <w:rPr>
          <w:rFonts w:ascii="Times New Roman" w:cs="Times New Roman" w:eastAsia="Times New Roman" w:hAnsi="Times New Roman"/>
          <w:sz w:val="19"/>
          <w:szCs w:val="19"/>
          <w:color w:val="222222"/>
        </w:rPr>
        <w:t>agrees that if it becomes aware or has reason to suspect that any person or legal entity acting on</w:t>
      </w:r>
      <w:r>
        <w:rPr>
          <w:rFonts w:ascii="Times New Roman" w:cs="Times New Roman" w:eastAsia="Times New Roman" w:hAnsi="Times New Roman"/>
          <w:sz w:val="19"/>
          <w:szCs w:val="19"/>
          <w:color w:val="auto"/>
        </w:rPr>
        <w:t xml:space="preserve"> the Party</w:t>
      </w:r>
      <w:r>
        <w:rPr>
          <w:rFonts w:ascii="Times New Roman" w:cs="Times New Roman" w:eastAsia="Times New Roman" w:hAnsi="Times New Roman"/>
          <w:sz w:val="19"/>
          <w:szCs w:val="19"/>
          <w:color w:val="222222"/>
        </w:rPr>
        <w:t>’s and/or</w:t>
      </w:r>
      <w:r>
        <w:rPr>
          <w:rFonts w:ascii="Times New Roman" w:cs="Times New Roman" w:eastAsia="Times New Roman" w:hAnsi="Times New Roman"/>
          <w:sz w:val="19"/>
          <w:szCs w:val="19"/>
          <w:color w:val="auto"/>
        </w:rPr>
        <w:t xml:space="preserve"> the other Party</w:t>
      </w:r>
      <w:r>
        <w:rPr>
          <w:rFonts w:ascii="Times New Roman" w:cs="Times New Roman" w:eastAsia="Times New Roman" w:hAnsi="Times New Roman"/>
          <w:sz w:val="19"/>
          <w:szCs w:val="19"/>
          <w:color w:val="222222"/>
        </w:rPr>
        <w:t>’s behalf</w:t>
      </w:r>
      <w:r>
        <w:rPr>
          <w:rFonts w:ascii="Times New Roman" w:cs="Times New Roman" w:eastAsia="Times New Roman" w:hAnsi="Times New Roman"/>
          <w:sz w:val="19"/>
          <w:szCs w:val="19"/>
          <w:color w:val="auto"/>
        </w:rPr>
        <w:t xml:space="preserve"> has engaged in any Prohibited Conduct related to the Agreement, </w:t>
      </w:r>
      <w:r>
        <w:rPr>
          <w:rFonts w:ascii="Times New Roman" w:cs="Times New Roman" w:eastAsia="Times New Roman" w:hAnsi="Times New Roman"/>
          <w:sz w:val="19"/>
          <w:szCs w:val="19"/>
          <w:color w:val="222222"/>
        </w:rPr>
        <w:t>then such Party will promptly report 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22222"/>
        </w:rPr>
        <w:t xml:space="preserve">knowledge or suspicion to the other Party via the following email address: (a) in case that Duality is the reporting party: </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222222"/>
        </w:rPr>
        <w:t xml:space="preserve"> and</w:t>
      </w:r>
    </w:p>
    <w:p>
      <w:pPr>
        <w:spacing w:after="0" w:line="2" w:lineRule="exact"/>
        <w:rPr>
          <w:rFonts w:ascii="Times New Roman" w:cs="Times New Roman" w:eastAsia="Times New Roman" w:hAnsi="Times New Roman"/>
          <w:sz w:val="19"/>
          <w:szCs w:val="19"/>
          <w:color w:val="auto"/>
        </w:rPr>
      </w:pPr>
    </w:p>
    <w:p>
      <w:pPr>
        <w:ind w:left="29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22222"/>
        </w:rPr>
        <w:t>(b) in case that Licensee is the reporting party: [***].</w:t>
      </w:r>
    </w:p>
    <w:p>
      <w:pPr>
        <w:spacing w:after="0" w:line="129" w:lineRule="exact"/>
        <w:rPr>
          <w:rFonts w:ascii="Times New Roman" w:cs="Times New Roman" w:eastAsia="Times New Roman" w:hAnsi="Times New Roman"/>
          <w:sz w:val="19"/>
          <w:szCs w:val="19"/>
          <w:color w:val="auto"/>
        </w:rPr>
      </w:pPr>
    </w:p>
    <w:p>
      <w:pPr>
        <w:jc w:val="both"/>
        <w:ind w:left="294" w:right="40" w:hanging="294"/>
        <w:spacing w:after="0" w:line="294" w:lineRule="auto"/>
        <w:tabs>
          <w:tab w:leader="none" w:pos="294"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Duality shall apply Commercially Reasonable Efforts to implement, operate and enforce, without undue delay after the Effective Date, a reasonably designed compliance and business ethics management and control system that is indended for the prevention and detection of criminal conduct in accordance with applicable Anti-Corruption Laws.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414"/>
        <w:spacing w:after="0"/>
        <w:rPr>
          <w:sz w:val="20"/>
          <w:szCs w:val="20"/>
          <w:color w:val="auto"/>
        </w:rPr>
      </w:pPr>
      <w:r>
        <w:rPr>
          <w:rFonts w:ascii="Times New Roman" w:cs="Times New Roman" w:eastAsia="Times New Roman" w:hAnsi="Times New Roman"/>
          <w:sz w:val="19"/>
          <w:szCs w:val="19"/>
          <w:color w:val="auto"/>
        </w:rPr>
        <w:t>Page 52 of 102</w:t>
      </w:r>
    </w:p>
    <w:p>
      <w:pPr>
        <w:sectPr>
          <w:pgSz w:w="11900" w:h="16840" w:orient="portrait"/>
          <w:cols w:equalWidth="0" w:num="1">
            <w:col w:w="10594"/>
          </w:cols>
          <w:pgMar w:left="666" w:top="1440" w:right="640" w:bottom="1440" w:gutter="0" w:footer="0" w:header="0"/>
        </w:sectPr>
      </w:pPr>
    </w:p>
    <w:bookmarkStart w:id="616" w:name="page617"/>
    <w:bookmarkEnd w:id="616"/>
    <w:p>
      <w:pPr>
        <w:spacing w:after="0" w:line="377" w:lineRule="exact"/>
        <w:rPr>
          <w:sz w:val="20"/>
          <w:szCs w:val="20"/>
          <w:color w:val="auto"/>
        </w:rPr>
      </w:pPr>
    </w:p>
    <w:p>
      <w:pPr>
        <w:jc w:val="both"/>
        <w:ind w:left="300" w:right="20" w:hanging="294"/>
        <w:spacing w:after="0" w:line="285" w:lineRule="auto"/>
        <w:tabs>
          <w:tab w:leader="none" w:pos="300" w:val="left"/>
        </w:tabs>
        <w:numPr>
          <w:ilvl w:val="0"/>
          <w:numId w:val="6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to provide reasonable cooperation in any investigation that may be conducted by or on behalf of the other Party related to the performance of potentially Prohibited Conduct as described in Article 1 above. Upon notice of an intended investigation, a Party will provide, in a reasonable time, to the investigating Party or to a third party engaged by the investigating Party: (a) access to the relevant persons; and/or (b) access to relevant documents and data (e.g., invoices and requests for expense reimbursement, supporting receipts and substantiation, and original entry records for charges and payments).</w:t>
      </w:r>
    </w:p>
    <w:p>
      <w:pPr>
        <w:spacing w:after="0" w:line="59" w:lineRule="exact"/>
        <w:rPr>
          <w:rFonts w:ascii="Times New Roman" w:cs="Times New Roman" w:eastAsia="Times New Roman" w:hAnsi="Times New Roman"/>
          <w:sz w:val="19"/>
          <w:szCs w:val="19"/>
          <w:color w:val="auto"/>
        </w:rPr>
      </w:pPr>
    </w:p>
    <w:p>
      <w:pPr>
        <w:jc w:val="both"/>
        <w:ind w:left="300" w:hanging="294"/>
        <w:spacing w:after="0" w:line="285" w:lineRule="auto"/>
        <w:tabs>
          <w:tab w:leader="none" w:pos="300" w:val="left"/>
        </w:tabs>
        <w:numPr>
          <w:ilvl w:val="0"/>
          <w:numId w:val="6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acknowledges that the obligations under the applicable local and extraterritorial anti-bribery, Anti-Corruption Laws and anti-money laundering laws apply to all its Affiliates and employees, subcontractors and Sublicensees (in case of Licensee) or sublicensees (in case of Duality). Each Party will bind subcontractors who act for or on behalf of such Party to perform activities under this Agreement by such Party for or on behalf of the other Party by respective contractual clauses encompassing all or all material provisions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53 of 102</w:t>
      </w:r>
    </w:p>
    <w:p>
      <w:pPr>
        <w:sectPr>
          <w:pgSz w:w="11900" w:h="16840" w:orient="portrait"/>
          <w:cols w:equalWidth="0" w:num="1">
            <w:col w:w="10580"/>
          </w:cols>
          <w:pgMar w:left="660" w:top="1440" w:right="660" w:bottom="1440" w:gutter="0" w:footer="0" w:header="0"/>
        </w:sectPr>
      </w:pPr>
    </w:p>
    <w:bookmarkStart w:id="617" w:name="page618"/>
    <w:bookmarkEnd w:id="617"/>
    <w:p>
      <w:pPr>
        <w:spacing w:after="0" w:line="2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Schedule 1.46</w:t>
      </w:r>
    </w:p>
    <w:p>
      <w:pPr>
        <w:spacing w:after="0" w:line="16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Description of Duality Know-How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54 of 102</w:t>
      </w:r>
    </w:p>
    <w:p>
      <w:pPr>
        <w:sectPr>
          <w:pgSz w:w="11900" w:h="16840" w:orient="portrait"/>
          <w:cols w:equalWidth="0" w:num="1">
            <w:col w:w="10280"/>
          </w:cols>
          <w:pgMar w:left="960" w:top="1440" w:right="660" w:bottom="1440" w:gutter="0" w:footer="0" w:header="0"/>
        </w:sectPr>
      </w:pPr>
    </w:p>
    <w:bookmarkStart w:id="618" w:name="page619"/>
    <w:bookmarkEnd w:id="618"/>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1.55</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List of Duality Patents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55 of 102</w:t>
      </w:r>
    </w:p>
    <w:p>
      <w:pPr>
        <w:sectPr>
          <w:pgSz w:w="11900" w:h="16840" w:orient="portrait"/>
          <w:cols w:equalWidth="0" w:num="1">
            <w:col w:w="10580"/>
          </w:cols>
          <w:pgMar w:left="660" w:top="1440" w:right="660" w:bottom="1440" w:gutter="0" w:footer="0" w:header="0"/>
        </w:sectPr>
      </w:pPr>
    </w:p>
    <w:bookmarkStart w:id="619" w:name="page620"/>
    <w:bookmarkEnd w:id="619"/>
    <w:p>
      <w:pPr>
        <w:spacing w:after="0" w:line="2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Schedule 1.89</w:t>
      </w:r>
    </w:p>
    <w:p>
      <w:pPr>
        <w:spacing w:after="0" w:line="16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List of Indications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Page 56 of 102</w:t>
      </w:r>
    </w:p>
    <w:p>
      <w:pPr>
        <w:sectPr>
          <w:pgSz w:w="11900" w:h="16840" w:orient="portrait"/>
          <w:cols w:equalWidth="0" w:num="1">
            <w:col w:w="10280"/>
          </w:cols>
          <w:pgMar w:left="960" w:top="1440" w:right="660" w:bottom="1440" w:gutter="0" w:footer="0" w:header="0"/>
        </w:sectPr>
      </w:pPr>
    </w:p>
    <w:bookmarkStart w:id="620" w:name="page621"/>
    <w:bookmarkEnd w:id="620"/>
    <w:p>
      <w:pPr>
        <w:spacing w:after="0" w:line="1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2.6</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Initial Know-How Transfer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57 of 102</w:t>
      </w:r>
    </w:p>
    <w:p>
      <w:pPr>
        <w:sectPr>
          <w:pgSz w:w="11900" w:h="16840" w:orient="portrait"/>
          <w:cols w:equalWidth="0" w:num="1">
            <w:col w:w="9800"/>
          </w:cols>
          <w:pgMar w:left="660" w:top="1440" w:right="1440" w:bottom="1440" w:gutter="0" w:footer="0" w:header="0"/>
        </w:sectPr>
      </w:pPr>
    </w:p>
    <w:bookmarkStart w:id="621" w:name="page622"/>
    <w:bookmarkEnd w:id="621"/>
    <w:p>
      <w:pPr>
        <w:spacing w:after="0" w:line="34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4.6</w:t>
      </w: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Agreed Preparatory Activities for Initiation of a [***] Clinical Trial</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58 of 102</w:t>
      </w:r>
    </w:p>
    <w:p>
      <w:pPr>
        <w:sectPr>
          <w:pgSz w:w="11900" w:h="16840" w:orient="portrait"/>
          <w:cols w:equalWidth="0" w:num="1">
            <w:col w:w="9800"/>
          </w:cols>
          <w:pgMar w:left="660" w:top="1440" w:right="1440" w:bottom="1440" w:gutter="0" w:footer="0" w:header="0"/>
        </w:sectPr>
      </w:pPr>
    </w:p>
    <w:bookmarkStart w:id="622" w:name="page623"/>
    <w:bookmarkEnd w:id="622"/>
    <w:p>
      <w:pPr>
        <w:spacing w:after="0" w:line="1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10.4</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Joint Press Release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59 of 102</w:t>
      </w:r>
    </w:p>
    <w:p>
      <w:pPr>
        <w:sectPr>
          <w:pgSz w:w="11900" w:h="16840" w:orient="portrait"/>
          <w:cols w:equalWidth="0" w:num="1">
            <w:col w:w="9800"/>
          </w:cols>
          <w:pgMar w:left="660" w:top="1440" w:right="1440" w:bottom="1440" w:gutter="0" w:footer="0" w:header="0"/>
        </w:sectPr>
      </w:pPr>
    </w:p>
    <w:bookmarkStart w:id="623" w:name="page624"/>
    <w:bookmarkEnd w:id="623"/>
    <w:p>
      <w:pPr>
        <w:jc w:val="right"/>
        <w:spacing w:after="0"/>
        <w:rPr>
          <w:sz w:val="20"/>
          <w:szCs w:val="20"/>
          <w:color w:val="auto"/>
        </w:rPr>
      </w:pPr>
      <w:r>
        <w:rPr>
          <w:rFonts w:ascii="Times New Roman" w:cs="Times New Roman" w:eastAsia="Times New Roman" w:hAnsi="Times New Roman"/>
          <w:sz w:val="16"/>
          <w:szCs w:val="16"/>
          <w:b w:val="1"/>
          <w:bCs w:val="1"/>
          <w:color w:val="auto"/>
        </w:rPr>
        <w:t>Exhibit 4.51</w:t>
      </w:r>
    </w:p>
    <w:p>
      <w:pPr>
        <w:spacing w:after="0" w:line="248" w:lineRule="exact"/>
        <w:rPr>
          <w:sz w:val="20"/>
          <w:szCs w:val="20"/>
          <w:color w:val="auto"/>
        </w:rPr>
      </w:pPr>
    </w:p>
    <w:p>
      <w:pPr>
        <w:ind w:right="180" w:firstLine="2"/>
        <w:spacing w:after="0" w:line="235" w:lineRule="auto"/>
        <w:tabs>
          <w:tab w:leader="none" w:pos="372" w:val="left"/>
        </w:tabs>
        <w:numPr>
          <w:ilvl w:val="0"/>
          <w:numId w:val="6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00" w:lineRule="exact"/>
        <w:rPr>
          <w:sz w:val="20"/>
          <w:szCs w:val="20"/>
          <w:color w:val="auto"/>
        </w:rPr>
      </w:pP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jc w:val="right"/>
        <w:ind w:right="20"/>
        <w:spacing w:after="0"/>
        <w:rPr>
          <w:sz w:val="20"/>
          <w:szCs w:val="20"/>
          <w:color w:val="auto"/>
        </w:rPr>
      </w:pPr>
      <w:r>
        <w:rPr>
          <w:rFonts w:ascii="Times New Roman" w:cs="Times New Roman" w:eastAsia="Times New Roman" w:hAnsi="Times New Roman"/>
          <w:sz w:val="19"/>
          <w:szCs w:val="19"/>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by and between</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BIONTECH SE</w:t>
      </w:r>
    </w:p>
    <w:p>
      <w:pPr>
        <w:spacing w:after="0" w:line="1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dated as of March 31, 2023</w:t>
      </w:r>
    </w:p>
    <w:p>
      <w:pPr>
        <w:sectPr>
          <w:pgSz w:w="11900" w:h="16840" w:orient="portrait"/>
          <w:cols w:equalWidth="0" w:num="1">
            <w:col w:w="10240"/>
          </w:cols>
          <w:pgMar w:left="1000" w:top="555" w:right="660" w:bottom="1440" w:gutter="0" w:footer="0" w:header="0"/>
        </w:sectPr>
      </w:pPr>
    </w:p>
    <w:bookmarkStart w:id="624" w:name="page625"/>
    <w:bookmarkEnd w:id="624"/>
    <w:p>
      <w:pPr>
        <w:spacing w:after="0" w:line="25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78" w:lineRule="exact"/>
        <w:rPr>
          <w:sz w:val="20"/>
          <w:szCs w:val="20"/>
          <w:color w:val="auto"/>
        </w:rPr>
      </w:pPr>
    </w:p>
    <w:p>
      <w:pPr>
        <w:spacing w:after="0"/>
        <w:tabs>
          <w:tab w:leader="dot" w:pos="6800" w:val="left"/>
        </w:tabs>
        <w:rPr>
          <w:sz w:val="20"/>
          <w:szCs w:val="20"/>
          <w:color w:val="auto"/>
        </w:rPr>
      </w:pPr>
      <w:r>
        <w:rPr>
          <w:rFonts w:ascii="Times New Roman" w:cs="Times New Roman" w:eastAsia="Times New Roman" w:hAnsi="Times New Roman"/>
          <w:sz w:val="19"/>
          <w:szCs w:val="19"/>
          <w:b w:val="1"/>
          <w:bCs w:val="1"/>
          <w:color w:val="auto"/>
        </w:rPr>
        <w:t>ARTICLE 1 DEFINITIONS</w:t>
      </w:r>
      <w:r>
        <w:rPr>
          <w:sz w:val="20"/>
          <w:szCs w:val="20"/>
          <w:color w:val="auto"/>
        </w:rPr>
        <w:tab/>
      </w:r>
      <w:r>
        <w:rPr>
          <w:rFonts w:ascii="Times New Roman" w:cs="Times New Roman" w:eastAsia="Times New Roman" w:hAnsi="Times New Roman"/>
          <w:sz w:val="16"/>
          <w:szCs w:val="16"/>
          <w:color w:val="auto"/>
        </w:rPr>
        <w:t>1</w:t>
      </w:r>
    </w:p>
    <w:p>
      <w:pPr>
        <w:spacing w:after="0" w:line="22" w:lineRule="exact"/>
        <w:rPr>
          <w:sz w:val="20"/>
          <w:szCs w:val="20"/>
          <w:color w:val="auto"/>
        </w:rPr>
      </w:pP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2 LICENSE</w:t>
      </w:r>
      <w:r>
        <w:rPr>
          <w:sz w:val="20"/>
          <w:szCs w:val="20"/>
          <w:color w:val="auto"/>
        </w:rPr>
        <w:tab/>
      </w:r>
      <w:r>
        <w:rPr>
          <w:rFonts w:ascii="Times New Roman" w:cs="Times New Roman" w:eastAsia="Times New Roman" w:hAnsi="Times New Roman"/>
          <w:sz w:val="18"/>
          <w:szCs w:val="18"/>
          <w:color w:val="auto"/>
        </w:rPr>
        <w:t>23</w:t>
      </w:r>
    </w:p>
    <w:p>
      <w:pPr>
        <w:spacing w:after="0" w:line="166"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3 GOVERNANCE</w:t>
      </w:r>
      <w:r>
        <w:rPr>
          <w:sz w:val="20"/>
          <w:szCs w:val="20"/>
          <w:color w:val="auto"/>
        </w:rPr>
        <w:tab/>
      </w:r>
      <w:r>
        <w:rPr>
          <w:rFonts w:ascii="Times New Roman" w:cs="Times New Roman" w:eastAsia="Times New Roman" w:hAnsi="Times New Roman"/>
          <w:sz w:val="18"/>
          <w:szCs w:val="18"/>
          <w:color w:val="auto"/>
        </w:rPr>
        <w:t>31</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4 DEVELOPMENT</w:t>
      </w:r>
      <w:r>
        <w:rPr>
          <w:sz w:val="20"/>
          <w:szCs w:val="20"/>
          <w:color w:val="auto"/>
        </w:rPr>
        <w:tab/>
      </w:r>
      <w:r>
        <w:rPr>
          <w:rFonts w:ascii="Times New Roman" w:cs="Times New Roman" w:eastAsia="Times New Roman" w:hAnsi="Times New Roman"/>
          <w:sz w:val="19"/>
          <w:szCs w:val="19"/>
          <w:color w:val="auto"/>
        </w:rPr>
        <w:t>37</w:t>
      </w:r>
    </w:p>
    <w:p>
      <w:pPr>
        <w:spacing w:after="0" w:line="190" w:lineRule="exact"/>
        <w:rPr>
          <w:sz w:val="20"/>
          <w:szCs w:val="20"/>
          <w:color w:val="auto"/>
        </w:rPr>
      </w:pP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5 REGULATORY</w:t>
      </w:r>
      <w:r>
        <w:rPr>
          <w:sz w:val="20"/>
          <w:szCs w:val="20"/>
          <w:color w:val="auto"/>
        </w:rPr>
        <w:tab/>
      </w:r>
      <w:r>
        <w:rPr>
          <w:rFonts w:ascii="Times New Roman" w:cs="Times New Roman" w:eastAsia="Times New Roman" w:hAnsi="Times New Roman"/>
          <w:sz w:val="19"/>
          <w:szCs w:val="19"/>
          <w:color w:val="auto"/>
        </w:rPr>
        <w:t>40</w:t>
      </w:r>
    </w:p>
    <w:p>
      <w:pPr>
        <w:spacing w:after="0" w:line="190" w:lineRule="exact"/>
        <w:rPr>
          <w:sz w:val="20"/>
          <w:szCs w:val="20"/>
          <w:color w:val="auto"/>
        </w:rPr>
      </w:pP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6 MANUFACTURE &amp; SUPPLY</w:t>
      </w:r>
      <w:r>
        <w:rPr>
          <w:sz w:val="20"/>
          <w:szCs w:val="20"/>
          <w:color w:val="auto"/>
        </w:rPr>
        <w:tab/>
      </w:r>
      <w:r>
        <w:rPr>
          <w:rFonts w:ascii="Times New Roman" w:cs="Times New Roman" w:eastAsia="Times New Roman" w:hAnsi="Times New Roman"/>
          <w:sz w:val="18"/>
          <w:szCs w:val="18"/>
          <w:color w:val="auto"/>
        </w:rPr>
        <w:t>44</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7 COMMERCIALIZATION MATTERS</w:t>
      </w:r>
      <w:r>
        <w:rPr>
          <w:sz w:val="20"/>
          <w:szCs w:val="20"/>
          <w:color w:val="auto"/>
        </w:rPr>
        <w:tab/>
      </w:r>
      <w:r>
        <w:rPr>
          <w:rFonts w:ascii="Times New Roman" w:cs="Times New Roman" w:eastAsia="Times New Roman" w:hAnsi="Times New Roman"/>
          <w:sz w:val="19"/>
          <w:szCs w:val="19"/>
          <w:color w:val="auto"/>
        </w:rPr>
        <w:t>46</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8 FINANCIAL TERMS</w:t>
      </w:r>
      <w:r>
        <w:rPr>
          <w:sz w:val="20"/>
          <w:szCs w:val="20"/>
          <w:color w:val="auto"/>
        </w:rPr>
        <w:tab/>
      </w:r>
      <w:r>
        <w:rPr>
          <w:rFonts w:ascii="Times New Roman" w:cs="Times New Roman" w:eastAsia="Times New Roman" w:hAnsi="Times New Roman"/>
          <w:sz w:val="18"/>
          <w:szCs w:val="18"/>
          <w:color w:val="auto"/>
        </w:rPr>
        <w:t>50</w:t>
      </w:r>
    </w:p>
    <w:p>
      <w:pPr>
        <w:spacing w:after="0" w:line="190" w:lineRule="exact"/>
        <w:rPr>
          <w:sz w:val="20"/>
          <w:szCs w:val="20"/>
          <w:color w:val="auto"/>
        </w:rPr>
      </w:pPr>
    </w:p>
    <w:p>
      <w:pPr>
        <w:spacing w:after="0"/>
        <w:tabs>
          <w:tab w:leader="dot" w:pos="6700" w:val="left"/>
        </w:tabs>
        <w:rPr>
          <w:sz w:val="20"/>
          <w:szCs w:val="20"/>
          <w:color w:val="auto"/>
        </w:rPr>
      </w:pPr>
      <w:r>
        <w:rPr>
          <w:rFonts w:ascii="Times New Roman" w:cs="Times New Roman" w:eastAsia="Times New Roman" w:hAnsi="Times New Roman"/>
          <w:sz w:val="19"/>
          <w:szCs w:val="19"/>
          <w:b w:val="1"/>
          <w:bCs w:val="1"/>
          <w:color w:val="auto"/>
        </w:rPr>
        <w:t>ARTICLE 9 PAYMENT; RECORDS; AUDITS</w:t>
      </w:r>
      <w:r>
        <w:rPr>
          <w:sz w:val="20"/>
          <w:szCs w:val="20"/>
          <w:color w:val="auto"/>
        </w:rPr>
        <w:tab/>
      </w:r>
      <w:r>
        <w:rPr>
          <w:rFonts w:ascii="Times New Roman" w:cs="Times New Roman" w:eastAsia="Times New Roman" w:hAnsi="Times New Roman"/>
          <w:sz w:val="18"/>
          <w:szCs w:val="18"/>
          <w:color w:val="auto"/>
        </w:rPr>
        <w:t>63</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10 CONFIDENTIALITY</w:t>
      </w:r>
      <w:r>
        <w:rPr>
          <w:sz w:val="20"/>
          <w:szCs w:val="20"/>
          <w:color w:val="auto"/>
        </w:rPr>
        <w:tab/>
      </w:r>
      <w:r>
        <w:rPr>
          <w:rFonts w:ascii="Times New Roman" w:cs="Times New Roman" w:eastAsia="Times New Roman" w:hAnsi="Times New Roman"/>
          <w:sz w:val="19"/>
          <w:szCs w:val="19"/>
          <w:color w:val="auto"/>
        </w:rPr>
        <w:t>65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ARTICLE 11 REPRESENTATIONS AND WARRANTIES; LIMITATION OF</w:t>
      </w:r>
    </w:p>
    <w:p>
      <w:pPr>
        <w:spacing w:after="0" w:line="190" w:lineRule="exact"/>
        <w:rPr>
          <w:sz w:val="20"/>
          <w:szCs w:val="20"/>
          <w:color w:val="auto"/>
        </w:rPr>
      </w:pPr>
    </w:p>
    <w:p>
      <w:pPr>
        <w:ind w:left="1160"/>
        <w:spacing w:after="0"/>
        <w:tabs>
          <w:tab w:leader="dot" w:pos="6660" w:val="left"/>
        </w:tabs>
        <w:rPr>
          <w:sz w:val="20"/>
          <w:szCs w:val="20"/>
          <w:color w:val="auto"/>
        </w:rPr>
      </w:pPr>
      <w:r>
        <w:rPr>
          <w:rFonts w:ascii="Times New Roman" w:cs="Times New Roman" w:eastAsia="Times New Roman" w:hAnsi="Times New Roman"/>
          <w:sz w:val="19"/>
          <w:szCs w:val="19"/>
          <w:b w:val="1"/>
          <w:bCs w:val="1"/>
          <w:color w:val="auto"/>
        </w:rPr>
        <w:t>LIABILITY</w:t>
      </w:r>
      <w:r>
        <w:rPr>
          <w:sz w:val="20"/>
          <w:szCs w:val="20"/>
          <w:color w:val="auto"/>
        </w:rPr>
        <w:tab/>
      </w:r>
      <w:r>
        <w:rPr>
          <w:rFonts w:ascii="Times New Roman" w:cs="Times New Roman" w:eastAsia="Times New Roman" w:hAnsi="Times New Roman"/>
          <w:sz w:val="19"/>
          <w:szCs w:val="19"/>
          <w:color w:val="auto"/>
        </w:rPr>
        <w:t>70</w:t>
      </w:r>
    </w:p>
    <w:p>
      <w:pPr>
        <w:spacing w:after="0" w:line="190" w:lineRule="exact"/>
        <w:rPr>
          <w:sz w:val="20"/>
          <w:szCs w:val="20"/>
          <w:color w:val="auto"/>
        </w:rPr>
      </w:pPr>
    </w:p>
    <w:p>
      <w:pPr>
        <w:spacing w:after="0"/>
        <w:tabs>
          <w:tab w:leader="dot" w:pos="6660" w:val="left"/>
        </w:tabs>
        <w:rPr>
          <w:sz w:val="20"/>
          <w:szCs w:val="20"/>
          <w:color w:val="auto"/>
        </w:rPr>
      </w:pPr>
      <w:r>
        <w:rPr>
          <w:rFonts w:ascii="Times New Roman" w:cs="Times New Roman" w:eastAsia="Times New Roman" w:hAnsi="Times New Roman"/>
          <w:sz w:val="19"/>
          <w:szCs w:val="19"/>
          <w:b w:val="1"/>
          <w:bCs w:val="1"/>
          <w:color w:val="auto"/>
        </w:rPr>
        <w:t>ARTICLE 12 INTELLECTUAL PROPERTY</w:t>
      </w:r>
      <w:r>
        <w:rPr>
          <w:sz w:val="20"/>
          <w:szCs w:val="20"/>
          <w:color w:val="auto"/>
        </w:rPr>
        <w:tab/>
      </w:r>
      <w:r>
        <w:rPr>
          <w:rFonts w:ascii="Times New Roman" w:cs="Times New Roman" w:eastAsia="Times New Roman" w:hAnsi="Times New Roman"/>
          <w:sz w:val="19"/>
          <w:szCs w:val="19"/>
          <w:color w:val="auto"/>
        </w:rPr>
        <w:t>79</w:t>
      </w:r>
    </w:p>
    <w:p>
      <w:pPr>
        <w:spacing w:after="0" w:line="190" w:lineRule="exact"/>
        <w:rPr>
          <w:sz w:val="20"/>
          <w:szCs w:val="20"/>
          <w:color w:val="auto"/>
        </w:rPr>
      </w:pPr>
    </w:p>
    <w:p>
      <w:pPr>
        <w:spacing w:after="0"/>
        <w:tabs>
          <w:tab w:leader="dot" w:pos="6660" w:val="left"/>
        </w:tabs>
        <w:rPr>
          <w:sz w:val="20"/>
          <w:szCs w:val="20"/>
          <w:color w:val="auto"/>
        </w:rPr>
      </w:pPr>
      <w:r>
        <w:rPr>
          <w:rFonts w:ascii="Times New Roman" w:cs="Times New Roman" w:eastAsia="Times New Roman" w:hAnsi="Times New Roman"/>
          <w:sz w:val="19"/>
          <w:szCs w:val="19"/>
          <w:b w:val="1"/>
          <w:bCs w:val="1"/>
          <w:color w:val="auto"/>
        </w:rPr>
        <w:t>ARTICLE 13 TERM; TERMINATION</w:t>
      </w:r>
      <w:r>
        <w:rPr>
          <w:sz w:val="20"/>
          <w:szCs w:val="20"/>
          <w:color w:val="auto"/>
        </w:rPr>
        <w:tab/>
      </w:r>
      <w:r>
        <w:rPr>
          <w:rFonts w:ascii="Times New Roman" w:cs="Times New Roman" w:eastAsia="Times New Roman" w:hAnsi="Times New Roman"/>
          <w:sz w:val="19"/>
          <w:szCs w:val="19"/>
          <w:color w:val="auto"/>
        </w:rPr>
        <w:t>85</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14 INDEMNIFICATION</w:t>
      </w:r>
      <w:r>
        <w:rPr>
          <w:sz w:val="20"/>
          <w:szCs w:val="20"/>
          <w:color w:val="auto"/>
        </w:rPr>
        <w:tab/>
      </w:r>
      <w:r>
        <w:rPr>
          <w:rFonts w:ascii="Times New Roman" w:cs="Times New Roman" w:eastAsia="Times New Roman" w:hAnsi="Times New Roman"/>
          <w:sz w:val="19"/>
          <w:szCs w:val="19"/>
          <w:color w:val="auto"/>
        </w:rPr>
        <w:t>95</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15 DISPUTE RESOLUTION</w:t>
      </w:r>
      <w:r>
        <w:rPr>
          <w:sz w:val="20"/>
          <w:szCs w:val="20"/>
          <w:color w:val="auto"/>
        </w:rPr>
        <w:tab/>
      </w:r>
      <w:r>
        <w:rPr>
          <w:rFonts w:ascii="Times New Roman" w:cs="Times New Roman" w:eastAsia="Times New Roman" w:hAnsi="Times New Roman"/>
          <w:sz w:val="18"/>
          <w:szCs w:val="18"/>
          <w:color w:val="auto"/>
        </w:rPr>
        <w:t>97</w:t>
      </w:r>
    </w:p>
    <w:p>
      <w:pPr>
        <w:spacing w:after="0" w:line="190" w:lineRule="exact"/>
        <w:rPr>
          <w:sz w:val="20"/>
          <w:szCs w:val="20"/>
          <w:color w:val="auto"/>
        </w:rPr>
      </w:pPr>
    </w:p>
    <w:p>
      <w:pPr>
        <w:spacing w:after="0"/>
        <w:tabs>
          <w:tab w:leader="dot" w:pos="6680" w:val="left"/>
        </w:tabs>
        <w:rPr>
          <w:sz w:val="20"/>
          <w:szCs w:val="20"/>
          <w:color w:val="auto"/>
        </w:rPr>
      </w:pPr>
      <w:r>
        <w:rPr>
          <w:rFonts w:ascii="Times New Roman" w:cs="Times New Roman" w:eastAsia="Times New Roman" w:hAnsi="Times New Roman"/>
          <w:sz w:val="19"/>
          <w:szCs w:val="19"/>
          <w:b w:val="1"/>
          <w:bCs w:val="1"/>
          <w:color w:val="auto"/>
        </w:rPr>
        <w:t>ARTICLE 16 MISCELLANEOUS</w:t>
      </w:r>
      <w:r>
        <w:rPr>
          <w:sz w:val="20"/>
          <w:szCs w:val="20"/>
          <w:color w:val="auto"/>
        </w:rPr>
        <w:tab/>
      </w:r>
      <w:r>
        <w:rPr>
          <w:rFonts w:ascii="Times New Roman" w:cs="Times New Roman" w:eastAsia="Times New Roman" w:hAnsi="Times New Roman"/>
          <w:sz w:val="18"/>
          <w:szCs w:val="18"/>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Schedules</w:t>
      </w:r>
    </w:p>
    <w:p>
      <w:pPr>
        <w:spacing w:after="0" w:line="16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Schedule 1.1</w:t>
      </w:r>
      <w:r>
        <w:rPr>
          <w:sz w:val="20"/>
          <w:szCs w:val="20"/>
          <w:color w:val="auto"/>
        </w:rPr>
        <w:tab/>
      </w:r>
      <w:r>
        <w:rPr>
          <w:rFonts w:ascii="Times New Roman" w:cs="Times New Roman" w:eastAsia="Times New Roman" w:hAnsi="Times New Roman"/>
          <w:sz w:val="18"/>
          <w:szCs w:val="18"/>
          <w:color w:val="auto"/>
        </w:rPr>
        <w:t>ABC Terms</w:t>
      </w:r>
    </w:p>
    <w:p>
      <w:pPr>
        <w:spacing w:after="0" w:line="20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Schedule 1.7</w:t>
      </w:r>
      <w:r>
        <w:rPr>
          <w:sz w:val="20"/>
          <w:szCs w:val="20"/>
          <w:color w:val="auto"/>
        </w:rPr>
        <w:tab/>
      </w:r>
      <w:r>
        <w:rPr>
          <w:rFonts w:ascii="Times New Roman" w:cs="Times New Roman" w:eastAsia="Times New Roman" w:hAnsi="Times New Roman"/>
          <w:sz w:val="19"/>
          <w:szCs w:val="19"/>
          <w:color w:val="auto"/>
        </w:rPr>
        <w:t>Calculation of Adjusted Net Profits</w:t>
      </w:r>
    </w:p>
    <w:p>
      <w:pPr>
        <w:spacing w:after="0" w:line="16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1.38</w:t>
      </w:r>
      <w:r>
        <w:rPr>
          <w:sz w:val="20"/>
          <w:szCs w:val="20"/>
          <w:color w:val="auto"/>
        </w:rPr>
        <w:tab/>
      </w:r>
      <w:r>
        <w:rPr>
          <w:rFonts w:ascii="Times New Roman" w:cs="Times New Roman" w:eastAsia="Times New Roman" w:hAnsi="Times New Roman"/>
          <w:sz w:val="19"/>
          <w:szCs w:val="19"/>
          <w:color w:val="auto"/>
        </w:rPr>
        <w:t>Co-Promotion Terms</w:t>
      </w:r>
    </w:p>
    <w:p>
      <w:pPr>
        <w:spacing w:after="0" w:line="16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1.75</w:t>
      </w:r>
      <w:r>
        <w:rPr>
          <w:sz w:val="20"/>
          <w:szCs w:val="20"/>
          <w:color w:val="auto"/>
        </w:rPr>
        <w:tab/>
      </w:r>
      <w:r>
        <w:rPr>
          <w:rFonts w:ascii="Times New Roman" w:cs="Times New Roman" w:eastAsia="Times New Roman" w:hAnsi="Times New Roman"/>
          <w:sz w:val="19"/>
          <w:szCs w:val="19"/>
          <w:color w:val="auto"/>
        </w:rPr>
        <w:t>Duality In-Licensed Agreements</w:t>
      </w:r>
    </w:p>
    <w:p>
      <w:pPr>
        <w:spacing w:after="0" w:line="16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1.78</w:t>
      </w:r>
      <w:r>
        <w:rPr>
          <w:sz w:val="20"/>
          <w:szCs w:val="20"/>
          <w:color w:val="auto"/>
        </w:rPr>
        <w:tab/>
      </w:r>
      <w:r>
        <w:rPr>
          <w:rFonts w:ascii="Times New Roman" w:cs="Times New Roman" w:eastAsia="Times New Roman" w:hAnsi="Times New Roman"/>
          <w:sz w:val="19"/>
          <w:szCs w:val="19"/>
          <w:color w:val="auto"/>
        </w:rPr>
        <w:t>Description of Duality Know-How</w:t>
      </w:r>
    </w:p>
    <w:p>
      <w:pPr>
        <w:spacing w:after="0" w:line="16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1.84</w:t>
      </w:r>
      <w:r>
        <w:rPr>
          <w:sz w:val="20"/>
          <w:szCs w:val="20"/>
          <w:color w:val="auto"/>
        </w:rPr>
        <w:tab/>
      </w:r>
      <w:r>
        <w:rPr>
          <w:rFonts w:ascii="Times New Roman" w:cs="Times New Roman" w:eastAsia="Times New Roman" w:hAnsi="Times New Roman"/>
          <w:sz w:val="19"/>
          <w:szCs w:val="19"/>
          <w:color w:val="auto"/>
        </w:rPr>
        <w:t>List of Duality Patents</w:t>
      </w:r>
    </w:p>
    <w:p>
      <w:pPr>
        <w:spacing w:after="0" w:line="16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Schedule 2.7</w:t>
      </w:r>
      <w:r>
        <w:rPr>
          <w:sz w:val="20"/>
          <w:szCs w:val="20"/>
          <w:color w:val="auto"/>
        </w:rPr>
        <w:tab/>
      </w:r>
      <w:r>
        <w:rPr>
          <w:rFonts w:ascii="Times New Roman" w:cs="Times New Roman" w:eastAsia="Times New Roman" w:hAnsi="Times New Roman"/>
          <w:sz w:val="19"/>
          <w:szCs w:val="19"/>
          <w:color w:val="auto"/>
        </w:rPr>
        <w:t>Initial Know-How Transfer</w:t>
      </w:r>
    </w:p>
    <w:p>
      <w:pPr>
        <w:spacing w:after="0" w:line="20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9"/>
          <w:szCs w:val="19"/>
          <w:b w:val="1"/>
          <w:bCs w:val="1"/>
          <w:color w:val="auto"/>
        </w:rPr>
        <w:t>Schedule 2.9(b)</w:t>
      </w:r>
      <w:r>
        <w:rPr>
          <w:sz w:val="20"/>
          <w:szCs w:val="20"/>
          <w:color w:val="auto"/>
        </w:rPr>
        <w:tab/>
      </w:r>
      <w:r>
        <w:rPr>
          <w:rFonts w:ascii="Times New Roman" w:cs="Times New Roman" w:eastAsia="Times New Roman" w:hAnsi="Times New Roman"/>
          <w:sz w:val="19"/>
          <w:szCs w:val="19"/>
          <w:color w:val="auto"/>
        </w:rPr>
        <w:t>[***] Data Package</w:t>
      </w:r>
    </w:p>
    <w:p>
      <w:pPr>
        <w:sectPr>
          <w:pgSz w:w="11900" w:h="16840" w:orient="portrait"/>
          <w:cols w:equalWidth="0" w:num="1">
            <w:col w:w="9800"/>
          </w:cols>
          <w:pgMar w:left="660" w:top="1440" w:right="1440" w:bottom="1440" w:gutter="0" w:footer="0" w:header="0"/>
        </w:sectPr>
      </w:pPr>
    </w:p>
    <w:bookmarkStart w:id="625" w:name="page626"/>
    <w:bookmarkEnd w:id="625"/>
    <w:p>
      <w:pPr>
        <w:spacing w:after="0" w:line="255" w:lineRule="exact"/>
        <w:rPr>
          <w:sz w:val="20"/>
          <w:szCs w:val="20"/>
          <w:color w:val="auto"/>
        </w:rPr>
      </w:pPr>
    </w:p>
    <w:p>
      <w:pPr>
        <w:ind w:right="4820"/>
        <w:spacing w:after="0" w:line="441" w:lineRule="auto"/>
        <w:rPr>
          <w:sz w:val="20"/>
          <w:szCs w:val="20"/>
          <w:color w:val="auto"/>
        </w:rPr>
      </w:pPr>
      <w:r>
        <w:rPr>
          <w:rFonts w:ascii="Times New Roman" w:cs="Times New Roman" w:eastAsia="Times New Roman" w:hAnsi="Times New Roman"/>
          <w:sz w:val="19"/>
          <w:szCs w:val="19"/>
          <w:b w:val="1"/>
          <w:bCs w:val="1"/>
          <w:color w:val="auto"/>
        </w:rPr>
        <w:t xml:space="preserve">Schedule 8.8(b)(iii) </w:t>
      </w:r>
      <w:r>
        <w:rPr>
          <w:rFonts w:ascii="Times New Roman" w:cs="Times New Roman" w:eastAsia="Times New Roman" w:hAnsi="Times New Roman"/>
          <w:sz w:val="19"/>
          <w:szCs w:val="19"/>
          <w:color w:val="auto"/>
        </w:rPr>
        <w:t>Illustrative Example for [***] Costs [***]</w:t>
      </w:r>
      <w:r>
        <w:rPr>
          <w:rFonts w:ascii="Times New Roman" w:cs="Times New Roman" w:eastAsia="Times New Roman" w:hAnsi="Times New Roman"/>
          <w:sz w:val="19"/>
          <w:szCs w:val="19"/>
          <w:b w:val="1"/>
          <w:bCs w:val="1"/>
          <w:color w:val="auto"/>
        </w:rPr>
        <w:t xml:space="preserve"> Schedule 8.8(c) </w:t>
      </w:r>
      <w:r>
        <w:rPr>
          <w:rFonts w:ascii="Times New Roman" w:cs="Times New Roman" w:eastAsia="Times New Roman" w:hAnsi="Times New Roman"/>
          <w:sz w:val="19"/>
          <w:szCs w:val="19"/>
          <w:color w:val="auto"/>
        </w:rPr>
        <w:t>Example [***] Calculation</w:t>
      </w:r>
    </w:p>
    <w:p>
      <w:pPr>
        <w:spacing w:after="0" w:line="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b w:val="1"/>
          <w:bCs w:val="1"/>
          <w:color w:val="auto"/>
        </w:rPr>
        <w:t>Schedule 8.9</w:t>
      </w:r>
      <w:r>
        <w:rPr>
          <w:sz w:val="20"/>
          <w:szCs w:val="20"/>
          <w:color w:val="auto"/>
        </w:rPr>
        <w:tab/>
      </w:r>
      <w:r>
        <w:rPr>
          <w:rFonts w:ascii="Times New Roman" w:cs="Times New Roman" w:eastAsia="Times New Roman" w:hAnsi="Times New Roman"/>
          <w:sz w:val="19"/>
          <w:szCs w:val="19"/>
          <w:color w:val="auto"/>
        </w:rPr>
        <w:t>Payments for Other ADC Licensed Products</w:t>
      </w:r>
    </w:p>
    <w:p>
      <w:pPr>
        <w:spacing w:after="0" w:line="20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8.10</w:t>
      </w:r>
      <w:r>
        <w:rPr>
          <w:sz w:val="20"/>
          <w:szCs w:val="20"/>
          <w:color w:val="auto"/>
        </w:rPr>
        <w:tab/>
      </w:r>
      <w:r>
        <w:rPr>
          <w:rFonts w:ascii="Times New Roman" w:cs="Times New Roman" w:eastAsia="Times New Roman" w:hAnsi="Times New Roman"/>
          <w:sz w:val="19"/>
          <w:szCs w:val="19"/>
          <w:color w:val="auto"/>
        </w:rPr>
        <w:t>Payments for [***] Licensed Products</w:t>
      </w:r>
    </w:p>
    <w:p>
      <w:pPr>
        <w:spacing w:after="0" w:line="20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10.4</w:t>
      </w:r>
      <w:r>
        <w:rPr>
          <w:sz w:val="20"/>
          <w:szCs w:val="20"/>
          <w:color w:val="auto"/>
        </w:rPr>
        <w:tab/>
      </w:r>
      <w:r>
        <w:rPr>
          <w:rFonts w:ascii="Times New Roman" w:cs="Times New Roman" w:eastAsia="Times New Roman" w:hAnsi="Times New Roman"/>
          <w:sz w:val="19"/>
          <w:szCs w:val="19"/>
          <w:color w:val="auto"/>
        </w:rPr>
        <w:t>Joint Press Release</w:t>
      </w:r>
    </w:p>
    <w:p>
      <w:pPr>
        <w:spacing w:after="0" w:line="20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Schedule 11.2</w:t>
      </w:r>
      <w:r>
        <w:rPr>
          <w:sz w:val="20"/>
          <w:szCs w:val="20"/>
          <w:color w:val="auto"/>
        </w:rPr>
        <w:tab/>
      </w:r>
      <w:r>
        <w:rPr>
          <w:rFonts w:ascii="Times New Roman" w:cs="Times New Roman" w:eastAsia="Times New Roman" w:hAnsi="Times New Roman"/>
          <w:sz w:val="19"/>
          <w:szCs w:val="19"/>
          <w:color w:val="auto"/>
        </w:rPr>
        <w:t>Disclosure Schedule</w:t>
      </w:r>
    </w:p>
    <w:p>
      <w:pPr>
        <w:sectPr>
          <w:pgSz w:w="11900" w:h="16840" w:orient="portrait"/>
          <w:cols w:equalWidth="0" w:num="1">
            <w:col w:w="9800"/>
          </w:cols>
          <w:pgMar w:left="660" w:top="1440" w:right="1440" w:bottom="1440" w:gutter="0" w:footer="0" w:header="0"/>
        </w:sectPr>
      </w:pPr>
    </w:p>
    <w:bookmarkStart w:id="626" w:name="page627"/>
    <w:bookmarkEnd w:id="626"/>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This License and Collaboration Agreement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as of March 31,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between </w:t>
      </w:r>
      <w:r>
        <w:rPr>
          <w:rFonts w:ascii="Times New Roman" w:cs="Times New Roman" w:eastAsia="Times New Roman" w:hAnsi="Times New Roman"/>
          <w:sz w:val="19"/>
          <w:szCs w:val="19"/>
          <w:b w:val="1"/>
          <w:bCs w:val="1"/>
          <w:color w:val="auto"/>
        </w:rPr>
        <w:t>Duality Biologics (Suzhou) Co. Ltd.</w:t>
      </w:r>
      <w:r>
        <w:rPr>
          <w:rFonts w:ascii="Times New Roman" w:cs="Times New Roman" w:eastAsia="Times New Roman" w:hAnsi="Times New Roman"/>
          <w:sz w:val="19"/>
          <w:szCs w:val="19"/>
          <w:color w:val="auto"/>
        </w:rPr>
        <w:t>, a corporation organized and existing under the laws of the People’s Republic of China (“</w:t>
      </w:r>
      <w:r>
        <w:rPr>
          <w:rFonts w:ascii="Times New Roman" w:cs="Times New Roman" w:eastAsia="Times New Roman" w:hAnsi="Times New Roman"/>
          <w:sz w:val="19"/>
          <w:szCs w:val="19"/>
          <w:b w:val="1"/>
          <w:bCs w:val="1"/>
          <w:color w:val="auto"/>
        </w:rPr>
        <w:t>Duality</w:t>
      </w:r>
      <w:r>
        <w:rPr>
          <w:rFonts w:ascii="Times New Roman" w:cs="Times New Roman" w:eastAsia="Times New Roman" w:hAnsi="Times New Roman"/>
          <w:sz w:val="19"/>
          <w:szCs w:val="19"/>
          <w:color w:val="auto"/>
        </w:rPr>
        <w:t xml:space="preserve">”), having a place of business at Unit 1105-1106, No 868 Ying Hua Road, Pudong New District, Shanghai, China, and </w:t>
      </w:r>
      <w:r>
        <w:rPr>
          <w:rFonts w:ascii="Times New Roman" w:cs="Times New Roman" w:eastAsia="Times New Roman" w:hAnsi="Times New Roman"/>
          <w:sz w:val="19"/>
          <w:szCs w:val="19"/>
          <w:b w:val="1"/>
          <w:bCs w:val="1"/>
          <w:color w:val="auto"/>
        </w:rPr>
        <w:t xml:space="preserve">BioNTech SE </w:t>
      </w:r>
      <w:r>
        <w:rPr>
          <w:rFonts w:ascii="Times New Roman" w:cs="Times New Roman" w:eastAsia="Times New Roman" w:hAnsi="Times New Roman"/>
          <w:sz w:val="19"/>
          <w:szCs w:val="19"/>
          <w:color w:val="auto"/>
        </w:rPr>
        <w:t>, a company organized and existing under the laws of Germany, having a place of business at An der Goldgrube 12, D-55131 Mainz, Germany (“</w:t>
      </w:r>
      <w:r>
        <w:rPr>
          <w:rFonts w:ascii="Times New Roman" w:cs="Times New Roman" w:eastAsia="Times New Roman" w:hAnsi="Times New Roman"/>
          <w:sz w:val="19"/>
          <w:szCs w:val="19"/>
          <w:b w:val="1"/>
          <w:bCs w:val="1"/>
          <w:color w:val="auto"/>
        </w:rPr>
        <w:t>Licensee</w:t>
      </w:r>
      <w:r>
        <w:rPr>
          <w:rFonts w:ascii="Times New Roman" w:cs="Times New Roman" w:eastAsia="Times New Roman" w:hAnsi="Times New Roman"/>
          <w:sz w:val="19"/>
          <w:szCs w:val="19"/>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Duality is a clinical stage company focusing on the discovery and development of the next generation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therapeutics to treat patients in cancer and autoimmune diseases;</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is engaged in the research, development and commercialization of active immunotherapies for patient-specific approaches to the treatment of diseases;</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desires to obtain from Duality, and Duality desires to grant to Licensee, an exclusive sublicensable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Duality Licensed IP to Develop, Manufacture and Commercialize the ADC Licensed Products in the Field in the Territory (each as defined below), subject to the terms and conditions of this Agreement;</w:t>
      </w:r>
    </w:p>
    <w:p>
      <w:pPr>
        <w:spacing w:after="0" w:line="132"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desires to obtain from Duality, and Duality desires to grant to Licensee, an exclusive sublicensable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 In-Licensed IP to Develop, Manufacture and Commercialize the Sequence Licensed Products in the Field in the Territory (each as defined below), subject to the terms and conditions of this Agreement; and</w:t>
      </w:r>
    </w:p>
    <w:p>
      <w:pPr>
        <w:spacing w:after="0" w:line="1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desire to collaborate in the Development, Manufacture and Commercialization of the Original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Products in accordance with the terms and conditions of this Agreement.</w:t>
      </w:r>
    </w:p>
    <w:p>
      <w:pPr>
        <w:spacing w:after="0" w:line="123"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premises and the mutual covenants herein contained, and for other good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valuable consideration, the receipt and sufficiency of which are hereby acknowledged, Duality and Licensee hereby agree as follows:</w:t>
      </w:r>
    </w:p>
    <w:p>
      <w:pPr>
        <w:spacing w:after="0" w:line="200" w:lineRule="exact"/>
        <w:rPr>
          <w:sz w:val="20"/>
          <w:szCs w:val="20"/>
          <w:color w:val="auto"/>
        </w:rPr>
      </w:pPr>
    </w:p>
    <w:p>
      <w:pPr>
        <w:spacing w:after="0" w:line="3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w:t>
      </w:r>
    </w:p>
    <w:p>
      <w:pPr>
        <w:ind w:left="466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4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ABC Terms</w:t>
      </w:r>
      <w:r>
        <w:rPr>
          <w:rFonts w:ascii="Times New Roman" w:cs="Times New Roman" w:eastAsia="Times New Roman" w:hAnsi="Times New Roman"/>
          <w:sz w:val="19"/>
          <w:szCs w:val="19"/>
          <w:color w:val="auto"/>
        </w:rPr>
        <w:t xml:space="preserve">” shall mean those terms set out in </w:t>
      </w:r>
      <w:r>
        <w:rPr>
          <w:rFonts w:ascii="Times New Roman" w:cs="Times New Roman" w:eastAsia="Times New Roman" w:hAnsi="Times New Roman"/>
          <w:sz w:val="19"/>
          <w:szCs w:val="19"/>
          <w:b w:val="1"/>
          <w:bCs w:val="1"/>
          <w:color w:val="auto"/>
        </w:rPr>
        <w:t>Schedule 1.1</w:t>
      </w:r>
      <w:r>
        <w:rPr>
          <w:rFonts w:ascii="Times New Roman" w:cs="Times New Roman" w:eastAsia="Times New Roman" w:hAnsi="Times New Roman"/>
          <w:sz w:val="19"/>
          <w:szCs w:val="19"/>
          <w:color w:val="auto"/>
        </w:rPr>
        <w:t xml:space="preserve"> of this Agreement.</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Standards</w:t>
      </w:r>
      <w:r>
        <w:rPr>
          <w:rFonts w:ascii="Times New Roman" w:cs="Times New Roman" w:eastAsia="Times New Roman" w:hAnsi="Times New Roman"/>
          <w:sz w:val="19"/>
          <w:szCs w:val="19"/>
          <w:color w:val="auto"/>
        </w:rPr>
        <w:t>” shall mean with respect to a Selling Party (as defined below), International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Reporting Standards endorsed by the European Union or other applicable standard accounting principles used by Sublicensees.</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ADC</w:t>
      </w:r>
      <w:r>
        <w:rPr>
          <w:rFonts w:ascii="Times New Roman" w:cs="Times New Roman" w:eastAsia="Times New Roman" w:hAnsi="Times New Roman"/>
          <w:sz w:val="19"/>
          <w:szCs w:val="19"/>
          <w:color w:val="auto"/>
        </w:rPr>
        <w:t>” shall mean any construct comprising an Antibody(ies) linked to a non-Antibody chemical species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 or biological activity or function, including non -Antibody chemical species that (i) directly kills, slows or stops the growth of a tumor cell through such compound’s primary mechanism of action (“</w:t>
      </w:r>
      <w:r>
        <w:rPr>
          <w:rFonts w:ascii="Times New Roman" w:cs="Times New Roman" w:eastAsia="Times New Roman" w:hAnsi="Times New Roman"/>
          <w:sz w:val="19"/>
          <w:szCs w:val="19"/>
          <w:b w:val="1"/>
          <w:bCs w:val="1"/>
          <w:color w:val="auto"/>
        </w:rPr>
        <w:t>Cytotoxic Payload</w:t>
      </w:r>
      <w:r>
        <w:rPr>
          <w:rFonts w:ascii="Times New Roman" w:cs="Times New Roman" w:eastAsia="Times New Roman" w:hAnsi="Times New Roman"/>
          <w:sz w:val="19"/>
          <w:szCs w:val="19"/>
          <w:color w:val="auto"/>
        </w:rPr>
        <w:t>”) or (ii) [***].</w:t>
      </w:r>
    </w:p>
    <w:p>
      <w:pPr>
        <w:spacing w:after="0" w:line="1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ADC Licensed Product</w:t>
      </w:r>
      <w:r>
        <w:rPr>
          <w:rFonts w:ascii="Times New Roman" w:cs="Times New Roman" w:eastAsia="Times New Roman" w:hAnsi="Times New Roman"/>
          <w:sz w:val="19"/>
          <w:szCs w:val="19"/>
          <w:color w:val="auto"/>
        </w:rPr>
        <w:t>” shall mean the Original ADC Licensed Product, [***] and [***], but excluding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27" w:name="page628"/>
    <w:bookmarkEnd w:id="627"/>
    <w:p>
      <w:pPr>
        <w:spacing w:after="0" w:line="255"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Active(s)</w:t>
      </w:r>
      <w:r>
        <w:rPr>
          <w:rFonts w:ascii="Times New Roman" w:cs="Times New Roman" w:eastAsia="Times New Roman" w:hAnsi="Times New Roman"/>
          <w:sz w:val="19"/>
          <w:szCs w:val="19"/>
          <w:color w:val="auto"/>
        </w:rPr>
        <w:t>” shall mean any active pharmaceutical or biologic ingredient(s) that is not the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Compound.</w:t>
      </w:r>
    </w:p>
    <w:p>
      <w:pPr>
        <w:spacing w:after="0" w:line="35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Co-Promotional Law</w:t>
      </w:r>
      <w:r>
        <w:rPr>
          <w:rFonts w:ascii="Times New Roman" w:cs="Times New Roman" w:eastAsia="Times New Roman" w:hAnsi="Times New Roman"/>
          <w:sz w:val="19"/>
          <w:szCs w:val="19"/>
          <w:color w:val="auto"/>
        </w:rPr>
        <w:t>” shall mean the Applicable Laws that are applicable to the marketing, promotion,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distribution and sale of Co-Promotion Products, including (if applicable) the Federal Food, Drug and Cosmetic Act, the American Medical Association Guidelines on Gifts to Physicians from Industry and the Pharmaceutical Research and Manufacturers of America (“PhRMA”) Code on Interactions with Healthcare Professionals.</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Adjusted Net Profits</w:t>
      </w:r>
      <w:r>
        <w:rPr>
          <w:rFonts w:ascii="Times New Roman" w:cs="Times New Roman" w:eastAsia="Times New Roman" w:hAnsi="Times New Roman"/>
          <w:sz w:val="19"/>
          <w:szCs w:val="19"/>
          <w:color w:val="auto"/>
        </w:rPr>
        <w:t>” and, with correlative meaning, “</w:t>
      </w:r>
      <w:r>
        <w:rPr>
          <w:rFonts w:ascii="Times New Roman" w:cs="Times New Roman" w:eastAsia="Times New Roman" w:hAnsi="Times New Roman"/>
          <w:sz w:val="19"/>
          <w:szCs w:val="19"/>
          <w:b w:val="1"/>
          <w:bCs w:val="1"/>
          <w:color w:val="auto"/>
        </w:rPr>
        <w:t>Adjusted Net Losses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mean any company or entity controlled by, controlling, or under common control with a Party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another entity. For the purpose of this definition, an entity shall be deemed to “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another entity, if it owns directly or indirectly, more than fifty percent (50%) of the outstanding voting securities, capital stock, or other comparable equity or ownership interest of such entity, or possession, direct or indirect, of the power to direct or cause the direction of the management or policies of an entity (whether through ownership of securities or other ownership interests, by contract or otherwise).</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shall have the meaning provided in Section 3.9.</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1.10</w:t>
      </w:r>
      <w:r>
        <w:rPr>
          <w:sz w:val="20"/>
          <w:szCs w:val="20"/>
          <w:color w:val="auto"/>
        </w:rPr>
        <w:tab/>
      </w:r>
      <w:r>
        <w:rPr>
          <w:rFonts w:ascii="Times New Roman" w:cs="Times New Roman" w:eastAsia="Times New Roman" w:hAnsi="Times New Roman"/>
          <w:sz w:val="19"/>
          <w:szCs w:val="19"/>
          <w:b w:val="1"/>
          <w:bCs w:val="1"/>
          <w:color w:val="auto"/>
        </w:rPr>
        <w:t>“Annual Net Sales</w:t>
      </w:r>
      <w:r>
        <w:rPr>
          <w:rFonts w:ascii="Times New Roman" w:cs="Times New Roman" w:eastAsia="Times New Roman" w:hAnsi="Times New Roman"/>
          <w:sz w:val="19"/>
          <w:szCs w:val="19"/>
          <w:color w:val="auto"/>
        </w:rPr>
        <w:t>” shall mean for a particular Licensed Product the total Net Sales for a particular Calendar Year.</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Antibody</w:t>
      </w:r>
      <w:r>
        <w:rPr>
          <w:rFonts w:ascii="Times New Roman" w:cs="Times New Roman" w:eastAsia="Times New Roman" w:hAnsi="Times New Roman"/>
          <w:sz w:val="19"/>
          <w:szCs w:val="19"/>
          <w:color w:val="auto"/>
        </w:rPr>
        <w:t>” shall mean any antibody (including murine, chimeric, human, humanized, recombinant, transgenic, grafted,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phage display derived, or single chain antibody), or antigen binding fragment thereof. [***]</w:t>
      </w:r>
    </w:p>
    <w:p>
      <w:pPr>
        <w:spacing w:after="0" w:line="12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1.12 “Anti-Corruption Laws” </w:t>
      </w:r>
      <w:r>
        <w:rPr>
          <w:rFonts w:ascii="Times New Roman" w:cs="Times New Roman" w:eastAsia="Times New Roman" w:hAnsi="Times New Roman"/>
          <w:sz w:val="19"/>
          <w:szCs w:val="19"/>
          <w:color w:val="auto"/>
        </w:rPr>
        <w:t>shall mean all applicable anti-bribery and anti-corruption laws and regulations, including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 Foreign Corrupt Practices Act of 1977, the U.K. Bribery Act 2010 and the PRC Anti-Money Laundering Law and the comparable Applicable Laws of any countries in which candidates or Licensed Products, payments or services will be provided or procured under or pursuant to this Agreement.</w:t>
      </w:r>
    </w:p>
    <w:p>
      <w:pPr>
        <w:spacing w:after="0" w:line="134"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1. 13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Laws</w:t>
      </w:r>
      <w:r>
        <w:rPr>
          <w:rFonts w:ascii="Times New Roman" w:cs="Times New Roman" w:eastAsia="Times New Roman" w:hAnsi="Times New Roman"/>
          <w:sz w:val="19"/>
          <w:szCs w:val="19"/>
          <w:color w:val="auto"/>
        </w:rPr>
        <w:t>” shall mean collectively the applicable provisions of any and all national, supranational, regional,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and local laws, treaties, statutes, rules, regulations, administrative codes, guidance, ordinances, judgments, decrees, directives, injunctions, orders, of any Governmental Authority and any license, franchise, permit or similar right granted under any of the foregoing (including Regulatory Approvals) and any policies and other requirements of or from any court, arbitrator, Regulatory Authority or governmental agency or Governmental Authority having jurisdiction over or related to the subject item or subject person, including all applicable GXPs, Anti-Corruption Laws, Applicable Data Protection Laws, accounting and recordkeeping laws, export control laws and laws relating to interactions with health care professionals and government officials.</w:t>
      </w:r>
    </w:p>
    <w:p>
      <w:pPr>
        <w:spacing w:after="0" w:line="135"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Data Protection Law</w:t>
      </w:r>
      <w:r>
        <w:rPr>
          <w:rFonts w:ascii="Times New Roman" w:cs="Times New Roman" w:eastAsia="Times New Roman" w:hAnsi="Times New Roman"/>
          <w:sz w:val="19"/>
          <w:szCs w:val="19"/>
          <w:color w:val="auto"/>
        </w:rPr>
        <w:t>” shall mean all Applicable Laws in any jurisdiction relating to privacy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processing or protection of personal data or personal information, including the General Data Protection Regulation (EU) 2016/679 (GDPR), the UK Data Protection Act 2018, the e-Privacy Directive (2002/58/EC) and the comparable in other jurisdictions and all guidance issued by any applicable data protection authority.</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B7H3</w:t>
      </w:r>
      <w:r>
        <w:rPr>
          <w:rFonts w:ascii="Times New Roman" w:cs="Times New Roman" w:eastAsia="Times New Roman" w:hAnsi="Times New Roman"/>
          <w:sz w:val="19"/>
          <w:szCs w:val="19"/>
          <w:color w:val="auto"/>
        </w:rPr>
        <w:t>” shall mean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28" w:name="page629"/>
    <w:bookmarkEnd w:id="628"/>
    <w:p>
      <w:pPr>
        <w:spacing w:after="0" w:line="255"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Biosimilar Product</w:t>
      </w:r>
      <w:r>
        <w:rPr>
          <w:rFonts w:ascii="Times New Roman" w:cs="Times New Roman" w:eastAsia="Times New Roman" w:hAnsi="Times New Roman"/>
          <w:sz w:val="19"/>
          <w:szCs w:val="19"/>
          <w:color w:val="auto"/>
        </w:rPr>
        <w:t>” shall mean with respect to a particular Licensed Product in a given country, a product comprising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ADC sold by a Third Party not authorized by Licensee or its Affiliates or Sublicensees that is approved by the applicable Regulatory Authority for such country through an application or submission filed with a Regulatory Authority for marketing approval of a biologic product claimed to be biosimilar or interchangeable to such Licensed Product, including an application filed under 42 U.S.C. § 262(k) (or any successor thereto) or any similar laws or regulations in a country outside the United States in reliance on data generated for a Regulatory Approval of such Licensed Product.</w:t>
      </w:r>
    </w:p>
    <w:p>
      <w:pPr>
        <w:spacing w:after="0" w:line="132"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Biologics License Application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BLA</w:t>
      </w:r>
      <w:r>
        <w:rPr>
          <w:rFonts w:ascii="Times New Roman" w:cs="Times New Roman" w:eastAsia="Times New Roman" w:hAnsi="Times New Roman"/>
          <w:sz w:val="19"/>
          <w:szCs w:val="19"/>
          <w:color w:val="auto"/>
        </w:rPr>
        <w:t>” shall mean an application requesting permission from the FDA to introduce,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deliver for introduction, a biological product into interstate commerce.</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shall mean any day that is not a Saturday, a Sunday or any other day on which banks are required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authorized by law to close in Mainz, Rhineland-Palatine (in Germany) or any government mandated holiday in Mainland China.</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shall mean each period of three (3) consecutive months commencing on January 1, April 1, July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October 1 (or any portion thereof at the beginning or end of the Term or other relevant period).</w:t>
      </w:r>
    </w:p>
    <w:p>
      <w:pPr>
        <w:spacing w:after="0" w:line="123"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Year</w:t>
      </w:r>
      <w:r>
        <w:rPr>
          <w:rFonts w:ascii="Times New Roman" w:cs="Times New Roman" w:eastAsia="Times New Roman" w:hAnsi="Times New Roman"/>
          <w:sz w:val="19"/>
          <w:szCs w:val="19"/>
          <w:color w:val="auto"/>
        </w:rPr>
        <w:t>” shall mean each period of twelve (12) consecutive months commencing on January 1 and ending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December 31 (or any portion thereof at the beginning or end of the Term or other relevant period).</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Cell Lines and Cell Banks</w:t>
      </w:r>
      <w:r>
        <w:rPr>
          <w:rFonts w:ascii="Times New Roman" w:cs="Times New Roman" w:eastAsia="Times New Roman" w:hAnsi="Times New Roman"/>
          <w:sz w:val="19"/>
          <w:szCs w:val="19"/>
          <w:color w:val="auto"/>
        </w:rPr>
        <w:t>” shall have the meaning provided in Section 6.3.</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shall mean, with respect to either Party: (a) a merger, acquisition, reorganization, or consolidation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such Party 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immediately after such merger, acquisition, reorganization, or consolidation; (b) a transaction or series of related transactions in which a Third Party, together with its Affiliates, becomes the beneficial owner, directly or indirectly, of more than fifty percent (50%) of the combined voting power of the outstanding securities of such Party; or (c) a transfer to a Third Party of all or substantially all of its assets relating to this Agreement.</w:t>
      </w:r>
    </w:p>
    <w:p>
      <w:pPr>
        <w:spacing w:after="0" w:line="135"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Clinical Trial</w:t>
      </w:r>
      <w:r>
        <w:rPr>
          <w:rFonts w:ascii="Times New Roman" w:cs="Times New Roman" w:eastAsia="Times New Roman" w:hAnsi="Times New Roman"/>
          <w:sz w:val="19"/>
          <w:szCs w:val="19"/>
          <w:color w:val="auto"/>
        </w:rPr>
        <w:t>” shall mean a Phase I Clinical Trial, Phase II Clinical Trial, Phase III Clinical Trial, Registrational Trial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other human clinical trial conducted after the Regulatory Approval of a product in a country, which trial may be conducted to (a) enhance scientific knowledge of such product (e.g., for expansion of product labeling), (b) due to a request or requirement of a Regulatory Authority in such country, (c) is otherwise designed to establish that a product is reasonably safe for continued testing and to identify adverse reactions and ascertain the safety of the product, or (d) investigate the safety and efficacy of the product for its intended use, and to define warnings, precautions and adverse reactions that may be associated with the product in the dosage range to be prescribed.</w:t>
      </w:r>
    </w:p>
    <w:p>
      <w:pPr>
        <w:spacing w:after="0" w:line="226"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w:t>
      </w:r>
      <w:r>
        <w:rPr>
          <w:rFonts w:ascii="Times New Roman" w:cs="Times New Roman" w:eastAsia="Times New Roman" w:hAnsi="Times New Roman"/>
          <w:sz w:val="19"/>
          <w:szCs w:val="19"/>
          <w:color w:val="auto"/>
        </w:rPr>
        <w:t>” shall mean chemistry, manufacturing and controls with respect to the Licensed Compound or ADC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Products.</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 Materials</w:t>
      </w:r>
      <w:r>
        <w:rPr>
          <w:rFonts w:ascii="Times New Roman" w:cs="Times New Roman" w:eastAsia="Times New Roman" w:hAnsi="Times New Roman"/>
          <w:sz w:val="19"/>
          <w:szCs w:val="19"/>
          <w:color w:val="auto"/>
        </w:rPr>
        <w:t>” shall have the meaning provided in Section 6.2.</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CMO</w:t>
      </w:r>
      <w:r>
        <w:rPr>
          <w:rFonts w:ascii="Times New Roman" w:cs="Times New Roman" w:eastAsia="Times New Roman" w:hAnsi="Times New Roman"/>
          <w:sz w:val="19"/>
          <w:szCs w:val="19"/>
          <w:color w:val="auto"/>
        </w:rPr>
        <w:t>” shall mean Third Party contract manufacturing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29" w:name="page630"/>
    <w:bookmarkEnd w:id="629"/>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IP</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Co-Promote</w:t>
      </w:r>
      <w:r>
        <w:rPr>
          <w:rFonts w:ascii="Times New Roman" w:cs="Times New Roman" w:eastAsia="Times New Roman" w:hAnsi="Times New Roman"/>
          <w:sz w:val="19"/>
          <w:szCs w:val="19"/>
          <w:color w:val="auto"/>
        </w:rPr>
        <w:t>” shall mean the Detailing and such other activities assigned to Duality in the Co-Promotion Agreement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well as distribution of such Co -Promotion Product in the Cost &amp; Profit/Loss Sharing Territory by Duality or its Affiliates, and “ </w:t>
      </w:r>
      <w:r>
        <w:rPr>
          <w:rFonts w:ascii="Times New Roman" w:cs="Times New Roman" w:eastAsia="Times New Roman" w:hAnsi="Times New Roman"/>
          <w:sz w:val="19"/>
          <w:szCs w:val="19"/>
          <w:b w:val="1"/>
          <w:bCs w:val="1"/>
          <w:color w:val="auto"/>
        </w:rPr>
        <w:t>Co-Promotion</w:t>
      </w:r>
      <w:r>
        <w:rPr>
          <w:rFonts w:ascii="Times New Roman" w:cs="Times New Roman" w:eastAsia="Times New Roman" w:hAnsi="Times New Roman"/>
          <w:sz w:val="19"/>
          <w:szCs w:val="19"/>
          <w:color w:val="auto"/>
        </w:rPr>
        <w:t>” shall be construed accordingly. “Co- Promotion” shall not include any Medical Affairs Activities (including medical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marketing, pricing, market access and reimbursement.</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Agreement</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Costs</w:t>
      </w:r>
      <w:r>
        <w:rPr>
          <w:rFonts w:ascii="Times New Roman" w:cs="Times New Roman" w:eastAsia="Times New Roman" w:hAnsi="Times New Roman"/>
          <w:sz w:val="19"/>
          <w:szCs w:val="19"/>
          <w:color w:val="auto"/>
        </w:rPr>
        <w:t>” shall mean the expenses incurred by either Party in performing Co-Promotion activities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Co-Promotion Agreement, including [***].</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Negotiation Period</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Option</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Option Exercise Date</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Option Exercise Notice</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Option Period</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Plan</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Product</w:t>
      </w:r>
      <w:r>
        <w:rPr>
          <w:rFonts w:ascii="Times New Roman" w:cs="Times New Roman" w:eastAsia="Times New Roman" w:hAnsi="Times New Roman"/>
          <w:sz w:val="19"/>
          <w:szCs w:val="19"/>
          <w:color w:val="auto"/>
        </w:rPr>
        <w:t>” shall have the meaning provided in Section 7.8.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Co-Promotion Terms</w:t>
      </w:r>
      <w:r>
        <w:rPr>
          <w:rFonts w:ascii="Times New Roman" w:cs="Times New Roman" w:eastAsia="Times New Roman" w:hAnsi="Times New Roman"/>
          <w:sz w:val="19"/>
          <w:szCs w:val="19"/>
          <w:color w:val="auto"/>
        </w:rPr>
        <w:t xml:space="preserve">” shall mean those terms set out in </w:t>
      </w:r>
      <w:r>
        <w:rPr>
          <w:rFonts w:ascii="Times New Roman" w:cs="Times New Roman" w:eastAsia="Times New Roman" w:hAnsi="Times New Roman"/>
          <w:sz w:val="19"/>
          <w:szCs w:val="19"/>
          <w:b w:val="1"/>
          <w:bCs w:val="1"/>
          <w:color w:val="auto"/>
        </w:rPr>
        <w:t>Schedule 1.38.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w:t>
      </w:r>
      <w:r>
        <w:rPr>
          <w:rFonts w:ascii="Times New Roman" w:cs="Times New Roman" w:eastAsia="Times New Roman" w:hAnsi="Times New Roman"/>
          <w:sz w:val="19"/>
          <w:szCs w:val="19"/>
          <w:color w:val="auto"/>
        </w:rPr>
        <w:t>” shall mean, with respect to a product, any and all activities undertaken before and after obtaining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Approvals relating specifically to the pre-launch, launch, promotion, detailing, marketing, pricing, reimbursement, sale, importing, exporting or transporting such product, and distribution of such product, including strategic marketing, sales force detailing, advertising, market product support, all customer support, product distribution, and invoicing and sales activities, but excluding Development and Manufacturing. “</w:t>
      </w:r>
      <w:r>
        <w:rPr>
          <w:rFonts w:ascii="Times New Roman" w:cs="Times New Roman" w:eastAsia="Times New Roman" w:hAnsi="Times New Roman"/>
          <w:sz w:val="19"/>
          <w:szCs w:val="19"/>
          <w:b w:val="1"/>
          <w:bCs w:val="1"/>
          <w:color w:val="auto"/>
        </w:rPr>
        <w:t>Commercialize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Commercialized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Commercializing</w:t>
      </w:r>
      <w:r>
        <w:rPr>
          <w:rFonts w:ascii="Times New Roman" w:cs="Times New Roman" w:eastAsia="Times New Roman" w:hAnsi="Times New Roman"/>
          <w:sz w:val="19"/>
          <w:szCs w:val="19"/>
          <w:color w:val="auto"/>
        </w:rPr>
        <w:t>” shall have the correlative meanings.</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shall have the meaning provided in Section 7.2.</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meaning given in Section 3.3.</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Competitive Change of Control” </w:t>
      </w:r>
      <w:r>
        <w:rPr>
          <w:rFonts w:ascii="Times New Roman" w:cs="Times New Roman" w:eastAsia="Times New Roman" w:hAnsi="Times New Roman"/>
          <w:sz w:val="19"/>
          <w:szCs w:val="19"/>
          <w:color w:val="auto"/>
        </w:rPr>
        <w:t>shall mean a Change of Control of Duality where the incoming Third Party and/or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Affiliates is a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0" w:name="page631"/>
    <w:bookmarkEnd w:id="630"/>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Confidential Information </w:t>
      </w:r>
      <w:r>
        <w:rPr>
          <w:rFonts w:ascii="Times New Roman" w:cs="Times New Roman" w:eastAsia="Times New Roman" w:hAnsi="Times New Roman"/>
          <w:sz w:val="19"/>
          <w:szCs w:val="19"/>
          <w:color w:val="auto"/>
        </w:rPr>
        <w:t>” shall mean all Know-How and other proprietary scientific, technical, clinical, marketing,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or commercial information or Data Controlled by a Party or its Affiliates, which one Party or any of its Affiliates has furnished or made available to the other Party or its Affiliates, whether in oral, written or electronic form. The existence and terms of this Agreement shall be deemed Confidential Information of each Party.</w:t>
      </w:r>
    </w:p>
    <w:p>
      <w:pPr>
        <w:spacing w:after="0" w:line="134"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1.48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(including any variations such as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Controlling</w:t>
      </w:r>
      <w:r>
        <w:rPr>
          <w:rFonts w:ascii="Times New Roman" w:cs="Times New Roman" w:eastAsia="Times New Roman" w:hAnsi="Times New Roman"/>
          <w:sz w:val="19"/>
          <w:szCs w:val="19"/>
          <w:color w:val="auto"/>
        </w:rPr>
        <w:t>”) shall mean, with respect to any Know-How, Patents or other intellectual property rights, possession by a Party or Third Party of the right, power and authority (whether by ownership, license, sublicense or otherwise, other than by virtue of any rights granted under this Agreement) to grant access to, to grant use of, or to grant a license or a sublicense to such Know- How, Patents or intellectual property rights without violating the terms of any agreement or other arrangement with any Third Party. Notwithstanding anything in this Agreement to the contrary, a Party and its Affiliates will be deemed to not Control any Know- How, Patents, or other intellectual property rights that are in-licensed or acquired by such Party or its Affiliates from a Third Party after the Effective Date, unless the other Party agrees to (a) comply with the terms and conditions of the agreement under which such Know-How, Patents, or other intellectual property rights were in-licensed or acquired by such Party; and (b) pay all amounts that such Party would be obligated to pay in connection with the grant, maintenance and exercise of a (sub)license as reasonably allocable to such other Party for use in its territory under such Know-How, Patents, or other intellectual property rights.</w:t>
      </w:r>
    </w:p>
    <w:p>
      <w:pPr>
        <w:spacing w:after="0" w:line="138"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Agreement</w:t>
      </w:r>
      <w:r>
        <w:rPr>
          <w:rFonts w:ascii="Times New Roman" w:cs="Times New Roman" w:eastAsia="Times New Roman" w:hAnsi="Times New Roman"/>
          <w:sz w:val="19"/>
          <w:szCs w:val="19"/>
          <w:color w:val="auto"/>
        </w:rPr>
        <w:t>” shall have the meaning provided in Section 2.6(d).</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Option</w:t>
      </w:r>
      <w:r>
        <w:rPr>
          <w:rFonts w:ascii="Times New Roman" w:cs="Times New Roman" w:eastAsia="Times New Roman" w:hAnsi="Times New Roman"/>
          <w:sz w:val="19"/>
          <w:szCs w:val="19"/>
          <w:color w:val="auto"/>
        </w:rPr>
        <w:t>” shall have the meaning provided in Section 2.6(a).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Option Exercise Notice</w:t>
      </w:r>
      <w:r>
        <w:rPr>
          <w:rFonts w:ascii="Times New Roman" w:cs="Times New Roman" w:eastAsia="Times New Roman" w:hAnsi="Times New Roman"/>
          <w:sz w:val="19"/>
          <w:szCs w:val="19"/>
          <w:color w:val="auto"/>
        </w:rPr>
        <w:t>” shall have the meaning provided in Section 2.6(c).</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Option Exercise Date</w:t>
      </w:r>
      <w:r>
        <w:rPr>
          <w:rFonts w:ascii="Times New Roman" w:cs="Times New Roman" w:eastAsia="Times New Roman" w:hAnsi="Times New Roman"/>
          <w:sz w:val="19"/>
          <w:szCs w:val="19"/>
          <w:color w:val="auto"/>
        </w:rPr>
        <w:t>” shall have the meaning provided in Section 2.6(c).</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Option Period</w:t>
      </w:r>
      <w:r>
        <w:rPr>
          <w:rFonts w:ascii="Times New Roman" w:cs="Times New Roman" w:eastAsia="Times New Roman" w:hAnsi="Times New Roman"/>
          <w:sz w:val="19"/>
          <w:szCs w:val="19"/>
          <w:color w:val="auto"/>
        </w:rPr>
        <w:t>” shall have the meaning provided in Section 2.6(a).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Cost &amp; Profit/Loss Sharing Territory</w:t>
      </w:r>
      <w:r>
        <w:rPr>
          <w:rFonts w:ascii="Times New Roman" w:cs="Times New Roman" w:eastAsia="Times New Roman" w:hAnsi="Times New Roman"/>
          <w:sz w:val="19"/>
          <w:szCs w:val="19"/>
          <w:color w:val="auto"/>
        </w:rPr>
        <w:t>” shall mean the United States.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CRO</w:t>
      </w:r>
      <w:r>
        <w:rPr>
          <w:rFonts w:ascii="Times New Roman" w:cs="Times New Roman" w:eastAsia="Times New Roman" w:hAnsi="Times New Roman"/>
          <w:sz w:val="19"/>
          <w:szCs w:val="19"/>
          <w:color w:val="auto"/>
        </w:rPr>
        <w:t>” shall mean a contract research organization.</w:t>
      </w:r>
    </w:p>
    <w:p>
      <w:pPr>
        <w:spacing w:after="0" w:line="16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 shall mean all data, including non -clinical data, preclinical data and clinical data, including pharmacological,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biological, chemical, toxicological, clinical test, safety, clinical and analytical information, quality control, trial, stability and manufacturing processes and techniques data generated by or on behalf of a Party or its Affiliates or their respective Sublicensees (in case of Licensee) and (sub)licensees and other (sub)contractors (in the case of Duality) pursuant to activities conducted under this Agreement.</w:t>
      </w:r>
    </w:p>
    <w:p>
      <w:pPr>
        <w:spacing w:after="0" w:line="278"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1.58</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1" w:name="page632"/>
    <w:bookmarkEnd w:id="631"/>
    <w:p>
      <w:pPr>
        <w:spacing w:after="0" w:line="255"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Detail</w:t>
      </w:r>
      <w:r>
        <w:rPr>
          <w:rFonts w:ascii="Times New Roman" w:cs="Times New Roman" w:eastAsia="Times New Roman" w:hAnsi="Times New Roman"/>
          <w:sz w:val="19"/>
          <w:szCs w:val="19"/>
          <w:color w:val="auto"/>
        </w:rPr>
        <w:t>” shall mean [***] and “</w:t>
      </w:r>
      <w:r>
        <w:rPr>
          <w:rFonts w:ascii="Times New Roman" w:cs="Times New Roman" w:eastAsia="Times New Roman" w:hAnsi="Times New Roman"/>
          <w:sz w:val="19"/>
          <w:szCs w:val="19"/>
          <w:b w:val="1"/>
          <w:bCs w:val="1"/>
          <w:color w:val="auto"/>
        </w:rPr>
        <w:t>Detailing</w:t>
      </w:r>
      <w:r>
        <w:rPr>
          <w:rFonts w:ascii="Times New Roman" w:cs="Times New Roman" w:eastAsia="Times New Roman" w:hAnsi="Times New Roman"/>
          <w:sz w:val="19"/>
          <w:szCs w:val="19"/>
          <w:color w:val="auto"/>
        </w:rPr>
        <w:t>” shall be construed accordingly. When used as a verb, “</w:t>
      </w:r>
      <w:r>
        <w:rPr>
          <w:rFonts w:ascii="Times New Roman" w:cs="Times New Roman" w:eastAsia="Times New Roman" w:hAnsi="Times New Roman"/>
          <w:sz w:val="19"/>
          <w:szCs w:val="19"/>
          <w:b w:val="1"/>
          <w:bCs w:val="1"/>
          <w:color w:val="auto"/>
        </w:rPr>
        <w:t>Detail</w:t>
      </w:r>
      <w:r>
        <w:rPr>
          <w:rFonts w:ascii="Times New Roman" w:cs="Times New Roman" w:eastAsia="Times New Roman" w:hAnsi="Times New Roman"/>
          <w:sz w:val="19"/>
          <w:szCs w:val="19"/>
          <w:color w:val="auto"/>
        </w:rPr>
        <w:t>” shall mean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engage in a Detail. [***]</w:t>
      </w:r>
    </w:p>
    <w:p>
      <w:pPr>
        <w:spacing w:after="0" w:line="123"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shall mean, with respect to a pharmaceutical or biological product, any research activities, all non-clinical and clinical drug development activities and processes, [***], regulatory affairs and other activities, in each case, which are reasonably necessary to prepare submissions for, and obtain or maintain, Regulatory Approval of such product and interacting with Regulatory Authorities regarding the foregoing, including lifecycle management studies and other activities. “</w:t>
      </w:r>
      <w:r>
        <w:rPr>
          <w:rFonts w:ascii="Times New Roman" w:cs="Times New Roman" w:eastAsia="Times New Roman" w:hAnsi="Times New Roman"/>
          <w:sz w:val="19"/>
          <w:szCs w:val="19"/>
          <w:b w:val="1"/>
          <w:bCs w:val="1"/>
          <w:color w:val="auto"/>
        </w:rPr>
        <w:t>Develop</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Developed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Developing</w:t>
      </w:r>
      <w:r>
        <w:rPr>
          <w:rFonts w:ascii="Times New Roman" w:cs="Times New Roman" w:eastAsia="Times New Roman" w:hAnsi="Times New Roman"/>
          <w:sz w:val="19"/>
          <w:szCs w:val="19"/>
          <w:color w:val="auto"/>
        </w:rPr>
        <w:t>” shall have the correlative meanings.</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Budget</w:t>
      </w:r>
      <w:r>
        <w:rPr>
          <w:rFonts w:ascii="Times New Roman" w:cs="Times New Roman" w:eastAsia="Times New Roman" w:hAnsi="Times New Roman"/>
          <w:sz w:val="19"/>
          <w:szCs w:val="19"/>
          <w:color w:val="auto"/>
        </w:rPr>
        <w:t>” shall have the meaning as set forth in Section 1.64.</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Costs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Development Phase </w:t>
      </w:r>
      <w:r>
        <w:rPr>
          <w:rFonts w:ascii="Times New Roman" w:cs="Times New Roman" w:eastAsia="Times New Roman" w:hAnsi="Times New Roman"/>
          <w:sz w:val="19"/>
          <w:szCs w:val="19"/>
          <w:color w:val="auto"/>
        </w:rPr>
        <w:t>” shall mean the period from the Effective Date to the First Commercial Sale of the first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ADC Licensed Product during which either Party is conducting any Development activities for an Original ADC Licensed Product or Licensed Compound.</w:t>
      </w:r>
    </w:p>
    <w:p>
      <w:pPr>
        <w:spacing w:after="0" w:line="13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1.64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Plan</w:t>
      </w:r>
      <w:r>
        <w:rPr>
          <w:rFonts w:ascii="Times New Roman" w:cs="Times New Roman" w:eastAsia="Times New Roman" w:hAnsi="Times New Roman"/>
          <w:sz w:val="19"/>
          <w:szCs w:val="19"/>
          <w:color w:val="auto"/>
        </w:rPr>
        <w:t>” shall mean a written plan approved by the JSC, and amended from time to time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this Agreement, describing [***]. The initial Development Plan, unless otherwise agreed on by the Parties, will be agreed by the Parties latest within [***] of the Effective Date.</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Divestiture</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Schedule</w:t>
      </w:r>
      <w:r>
        <w:rPr>
          <w:rFonts w:ascii="Times New Roman" w:cs="Times New Roman" w:eastAsia="Times New Roman" w:hAnsi="Times New Roman"/>
          <w:sz w:val="19"/>
          <w:szCs w:val="19"/>
          <w:color w:val="auto"/>
        </w:rPr>
        <w:t>” shall have the meaning provided in Section 11.2.</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have the meaning provided in Section 15.2.</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1.69</w:t>
      </w:r>
      <w:r>
        <w:rPr>
          <w:sz w:val="20"/>
          <w:szCs w:val="20"/>
          <w:color w:val="auto"/>
        </w:rPr>
        <w:tab/>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shall have the meaning provided in Section 12.1(a).</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1.70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Costs</w:t>
      </w:r>
      <w:r>
        <w:rPr>
          <w:rFonts w:ascii="Times New Roman" w:cs="Times New Roman" w:eastAsia="Times New Roman" w:hAnsi="Times New Roman"/>
          <w:sz w:val="19"/>
          <w:szCs w:val="19"/>
          <w:color w:val="auto"/>
        </w:rPr>
        <w:t>” shall mean any and all costs and expenses that are reasonably incurred by or on behalf of Duality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applicable Affiliates after the Effective Date in conducting the Planned Trials and/or performing other Development activities as agreed hereunder in the Territory pursuant to this Agreement and the Development Plan. [***]</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CMO</w:t>
      </w:r>
      <w:r>
        <w:rPr>
          <w:rFonts w:ascii="Times New Roman" w:cs="Times New Roman" w:eastAsia="Times New Roman" w:hAnsi="Times New Roman"/>
          <w:sz w:val="19"/>
          <w:szCs w:val="19"/>
          <w:color w:val="auto"/>
        </w:rPr>
        <w:t>” shall mean any CMO engaged by Duality or any Affiliate of Duality.</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Development Activities</w:t>
      </w:r>
      <w:r>
        <w:rPr>
          <w:rFonts w:ascii="Times New Roman" w:cs="Times New Roman" w:eastAsia="Times New Roman" w:hAnsi="Times New Roman"/>
          <w:sz w:val="19"/>
          <w:szCs w:val="19"/>
          <w:color w:val="auto"/>
        </w:rPr>
        <w:t>” shall have the meaning provided in Section 4.6(a).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1.74</w:t>
      </w:r>
      <w:r>
        <w:rPr>
          <w:sz w:val="20"/>
          <w:szCs w:val="20"/>
          <w:color w:val="auto"/>
        </w:rPr>
        <w:tab/>
      </w:r>
      <w:r>
        <w:rPr>
          <w:rFonts w:ascii="Times New Roman" w:cs="Times New Roman" w:eastAsia="Times New Roman" w:hAnsi="Times New Roman"/>
          <w:sz w:val="19"/>
          <w:szCs w:val="19"/>
          <w:color w:val="auto"/>
        </w:rPr>
        <w:t>[***] shall have the meaning provided in Section 2.10.</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1.75</w:t>
      </w:r>
      <w:r>
        <w:rPr>
          <w:sz w:val="20"/>
          <w:szCs w:val="20"/>
          <w:color w:val="auto"/>
        </w:rPr>
        <w:tab/>
      </w:r>
      <w:r>
        <w:rPr>
          <w:rFonts w:ascii="Times New Roman" w:cs="Times New Roman" w:eastAsia="Times New Roman" w:hAnsi="Times New Roman"/>
          <w:sz w:val="19"/>
          <w:szCs w:val="19"/>
          <w:b w:val="1"/>
          <w:bCs w:val="1"/>
          <w:color w:val="auto"/>
        </w:rPr>
        <w:t xml:space="preserve">“Duality In-Licensed Agreements” </w:t>
      </w:r>
      <w:r>
        <w:rPr>
          <w:rFonts w:ascii="Times New Roman" w:cs="Times New Roman" w:eastAsia="Times New Roman" w:hAnsi="Times New Roman"/>
          <w:sz w:val="19"/>
          <w:szCs w:val="19"/>
          <w:color w:val="auto"/>
        </w:rPr>
        <w:t>shall mean each Agreement as set forth on Schedule 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2" w:name="page633"/>
    <w:bookmarkEnd w:id="632"/>
    <w:p>
      <w:pPr>
        <w:spacing w:after="0" w:line="255"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In-Licensed IP</w:t>
      </w:r>
      <w:r>
        <w:rPr>
          <w:rFonts w:ascii="Times New Roman" w:cs="Times New Roman" w:eastAsia="Times New Roman" w:hAnsi="Times New Roman"/>
          <w:sz w:val="19"/>
          <w:szCs w:val="19"/>
          <w:color w:val="auto"/>
        </w:rPr>
        <w:t>” shall mean any and all Patents or Know-How that is Controlled by Duality or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pursuant to the Duality In-Licensed Agreements.</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Indemnitees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 xml:space="preserve">1.78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Duality Know-How </w:t>
      </w:r>
      <w:r>
        <w:rPr>
          <w:rFonts w:ascii="Times New Roman" w:cs="Times New Roman" w:eastAsia="Times New Roman" w:hAnsi="Times New Roman"/>
          <w:sz w:val="19"/>
          <w:szCs w:val="19"/>
          <w:color w:val="auto"/>
        </w:rPr>
        <w:t>” shall mean any and all Know-How (including Data) that (a) is Controlled by Duality or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Affiliates as of the Effective Date or at any time during the Term, and (b) are necessary or reasonably useful for the Development, Manufacture or Commercialization of or to otherwise exploit the Licensed Compound or ADC Licensed Products in the Field in the Territory, including but not limited to, with respect to (a) and (b), the Know -How (including Data) contained in Duality Solely Owned Collaboration IP, [***]. Notwithstanding the foregoing, Duality Know -How shall not include (i) any Know- How (including Data) Controlled by any Third Party that becomes an Affiliate of Duality after the Effective Date as a result of a merger, acquisition or other similar transaction, unless such Know-How (including Data) is used by either Party in the Development, Manufacturing or Commercialization of the Licensed Compound or ADC Licensed Products, and (ii) any Know -How that is related to any Additional Active or other proprietary compound or product Controlled by Duality or any of its Affiliates. A description of Duality Know-How as of the Effective Date is attached hereto on </w:t>
      </w:r>
      <w:r>
        <w:rPr>
          <w:rFonts w:ascii="Times New Roman" w:cs="Times New Roman" w:eastAsia="Times New Roman" w:hAnsi="Times New Roman"/>
          <w:sz w:val="19"/>
          <w:szCs w:val="19"/>
          <w:b w:val="1"/>
          <w:bCs w:val="1"/>
          <w:color w:val="auto"/>
        </w:rPr>
        <w:t>Schedule 1.78</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Licensed IP</w:t>
      </w:r>
      <w:r>
        <w:rPr>
          <w:rFonts w:ascii="Times New Roman" w:cs="Times New Roman" w:eastAsia="Times New Roman" w:hAnsi="Times New Roman"/>
          <w:sz w:val="19"/>
          <w:szCs w:val="19"/>
          <w:color w:val="auto"/>
        </w:rPr>
        <w:t>” shall mean Duality Know-How and Duality Patents. Duality Licensed IP includes Duality In-Licensed IP.</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b w:val="1"/>
          <w:bCs w:val="1"/>
          <w:color w:val="auto"/>
        </w:rPr>
        <w:t xml:space="preserve">1.81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any new or useful invention, discovery, adaptation, redesign, modification, improvement,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enhancement, contribution or other desirable change generated in the course of performing activities under this Agreement solely relating to [***]. [***]</w:t>
      </w:r>
    </w:p>
    <w:p>
      <w:pPr>
        <w:spacing w:after="0" w:line="331"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1.82</w:t>
      </w:r>
      <w:r>
        <w:rPr>
          <w:sz w:val="20"/>
          <w:szCs w:val="20"/>
          <w:color w:val="auto"/>
        </w:rPr>
        <w:tab/>
      </w:r>
      <w:r>
        <w:rPr>
          <w:rFonts w:ascii="Times New Roman" w:cs="Times New Roman" w:eastAsia="Times New Roman" w:hAnsi="Times New Roman"/>
          <w:sz w:val="19"/>
          <w:szCs w:val="19"/>
          <w:b w:val="1"/>
          <w:bCs w:val="1"/>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 Patents</w:t>
      </w:r>
      <w:r>
        <w:rPr>
          <w:rFonts w:ascii="Times New Roman" w:cs="Times New Roman" w:eastAsia="Times New Roman" w:hAnsi="Times New Roman"/>
          <w:sz w:val="19"/>
          <w:szCs w:val="19"/>
          <w:color w:val="auto"/>
        </w:rPr>
        <w:t>” shall mean any and all Patents claiming the Duality Linker-Payload.</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Patents</w:t>
      </w:r>
      <w:r>
        <w:rPr>
          <w:rFonts w:ascii="Times New Roman" w:cs="Times New Roman" w:eastAsia="Times New Roman" w:hAnsi="Times New Roman"/>
          <w:sz w:val="19"/>
          <w:szCs w:val="19"/>
          <w:color w:val="auto"/>
        </w:rPr>
        <w:t>” shall mean any and all Patents that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Product Patents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IP</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shall have the meaning provided in the introductory paragraph of this Agreement.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Election Notice</w:t>
      </w:r>
      <w:r>
        <w:rPr>
          <w:rFonts w:ascii="Times New Roman" w:cs="Times New Roman" w:eastAsia="Times New Roman" w:hAnsi="Times New Roman"/>
          <w:sz w:val="19"/>
          <w:szCs w:val="19"/>
          <w:color w:val="auto"/>
        </w:rPr>
        <w:t>” shall have the meaning provided in Section 2.15.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EMA</w:t>
      </w:r>
      <w:r>
        <w:rPr>
          <w:rFonts w:ascii="Times New Roman" w:cs="Times New Roman" w:eastAsia="Times New Roman" w:hAnsi="Times New Roman"/>
          <w:sz w:val="19"/>
          <w:szCs w:val="19"/>
          <w:color w:val="auto"/>
        </w:rPr>
        <w:t>” shall mean shall mean the European Medicines Agency and any successor entity thereto.</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shall have the meaning provided in Section 3.5(a).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3" w:name="page634"/>
    <w:bookmarkEnd w:id="633"/>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Data Package</w:t>
      </w:r>
      <w:r>
        <w:rPr>
          <w:rFonts w:ascii="Times New Roman" w:cs="Times New Roman" w:eastAsia="Times New Roman" w:hAnsi="Times New Roman"/>
          <w:sz w:val="19"/>
          <w:szCs w:val="19"/>
          <w:color w:val="auto"/>
        </w:rPr>
        <w:t>” shall have the meaning provided in Section 2.9(b).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Data Package Review Period</w:t>
      </w:r>
      <w:r>
        <w:rPr>
          <w:rFonts w:ascii="Times New Roman" w:cs="Times New Roman" w:eastAsia="Times New Roman" w:hAnsi="Times New Roman"/>
          <w:sz w:val="19"/>
          <w:szCs w:val="19"/>
          <w:color w:val="auto"/>
        </w:rPr>
        <w:t>” shall have the meaning provided in Section 2.9(b).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Option</w:t>
      </w:r>
      <w:r>
        <w:rPr>
          <w:rFonts w:ascii="Times New Roman" w:cs="Times New Roman" w:eastAsia="Times New Roman" w:hAnsi="Times New Roman"/>
          <w:sz w:val="19"/>
          <w:szCs w:val="19"/>
          <w:color w:val="auto"/>
        </w:rPr>
        <w:t>” shall have the meaning provided in Section 2.9(a).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Option Exercise Notice</w:t>
      </w:r>
      <w:r>
        <w:rPr>
          <w:rFonts w:ascii="Times New Roman" w:cs="Times New Roman" w:eastAsia="Times New Roman" w:hAnsi="Times New Roman"/>
          <w:sz w:val="19"/>
          <w:szCs w:val="19"/>
          <w:color w:val="auto"/>
        </w:rPr>
        <w:t>” shall have the meaning provided in Section 2.9(b).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Option Period</w:t>
      </w:r>
      <w:r>
        <w:rPr>
          <w:rFonts w:ascii="Times New Roman" w:cs="Times New Roman" w:eastAsia="Times New Roman" w:hAnsi="Times New Roman"/>
          <w:sz w:val="19"/>
          <w:szCs w:val="19"/>
          <w:color w:val="auto"/>
        </w:rPr>
        <w:t>” shall have the meaning provided in Section 2.9(b).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Experts</w:t>
      </w:r>
      <w:r>
        <w:rPr>
          <w:rFonts w:ascii="Times New Roman" w:cs="Times New Roman" w:eastAsia="Times New Roman" w:hAnsi="Times New Roman"/>
          <w:sz w:val="19"/>
          <w:szCs w:val="19"/>
          <w:color w:val="auto"/>
        </w:rPr>
        <w:t>” shall have the meaning provided in Section 15.1.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1.99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shall mean the U.S. Food and Drug Administration and any successor entity thereto.</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Field</w:t>
      </w:r>
      <w:r>
        <w:rPr>
          <w:rFonts w:ascii="Times New Roman" w:cs="Times New Roman" w:eastAsia="Times New Roman" w:hAnsi="Times New Roman"/>
          <w:sz w:val="19"/>
          <w:szCs w:val="19"/>
          <w:color w:val="auto"/>
        </w:rPr>
        <w:t>” shall mean all uses.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Commercial Sale</w:t>
      </w:r>
      <w:r>
        <w:rPr>
          <w:rFonts w:ascii="Times New Roman" w:cs="Times New Roman" w:eastAsia="Times New Roman" w:hAnsi="Times New Roman"/>
          <w:sz w:val="19"/>
          <w:szCs w:val="19"/>
          <w:color w:val="auto"/>
        </w:rPr>
        <w:t>” shall mean, with respect to an ADC Licensed Product, [***].</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1.102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Dosing</w:t>
      </w:r>
      <w:r>
        <w:rPr>
          <w:rFonts w:ascii="Times New Roman" w:cs="Times New Roman" w:eastAsia="Times New Roman" w:hAnsi="Times New Roman"/>
          <w:sz w:val="19"/>
          <w:szCs w:val="19"/>
          <w:color w:val="auto"/>
        </w:rPr>
        <w:t>” shall mean, with respect to a Clinical Trial, or any portion thereof, dosing of the first human subject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Clinical Trial or such portion thereof.</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1.103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shall have the meaning provided in Section 16.11.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FTE</w:t>
      </w:r>
      <w:r>
        <w:rPr>
          <w:rFonts w:ascii="Times New Roman" w:cs="Times New Roman" w:eastAsia="Times New Roman" w:hAnsi="Times New Roman"/>
          <w:sz w:val="19"/>
          <w:szCs w:val="19"/>
          <w:color w:val="auto"/>
        </w:rPr>
        <w:t>” shall mean full time equivalent.</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1. 105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Fully Burdened Manufacturing Cost</w:t>
      </w:r>
      <w:r>
        <w:rPr>
          <w:rFonts w:ascii="Times New Roman" w:cs="Times New Roman" w:eastAsia="Times New Roman" w:hAnsi="Times New Roman"/>
          <w:sz w:val="19"/>
          <w:szCs w:val="19"/>
          <w:color w:val="auto"/>
        </w:rPr>
        <w:t>” shall mean, with respect to any Original ADC Licensed Product supplied by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behalf of Duality: [***].</w:t>
      </w:r>
    </w:p>
    <w:p>
      <w:pPr>
        <w:spacing w:after="0" w:line="123"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1.106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ethical conduct of Clinical Trials, including without limitation the U.S. Code of Federal Regulations (CFR) Title 21, ICH GCP Guidelines E6(R2) as amended from time to time, national legislation implementing European Community Directive 2001/20/EC (if and as still applicable), European Community Directive 2005/28/EC, and, following the applicable transition periods, the Clinical Trial Regulation (EU) No. 536/2014 (the “CTR”) and the rules, regulations and guidelines applying in the context of the CTR, and the equivalent in other countries or regions.</w:t>
      </w:r>
    </w:p>
    <w:p>
      <w:pPr>
        <w:spacing w:after="0" w:line="132"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1.107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GCLP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treatment of human laboratory samples from Clinical Trials, including the relevant principles from GCP and the EMA’s reflection paper for laboratories that perform the analysis or evaluation of clinical trial samples, as amended from time to time.</w:t>
      </w:r>
    </w:p>
    <w:p>
      <w:pPr>
        <w:spacing w:after="0" w:line="305"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Global Trial </w:t>
      </w:r>
      <w:r>
        <w:rPr>
          <w:rFonts w:ascii="Times New Roman" w:cs="Times New Roman" w:eastAsia="Times New Roman" w:hAnsi="Times New Roman"/>
          <w:sz w:val="19"/>
          <w:szCs w:val="19"/>
          <w:color w:val="auto"/>
        </w:rPr>
        <w:t>” shall mean a Clinical Trial designed to obtain Regulatory Approvals for an ADC Licensed Product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countries through the conduct of a Clinical Trial in multiple countries, regions and/or medical institutions and conducted as part of one (1) unified Clinical Trial or separately but concurrently in accordance with a common Clinical Trial protocol.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34" w:name="page635"/>
    <w:bookmarkEnd w:id="634"/>
    <w:p>
      <w:pPr>
        <w:spacing w:after="0" w:line="255"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1.109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quality control for laboratories to ensure the consistency and reliability of results, including without limitation the CFR Title 21, national legislation implementing European Community Directives 2004/9/EC and 2004/10/EC as amended, and the OECD Series on Principles of Good Laboratory Practice and Compliance Monitoring, and the equivalent in other countries or regions. For the purposes of this Agreement, GLP also includes the principles of Good Clinical Laboratory Practice and applicable guidelines promulgated under the ICH guidelines.</w:t>
      </w:r>
    </w:p>
    <w:p>
      <w:pPr>
        <w:spacing w:after="0" w:line="132"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quality control and manufacturing of pharmaceutical products, including without limitation the CFR Title 21, Parts 11, 210, 211, 600 and 610, applicable ICH Guidelines including without limitation Q7 for “Active Pharmaceuticals Ingredients”, national legislation implementing European Community Directive 2001/83/EC and Commission Directive 2003/94/EC as amended, EudraLex – Volume 4 of the Rules Governing Medicinal Products in the European Union including annexes, the CTR, Commission Delegated Regulation 2017/1569, the Detailed Commission Guideline (2017) 8179, and the equivalent in other countries or regions.</w:t>
      </w:r>
    </w:p>
    <w:p>
      <w:pPr>
        <w:spacing w:after="0" w:line="132"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Governmental Authority </w:t>
      </w:r>
      <w:r>
        <w:rPr>
          <w:rFonts w:ascii="Times New Roman" w:cs="Times New Roman" w:eastAsia="Times New Roman" w:hAnsi="Times New Roman"/>
          <w:sz w:val="19"/>
          <w:szCs w:val="19"/>
          <w:color w:val="auto"/>
        </w:rPr>
        <w:t>” is to be broadly interpreted and includes any multi-national or public international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organization or authority, national, federal, state, local, municipal, provincial, foreign government or other governmental authority of any nature (including any governmental division, prefecture, branch, subdivision, department, agency, bureau, branch, office, commission, council, court or other tribunal, or body entitled to exercise any administrative, executive, judicial, legislative, police, regulatory, or taxing authority or power, and any Regulatory Authority).</w:t>
      </w:r>
    </w:p>
    <w:p>
      <w:pPr>
        <w:spacing w:after="0" w:line="13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GXP” </w:t>
      </w:r>
      <w:r>
        <w:rPr>
          <w:rFonts w:ascii="Times New Roman" w:cs="Times New Roman" w:eastAsia="Times New Roman" w:hAnsi="Times New Roman"/>
          <w:sz w:val="19"/>
          <w:szCs w:val="19"/>
          <w:color w:val="auto"/>
        </w:rPr>
        <w:t>shall mean collectively, all relevant and applicable good practice quality guidelines and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encompassing such internationally recognized standards as GMP, GCP, GLP and GCLP, Good Distribution Practice (GDP), Good Pharmacovigilance Practice, Good Pharmacoepidemiology Practice and Good Review Practice.</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shall have the meaning given in Section 15.2.</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ICH</w:t>
      </w:r>
      <w:r>
        <w:rPr>
          <w:rFonts w:ascii="Times New Roman" w:cs="Times New Roman" w:eastAsia="Times New Roman" w:hAnsi="Times New Roman"/>
          <w:sz w:val="19"/>
          <w:szCs w:val="19"/>
          <w:color w:val="auto"/>
        </w:rPr>
        <w:t>” shall mean the International Council for Harmonization of Technical Requirements for Pharmaceuticals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Human Use.</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1.116</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w:t>
      </w:r>
      <w:r>
        <w:rPr>
          <w:rFonts w:ascii="Times New Roman" w:cs="Times New Roman" w:eastAsia="Times New Roman" w:hAnsi="Times New Roman"/>
          <w:sz w:val="19"/>
          <w:szCs w:val="19"/>
          <w:color w:val="auto"/>
        </w:rPr>
        <w:t>” shall mean an investigational new drug application, clinical study application, Clinical Trial exemption,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similar application or submission for approval to conduct human clinical investigations filed with or submitted to a Regulatory Authority in conformance with the requirements of such Regulatory Authority.</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 Data Package</w:t>
      </w:r>
      <w:r>
        <w:rPr>
          <w:rFonts w:ascii="Times New Roman" w:cs="Times New Roman" w:eastAsia="Times New Roman" w:hAnsi="Times New Roman"/>
          <w:sz w:val="19"/>
          <w:szCs w:val="19"/>
          <w:color w:val="auto"/>
        </w:rPr>
        <w:t>” shall have the meaning provided in Section 2.10.</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Indication</w:t>
      </w:r>
      <w:r>
        <w:rPr>
          <w:rFonts w:ascii="Times New Roman" w:cs="Times New Roman" w:eastAsia="Times New Roman" w:hAnsi="Times New Roman"/>
          <w:sz w:val="19"/>
          <w:szCs w:val="19"/>
          <w:color w:val="auto"/>
        </w:rPr>
        <w:t>” shall mean,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5" w:name="page636"/>
    <w:bookmarkEnd w:id="635"/>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Info Package</w:t>
      </w:r>
      <w:r>
        <w:rPr>
          <w:rFonts w:ascii="Times New Roman" w:cs="Times New Roman" w:eastAsia="Times New Roman" w:hAnsi="Times New Roman"/>
          <w:sz w:val="19"/>
          <w:szCs w:val="19"/>
          <w:color w:val="auto"/>
        </w:rPr>
        <w:t>” shall have the meaning provided in Section 2.6(b).</w:t>
      </w:r>
    </w:p>
    <w:p>
      <w:pPr>
        <w:spacing w:after="0" w:line="16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Initiation</w:t>
      </w:r>
      <w:r>
        <w:rPr>
          <w:rFonts w:ascii="Times New Roman" w:cs="Times New Roman" w:eastAsia="Times New Roman" w:hAnsi="Times New Roman"/>
          <w:sz w:val="19"/>
          <w:szCs w:val="19"/>
          <w:color w:val="auto"/>
        </w:rPr>
        <w:t>” shall mean, with respect to a Clinical Trial, the date upon which the first patient is dosed in such Clinical</w:t>
      </w:r>
    </w:p>
    <w:p>
      <w:pPr>
        <w:spacing w:after="0"/>
        <w:rPr>
          <w:sz w:val="20"/>
          <w:szCs w:val="20"/>
          <w:color w:val="auto"/>
        </w:rPr>
      </w:pPr>
      <w:r>
        <w:rPr>
          <w:rFonts w:ascii="Times New Roman" w:cs="Times New Roman" w:eastAsia="Times New Roman" w:hAnsi="Times New Roman"/>
          <w:sz w:val="19"/>
          <w:szCs w:val="19"/>
          <w:color w:val="auto"/>
        </w:rPr>
        <w:t>Trial.</w:t>
      </w:r>
    </w:p>
    <w:p>
      <w:pPr>
        <w:spacing w:after="0" w:line="14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shall have the meaning provided in Section 3.2(b).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shall have the meaning provided in Section 3.2(a).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JSC</w:t>
      </w:r>
      <w:r>
        <w:rPr>
          <w:rFonts w:ascii="Times New Roman" w:cs="Times New Roman" w:eastAsia="Times New Roman" w:hAnsi="Times New Roman"/>
          <w:sz w:val="19"/>
          <w:szCs w:val="19"/>
          <w:color w:val="auto"/>
        </w:rPr>
        <w:t>” shall mean the joint steering committee to be established by the Parties pursuant to Section 3.1.</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 -How</w:t>
      </w:r>
      <w:r>
        <w:rPr>
          <w:rFonts w:ascii="Times New Roman" w:cs="Times New Roman" w:eastAsia="Times New Roman" w:hAnsi="Times New Roman"/>
          <w:sz w:val="19"/>
          <w:szCs w:val="19"/>
          <w:color w:val="auto"/>
        </w:rPr>
        <w:t>” shall mean any and all technical, scientific, regulatory and other information, trade secrets,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knowledge, techniques, materials (including cell lines) and data, in whatever form and whether or not confidential, proprietary, whether or not patentable, invention disclosures, plans, inventions, assays, designs, protocols, and formulas, processes, practices, methods, knowledge, know how, skill, experience, ideas, concepts, test data (including pharmacological, toxicological and clinical test data), analytical and quality control data, formulae, specifications, marketing, pricing, distribution, cost, sales, and manufacturing data or descriptions. “Know-How” includes any rights including copyright, database or design rights protecting such Know-How. For clarity, Know-How does not include issued Patents, published patent application or the inventions claimed thereby.</w:t>
      </w:r>
    </w:p>
    <w:p>
      <w:pPr>
        <w:spacing w:after="0" w:line="13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shall have the meaning provided in Section 9.3(b).</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Compound</w:t>
      </w:r>
      <w:r>
        <w:rPr>
          <w:rFonts w:ascii="Times New Roman" w:cs="Times New Roman" w:eastAsia="Times New Roman" w:hAnsi="Times New Roman"/>
          <w:sz w:val="19"/>
          <w:szCs w:val="19"/>
          <w:color w:val="auto"/>
        </w:rPr>
        <w:t>” shall mean the ADC developed by or on behalf of Duality and known as DB-1311, the structure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which, is delivered to Licensee on or before the Effective Date.</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Product</w:t>
      </w:r>
      <w:r>
        <w:rPr>
          <w:rFonts w:ascii="Times New Roman" w:cs="Times New Roman" w:eastAsia="Times New Roman" w:hAnsi="Times New Roman"/>
          <w:sz w:val="19"/>
          <w:szCs w:val="19"/>
          <w:color w:val="auto"/>
        </w:rPr>
        <w:t>” shall mean any ADC Licensed Product and Sequence Licensed Product.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Added Trials</w:t>
      </w:r>
      <w:r>
        <w:rPr>
          <w:rFonts w:ascii="Times New Roman" w:cs="Times New Roman" w:eastAsia="Times New Roman" w:hAnsi="Times New Roman"/>
          <w:sz w:val="19"/>
          <w:szCs w:val="19"/>
          <w:color w:val="auto"/>
        </w:rPr>
        <w:t>” shall have the meaning provided in Section 4.3.</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Background IP</w:t>
      </w:r>
      <w:r>
        <w:rPr>
          <w:rFonts w:ascii="Times New Roman" w:cs="Times New Roman" w:eastAsia="Times New Roman" w:hAnsi="Times New Roman"/>
          <w:sz w:val="19"/>
          <w:szCs w:val="19"/>
          <w:color w:val="auto"/>
        </w:rPr>
        <w:t>” shall have the meaning provided in Section 12.1(a).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1.136</w:t>
      </w:r>
      <w:r>
        <w:rPr>
          <w:sz w:val="20"/>
          <w:szCs w:val="20"/>
          <w:color w:val="auto"/>
        </w:rPr>
        <w:tab/>
      </w:r>
      <w:r>
        <w:rPr>
          <w:rFonts w:ascii="Times New Roman" w:cs="Times New Roman" w:eastAsia="Times New Roman" w:hAnsi="Times New Roman"/>
          <w:sz w:val="19"/>
          <w:szCs w:val="19"/>
          <w:color w:val="auto"/>
        </w:rPr>
        <w:t xml:space="preserve">[***] shall have the meaning provided in </w:t>
      </w:r>
      <w:r>
        <w:rPr>
          <w:rFonts w:ascii="Times New Roman" w:cs="Times New Roman" w:eastAsia="Times New Roman" w:hAnsi="Times New Roman"/>
          <w:sz w:val="19"/>
          <w:szCs w:val="19"/>
          <w:b w:val="1"/>
          <w:bCs w:val="1"/>
          <w:color w:val="auto"/>
        </w:rPr>
        <w:t>Schedule 1.7.</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1.137</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Indemnitees</w:t>
      </w:r>
      <w:r>
        <w:rPr>
          <w:rFonts w:ascii="Times New Roman" w:cs="Times New Roman" w:eastAsia="Times New Roman" w:hAnsi="Times New Roman"/>
          <w:sz w:val="19"/>
          <w:szCs w:val="19"/>
          <w:color w:val="auto"/>
        </w:rPr>
        <w:t>” shall have the meaning provided in Section 14.2.</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Know-How</w:t>
      </w:r>
      <w:r>
        <w:rPr>
          <w:rFonts w:ascii="Times New Roman" w:cs="Times New Roman" w:eastAsia="Times New Roman" w:hAnsi="Times New Roman"/>
          <w:sz w:val="19"/>
          <w:szCs w:val="19"/>
          <w:color w:val="auto"/>
        </w:rPr>
        <w:t>” shall mean any and all Know-How that is Controlled by Licensee or any of its Affiliates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is comprised by the Licensee’s Solely Owned Collaboration IP. Notwithstanding the foregoing, Licensee Know- How shall not include (i) any Know -How Controlled by any Third Party that becomes an Affiliate of Licensee after the Effective Date as a result of a merger, acquisition or other similar transaction, unless such Know-How is used by Licensee in the Development, Manufacture or Commercialization of the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89</w:t>
      </w:r>
    </w:p>
    <w:p>
      <w:pPr>
        <w:sectPr>
          <w:pgSz w:w="11900" w:h="16840" w:orient="portrait"/>
          <w:cols w:equalWidth="0" w:num="1">
            <w:col w:w="10560"/>
          </w:cols>
          <w:pgMar w:left="660" w:top="1440" w:right="680" w:bottom="1440" w:gutter="0" w:footer="0" w:header="0"/>
        </w:sectPr>
      </w:pPr>
    </w:p>
    <w:bookmarkStart w:id="636" w:name="page637"/>
    <w:bookmarkEnd w:id="636"/>
    <w:p>
      <w:pPr>
        <w:spacing w:after="0" w:line="25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Compound or Original ADC Licensed Products, and (ii) any Know-How that is related to any Additional Active or other proprietary compound or product Controlled by Licensee.</w:t>
      </w:r>
    </w:p>
    <w:p>
      <w:pPr>
        <w:spacing w:after="0" w:line="12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1.140</w:t>
        <w:tab/>
        <w:t>“Licensee Licensed IP</w:t>
      </w:r>
      <w:r>
        <w:rPr>
          <w:rFonts w:ascii="Times New Roman" w:cs="Times New Roman" w:eastAsia="Times New Roman" w:hAnsi="Times New Roman"/>
          <w:sz w:val="19"/>
          <w:szCs w:val="19"/>
          <w:color w:val="auto"/>
        </w:rPr>
        <w:t>” shall mean the Licensee Know-How and Licensee Patents.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1.141</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Patents</w:t>
      </w:r>
      <w:r>
        <w:rPr>
          <w:rFonts w:ascii="Times New Roman" w:cs="Times New Roman" w:eastAsia="Times New Roman" w:hAnsi="Times New Roman"/>
          <w:sz w:val="19"/>
          <w:szCs w:val="19"/>
          <w:color w:val="auto"/>
        </w:rPr>
        <w:t>” shall mean any and all Patents that are Controlled by Licensee or any of its Affiliates and that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comprised by the Licensee Solely Owned Collaboration Patents. Notwithstanding the foregoing, Licensee Patents shall not include (i) any Patent Controlled by any Third Party that becomes an Affiliate of Licensee after the Effective Date as a result of a merger, acquisition or other similar transaction, and (ii) any Patent that Covers any Additional Active or other proprietary compound or product Controlled by Licensee provided that such Patent does not Cover the Licensed Compound or Original ADC Licensed Product.</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IP</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MAA</w:t>
      </w:r>
      <w:r>
        <w:rPr>
          <w:rFonts w:ascii="Times New Roman" w:cs="Times New Roman" w:eastAsia="Times New Roman" w:hAnsi="Times New Roman"/>
          <w:sz w:val="19"/>
          <w:szCs w:val="19"/>
          <w:color w:val="auto"/>
        </w:rPr>
        <w:t>” shall mean an application to a Regulatory Authority for the authorization to place a product on the market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country, region or a regulatory jurisdiction, including New Drug Application and Biologics License Application, and shall include all amendments and supplements thereto, filed with the applicable Regulatory Authority to gain authorization to place such product on the market in the applicable jurisdiction.</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MAH</w:t>
      </w:r>
      <w:r>
        <w:rPr>
          <w:rFonts w:ascii="Times New Roman" w:cs="Times New Roman" w:eastAsia="Times New Roman" w:hAnsi="Times New Roman"/>
          <w:sz w:val="19"/>
          <w:szCs w:val="19"/>
          <w:color w:val="auto"/>
        </w:rPr>
        <w:t>” shall mean the holder of the Marketing Authorization.</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Mainland China</w:t>
      </w:r>
      <w:r>
        <w:rPr>
          <w:rFonts w:ascii="Times New Roman" w:cs="Times New Roman" w:eastAsia="Times New Roman" w:hAnsi="Times New Roman"/>
          <w:sz w:val="19"/>
          <w:szCs w:val="19"/>
          <w:color w:val="auto"/>
        </w:rPr>
        <w:t>” shall mean the mainland of the People’s Republic of China.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 [***] Market</w:t>
      </w:r>
      <w:r>
        <w:rPr>
          <w:rFonts w:ascii="Times New Roman" w:cs="Times New Roman" w:eastAsia="Times New Roman" w:hAnsi="Times New Roman"/>
          <w:sz w:val="19"/>
          <w:szCs w:val="19"/>
          <w:color w:val="auto"/>
        </w:rPr>
        <w:t>” shall mean [***] for the purpose of this Agreement.</w:t>
      </w:r>
    </w:p>
    <w:p>
      <w:pPr>
        <w:spacing w:after="0" w:line="166"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1. 150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Manufacture</w:t>
      </w:r>
      <w:r>
        <w:rPr>
          <w:rFonts w:ascii="Times New Roman" w:cs="Times New Roman" w:eastAsia="Times New Roman" w:hAnsi="Times New Roman"/>
          <w:sz w:val="19"/>
          <w:szCs w:val="19"/>
          <w:color w:val="auto"/>
        </w:rPr>
        <w:t>” shall mean, with respect to a Licensed Product, activities related to the manufacture and supply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 including manufacturing supplies for Development or Commercialization, packaging, labeling, in-process and finished product testing, release of product or any component or ingredient thereof, quality assurance and quality control activities related to manufacturing and release of product, ongoing stability tests, storage, and shipment and regulatory activities directly related to any of the foregoing, but not including any Development or Commercialization activities. “</w:t>
      </w:r>
      <w:r>
        <w:rPr>
          <w:rFonts w:ascii="Times New Roman" w:cs="Times New Roman" w:eastAsia="Times New Roman" w:hAnsi="Times New Roman"/>
          <w:sz w:val="19"/>
          <w:szCs w:val="19"/>
          <w:b w:val="1"/>
          <w:bCs w:val="1"/>
          <w:color w:val="auto"/>
        </w:rPr>
        <w:t>Manufactured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Manufacturing</w:t>
      </w:r>
      <w:r>
        <w:rPr>
          <w:rFonts w:ascii="Times New Roman" w:cs="Times New Roman" w:eastAsia="Times New Roman" w:hAnsi="Times New Roman"/>
          <w:sz w:val="19"/>
          <w:szCs w:val="19"/>
          <w:color w:val="auto"/>
        </w:rPr>
        <w:t>” shall have the correlative meanings.</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IP</w:t>
      </w:r>
      <w:r>
        <w:rPr>
          <w:rFonts w:ascii="Times New Roman" w:cs="Times New Roman" w:eastAsia="Times New Roman" w:hAnsi="Times New Roman"/>
          <w:sz w:val="19"/>
          <w:szCs w:val="19"/>
          <w:color w:val="auto"/>
        </w:rPr>
        <w:t>” shall mean any Patents and Know-How that (i) are generated, developed or conceived during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course of performing activities under this Agreement depending on Duality Licensed IP, and (ii) specifically related to, and (iii) are necessary for the Manufacture of the Duality Linker-Payload; notwithstanding the foregoing, Manufacturing IP shall exclude Licensee Background IP.</w:t>
      </w:r>
    </w:p>
    <w:p>
      <w:pPr>
        <w:spacing w:after="0" w:line="134"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1.152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Marketing Authorization</w:t>
      </w:r>
      <w:r>
        <w:rPr>
          <w:rFonts w:ascii="Times New Roman" w:cs="Times New Roman" w:eastAsia="Times New Roman" w:hAnsi="Times New Roman"/>
          <w:sz w:val="19"/>
          <w:szCs w:val="19"/>
          <w:color w:val="auto"/>
        </w:rPr>
        <w:t>” shall mean the authorization by all relevant Regulatory Authorities of an MAA in a given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country or regulatory region/jurisdiction and the granting of the required authorization for the sale of a product which will include any Pricing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7" w:name="page638"/>
    <w:bookmarkEnd w:id="637"/>
    <w:p>
      <w:pPr>
        <w:spacing w:after="0" w:line="25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Reimbursement Approvals if required by Applicable Law of the respective country to initiate marketing and selling of a product in such particular country.</w:t>
      </w:r>
    </w:p>
    <w:p>
      <w:pPr>
        <w:spacing w:after="0" w:line="12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MCB</w:t>
      </w:r>
      <w:r>
        <w:rPr>
          <w:rFonts w:ascii="Times New Roman" w:cs="Times New Roman" w:eastAsia="Times New Roman" w:hAnsi="Times New Roman"/>
          <w:sz w:val="19"/>
          <w:szCs w:val="19"/>
          <w:color w:val="auto"/>
        </w:rPr>
        <w:t>” shall mean the master cell bank.</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1. 154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Medical Affairs Activities </w:t>
      </w:r>
      <w:r>
        <w:rPr>
          <w:rFonts w:ascii="Times New Roman" w:cs="Times New Roman" w:eastAsia="Times New Roman" w:hAnsi="Times New Roman"/>
          <w:sz w:val="19"/>
          <w:szCs w:val="19"/>
          <w:color w:val="auto"/>
        </w:rPr>
        <w:t>” shall mean the coordination of medical information requests and field based medical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scientific liaisons with respect to an Original ADC Licensed Product, including activities of medical scientific liaisons, activities involving key opinion leaders, and the provision of medical information services with respect to an Original ADC Licensed Product.</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Multi-Specific ADC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Negotiation Period</w:t>
      </w:r>
      <w:r>
        <w:rPr>
          <w:rFonts w:ascii="Times New Roman" w:cs="Times New Roman" w:eastAsia="Times New Roman" w:hAnsi="Times New Roman"/>
          <w:sz w:val="19"/>
          <w:szCs w:val="19"/>
          <w:color w:val="auto"/>
        </w:rPr>
        <w:t>” shall have the meaning set forth in Section 2.15.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color w:val="auto"/>
        </w:rPr>
        <w:t>” shall mean, [***]</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1.158</w:t>
        <w:tab/>
        <w:t>“Non-Arbitral Subject Matter</w:t>
      </w:r>
      <w:r>
        <w:rPr>
          <w:rFonts w:ascii="Times New Roman" w:cs="Times New Roman" w:eastAsia="Times New Roman" w:hAnsi="Times New Roman"/>
          <w:sz w:val="19"/>
          <w:szCs w:val="19"/>
          <w:color w:val="auto"/>
        </w:rPr>
        <w:t>” shall have the meaning given in Section 15.3.</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Offer Notice</w:t>
      </w:r>
      <w:r>
        <w:rPr>
          <w:rFonts w:ascii="Times New Roman" w:cs="Times New Roman" w:eastAsia="Times New Roman" w:hAnsi="Times New Roman"/>
          <w:sz w:val="19"/>
          <w:szCs w:val="19"/>
          <w:color w:val="auto"/>
        </w:rPr>
        <w:t>” shall have the meaning given in Section 2.15.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Licensed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1.161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ADC Licensed Products</w:t>
      </w:r>
      <w:r>
        <w:rPr>
          <w:rFonts w:ascii="Times New Roman" w:cs="Times New Roman" w:eastAsia="Times New Roman" w:hAnsi="Times New Roman"/>
          <w:sz w:val="19"/>
          <w:szCs w:val="19"/>
          <w:color w:val="auto"/>
        </w:rPr>
        <w:t>” shall mean [***] and [***].</w:t>
      </w:r>
    </w:p>
    <w:p>
      <w:pPr>
        <w:spacing w:after="0" w:line="166"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9"/>
          <w:szCs w:val="19"/>
          <w:b w:val="1"/>
          <w:bCs w:val="1"/>
          <w:color w:val="auto"/>
        </w:rPr>
        <w:t>1.162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given in Section 8.8(b)(ii).</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shall mean Licensee or Duality individually, and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shall mean Licensee and Duality collectively.</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1.164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shall mean (a) patent applications filed in the applicable jurisdiction; (b) all patents, including supplemental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protection certificates, that have issued or in the future issue from any of the foregoing, including utility models, design patents and certificates of invention; and (c) all divisionals, continuations, continuations-in-part, reissues, re- examination certificates, renewals, extensions or additions to any such patents and patent applications (as applicable).</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shall have the meaning provided in Section 5.7.</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1.166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 Clinical Trial</w:t>
      </w:r>
      <w:r>
        <w:rPr>
          <w:rFonts w:ascii="Times New Roman" w:cs="Times New Roman" w:eastAsia="Times New Roman" w:hAnsi="Times New Roman"/>
          <w:sz w:val="19"/>
          <w:szCs w:val="19"/>
          <w:color w:val="auto"/>
        </w:rPr>
        <w:t>” shall mean a human clinical trial of a product, the principal purpose of which explores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optimal dose and is a determination of initial tolerance or safety of such product in healthy volunteers or the target patient population, as described in 21 CFR 312.21(a) (as amended or any replacement thereof), or a similar clinical trial prescribed by the Regulatory Authority in a country other than the United States.</w:t>
      </w:r>
    </w:p>
    <w:p>
      <w:pPr>
        <w:spacing w:after="0" w:line="134"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b w:val="1"/>
          <w:bCs w:val="1"/>
          <w:color w:val="auto"/>
        </w:rPr>
        <w:t xml:space="preserve">1.167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 Clinical Trial</w:t>
      </w:r>
      <w:r>
        <w:rPr>
          <w:rFonts w:ascii="Times New Roman" w:cs="Times New Roman" w:eastAsia="Times New Roman" w:hAnsi="Times New Roman"/>
          <w:sz w:val="19"/>
          <w:szCs w:val="19"/>
          <w:color w:val="auto"/>
        </w:rPr>
        <w:t>” shall mean a human clinical trial of a product, the principal purpose of which is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determination of safety and efficacy in the target patient population, (i.e. “proof of concept”), as described in 21 C.F.R. 312.21(b) (as amended or any replacement thereof), or a similar clinical trial prescribed by the Regulatory Authority in a country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8" w:name="page639"/>
    <w:bookmarkEnd w:id="638"/>
    <w:p>
      <w:pPr>
        <w:spacing w:after="0" w:line="255"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III Clinical Trial</w:t>
      </w:r>
      <w:r>
        <w:rPr>
          <w:rFonts w:ascii="Times New Roman" w:cs="Times New Roman" w:eastAsia="Times New Roman" w:hAnsi="Times New Roman"/>
          <w:sz w:val="19"/>
          <w:szCs w:val="19"/>
          <w:color w:val="auto"/>
        </w:rPr>
        <w:t>” shall mean a human clinical trial of a product, the design of which is acknowledged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PhRMA</w:t>
      </w:r>
      <w:r>
        <w:rPr>
          <w:rFonts w:ascii="Times New Roman" w:cs="Times New Roman" w:eastAsia="Times New Roman" w:hAnsi="Times New Roman"/>
          <w:sz w:val="19"/>
          <w:szCs w:val="19"/>
          <w:color w:val="auto"/>
        </w:rPr>
        <w:t>” shall mean the Pharmaceutical Research and Manufacturers of America.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Planned Trials</w:t>
      </w:r>
      <w:r>
        <w:rPr>
          <w:rFonts w:ascii="Times New Roman" w:cs="Times New Roman" w:eastAsia="Times New Roman" w:hAnsi="Times New Roman"/>
          <w:sz w:val="19"/>
          <w:szCs w:val="19"/>
          <w:color w:val="auto"/>
        </w:rPr>
        <w:t>” shall have the meaning given in Section 4.3.</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1.171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and Reimbursement Approval</w:t>
      </w:r>
      <w:r>
        <w:rPr>
          <w:rFonts w:ascii="Times New Roman" w:cs="Times New Roman" w:eastAsia="Times New Roman" w:hAnsi="Times New Roman"/>
          <w:sz w:val="19"/>
          <w:szCs w:val="19"/>
          <w:color w:val="auto"/>
        </w:rPr>
        <w:t>” shall mean, in any country where a Regulatory Authority authorizes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reimbursement for, or approves or determines pricing or level of reimbursement for, pharmaceutical products, receipt (or, if required to make such authorization, approval or determination effective, publication) of such reimbursement authorization and/or pricing approval or determination (as the case may be).</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shall have the meaning provided in Section 7.5.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shall have the meaning provided in Section 3.9.</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shall have the meaning provided in Section 10.5(a).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Publication</w:t>
      </w:r>
      <w:r>
        <w:rPr>
          <w:rFonts w:ascii="Times New Roman" w:cs="Times New Roman" w:eastAsia="Times New Roman" w:hAnsi="Times New Roman"/>
          <w:sz w:val="19"/>
          <w:szCs w:val="19"/>
          <w:color w:val="auto"/>
        </w:rPr>
        <w:t>” shall have the meaning provided in Section 10.5.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1.176</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the reduced royalty rates for the [***] and [***] specified in the second table in Section 8.5.</w:t>
      </w:r>
    </w:p>
    <w:p>
      <w:pPr>
        <w:spacing w:after="0" w:line="166"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Registrational Trial</w:t>
      </w:r>
      <w:r>
        <w:rPr>
          <w:rFonts w:ascii="Times New Roman" w:cs="Times New Roman" w:eastAsia="Times New Roman" w:hAnsi="Times New Roman"/>
          <w:sz w:val="19"/>
          <w:szCs w:val="19"/>
          <w:color w:val="auto"/>
        </w:rPr>
        <w:t>” shall mean, with respect to a product, a human clinical trial (regardless of whether such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 is referred to as a “Phase II Clinical Trial”, “Phase IIb Clinical Trial”, “Phase II/III Clinical Trial”, “Phase IIb/III Clinical Trial” or “Phase III Clinical Trial”) for such product, the results of which, together with prior information concerning such product, are determined by the sponsor to be intended to be sufficient to establish that such product is safe and effective for its intended Indication to support the filing of an MAA. [***]</w:t>
      </w:r>
    </w:p>
    <w:p>
      <w:pPr>
        <w:spacing w:after="0" w:line="13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1.180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shall mean any and all approvals, licenses, permits, registrations or authorizations of or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Regulatory Authority that are necessary to market (including Marketing Authorization) and sell a pharmaceutical product in any country, region or other jurisdiction. For clarity, unless it is required by the Applicable Law to initiate marketing and selling of a product in a particular country, Regulatory Approval shall not include Pricing and Reimbursement Approval.</w:t>
      </w:r>
    </w:p>
    <w:p>
      <w:pPr>
        <w:spacing w:after="0" w:line="134"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9"/>
          <w:szCs w:val="19"/>
          <w:b w:val="1"/>
          <w:bCs w:val="1"/>
          <w:color w:val="auto"/>
        </w:rPr>
        <w:t xml:space="preserve">1.181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Regulatory Authority </w:t>
      </w:r>
      <w:r>
        <w:rPr>
          <w:rFonts w:ascii="Times New Roman" w:cs="Times New Roman" w:eastAsia="Times New Roman" w:hAnsi="Times New Roman"/>
          <w:sz w:val="19"/>
          <w:szCs w:val="19"/>
          <w:color w:val="auto"/>
        </w:rPr>
        <w:t>” shall mean with respect to a country, any national, federal, supranational, state or local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agency, council, department, bureau or other governmental or regulatory authority having the administrative authority to regulate the development or marketing of pharmaceutical products in any country, region or jurisdiction. including the Regulatory Approvals.</w:t>
      </w:r>
    </w:p>
    <w:p>
      <w:pPr>
        <w:spacing w:after="0" w:line="30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1.182</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39" w:name="page640"/>
    <w:bookmarkEnd w:id="639"/>
    <w:p>
      <w:pPr>
        <w:spacing w:after="0" w:line="255"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1.183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Materials</w:t>
      </w:r>
      <w:r>
        <w:rPr>
          <w:rFonts w:ascii="Times New Roman" w:cs="Times New Roman" w:eastAsia="Times New Roman" w:hAnsi="Times New Roman"/>
          <w:sz w:val="19"/>
          <w:szCs w:val="19"/>
          <w:color w:val="auto"/>
        </w:rPr>
        <w:t>” shall mean, with respect to a product, regulatory applications (including MAA)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applications, filings, submissions, notifications, materials, communications, registrations, Regulatory Approvals and/or other filings made to, received from or otherwise conducted with a Regulatory Authority in order to Develop, Manufacture, market, sell or otherwise Commercialize such product in a particular country, region or jurisdiction.</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shall have the meaning provided in Section 5.8.</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1.185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Retained Territory</w:t>
      </w:r>
      <w:r>
        <w:rPr>
          <w:rFonts w:ascii="Times New Roman" w:cs="Times New Roman" w:eastAsia="Times New Roman" w:hAnsi="Times New Roman"/>
          <w:sz w:val="19"/>
          <w:szCs w:val="19"/>
          <w:color w:val="auto"/>
        </w:rPr>
        <w:t>” shall mean Mainland China, Hong Kong Special Administrative Region, and Macau Special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Region.</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shall have the meaning provided in Section 10.5(a).</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2.15.</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8.7(d).</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 shall have the meaning provided in Section 8.6.</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shall have the meaning provided in Section 15.1.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SSC</w:t>
      </w:r>
      <w:r>
        <w:rPr>
          <w:rFonts w:ascii="Times New Roman" w:cs="Times New Roman" w:eastAsia="Times New Roman" w:hAnsi="Times New Roman"/>
          <w:sz w:val="19"/>
          <w:szCs w:val="19"/>
          <w:color w:val="auto"/>
        </w:rPr>
        <w:t>” shall mean the Sales Steering Committee for the Co-Promotion Products.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shall have the meaning provided in Section 10.4(a)(i).</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Selling Party</w:t>
      </w:r>
      <w:r>
        <w:rPr>
          <w:rFonts w:ascii="Times New Roman" w:cs="Times New Roman" w:eastAsia="Times New Roman" w:hAnsi="Times New Roman"/>
          <w:sz w:val="19"/>
          <w:szCs w:val="19"/>
          <w:color w:val="auto"/>
        </w:rPr>
        <w:t>” shall have the meaning as provided in Section 1.157.</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Separate</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1.196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any Patents and Know-How relating to the Sequence Licensed Product created, conceived,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discovered, developed, reduced to practice, invented or otherwise generated in the course of performance of activities under this Agreement. Sequence Licensed Product IP [***].</w:t>
      </w:r>
    </w:p>
    <w:p>
      <w:pPr>
        <w:spacing w:after="0" w:line="13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1.197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Dosing</w:t>
      </w:r>
      <w:r>
        <w:rPr>
          <w:rFonts w:ascii="Times New Roman" w:cs="Times New Roman" w:eastAsia="Times New Roman" w:hAnsi="Times New Roman"/>
          <w:sz w:val="19"/>
          <w:szCs w:val="19"/>
          <w:color w:val="auto"/>
        </w:rPr>
        <w:t>” shall mean, with respect to a Clinical Trial, or any portion thereof, dosing of the [***] in such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 or such portion thereof.</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1.198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IP</w:t>
      </w:r>
      <w:r>
        <w:rPr>
          <w:rFonts w:ascii="Times New Roman" w:cs="Times New Roman" w:eastAsia="Times New Roman" w:hAnsi="Times New Roman"/>
          <w:sz w:val="19"/>
          <w:szCs w:val="19"/>
          <w:color w:val="auto"/>
        </w:rPr>
        <w:t>” shall mean Duality Solely Owned Collaboration IP and Licensee Solely Owned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Collaboration IP, as applicable.</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1.199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Patents</w:t>
      </w:r>
      <w:r>
        <w:rPr>
          <w:rFonts w:ascii="Times New Roman" w:cs="Times New Roman" w:eastAsia="Times New Roman" w:hAnsi="Times New Roman"/>
          <w:sz w:val="19"/>
          <w:szCs w:val="19"/>
          <w:color w:val="auto"/>
        </w:rPr>
        <w:t>” shall mean Duality Solely Owned Collaboration Patents and Licensee Solely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Owned Collaboration Patents, as applicable.</w:t>
      </w:r>
    </w:p>
    <w:p>
      <w:pPr>
        <w:spacing w:after="0" w:line="12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1.200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w:t>
      </w:r>
      <w:r>
        <w:rPr>
          <w:rFonts w:ascii="Times New Roman" w:cs="Times New Roman" w:eastAsia="Times New Roman" w:hAnsi="Times New Roman"/>
          <w:sz w:val="19"/>
          <w:szCs w:val="19"/>
          <w:color w:val="auto"/>
        </w:rPr>
        <w:t>” shall mean a license, sublicense, covenant not to sue or other rights granted by Licensee to a Third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rights it receives from Duality in accordance with Section 2.2, to Develop, Manufacture, Commercialize or otherwise exploit a Licensed Compound or a Licensed Product, but excluding any grant of rights to or agreement with (a) any Third Party acting as a service provider or subcontractor for such Party or its Affiliates, or (b) any Third Party wholesaler, distributor, or the like.</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Sublicensee</w:t>
      </w:r>
      <w:r>
        <w:rPr>
          <w:rFonts w:ascii="Times New Roman" w:cs="Times New Roman" w:eastAsia="Times New Roman" w:hAnsi="Times New Roman"/>
          <w:sz w:val="19"/>
          <w:szCs w:val="19"/>
          <w:color w:val="auto"/>
        </w:rPr>
        <w:t>” shall mean a Third Party that is receiving rights under a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0" w:name="page641"/>
    <w:bookmarkEnd w:id="640"/>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Successful Completion</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1.203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Target</w:t>
      </w:r>
      <w:r>
        <w:rPr>
          <w:rFonts w:ascii="Times New Roman" w:cs="Times New Roman" w:eastAsia="Times New Roman" w:hAnsi="Times New Roman"/>
          <w:sz w:val="19"/>
          <w:szCs w:val="19"/>
          <w:color w:val="auto"/>
        </w:rPr>
        <w:t>” shall mean, with regard to an Antibody or ADC and a biological target in question, that such Antibody or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demonstrates meaningful binding activity to such biological target and “</w:t>
      </w:r>
      <w:r>
        <w:rPr>
          <w:rFonts w:ascii="Times New Roman" w:cs="Times New Roman" w:eastAsia="Times New Roman" w:hAnsi="Times New Roman"/>
          <w:sz w:val="19"/>
          <w:szCs w:val="19"/>
          <w:b w:val="1"/>
          <w:bCs w:val="1"/>
          <w:color w:val="auto"/>
        </w:rPr>
        <w:t>Targeting</w:t>
      </w:r>
      <w:r>
        <w:rPr>
          <w:rFonts w:ascii="Times New Roman" w:cs="Times New Roman" w:eastAsia="Times New Roman" w:hAnsi="Times New Roman"/>
          <w:sz w:val="19"/>
          <w:szCs w:val="19"/>
          <w:color w:val="auto"/>
        </w:rPr>
        <w:t>” shall be construed accordingly.</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shall have the meaning provided in Section 9.3(b).</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have the meaning provided in Section 13.1.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shall mean worldwide except the Retained Territory. For clarity, Territory s</w:t>
      </w:r>
      <w:r>
        <w:rPr>
          <w:rFonts w:ascii="Times New Roman" w:cs="Times New Roman" w:eastAsia="Times New Roman" w:hAnsi="Times New Roman"/>
          <w:sz w:val="19"/>
          <w:szCs w:val="19"/>
          <w:b w:val="1"/>
          <w:bCs w:val="1"/>
          <w:color w:val="auto"/>
        </w:rPr>
        <w:t>hall include Taiwan.</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shall mean any entity other than Licensee and its Affiliates and Duality and its Affiliates.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Agreements</w:t>
      </w:r>
      <w:r>
        <w:rPr>
          <w:rFonts w:ascii="Times New Roman" w:cs="Times New Roman" w:eastAsia="Times New Roman" w:hAnsi="Times New Roman"/>
          <w:sz w:val="19"/>
          <w:szCs w:val="19"/>
          <w:color w:val="auto"/>
        </w:rPr>
        <w:t>” shall have the meaning provided in Section 4.6(c).</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1.209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shall have the meaning given in Section 15.2.</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shall mean the United States of America, including its territories and possessions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recognized by the United Nations from time to time, but in all cases including, for clarity, Puerto Rico.</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 Dollars</w:t>
      </w:r>
      <w:r>
        <w:rPr>
          <w:rFonts w:ascii="Times New Roman" w:cs="Times New Roman" w:eastAsia="Times New Roman" w:hAnsi="Times New Roman"/>
          <w:sz w:val="19"/>
          <w:szCs w:val="19"/>
          <w:color w:val="auto"/>
        </w:rPr>
        <w:t>” shall mean U.S. dollars, the lawful currency of the U.S.</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Updated Disclosure Schedule</w:t>
      </w:r>
      <w:r>
        <w:rPr>
          <w:rFonts w:ascii="Times New Roman" w:cs="Times New Roman" w:eastAsia="Times New Roman" w:hAnsi="Times New Roman"/>
          <w:sz w:val="19"/>
          <w:szCs w:val="19"/>
          <w:color w:val="auto"/>
        </w:rPr>
        <w:t>” shall have the meaning provided in Section 11.8.</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shall have the meaning provided in Section 8.1.</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Valid Claim</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1.216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Wind-Down or Transfer Plan</w:t>
      </w:r>
      <w:r>
        <w:rPr>
          <w:rFonts w:ascii="Times New Roman" w:cs="Times New Roman" w:eastAsia="Times New Roman" w:hAnsi="Times New Roman"/>
          <w:sz w:val="19"/>
          <w:szCs w:val="19"/>
          <w:color w:val="auto"/>
        </w:rPr>
        <w:t>” shall mean a plan for the wind-down or transfer of any ongoing Development,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 and Commercialization (if any) activities of Licensee with respect to the Licensed Products for which the license grant in Section 2.1 has been terminated and the transfer of relevant Licensed Products, as applicable.</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s” shall mean both the [***] License Agreement and the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License Agreement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In-Licensed IP</w:t>
      </w:r>
      <w:r>
        <w:rPr>
          <w:rFonts w:ascii="Times New Roman" w:cs="Times New Roman" w:eastAsia="Times New Roman" w:hAnsi="Times New Roman"/>
          <w:sz w:val="19"/>
          <w:szCs w:val="19"/>
          <w:color w:val="auto"/>
        </w:rPr>
        <w:t>” shall mean any and all Patents and Know-How that is exclusively granted to Duality or any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Affiliates pursuant to the [***] License Agreement.</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WCB</w:t>
      </w:r>
      <w:r>
        <w:rPr>
          <w:rFonts w:ascii="Times New Roman" w:cs="Times New Roman" w:eastAsia="Times New Roman" w:hAnsi="Times New Roman"/>
          <w:sz w:val="19"/>
          <w:szCs w:val="19"/>
          <w:color w:val="auto"/>
        </w:rPr>
        <w:t>” shall mean the working cell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1" w:name="page642"/>
    <w:bookmarkEnd w:id="641"/>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9"/>
          <w:szCs w:val="19"/>
          <w:b w:val="1"/>
          <w:bCs w:val="1"/>
          <w:color w:val="auto"/>
        </w:rPr>
        <w:t>ARTICLE 2</w:t>
      </w:r>
    </w:p>
    <w:p>
      <w:pPr>
        <w:jc w:val="right"/>
        <w:ind w:right="4880"/>
        <w:spacing w:after="0"/>
        <w:rPr>
          <w:sz w:val="20"/>
          <w:szCs w:val="20"/>
          <w:color w:val="auto"/>
        </w:rPr>
      </w:pPr>
      <w:r>
        <w:rPr>
          <w:rFonts w:ascii="Times New Roman" w:cs="Times New Roman" w:eastAsia="Times New Roman" w:hAnsi="Times New Roman"/>
          <w:sz w:val="19"/>
          <w:szCs w:val="19"/>
          <w:b w:val="1"/>
          <w:bCs w:val="1"/>
          <w:color w:val="auto"/>
        </w:rPr>
        <w:t>LICENSE</w:t>
      </w:r>
    </w:p>
    <w:p>
      <w:pPr>
        <w:spacing w:after="0" w:line="14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License Grant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60" w:right="20" w:firstLine="566"/>
        <w:spacing w:after="0"/>
        <w:tabs>
          <w:tab w:leader="none" w:pos="1732" w:val="left"/>
        </w:tabs>
        <w:numPr>
          <w:ilvl w:val="0"/>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Territory License Grant </w:t>
      </w:r>
      <w:r>
        <w:rPr>
          <w:rFonts w:ascii="Times New Roman" w:cs="Times New Roman" w:eastAsia="Times New Roman" w:hAnsi="Times New Roman"/>
          <w:sz w:val="19"/>
          <w:szCs w:val="19"/>
          <w:color w:val="auto"/>
        </w:rPr>
        <w:t>. Subject to the terms and conditions of this Agreement (including Duality’s retained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rights in Section 2.4), Duality hereby grants and shall procure its Affiliates grant to Licensee and its Affiliates, during the Term, an exclusive (even as to Duality and its Affiliates), royalty-bearing license, with the right to sublicense through multiple tiers (in accordance with Section 2.2), under (i) Duality Licensed IP to Develop, have Developed, Manufacture, have Manufactured use, sell, offer for sale, import and otherwise Commercialize or have Commercialized or exploit the ADC Licensed Products in the Field in the Territory, and (ii) [***] In-Licensed IP to Develop, have Developed, Manufacture, have Manufactured, use, sell, offer for sale, import and otherwise Commercialize, have Commercialized or exploit the Sequence Licensed Products in the Field in the Territory.</w:t>
      </w:r>
    </w:p>
    <w:p>
      <w:pPr>
        <w:spacing w:after="0" w:line="199" w:lineRule="exact"/>
        <w:rPr>
          <w:rFonts w:ascii="Times New Roman" w:cs="Times New Roman" w:eastAsia="Times New Roman" w:hAnsi="Times New Roman"/>
          <w:sz w:val="19"/>
          <w:szCs w:val="19"/>
          <w:color w:val="auto"/>
        </w:rPr>
      </w:pPr>
    </w:p>
    <w:p>
      <w:pPr>
        <w:jc w:val="both"/>
        <w:ind w:left="460" w:right="20" w:firstLine="566"/>
        <w:spacing w:after="0" w:line="220" w:lineRule="auto"/>
        <w:tabs>
          <w:tab w:leader="none" w:pos="1732" w:val="left"/>
        </w:tabs>
        <w:numPr>
          <w:ilvl w:val="0"/>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Retained Territory License Grant</w:t>
      </w:r>
      <w:r>
        <w:rPr>
          <w:rFonts w:ascii="Times New Roman" w:cs="Times New Roman" w:eastAsia="Times New Roman" w:hAnsi="Times New Roman"/>
          <w:sz w:val="19"/>
          <w:szCs w:val="19"/>
          <w:color w:val="auto"/>
        </w:rPr>
        <w:t>. Subject to the terms and conditions of this Agreement (including Duality’s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retained rights in Section 2.4), Duality hereby grants to Licensee a sole license under (i) Duality Licensed IP to Develop, have Developed, Manufacture or have Manufactured the Licensed Compound and the ADC Licensed Products in the Retained Territory solely for the purpose of Developing, Manufacturing and Commercializing the ADC Licensed Products in the Field in the Territory and (ii) [***] In-Licensed IP to Develop, Manufacture or have Manufactured the [***] Licensed Products in the Retained Territory solely for the purpose of Developing, Manufacturing and Commercializing the Sequence Licensed Products in the Field in the Territory.</w:t>
      </w:r>
    </w:p>
    <w:p>
      <w:pPr>
        <w:spacing w:after="0" w:line="134" w:lineRule="exact"/>
        <w:rPr>
          <w:rFonts w:ascii="Times New Roman" w:cs="Times New Roman" w:eastAsia="Times New Roman" w:hAnsi="Times New Roman"/>
          <w:sz w:val="19"/>
          <w:szCs w:val="19"/>
          <w:color w:val="auto"/>
        </w:rPr>
      </w:pPr>
    </w:p>
    <w:p>
      <w:pPr>
        <w:ind w:left="1720" w:hanging="694"/>
        <w:spacing w:after="0"/>
        <w:tabs>
          <w:tab w:leader="none" w:pos="1720" w:val="left"/>
        </w:tabs>
        <w:numPr>
          <w:ilvl w:val="0"/>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Covenant not to sue. </w:t>
      </w:r>
      <w:r>
        <w:rPr>
          <w:rFonts w:ascii="Times New Roman" w:cs="Times New Roman" w:eastAsia="Times New Roman" w:hAnsi="Times New Roman"/>
          <w:sz w:val="19"/>
          <w:szCs w:val="19"/>
          <w:color w:val="auto"/>
        </w:rPr>
        <w:t>Subject to the terms and conditions of this Agreement, [***].</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Sublicense Rights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right="20" w:firstLine="574"/>
        <w:spacing w:after="0" w:line="233" w:lineRule="auto"/>
        <w:tabs>
          <w:tab w:leader="none" w:pos="1736" w:val="left"/>
        </w:tabs>
        <w:numPr>
          <w:ilvl w:val="0"/>
          <w:numId w:val="6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Sublicense</w:t>
      </w:r>
      <w:r>
        <w:rPr>
          <w:rFonts w:ascii="Times New Roman" w:cs="Times New Roman" w:eastAsia="Times New Roman" w:hAnsi="Times New Roman"/>
          <w:sz w:val="19"/>
          <w:szCs w:val="19"/>
          <w:color w:val="auto"/>
        </w:rPr>
        <w:t>. Subject to the terms and conditions of this Agreement, Licensee and its Affiliates shall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right to grant Sublicenses through multiple tiers under Duality Licensed IP (including Duality In-Licensed IP), in each respect to (i) any Affiliate, or (ii) to any Third Party.</w:t>
      </w:r>
    </w:p>
    <w:p>
      <w:pPr>
        <w:spacing w:after="0" w:line="131"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Sublicense Terms</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left="440" w:firstLine="574"/>
        <w:spacing w:after="0" w:line="224" w:lineRule="auto"/>
        <w:tabs>
          <w:tab w:leader="none" w:pos="1736" w:val="left"/>
        </w:tabs>
        <w:numPr>
          <w:ilvl w:val="0"/>
          <w:numId w:val="6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Licensee’s Responsibility</w:t>
      </w:r>
      <w:r>
        <w:rPr>
          <w:rFonts w:ascii="Times New Roman" w:cs="Times New Roman" w:eastAsia="Times New Roman" w:hAnsi="Times New Roman"/>
          <w:sz w:val="19"/>
          <w:szCs w:val="19"/>
          <w:color w:val="auto"/>
        </w:rPr>
        <w:t>. Licensee shall use Commercially Reasonable Efforts to ensure that the performance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of its Affiliates, Sublicensees and subcontractors hereunder is in accordance with the applicable terms of this Agreement. With respect to a patent challenge by the Sublicensee against any Duality Patents, if Licensee fails to cause such Sublicensee to cease such violation within a reasonable period of time, Licensee shall, in so far as it is not prohibited under the Applicable Laws, terminate the sublicense agreement.</w:t>
      </w:r>
    </w:p>
    <w:p>
      <w:pPr>
        <w:spacing w:after="0" w:line="13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2.3 Negative Covenants</w:t>
      </w:r>
      <w:r>
        <w:rPr>
          <w:rFonts w:ascii="Times New Roman" w:cs="Times New Roman" w:eastAsia="Times New Roman" w:hAnsi="Times New Roman"/>
          <w:sz w:val="19"/>
          <w:szCs w:val="19"/>
          <w:color w:val="auto"/>
        </w:rPr>
        <w:t>. In so far as it is not prohibited under the Applicable Laws, Licensee hereby covenants 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country-by- country basis not to, and not to permit or cause any Affiliate to [***]. Notwithstanding the foregoing, this Section shall in no way restrict [***], its Affiliates, its Sublicensees or their CMOs and other authorized Third Party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2" w:name="page643"/>
    <w:bookmarkEnd w:id="642"/>
    <w:p>
      <w:pPr>
        <w:spacing w:after="0" w:line="2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from undertaking any research, Development, Manufacturing, Commercialization, or other exploitation or engaging in any activities involving [***] that anyone not subject to this Agreement may legally undertake before the Effective Date and during the Term in the Territory and elsewhere, [***]. [***]</w:t>
      </w:r>
    </w:p>
    <w:p>
      <w:pPr>
        <w:spacing w:after="0" w:line="133"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2.4 No Implied Licenses; Retained Rights</w:t>
      </w:r>
      <w:r>
        <w:rPr>
          <w:rFonts w:ascii="Times New Roman" w:cs="Times New Roman" w:eastAsia="Times New Roman" w:hAnsi="Times New Roman"/>
          <w:sz w:val="19"/>
          <w:szCs w:val="19"/>
          <w:color w:val="auto"/>
        </w:rPr>
        <w:t>. No right or license under any Patents or Know-How of either Party is granted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shall be granted by implication. All such rights or licenses are or shall be granted only as expressly provided in the terms of this Agreement. Duality hereby expressly reserves all rights not expressly licensed to Licensee in Section 2.1, including (i) all rights under the Duality Licensed IP with respect to the Licensed Compound and Original ADC Licensed Products in the Retained Territory, subject to Licensee’s co- exclusive license as set forth in Section 2.1(b), (ii) all rights under the Duality Licensed IP to exercise its rights or perform its obligations under this Agreement, and (iii) all rights under the Duality Licensed IP to conduct Development activities in the Territory for the sole purpose of Developing or Commercializing the Original ADC Licensed Products in the Field in the Retained Territory; </w:t>
      </w:r>
      <w:r>
        <w:rPr>
          <w:rFonts w:ascii="Times New Roman" w:cs="Times New Roman" w:eastAsia="Times New Roman" w:hAnsi="Times New Roman"/>
          <w:sz w:val="19"/>
          <w:szCs w:val="19"/>
          <w:i w:val="1"/>
          <w:iCs w:val="1"/>
          <w:color w:val="auto"/>
        </w:rPr>
        <w:t>provided tha</w:t>
      </w:r>
      <w:r>
        <w:rPr>
          <w:rFonts w:ascii="Times New Roman" w:cs="Times New Roman" w:eastAsia="Times New Roman" w:hAnsi="Times New Roman"/>
          <w:sz w:val="19"/>
          <w:szCs w:val="19"/>
          <w:color w:val="auto"/>
        </w:rPr>
        <w:t>t any such Development activities in the Territory in relation to the Original ADC Licensed Product and Licensed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Compound shall be undertaken for Duality by Licensee or its Affiliates, or Sublicensees or Licensee’s designated subcontractors.</w:t>
      </w:r>
    </w:p>
    <w:p>
      <w:pPr>
        <w:spacing w:after="0" w:line="134" w:lineRule="exact"/>
        <w:rPr>
          <w:sz w:val="20"/>
          <w:szCs w:val="20"/>
          <w:color w:val="auto"/>
        </w:rPr>
      </w:pPr>
    </w:p>
    <w:p>
      <w:pPr>
        <w:jc w:val="both"/>
        <w:ind w:right="20"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2.5 License to Duality</w:t>
      </w:r>
      <w:r>
        <w:rPr>
          <w:rFonts w:ascii="Times New Roman" w:cs="Times New Roman" w:eastAsia="Times New Roman" w:hAnsi="Times New Roman"/>
          <w:sz w:val="19"/>
          <w:szCs w:val="19"/>
          <w:color w:val="auto"/>
        </w:rPr>
        <w:t>. Licensee hereby grants to Duality a non- exclusive, non-transferrable, non-sublicensable (unless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sublicense was consented to by Licensee in writing and is in compliance with the license terms set out in Section 2.2(b), which would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royalty-free license under the Licensee Licensed IP, during the Term of this Agreement, solely to (i) perform, either itself, through its Affiliates, or through subcontractors, its obligations under this Agreement, including its Manufacturing and supply obligations under Sections 6.1, 6.4 and 6.5, and (ii) limited to the Field and the Retained Territory, to Develop, Manufacture or have Manufactured, or Commercialize the Licensed Compound or Original ADC Licensed Products. Duality shall use Commercially Reasonable Efforts to ensure that the performance by any of its Affiliates or subcontractors hereunder is in accordance with the applicable terms of this Agreement. With respect to a patent challenge by a (sub)licensee against any Licensee Patents, if Duality fails to cause such (sub)licensee to cease such violation within a reasonable period of time, Duality shall, in so far as it is not prohibited under the Applicable Laws, terminate such (sub)license agreement. Duality shall be responsible for any actions of its Affiliates and subcontractors who act on behalf of Duality to perform activities assigned to Duality (for or on behalf of Licensee) pursuant to this Agreement, to the same extent as if such actions had been taken by Duality itself, and Licensee shall have the right to proceed directly against Duality without any obligation to first proceed against such Affiliate, sublicensee and subcontractor.</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Cost &amp; Profit/Loss Sharing Option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440" w:right="20" w:firstLine="574"/>
        <w:spacing w:after="0" w:line="221" w:lineRule="auto"/>
        <w:tabs>
          <w:tab w:leader="none" w:pos="1736" w:val="left"/>
        </w:tabs>
        <w:numPr>
          <w:ilvl w:val="0"/>
          <w:numId w:val="6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partial consideration of the licenses granted to Licensee under this Agreement and the performance of the Duality Development Activities, Licensee hereby grants to Duality an exclusive option to share the Development and Commercialization costs and the profits and losses from the exploitation of the first Original ADC Licensed Product in the Cost &amp; Profit/Loss Sharing Territory [***] in accordance with this Section 2.6 and Section 8.8 below (“</w:t>
      </w:r>
      <w:r>
        <w:rPr>
          <w:rFonts w:ascii="Times New Roman" w:cs="Times New Roman" w:eastAsia="Times New Roman" w:hAnsi="Times New Roman"/>
          <w:sz w:val="19"/>
          <w:szCs w:val="19"/>
          <w:b w:val="1"/>
          <w:bCs w:val="1"/>
          <w:color w:val="auto"/>
        </w:rPr>
        <w:t>Cost &amp; Profit/Loss Sharing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which option may be exercised by Duality at any time during the period commencing from [***] (the “</w:t>
      </w:r>
      <w:r>
        <w:rPr>
          <w:rFonts w:ascii="Times New Roman" w:cs="Times New Roman" w:eastAsia="Times New Roman" w:hAnsi="Times New Roman"/>
          <w:sz w:val="19"/>
          <w:szCs w:val="19"/>
          <w:b w:val="1"/>
          <w:bCs w:val="1"/>
          <w:color w:val="auto"/>
        </w:rPr>
        <w:t>Cost &amp; Profit/Loss Sharing Option Period</w:t>
      </w:r>
      <w:r>
        <w:rPr>
          <w:rFonts w:ascii="Times New Roman" w:cs="Times New Roman" w:eastAsia="Times New Roman" w:hAnsi="Times New Roman"/>
          <w:sz w:val="19"/>
          <w:szCs w:val="19"/>
          <w:color w:val="auto"/>
        </w:rPr>
        <w:t>”). [***]</w:t>
      </w:r>
    </w:p>
    <w:p>
      <w:pPr>
        <w:spacing w:after="0" w:line="137" w:lineRule="exact"/>
        <w:rPr>
          <w:rFonts w:ascii="Times New Roman" w:cs="Times New Roman" w:eastAsia="Times New Roman" w:hAnsi="Times New Roman"/>
          <w:sz w:val="19"/>
          <w:szCs w:val="19"/>
          <w:color w:val="auto"/>
        </w:rPr>
      </w:pPr>
    </w:p>
    <w:p>
      <w:pPr>
        <w:jc w:val="both"/>
        <w:ind w:left="440" w:right="40" w:firstLine="574"/>
        <w:spacing w:after="0" w:line="232" w:lineRule="auto"/>
        <w:tabs>
          <w:tab w:leader="none" w:pos="1736" w:val="left"/>
        </w:tabs>
        <w:numPr>
          <w:ilvl w:val="0"/>
          <w:numId w:val="6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 days after [***], Licensee shall provide Duality with a package containing the following information [***]. For clarity, this Section 2.6 (b) shall only apply to [***]. The information package referred to in this Section 2.6 (b) hereinafter referred to as the (the “</w:t>
      </w:r>
      <w:r>
        <w:rPr>
          <w:rFonts w:ascii="Times New Roman" w:cs="Times New Roman" w:eastAsia="Times New Roman" w:hAnsi="Times New Roman"/>
          <w:sz w:val="19"/>
          <w:szCs w:val="19"/>
          <w:b w:val="1"/>
          <w:bCs w:val="1"/>
          <w:color w:val="auto"/>
        </w:rPr>
        <w:t>Info Package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600"/>
          </w:cols>
          <w:pgMar w:left="660" w:top="1440" w:right="640" w:bottom="1440" w:gutter="0" w:footer="0" w:header="0"/>
        </w:sectPr>
      </w:pPr>
    </w:p>
    <w:bookmarkStart w:id="643" w:name="page644"/>
    <w:bookmarkEnd w:id="643"/>
    <w:p>
      <w:pPr>
        <w:spacing w:after="0" w:line="257" w:lineRule="exact"/>
        <w:rPr>
          <w:sz w:val="20"/>
          <w:szCs w:val="20"/>
          <w:color w:val="auto"/>
        </w:rPr>
      </w:pPr>
    </w:p>
    <w:p>
      <w:pPr>
        <w:jc w:val="both"/>
        <w:ind w:left="440" w:firstLine="574"/>
        <w:spacing w:after="0" w:line="232" w:lineRule="auto"/>
        <w:tabs>
          <w:tab w:leader="none" w:pos="1785" w:val="left"/>
        </w:tabs>
        <w:numPr>
          <w:ilvl w:val="0"/>
          <w:numId w:val="6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expiration of the Cost &amp; Profit/Loss Sharing Option Period, Duality shall notify Licensee in writing of its desire to exercise the Cost &amp; Profit/Loss Sharing Option (the “</w:t>
      </w:r>
      <w:r>
        <w:rPr>
          <w:rFonts w:ascii="Times New Roman" w:cs="Times New Roman" w:eastAsia="Times New Roman" w:hAnsi="Times New Roman"/>
          <w:sz w:val="19"/>
          <w:szCs w:val="19"/>
          <w:b w:val="1"/>
          <w:bCs w:val="1"/>
          <w:color w:val="auto"/>
        </w:rPr>
        <w:t>Cost &amp; Profit/Loss Sharing Option Exercise Notice</w:t>
      </w:r>
      <w:r>
        <w:rPr>
          <w:rFonts w:ascii="Times New Roman" w:cs="Times New Roman" w:eastAsia="Times New Roman" w:hAnsi="Times New Roman"/>
          <w:sz w:val="19"/>
          <w:szCs w:val="19"/>
          <w:color w:val="auto"/>
        </w:rPr>
        <w:t>”, such date of the Cost &amp; Profit/Loss Sharing Option Exercise Notice, the “</w:t>
      </w:r>
      <w:r>
        <w:rPr>
          <w:rFonts w:ascii="Times New Roman" w:cs="Times New Roman" w:eastAsia="Times New Roman" w:hAnsi="Times New Roman"/>
          <w:sz w:val="19"/>
          <w:szCs w:val="19"/>
          <w:b w:val="1"/>
          <w:bCs w:val="1"/>
          <w:color w:val="auto"/>
        </w:rPr>
        <w:t>Cost &amp; Profit/Loss Sharing Option Exercise Date</w:t>
      </w:r>
      <w:r>
        <w:rPr>
          <w:rFonts w:ascii="Times New Roman" w:cs="Times New Roman" w:eastAsia="Times New Roman" w:hAnsi="Times New Roman"/>
          <w:sz w:val="19"/>
          <w:szCs w:val="19"/>
          <w:color w:val="auto"/>
        </w:rPr>
        <w:t>”). [***]</w:t>
      </w:r>
    </w:p>
    <w:p>
      <w:pPr>
        <w:spacing w:after="0" w:line="134"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Know-How Transfer</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color w:val="auto"/>
        </w:rPr>
        <w:t xml:space="preserve">Within [***] days of the Effective Date, Duality shall, at its cost and expense, provide to Licensee [***] the documents embodying all Duality Know -How (including CMC documentation to the extent available to Duality or any of its Affiliates as of the Effective Date) Controlled by Duality or any of its Affiliates as of the Effective Date, including but not limited to [***] A description of such documents for the initial Know-How Transfer as of the Effective Date is attached as </w:t>
      </w:r>
      <w:r>
        <w:rPr>
          <w:rFonts w:ascii="Times New Roman" w:cs="Times New Roman" w:eastAsia="Times New Roman" w:hAnsi="Times New Roman"/>
          <w:sz w:val="19"/>
          <w:szCs w:val="19"/>
          <w:b w:val="1"/>
          <w:bCs w:val="1"/>
          <w:color w:val="auto"/>
        </w:rPr>
        <w:t>Schedule 2.7</w:t>
      </w:r>
      <w:r>
        <w:rPr>
          <w:rFonts w:ascii="Times New Roman" w:cs="Times New Roman" w:eastAsia="Times New Roman" w:hAnsi="Times New Roman"/>
          <w:sz w:val="19"/>
          <w:szCs w:val="19"/>
          <w:color w:val="auto"/>
        </w:rPr>
        <w:t xml:space="preserve"> hereto. Thereafter, Duality shall promptly (and in any event no later than [***] from the existence of such Know-How) inform Licensee of the existence of any additional Duality Know -How that becomes Controlled by Duality after the Effective Date and during the Term. The Parties shall discuss the timing and means of the transfer of additional Duality Know-How and Duality shall provide, and shall cause Third Parties to provide (as applicable), electronic copies of such additional Duality Know-How to Licensee in accordance with Licensee’s request, in a manner in line with that for the initial Know-How transfer and at no additional cost to Licensee.</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Non-Competition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2.9</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2.10</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2.11</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2.12</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2.13</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2.14</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Agreements and Third Party Agreements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6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licenses and other rights granted to Licensee under this Agreement (including [***].</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2.15</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4" w:name="page645"/>
    <w:bookmarkEnd w:id="644"/>
    <w:p>
      <w:pPr>
        <w:spacing w:after="0" w:line="25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3</w:t>
      </w:r>
    </w:p>
    <w:p>
      <w:pPr>
        <w:ind w:left="4600"/>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42"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3.1 Joint Steering Committee</w:t>
      </w:r>
      <w:r>
        <w:rPr>
          <w:rFonts w:ascii="Times New Roman" w:cs="Times New Roman" w:eastAsia="Times New Roman" w:hAnsi="Times New Roman"/>
          <w:sz w:val="19"/>
          <w:szCs w:val="19"/>
          <w:color w:val="auto"/>
        </w:rPr>
        <w:t>. Within [***] days following the Effective Date, the Parties shall establish a JSC comprised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an equal number of representatives from each Party to approve, plan, coordinate, integrate monitor and oversee the Development, Manufacture, regulatory and Commercialization (solely in the Cost &amp; Profit/Loss Sharing Territory after the Cost &amp; Profit/Loss Sharing Option Exercise Date) activities of the Parties’ in the Territory with respect to the Original ADC Licensed Product and facilitate information exchange between the Parties under this Agreement. The JSC, as may be conducted through the applicable Subcommittee, shall in particular:</w:t>
      </w:r>
    </w:p>
    <w:p>
      <w:pPr>
        <w:spacing w:after="0" w:line="129" w:lineRule="exact"/>
        <w:rPr>
          <w:sz w:val="20"/>
          <w:szCs w:val="20"/>
          <w:color w:val="auto"/>
        </w:rPr>
      </w:pPr>
    </w:p>
    <w:p>
      <w:pPr>
        <w:ind w:left="1740" w:hanging="726"/>
        <w:spacing w:after="0"/>
        <w:tabs>
          <w:tab w:leader="none" w:pos="1740"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coordinate the overall strategy for the Development of the Original ADC Licensed Products in</w:t>
      </w:r>
    </w:p>
    <w:p>
      <w:pPr>
        <w:ind w:left="4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Territory;</w:t>
      </w:r>
    </w:p>
    <w:p>
      <w:pPr>
        <w:spacing w:after="0" w:line="143"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proposed amendments or revisions to the Development Plan(s) of the Original ADC Licensed Products, including all related budgets of the Development activities;</w:t>
      </w:r>
    </w:p>
    <w:p>
      <w:pPr>
        <w:spacing w:after="0" w:line="128"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study protocols relating to the Development Plan(s) (and any amendments thereto) of the Original ADC Licensed Products;</w:t>
      </w:r>
    </w:p>
    <w:p>
      <w:pPr>
        <w:spacing w:after="0" w:line="128"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serve as a forum for the sharing of information between the Parties regarding the operation of any Development activities of the Original ADC Licensed Products in the Territory and in the Retained Territory;</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exercise of Cost &amp; Profit/Loss Sharing Option, review, discuss and serve as a forum for the sharing of information between the Parties regarding the Commercialization strategy and the Commercialization budget for the Cost &amp; Profit/Loss Sharing Territory;</w:t>
      </w:r>
    </w:p>
    <w:p>
      <w:pPr>
        <w:spacing w:after="0" w:line="134"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and coordinate the on-going disclosure, sharing and/or transfer of new Collaboration IP generated in or related to the Development of the Original ADC Licensed Products in the Territory;</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tabs>
          <w:tab w:leader="none" w:pos="1736"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any matters relating to the Regulatory Approvals and Regulatory Materials to be submitted to any Regulatory Authority in respect of the Original ADC Licensed Products in the Territory and matters relating to attending regulatory meetings or consultations with Regulatory Authorities in respect of the Original ADC Licensed Products in the Territory;</w:t>
      </w:r>
    </w:p>
    <w:p>
      <w:pPr>
        <w:spacing w:after="0" w:line="304"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coordinate supply of Original ADC Licensed Products in accordance with Article 6;</w:t>
      </w:r>
    </w:p>
    <w:p>
      <w:pPr>
        <w:spacing w:after="0" w:line="165" w:lineRule="exact"/>
        <w:rPr>
          <w:rFonts w:ascii="Times New Roman" w:cs="Times New Roman" w:eastAsia="Times New Roman" w:hAnsi="Times New Roman"/>
          <w:sz w:val="19"/>
          <w:szCs w:val="19"/>
          <w:color w:val="auto"/>
        </w:rPr>
      </w:pPr>
    </w:p>
    <w:p>
      <w:pPr>
        <w:ind w:left="440" w:right="40" w:firstLine="574"/>
        <w:spacing w:after="0" w:line="246" w:lineRule="auto"/>
        <w:tabs>
          <w:tab w:leader="none" w:pos="1724"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the clinical protocol of and Duality’s potential participation in any Global Trial sponsored by Licensee or any of its Affiliates and Sublicensees, or Licensee Added Trials; and</w:t>
      </w:r>
    </w:p>
    <w:p>
      <w:pPr>
        <w:spacing w:after="0" w:line="128"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24" w:val="left"/>
        </w:tabs>
        <w:numPr>
          <w:ilvl w:val="0"/>
          <w:numId w:val="6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such other functions as appropriate to further the purposes of this Agreement, as expressly set forth in this Agreement or as determined by the Parties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5" w:name="page646"/>
    <w:bookmarkEnd w:id="645"/>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3.2</w:t>
      </w:r>
      <w:r>
        <w:rPr>
          <w:sz w:val="20"/>
          <w:szCs w:val="20"/>
          <w:color w:val="auto"/>
        </w:rPr>
        <w:tab/>
      </w:r>
      <w:r>
        <w:rPr>
          <w:rFonts w:ascii="Times New Roman" w:cs="Times New Roman" w:eastAsia="Times New Roman" w:hAnsi="Times New Roman"/>
          <w:sz w:val="19"/>
          <w:szCs w:val="19"/>
          <w:b w:val="1"/>
          <w:bCs w:val="1"/>
          <w:color w:val="auto"/>
        </w:rPr>
        <w:t>Subcommittees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 xml:space="preserve">From time to time during the Term, the JSC may establish and disband one or more subcommittee(s) (each, a “ </w:t>
      </w:r>
      <w:r>
        <w:rPr>
          <w:rFonts w:ascii="Times New Roman" w:cs="Times New Roman" w:eastAsia="Times New Roman" w:hAnsi="Times New Roman"/>
          <w:sz w:val="19"/>
          <w:szCs w:val="19"/>
          <w:b w:val="1"/>
          <w:bCs w:val="1"/>
          <w:color w:val="auto"/>
        </w:rPr>
        <w:t>Subcommittee</w:t>
      </w:r>
      <w:r>
        <w:rPr>
          <w:rFonts w:ascii="Times New Roman" w:cs="Times New Roman" w:eastAsia="Times New Roman" w:hAnsi="Times New Roman"/>
          <w:sz w:val="19"/>
          <w:szCs w:val="19"/>
          <w:color w:val="auto"/>
        </w:rPr>
        <w:t>”) to oversee particular activities of the Parties, and the JSC may assign to such subcommittee(s) duties or tasks independent of the duties of the JSC, or delegate part of such duties of the JSC to such subcommittee(s) as it deems necessary and appropriate.</w:t>
      </w:r>
    </w:p>
    <w:p>
      <w:pPr>
        <w:spacing w:after="0" w:line="132" w:lineRule="exact"/>
        <w:rPr>
          <w:sz w:val="20"/>
          <w:szCs w:val="20"/>
          <w:color w:val="auto"/>
        </w:rPr>
      </w:pPr>
    </w:p>
    <w:p>
      <w:pPr>
        <w:jc w:val="both"/>
        <w:ind w:left="440" w:firstLine="574"/>
        <w:spacing w:after="0" w:line="219" w:lineRule="auto"/>
        <w:tabs>
          <w:tab w:leader="none" w:pos="1736" w:val="left"/>
        </w:tabs>
        <w:numPr>
          <w:ilvl w:val="1"/>
          <w:numId w:val="6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IP Committee</w:t>
      </w:r>
      <w:r>
        <w:rPr>
          <w:rFonts w:ascii="Times New Roman" w:cs="Times New Roman" w:eastAsia="Times New Roman" w:hAnsi="Times New Roman"/>
          <w:sz w:val="19"/>
          <w:szCs w:val="19"/>
          <w:color w:val="auto"/>
        </w:rPr>
        <w:t>. Without limiting the generality of the foregoing subsection (a), no later than [***] days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Effective Date (unless otherwise agreed by the Parties), the JSC shall establish an intellectual property committee (the “</w:t>
      </w:r>
      <w:r>
        <w:rPr>
          <w:rFonts w:ascii="Times New Roman" w:cs="Times New Roman" w:eastAsia="Times New Roman" w:hAnsi="Times New Roman"/>
          <w:sz w:val="19"/>
          <w:szCs w:val="19"/>
          <w:b w:val="1"/>
          <w:bCs w:val="1"/>
          <w:color w:val="auto"/>
        </w:rPr>
        <w:t>Joint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IP 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led by Licensee and comprised of an equal number of representatives from each Party. The JIPC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 a forum for discussion of the patenting strategies of the Original ADC Licensed Products and coordinate the Parties’ efforts in accordance with the provisions set forth in Article 12 and other matters related to the prosecution and maintenance of intellectual property rights hereunder, including submissions to and addressing notices from Regulatory Authorities that relate to regulatory-patent linkage procedures and proceedings. The JSC shall determine the desired membership of the JIPC and once formed, Licensee’s committee members shall determine the time, place and procedure of meetings. [***]</w:t>
      </w:r>
    </w:p>
    <w:p>
      <w:pPr>
        <w:spacing w:after="0" w:line="131"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1"/>
          <w:numId w:val="6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Without limiting the generality of the foregoing subsection (a), no later than</w:t>
      </w:r>
    </w:p>
    <w:p>
      <w:pPr>
        <w:jc w:val="both"/>
        <w:ind w:left="440" w:right="20" w:hanging="2"/>
        <w:spacing w:after="0" w:line="221" w:lineRule="auto"/>
        <w:tabs>
          <w:tab w:leader="none" w:pos="914" w:val="left"/>
        </w:tabs>
        <w:numPr>
          <w:ilvl w:val="0"/>
          <w:numId w:val="6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Effective Date, the JSC shall establish a joint development committee (the “</w:t>
      </w: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led by Licensee and comprised of an equal number of representatives from each Party. The JDC shall (i) oversee the implementation and progress of the Development Plan in the Territory, (ii) discuss and propose to the JSC for approval any amendments to the Development Plan, (iii) oversee any Global Trials.</w:t>
      </w:r>
    </w:p>
    <w:p>
      <w:pPr>
        <w:spacing w:after="0" w:line="132"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3.3 Composition; Meetings</w:t>
      </w:r>
      <w:r>
        <w:rPr>
          <w:rFonts w:ascii="Times New Roman" w:cs="Times New Roman" w:eastAsia="Times New Roman" w:hAnsi="Times New Roman"/>
          <w:sz w:val="19"/>
          <w:szCs w:val="19"/>
          <w:color w:val="auto"/>
        </w:rPr>
        <w:t>. The JSC and each Subcommittee (each, a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be composed of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representatives from each Party (or such other equal number of representatives of each of Licensee and Duality as the JSC may determine), and each Party shall notify the other Party of its initial JSC representatives within [***] days after the Effective Date. Each Party shall designate a representative to be the co-chairperson of the JSC and Licensee shall designate a representative to chair each Subcommittee led by it, in each case, who shall schedule meetings, prepare meeting agendas and meeting minutes and follow up on action items. Each Party may request and convene a Committee meeting and propose agenda therefor at any time. With respect to the JSC, these responsibilities will alternate between the Parties or each co-chairperson, as applicable, with Licensee’s co-chairperson taking the responsibility for the first meeting of the JSC. Each Party may change its representatives to the JSC (or any Subcommittee) from time to time in its sole discretion, effective upon notice to the other Party of such change. Each Party’s representatives in each Committee shall possess appropriate experience with respect to the issues falling within the functions of such Committee and requisite seniority within such Party’s organization, and shall have the authority to make decisions on behalf of the Party they represent.</w:t>
      </w:r>
    </w:p>
    <w:p>
      <w:pPr>
        <w:spacing w:after="0" w:line="132"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3.4 Non-Member Attendance </w:t>
      </w:r>
      <w:r>
        <w:rPr>
          <w:rFonts w:ascii="Times New Roman" w:cs="Times New Roman" w:eastAsia="Times New Roman" w:hAnsi="Times New Roman"/>
          <w:sz w:val="19"/>
          <w:szCs w:val="19"/>
          <w:color w:val="auto"/>
        </w:rPr>
        <w:t>. Each Party may from time to time invite a reasonable number of participants, in addition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representatives, to attend a meeting of any Committee (in a non- voting capacity) in the event that the planned agenda for such Committee meeting would require such participants’ expertise; provided that if either Party intends to have any Third Party (including any consultant or counsel) attend such a meeting, such Party shall provide prior written notice to the other Party, shall obtain approval from such other Party for such Third Party to attend (which shall not be unreasonably withheld, conditioned or delayed by the notified Party),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6" w:name="page647"/>
    <w:bookmarkEnd w:id="646"/>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ensure that such Third Party is bound by confidentiality and non-use obligations consistent with the terms of this Agreement.</w:t>
      </w:r>
    </w:p>
    <w:p>
      <w:pPr>
        <w:spacing w:after="0" w:line="164"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3.5 Decision-Making</w:t>
      </w:r>
      <w:r>
        <w:rPr>
          <w:rFonts w:ascii="Times New Roman" w:cs="Times New Roman" w:eastAsia="Times New Roman" w:hAnsi="Times New Roman"/>
          <w:sz w:val="19"/>
          <w:szCs w:val="19"/>
          <w:color w:val="auto"/>
        </w:rPr>
        <w:t>. The representatives of each Party will have, collectively, [***] at each Committee on all matters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brought before such Committee. The Committees may not take any action or decide any matter except at a meeting attended by [***] representing each Party and [***].</w:t>
      </w:r>
    </w:p>
    <w:p>
      <w:pPr>
        <w:spacing w:after="0" w:line="132" w:lineRule="exact"/>
        <w:rPr>
          <w:sz w:val="20"/>
          <w:szCs w:val="20"/>
          <w:color w:val="auto"/>
        </w:rPr>
      </w:pPr>
    </w:p>
    <w:p>
      <w:pPr>
        <w:jc w:val="both"/>
        <w:ind w:left="420" w:firstLine="582"/>
        <w:spacing w:after="0" w:line="220" w:lineRule="auto"/>
        <w:tabs>
          <w:tab w:leader="none" w:pos="1716" w:val="left"/>
        </w:tabs>
        <w:numPr>
          <w:ilvl w:val="0"/>
          <w:numId w:val="6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JSC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JSC (including those matters referred to the JSC by any Subcommittee), the representatives of the Parties on the JSC cannot reach an agreement as to such matter within [***] Days after such matter was brought to the JSC for resolution or after such matter has been referred to the JSC, such disagreement shall be referred to the [***] (collectively, the “</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for resolution. If the Executive Officers cannot resolve such matter within [***] days (or such other timeframe as the JSC may request in consideration of the urgency of such referred matter) after such matter has been referred to them, then:</w:t>
      </w:r>
    </w:p>
    <w:p>
      <w:pPr>
        <w:spacing w:after="0" w:line="137" w:lineRule="exact"/>
        <w:rPr>
          <w:sz w:val="20"/>
          <w:szCs w:val="20"/>
          <w:color w:val="auto"/>
        </w:rPr>
      </w:pPr>
    </w:p>
    <w:p>
      <w:pPr>
        <w:ind w:left="1740" w:right="4120" w:hanging="726"/>
        <w:spacing w:after="0" w:line="421" w:lineRule="auto"/>
        <w:tabs>
          <w:tab w:leader="none" w:pos="1728"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be entitled to make final decisions with respect to: [***]</w:t>
      </w:r>
    </w:p>
    <w:p>
      <w:pPr>
        <w:spacing w:after="0" w:line="1"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580" w:firstLine="578"/>
        <w:spacing w:after="0" w:line="222" w:lineRule="auto"/>
        <w:tabs>
          <w:tab w:leader="none" w:pos="1732" w:val="left"/>
        </w:tabs>
        <w:numPr>
          <w:ilvl w:val="1"/>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JIPC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JIPC, together with the assistance of each Party’s outside intellectual property counsel (as required and pursuant to Section 3.4), the representatives of the Parties on the JIPC cannot reach an agreement as to such matter within [***] Days after such matter was brought to the JIPC for resolution or after such matter has been referred to the JIPC, such matter shall be escalated to the JSC by either Party.</w:t>
      </w:r>
    </w:p>
    <w:p>
      <w:pPr>
        <w:spacing w:after="0" w:line="131" w:lineRule="exact"/>
        <w:rPr>
          <w:rFonts w:ascii="Times New Roman" w:cs="Times New Roman" w:eastAsia="Times New Roman" w:hAnsi="Times New Roman"/>
          <w:sz w:val="19"/>
          <w:szCs w:val="19"/>
          <w:color w:val="auto"/>
        </w:rPr>
      </w:pPr>
    </w:p>
    <w:p>
      <w:pPr>
        <w:jc w:val="both"/>
        <w:ind w:left="580" w:firstLine="578"/>
        <w:spacing w:after="0" w:line="224" w:lineRule="auto"/>
        <w:tabs>
          <w:tab w:leader="none" w:pos="1732" w:val="left"/>
        </w:tabs>
        <w:numPr>
          <w:ilvl w:val="1"/>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JDC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JDC, the representatives of the Parties on the JDC cannot reach an agreement as to such matter within [***] Days after such matter was brought to the JDC for resolution or after such matter has been referred to the JDC, such disagreement shall be escalated to the JSC by either Party.</w:t>
      </w:r>
    </w:p>
    <w:p>
      <w:pPr>
        <w:spacing w:after="0" w:line="130"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1"/>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Deadlock Resolution. </w:t>
      </w:r>
      <w:r>
        <w:rPr>
          <w:rFonts w:ascii="Times New Roman" w:cs="Times New Roman" w:eastAsia="Times New Roman" w:hAnsi="Times New Roman"/>
          <w:sz w:val="19"/>
          <w:szCs w:val="19"/>
          <w:color w:val="auto"/>
        </w:rPr>
        <w:t>In case of a deadlock with respect to the decision-making process of the JSC, Section 15.1</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apply.</w:t>
      </w:r>
    </w:p>
    <w:p>
      <w:pPr>
        <w:spacing w:after="0" w:line="142"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3.6 Limitations on Authority</w:t>
      </w:r>
      <w:r>
        <w:rPr>
          <w:rFonts w:ascii="Times New Roman" w:cs="Times New Roman" w:eastAsia="Times New Roman" w:hAnsi="Times New Roman"/>
          <w:sz w:val="19"/>
          <w:szCs w:val="19"/>
          <w:color w:val="auto"/>
        </w:rPr>
        <w:t>. The JSC shall have only such powers as are expressly assigned to it in this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powers shall be subject to the terms and conditions of this Agreement. Without limiting the generality of the foregoing, the JSC shall not have the power to amend this Agreement, shall not have power in relation to [***], and no decision of the JSC may be in contravention of any terms and conditions of this Agreement. For clarity, the JSC shall have no decision -making authority regarding any Development, Manufacturing, Commercialization or other activity in the Retained Territory save as contemplated by Section 3.5(a) or otherwise expressly provided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7" w:name="page648"/>
    <w:bookmarkEnd w:id="647"/>
    <w:p>
      <w:pPr>
        <w:spacing w:after="0" w:line="255"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3.7 Meetings</w:t>
      </w:r>
      <w:r>
        <w:rPr>
          <w:rFonts w:ascii="Times New Roman" w:cs="Times New Roman" w:eastAsia="Times New Roman" w:hAnsi="Times New Roman"/>
          <w:sz w:val="19"/>
          <w:szCs w:val="19"/>
          <w:color w:val="auto"/>
        </w:rPr>
        <w:t>. The JSC will hold a meeting every [***] until the Development Phase ends, and afterwards every [***], or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determined by the JSC. Such meetings may be in person, via videoconference, or via teleconference. The location of in-person meetings will be determined by the Parties. At least [***] prior to each JSC meeting, each Party shall provide written notice to the other Party of agenda items proposed by such Party for discussion at such meeting, together with appropriate information related thereto. Reasonably detailed written minutes will be kept for all JSC meetings. Meeting minutes will be prepared [***] and sent to each member of the JSC for review and approval within [***] Days after the meeting. Minutes will be deemed approved unless a member of the JSC objects to the accuracy of such minutes within [***] Days of receipt. In the event of any such objection that is not resolved by mutual agreement of the Parties, such minutes will be amended to reflect such unresolved dispute.</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3.8 Discontinuation of JSC</w:t>
      </w:r>
      <w:r>
        <w:rPr>
          <w:rFonts w:ascii="Times New Roman" w:cs="Times New Roman" w:eastAsia="Times New Roman" w:hAnsi="Times New Roman"/>
          <w:sz w:val="19"/>
          <w:szCs w:val="19"/>
          <w:color w:val="auto"/>
        </w:rPr>
        <w:t>. The JSC shall continue to exist until the Parties mutually agree to disband the JSC. Once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JSC is disbanded, the JSC shall have no further obligations under this Agreement and, thereafter, the Alliance Managers shall be the points of contact for the exchange of information under this Agreement, and the Parties shall reach decision directly on matters that are subject to the decision of the JSC as set forth in Section 3.1.</w:t>
      </w:r>
    </w:p>
    <w:p>
      <w:pPr>
        <w:spacing w:after="0" w:line="134"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3.9 Project and Alliance Managers</w:t>
      </w:r>
      <w:r>
        <w:rPr>
          <w:rFonts w:ascii="Times New Roman" w:cs="Times New Roman" w:eastAsia="Times New Roman" w:hAnsi="Times New Roman"/>
          <w:sz w:val="19"/>
          <w:szCs w:val="19"/>
          <w:color w:val="auto"/>
        </w:rPr>
        <w:t>. Each Party shall appoint an individual, who is an employee of such Party, to act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project manager (the </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who shall be responsible for implementing and coordinating activities and facilitating the exchange of information between the Parties. Each Party shall appoint an individual, who is an employee of such Party, to act as its alliance manager under this Agreement within [***] Days after the Effective Date (the “</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 . [***] The Project Managers shall: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The Alliance Managers shall: (a) serve as the primary points of contact between the Parties for any issues arising under this Agreement; (b) facilitate the prompt resolution of any disputes; and (c) attend JSC and Subcommittee meetings (in each case, as a non- voting participant); provided that the Alliance Managers shall not count toward the number of representatives that each Party may have on each such Committee. An Alliance Manager may also bring any matter to the attention of the JSC, if such Alliance Manager reasonably believes that such matter warrants such attention. Each Party may replace its Project Manager and Alliance Manager at any time upon written notice to the other Party.</w:t>
      </w:r>
    </w:p>
    <w:p>
      <w:pPr>
        <w:spacing w:after="0" w:line="200" w:lineRule="exact"/>
        <w:rPr>
          <w:sz w:val="20"/>
          <w:szCs w:val="20"/>
          <w:color w:val="auto"/>
        </w:rPr>
      </w:pPr>
    </w:p>
    <w:p>
      <w:pPr>
        <w:spacing w:after="0" w:line="3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4</w:t>
      </w:r>
    </w:p>
    <w:p>
      <w:pPr>
        <w:ind w:left="4540"/>
        <w:spacing w:after="0"/>
        <w:rPr>
          <w:sz w:val="20"/>
          <w:szCs w:val="20"/>
          <w:color w:val="auto"/>
        </w:rPr>
      </w:pPr>
      <w:r>
        <w:rPr>
          <w:rFonts w:ascii="Times New Roman" w:cs="Times New Roman" w:eastAsia="Times New Roman" w:hAnsi="Times New Roman"/>
          <w:sz w:val="19"/>
          <w:szCs w:val="19"/>
          <w:b w:val="1"/>
          <w:bCs w:val="1"/>
          <w:color w:val="auto"/>
        </w:rPr>
        <w:t>DEVELOPMENT</w:t>
      </w:r>
    </w:p>
    <w:p>
      <w:pPr>
        <w:spacing w:after="0" w:line="14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Overview; Diligence</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1158"/>
        <w:spacing w:after="0" w:line="219" w:lineRule="auto"/>
        <w:tabs>
          <w:tab w:leader="none" w:pos="1729" w:val="left"/>
        </w:tabs>
        <w:numPr>
          <w:ilvl w:val="0"/>
          <w:numId w:val="6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provided herein with respect to the Planned Trials, Licensee Added Trials (as applicable), Licensee (itself and through its Affiliates and their respective Sublicensees) shall be responsible, at its own expense, for the Development of the Original ADC Licensed Products in the Field in the Territory under the oversight of JSC. Without limiting the generality of the foregoing, Licensee shall, in accordance with the Development Plan (i) use Commercially Reasonable Efforts to Develop and seek Regulatory Approval for [***] in the Field in [***], and (ii) perform the Development activities assigned to it under the Development Plan(s) and in compliance with Applicable Laws (including GXPs), with reasonable due care and in conformity with current generally accepted industry standards and procedures. Licensee shall use Commercially Reasonable Efforts to adhere to the timelines set forth in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8" w:name="page649"/>
    <w:bookmarkEnd w:id="648"/>
    <w:p>
      <w:pPr>
        <w:spacing w:after="0" w:line="257" w:lineRule="exact"/>
        <w:rPr>
          <w:sz w:val="20"/>
          <w:szCs w:val="20"/>
          <w:color w:val="auto"/>
        </w:rPr>
      </w:pPr>
    </w:p>
    <w:p>
      <w:pPr>
        <w:jc w:val="both"/>
        <w:ind w:right="20" w:firstLine="1158"/>
        <w:spacing w:after="0" w:line="227" w:lineRule="auto"/>
        <w:tabs>
          <w:tab w:leader="none" w:pos="1729"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Licensee shall use Commercially Reasonable Efforts to (i) make all regulatory submissions to the applicable Regulatory Authorities within the Territory in respect of the Original ADC Licensed Product; and (ii) obtain Regulatory Approval for Original ADC Licensed Products in the Territory, in each case of (i) and (ii) in accordance with the Development Plan.</w:t>
      </w:r>
    </w:p>
    <w:p>
      <w:pPr>
        <w:spacing w:after="0" w:line="132"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4.2 Development Plan</w:t>
      </w:r>
      <w:r>
        <w:rPr>
          <w:rFonts w:ascii="Times New Roman" w:cs="Times New Roman" w:eastAsia="Times New Roman" w:hAnsi="Times New Roman"/>
          <w:sz w:val="19"/>
          <w:szCs w:val="19"/>
          <w:color w:val="auto"/>
        </w:rPr>
        <w:t>. The Parties will agree on the initial Development Plan, which sets forth the scope, timelines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responsibilities of each Party of the Development activities to be conducted by or on behalf of Licensee in order to obtain Regulatory Approvals for the Original ADC Licensed Products in the Territory. [***] From time to time during the Term, either Party may propose written amendments and updates to the then-current Development Plan, and shall submit such amendments and updates to the JSC for review and approval. The amendment of the Development Plan and the Development Budget shall become effective only upon the approval of the JSC.</w:t>
      </w:r>
    </w:p>
    <w:p>
      <w:pPr>
        <w:spacing w:after="0" w:line="132"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4.3 Clinical Trials to Be Conducted by Duality in the Territory </w:t>
      </w:r>
      <w:r>
        <w:rPr>
          <w:rFonts w:ascii="Times New Roman" w:cs="Times New Roman" w:eastAsia="Times New Roman" w:hAnsi="Times New Roman"/>
          <w:sz w:val="19"/>
          <w:szCs w:val="19"/>
          <w:color w:val="auto"/>
        </w:rPr>
        <w:t>. As of the Effective Date and as set forth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 Plan, the Parties have agreed that Duality will conduct, at its own cost and expense, the Clinical Trials in the Territory until [***] in accordance with the Development Plan and in compliance with all Applicable Laws (together, “</w:t>
      </w:r>
      <w:r>
        <w:rPr>
          <w:rFonts w:ascii="Times New Roman" w:cs="Times New Roman" w:eastAsia="Times New Roman" w:hAnsi="Times New Roman"/>
          <w:sz w:val="19"/>
          <w:szCs w:val="19"/>
          <w:b w:val="1"/>
          <w:bCs w:val="1"/>
          <w:color w:val="auto"/>
        </w:rPr>
        <w:t>Planned Trials</w:t>
      </w:r>
      <w:r>
        <w:rPr>
          <w:rFonts w:ascii="Times New Roman" w:cs="Times New Roman" w:eastAsia="Times New Roman" w:hAnsi="Times New Roman"/>
          <w:sz w:val="19"/>
          <w:szCs w:val="19"/>
          <w:color w:val="auto"/>
        </w:rPr>
        <w:t>”); [***].</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Global Trials</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Phase [***] Clinical Trial</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Duality Development Activities.</w:t>
      </w:r>
    </w:p>
    <w:p>
      <w:pPr>
        <w:spacing w:after="0" w:line="168" w:lineRule="exact"/>
        <w:rPr>
          <w:sz w:val="20"/>
          <w:szCs w:val="20"/>
          <w:color w:val="auto"/>
        </w:rPr>
      </w:pPr>
    </w:p>
    <w:p>
      <w:pPr>
        <w:ind w:left="440" w:right="40" w:firstLine="574"/>
        <w:spacing w:after="0" w:line="246" w:lineRule="auto"/>
        <w:tabs>
          <w:tab w:leader="none" w:pos="1736" w:val="left"/>
        </w:tabs>
        <w:numPr>
          <w:ilvl w:val="0"/>
          <w:numId w:val="6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Duality is responsible for conducting Development activities under this Agreement in the Territory, including but not limited to conducting the Planned Trials, and if applicable, [***] (“</w:t>
      </w:r>
      <w:r>
        <w:rPr>
          <w:rFonts w:ascii="Times New Roman" w:cs="Times New Roman" w:eastAsia="Times New Roman" w:hAnsi="Times New Roman"/>
          <w:sz w:val="19"/>
          <w:szCs w:val="19"/>
          <w:b w:val="1"/>
          <w:bCs w:val="1"/>
          <w:color w:val="auto"/>
        </w:rPr>
        <w:t>Duality Development Activities</w:t>
      </w:r>
      <w:r>
        <w:rPr>
          <w:rFonts w:ascii="Times New Roman" w:cs="Times New Roman" w:eastAsia="Times New Roman" w:hAnsi="Times New Roman"/>
          <w:sz w:val="19"/>
          <w:szCs w:val="19"/>
          <w:color w:val="auto"/>
        </w:rPr>
        <w:t>”) , [***].</w:t>
      </w:r>
    </w:p>
    <w:p>
      <w:pPr>
        <w:spacing w:after="0" w:line="128" w:lineRule="exact"/>
        <w:rPr>
          <w:rFonts w:ascii="Times New Roman" w:cs="Times New Roman" w:eastAsia="Times New Roman" w:hAnsi="Times New Roman"/>
          <w:sz w:val="19"/>
          <w:szCs w:val="19"/>
          <w:color w:val="auto"/>
        </w:rPr>
      </w:pPr>
    </w:p>
    <w:p>
      <w:pPr>
        <w:jc w:val="both"/>
        <w:ind w:left="440" w:firstLine="574"/>
        <w:spacing w:after="0"/>
        <w:tabs>
          <w:tab w:leader="none" w:pos="1736" w:val="left"/>
        </w:tabs>
        <w:numPr>
          <w:ilvl w:val="0"/>
          <w:numId w:val="6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intended delegation of the Duality Development Activities or any part thereof to a subcontractor shall be communicated to Licensee via the JDC in advance and shall be reflected in the Development Plan, already listing the subcontractors that Duality intends to involve. The delegation to a subcontractor requires Licensee’s prior written consent which shall not be unreasonably withheld, conditioned or delayed; provided that Licensee shall be deemed to have given its consent if Licensee’s Project Manager and Licensee’s Alliance Manager, who were informed about the identity of the subcontractor via the JDC, do not respond within [***] Days after both Licensee’s Project Manager’s and Licensee’s Alliance Manager’s receipt of written notice from Duality; provided further that such notice contains sufficient information for Licensee to make an informed decision.</w:t>
      </w:r>
    </w:p>
    <w:p>
      <w:pPr>
        <w:spacing w:after="0" w:line="199" w:lineRule="exact"/>
        <w:rPr>
          <w:rFonts w:ascii="Times New Roman" w:cs="Times New Roman" w:eastAsia="Times New Roman" w:hAnsi="Times New Roman"/>
          <w:sz w:val="19"/>
          <w:szCs w:val="19"/>
          <w:color w:val="auto"/>
        </w:rPr>
      </w:pPr>
    </w:p>
    <w:p>
      <w:pPr>
        <w:jc w:val="both"/>
        <w:ind w:left="440" w:firstLine="574"/>
        <w:spacing w:after="0" w:line="218" w:lineRule="auto"/>
        <w:tabs>
          <w:tab w:leader="none" w:pos="1811" w:val="left"/>
        </w:tabs>
        <w:numPr>
          <w:ilvl w:val="0"/>
          <w:numId w:val="6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Duality shall, upon request by Licensee, (i) keep Licensee copied on the main communications regarding the contract negotiations with the subcontractor and Licensee may decide, at its own discretion, to participate in the contract negotiations with the subcontractor; provided that Duality does not need to reschedule negotiations because of Licensee’s unavailability, and (ii) provide Licensee with a copy of any draft subcontractor agreement proposed to it with respect to the Duality Development Activities (“</w:t>
      </w:r>
      <w:r>
        <w:rPr>
          <w:rFonts w:ascii="Times New Roman" w:cs="Times New Roman" w:eastAsia="Times New Roman" w:hAnsi="Times New Roman"/>
          <w:sz w:val="19"/>
          <w:szCs w:val="19"/>
          <w:b w:val="1"/>
          <w:bCs w:val="1"/>
          <w:color w:val="auto"/>
        </w:rPr>
        <w:t>Third Party Agreements</w:t>
      </w:r>
      <w:r>
        <w:rPr>
          <w:rFonts w:ascii="Times New Roman" w:cs="Times New Roman" w:eastAsia="Times New Roman" w:hAnsi="Times New Roman"/>
          <w:sz w:val="19"/>
          <w:szCs w:val="19"/>
          <w:color w:val="auto"/>
        </w:rPr>
        <w:t>”), including but not limited to agreements with CROs. Such Third Party Agreements shall be in the English language. Any such Third Party Agreement will only be signed after obtaining a written consent of Licensee which shall not be unreasonably withheld, conditioned or delayed; provided that Licensee shall be deemed to have given its consent if Licensee’s Project Manager and Licensee’s Alliance Manager were copied on the main communications regarding the contract negotiations,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49" w:name="page650"/>
    <w:bookmarkEnd w:id="649"/>
    <w:p>
      <w:pPr>
        <w:spacing w:after="0" w:line="257" w:lineRule="exact"/>
        <w:rPr>
          <w:sz w:val="20"/>
          <w:szCs w:val="20"/>
          <w:color w:val="auto"/>
        </w:rPr>
      </w:pPr>
    </w:p>
    <w:p>
      <w:pPr>
        <w:jc w:val="both"/>
        <w:ind w:left="440" w:right="20"/>
        <w:spacing w:after="0" w:line="232" w:lineRule="auto"/>
        <w:rPr>
          <w:sz w:val="20"/>
          <w:szCs w:val="20"/>
          <w:color w:val="auto"/>
        </w:rPr>
      </w:pPr>
      <w:r>
        <w:rPr>
          <w:rFonts w:ascii="Times New Roman" w:cs="Times New Roman" w:eastAsia="Times New Roman" w:hAnsi="Times New Roman"/>
          <w:sz w:val="19"/>
          <w:szCs w:val="19"/>
          <w:color w:val="auto"/>
        </w:rPr>
        <w:t>opportunity to participate in the contract negotiation, and regularly updated on the progress of the negotiations (together with the draft Third Party Agreement) and do not respond within [***] Days after both Licensee’s Project Manager’s and Licensee’s Alliance Manager’s receipt of the fully copy of such draft Third Party Agreements and the written notice from Duality.</w:t>
      </w:r>
    </w:p>
    <w:p>
      <w:pPr>
        <w:spacing w:after="0" w:line="133"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4. 7 Development Records</w:t>
      </w:r>
      <w:r>
        <w:rPr>
          <w:rFonts w:ascii="Times New Roman" w:cs="Times New Roman" w:eastAsia="Times New Roman" w:hAnsi="Times New Roman"/>
          <w:sz w:val="19"/>
          <w:szCs w:val="19"/>
          <w:color w:val="auto"/>
        </w:rPr>
        <w:t>. Each Party shall maintain or cause to be maintained complete, current and accurate records of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activities conducted by or on behalf of it pursuant to the Development Plan(s), and all Know-How and other information resulting from such activities. Such records shall fully and properly reflect all work done and results achieved in the performance of the Development activities in good scientific manner appropriate for regulatory and patent purposes. Each Party shall, and shall ensure that its Affiliates and their Sublicensees will, document all non-clinical studies and Clinical Trials in formal written study records in accordance with all Applicable Laws, including applicable national and international guidelines such as ICH, GCLP, GCP and GLP. To the extent permitted by the Applicable Laws, each Party shall have the right to review and copy such records of the other Party at reasonable times and to obtain access to review the original to the extent necessary or useful for regulatory, patent or other reasonable purposes for the purpose of fulfilling its obligations under this Agreement upon reasonable notice to such other Party and at a time and location mutually acceptable to the Parties.</w:t>
      </w:r>
    </w:p>
    <w:p>
      <w:pPr>
        <w:spacing w:after="0" w:line="137"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4.8 Development Reports</w:t>
      </w:r>
      <w:r>
        <w:rPr>
          <w:rFonts w:ascii="Times New Roman" w:cs="Times New Roman" w:eastAsia="Times New Roman" w:hAnsi="Times New Roman"/>
          <w:sz w:val="19"/>
          <w:szCs w:val="19"/>
          <w:color w:val="auto"/>
        </w:rPr>
        <w:t>. Each Party shall keep the other Party reasonably and timely informed of the progress and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its and its Affiliates’, subcontractors’ and Sublicensees’/(sub)licensees’ work under the Development Plan(s) (including prompt reporting of available pre- clinical and clinical data). Without limiting the generality of the foregoing, each Party shall provide the other Party with a written report no later than [***] days after the end of each Calendar Year setting forth in details the Development activities performed during such Calendar Year and the results thereof, and comparing such activities with the Development Plan(s) for such time period. Such reports prepared by each Party shall be provided at a level of detail reasonably sufficient to enable the other Party to determine the other Party’s compliance with its obligations under this Agreement. At each JSC meeting, the Parties shall discuss the status, progress and results of the Development activities conducted by the Parties pursuant to this Agreement. Each Party shall promptly respond to the other Party’s reasonable questions or requests for additional information relating to such Development activities. In the event that Duality is engaged by Licensee to conduct Duality Development Activities in the Territory, Duality shall send the Development report [***], setting forth in more detail the Duality Development Activities performed [***].</w:t>
      </w:r>
    </w:p>
    <w:p>
      <w:pPr>
        <w:spacing w:after="0" w:line="200" w:lineRule="exact"/>
        <w:rPr>
          <w:sz w:val="20"/>
          <w:szCs w:val="20"/>
          <w:color w:val="auto"/>
        </w:rPr>
      </w:pPr>
    </w:p>
    <w:p>
      <w:pPr>
        <w:spacing w:after="0" w:line="3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5</w:t>
      </w:r>
    </w:p>
    <w:p>
      <w:pPr>
        <w:ind w:left="4600"/>
        <w:spacing w:after="0"/>
        <w:rPr>
          <w:sz w:val="20"/>
          <w:szCs w:val="20"/>
          <w:color w:val="auto"/>
        </w:rPr>
      </w:pPr>
      <w:r>
        <w:rPr>
          <w:rFonts w:ascii="Times New Roman" w:cs="Times New Roman" w:eastAsia="Times New Roman" w:hAnsi="Times New Roman"/>
          <w:sz w:val="19"/>
          <w:szCs w:val="19"/>
          <w:b w:val="1"/>
          <w:bCs w:val="1"/>
          <w:color w:val="auto"/>
        </w:rPr>
        <w:t>REGULATORY</w:t>
      </w:r>
    </w:p>
    <w:p>
      <w:pPr>
        <w:spacing w:after="0" w:line="14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Overview of Conduct of Regulatory Activities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440" w:firstLine="574"/>
        <w:spacing w:after="0" w:line="223" w:lineRule="auto"/>
        <w:tabs>
          <w:tab w:leader="none" w:pos="1736" w:val="left"/>
        </w:tabs>
        <w:numPr>
          <w:ilvl w:val="0"/>
          <w:numId w:val="6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(itself and through its Affiliates and Sublicensees, as applicable) shall be responsible for all of the costs for all regulatory activities with respect to the Licensed Products in the Territory after the Effective Date. [***], Licensee (or its Affiliate or Sublicensees) shall be the sponsor and holder of all Regulatory Approvals for the Licensed Products in the Territory. For clarity, Licensee (or one of its Affiliates or their Sublicensees) shall always be the MAH of the Original ADC Licensed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0" w:name="page651"/>
    <w:bookmarkEnd w:id="650"/>
    <w:p>
      <w:pPr>
        <w:spacing w:after="0" w:line="257" w:lineRule="exact"/>
        <w:rPr>
          <w:sz w:val="20"/>
          <w:szCs w:val="20"/>
          <w:color w:val="auto"/>
        </w:rPr>
      </w:pPr>
    </w:p>
    <w:p>
      <w:pPr>
        <w:jc w:val="both"/>
        <w:ind w:left="440" w:right="20" w:firstLine="574"/>
        <w:spacing w:after="0" w:line="221" w:lineRule="auto"/>
        <w:tabs>
          <w:tab w:leader="none" w:pos="1736" w:val="left"/>
        </w:tabs>
        <w:numPr>
          <w:ilvl w:val="0"/>
          <w:numId w:val="6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Effective Date, Duality shall provide Licensee with one (1) electronic copy of the Regulatory Materials related to the Licensed Compound and Original ADC Licensed Products in the Territory existing and possessed by Duality as of the Effective Date. At any time during the Term, if Duality is the sponsor or holder of the Regulatory Materials and upon Licensees’ written request, Duality shall provide Licensee with electronic copies of the Regulatory Materials related to the Licensed Compound or Original ADC Licensed Products in the Territory received and possessed by Duality after the Effective Date promptly and in any event no later than [***] Days after such Regulatory Materials become available.</w:t>
      </w:r>
    </w:p>
    <w:p>
      <w:pPr>
        <w:spacing w:after="0" w:line="135"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Regulatory Filing; 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right="20" w:firstLine="574"/>
        <w:spacing w:after="0" w:line="219" w:lineRule="auto"/>
        <w:tabs>
          <w:tab w:leader="none" w:pos="1736" w:val="left"/>
        </w:tabs>
        <w:numPr>
          <w:ilvl w:val="0"/>
          <w:numId w:val="6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Regulatory Filings</w:t>
      </w:r>
      <w:r>
        <w:rPr>
          <w:rFonts w:ascii="Times New Roman" w:cs="Times New Roman" w:eastAsia="Times New Roman" w:hAnsi="Times New Roman"/>
          <w:sz w:val="19"/>
          <w:szCs w:val="19"/>
          <w:color w:val="auto"/>
        </w:rPr>
        <w:t>. Except with respect to regulatory filings related to the Planned Trials and Licensee Added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Trials (if any), for which Duality shall be responsible unless the Parties agree otherwise, (i) Licensee (and its Affiliates or Sublicensee, as applicable) shall lead and have sole control over preparing and submitting all regulatory filings related to the Licensed Compound and Original ADC Licensed Products, including all applications for Regulatory Approval, in the Territory at Licensee’s sole cost and expense, and (ii) Duality shall be responsible for the preparation and submission of any regulatory filings in the Retained Territory at Duality’s sole cost and expense. With respect to regulatory filings for the Planned Trials or and the Licensee Added Trials (if any) that are prepared by Duality, Duality shall submit all such regulatory filings to the JSC for its review and approval.</w:t>
      </w:r>
    </w:p>
    <w:p>
      <w:pPr>
        <w:spacing w:after="0" w:line="133" w:lineRule="exact"/>
        <w:rPr>
          <w:rFonts w:ascii="Times New Roman" w:cs="Times New Roman" w:eastAsia="Times New Roman" w:hAnsi="Times New Roman"/>
          <w:sz w:val="19"/>
          <w:szCs w:val="19"/>
          <w:color w:val="auto"/>
        </w:rPr>
      </w:pPr>
    </w:p>
    <w:p>
      <w:pPr>
        <w:jc w:val="both"/>
        <w:ind w:left="440" w:right="40" w:firstLine="574"/>
        <w:spacing w:after="0" w:line="224" w:lineRule="auto"/>
        <w:tabs>
          <w:tab w:leader="none" w:pos="1736" w:val="left"/>
        </w:tabs>
        <w:numPr>
          <w:ilvl w:val="0"/>
          <w:numId w:val="6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Ownership. </w:t>
      </w:r>
      <w:r>
        <w:rPr>
          <w:rFonts w:ascii="Times New Roman" w:cs="Times New Roman" w:eastAsia="Times New Roman" w:hAnsi="Times New Roman"/>
          <w:sz w:val="19"/>
          <w:szCs w:val="19"/>
          <w:color w:val="auto"/>
        </w:rPr>
        <w:t>Other than any Regulatory Approvals or applications therefor that are related to the Planned Trials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Licensee Added Trials (if any), for which Licensee has designated Duality to be the sponsor, Licensee (or its Affiliates or Sublicensees, as applicable) shall own any and all Regulatory Approvals (and applications for Regulatory Approvals), and any other regulatory filings related to the Licensed Compound and ADC Licensed Products in the Territory, including Data and data in the regulatory filings and Regulatory Materials, which shall be held in the name of Licensee or its designees.</w:t>
      </w:r>
    </w:p>
    <w:p>
      <w:pPr>
        <w:spacing w:after="0" w:line="132" w:lineRule="exact"/>
        <w:rPr>
          <w:rFonts w:ascii="Times New Roman" w:cs="Times New Roman" w:eastAsia="Times New Roman" w:hAnsi="Times New Roman"/>
          <w:sz w:val="19"/>
          <w:szCs w:val="19"/>
          <w:color w:val="auto"/>
        </w:rPr>
      </w:pPr>
    </w:p>
    <w:p>
      <w:pPr>
        <w:ind w:left="440" w:right="20" w:firstLine="574"/>
        <w:spacing w:after="0" w:line="249" w:lineRule="auto"/>
        <w:tabs>
          <w:tab w:leader="none" w:pos="1736" w:val="left"/>
        </w:tabs>
        <w:numPr>
          <w:ilvl w:val="0"/>
          <w:numId w:val="6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English Translation</w:t>
      </w:r>
      <w:r>
        <w:rPr>
          <w:rFonts w:ascii="Times New Roman" w:cs="Times New Roman" w:eastAsia="Times New Roman" w:hAnsi="Times New Roman"/>
          <w:sz w:val="19"/>
          <w:szCs w:val="19"/>
          <w:color w:val="auto"/>
        </w:rPr>
        <w:t>. To the extent that the original language is not English, Duality shall provide Licensee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certified full English translation of all Regulatory Materials.</w:t>
      </w:r>
    </w:p>
    <w:p>
      <w:pPr>
        <w:spacing w:after="0" w:line="123"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 xml:space="preserve">5.3 Interactions with Regulatory Authorities </w:t>
      </w:r>
      <w:r>
        <w:rPr>
          <w:rFonts w:ascii="Times New Roman" w:cs="Times New Roman" w:eastAsia="Times New Roman" w:hAnsi="Times New Roman"/>
          <w:sz w:val="19"/>
          <w:szCs w:val="19"/>
          <w:color w:val="auto"/>
        </w:rPr>
        <w:t>. Insofar as it relates to the Planned Trials and Licensee Added Trials (if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where Licensee has confirmed and consented in writing that Duality is the sponsor, Duality shall lead interactions with Regulatory Authorities in the Territory; provided that JSC shall have final decision making authority in relation to such interactions with Regulatory Authorities and Duality shall follow all instructions provided to it by the JSC in this regard and Duality shall provide Licensee with (i) access to or copies of all material written or electronic communication received by Duality or its Affiliates from any Regulatory Authorities in the Territory and in the Retained Territory (if applicable), and (ii) copies of all meeting minutes with any Regulatory Authorities in the Territory and in the Retained Territory (if applicable). In addition, Duality shall provide Licensee with written notice of any scheduled material meeting, conference, or discussion with a Regulatory Authority related to Regulatory Approvals related to the Planned Trials and Licensee Added Trials (if any). Licensee (or its designee) shall have the right to (i) attend and participate in all such meetings with Regulatory Authorities related to the Planned Trials and Licensee Added Trials (if any), and all telephone conferences and preparation meetings of Duality or its Affiliates related to any such meeting, (ii) provide input on the regulatory filings in the Territory and in the Retained Territory (to the extent this impacts the position of Licensee in the Territory), and (iii) have final decision making authority in relation to any unsettled matter between the Parties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1" w:name="page652"/>
    <w:bookmarkEnd w:id="651"/>
    <w:p>
      <w:pPr>
        <w:spacing w:after="0" w:line="257"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9"/>
          <w:szCs w:val="19"/>
          <w:color w:val="auto"/>
        </w:rPr>
        <w:t>regulatory filings in the Territory. Subject to the foregoing, Licensee (and/or its Affiliates, or Sublicensees as applicable) shall have the sole right to conduct all communications with Regulatory Authorities, including all meetings, conferences and discussions (including advisory committee meetings), with regard to the Licensed Compound and ADC Licensed Products in the Territory, including in respect of the Licensee Added Trials where Licensee (or its Affiliates or Sublicensees, as applicable) is the sponsor (if any). Without limiting the forgoing, the Parties agree that they will collaborate with each other as necessary to ensure the successful progression of interactions with Regulatory Authorities with respect to all trials relating to the Licensed Compound and Original ADC Licensed Products in the Territory and in the Retained Territory (to the extent this impacts the position of Licensee in the Territory).</w:t>
      </w:r>
    </w:p>
    <w:p>
      <w:pPr>
        <w:spacing w:after="0" w:line="133"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5. 4 [***]</w:t>
      </w:r>
      <w:r>
        <w:rPr>
          <w:rFonts w:ascii="Times New Roman" w:cs="Times New Roman" w:eastAsia="Times New Roman" w:hAnsi="Times New Roman"/>
          <w:sz w:val="19"/>
          <w:szCs w:val="19"/>
          <w:color w:val="auto"/>
        </w:rPr>
        <w:t>. [***], Duality shall transfer and assign, or shall cause the transfer or assignment, to Licensee or its designee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Duality’s cost and expense for Planned Trials and at Licensee’s cost and expense for Licensee Added Trials), Duality’s, or any of its Affiliates’, entire right, title, and interest in and to all IND and other Regulatory Approvals in the Territory, if any, and transfer all Regulatory Materials with respect to the Licensed Compound and Original ADC Licensed Products in the Territory that are owned, controlled or possessed by Duality or any of its Affiliates, unless the Parties agree otherwise.</w:t>
      </w:r>
    </w:p>
    <w:p>
      <w:pPr>
        <w:spacing w:after="0" w:line="133"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5.5 Replacement</w:t>
      </w:r>
      <w:r>
        <w:rPr>
          <w:rFonts w:ascii="Times New Roman" w:cs="Times New Roman" w:eastAsia="Times New Roman" w:hAnsi="Times New Roman"/>
          <w:sz w:val="19"/>
          <w:szCs w:val="19"/>
          <w:color w:val="auto"/>
        </w:rPr>
        <w:t>. At any time during the Term, Licensee may decide to replace Duality to be the sponsor of any Planned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Trials and Licensee Added Trials (if any) in the Territory. Once Licensee informs Duality by written notice of its decision to replace Duality as the sponsor of any such Clinical Trials in the Territory, Duality shall within [***] days after receipt of such written notice from Licensee (a) transfer to Licensee all Regulatory Materials (including but not limited to the applicable IND, protocol and investigator’s brochure) in connection with each of its ongoing Clinical Trials as of the date of such notice and (b) use commercially reasonable efforts to facilitate Licensee’s introduction to applicable CROs, study site(s) and investigator(s) in connection with each such Clinical Trial in order to assist Licensee in transferring such Clinical Trial to Licensee, in each case ((a) and (b)) in accordance with Applicable Law and accepted pharmaceutical industry norms and ethical practices. To the extent that the original language of the Regulatory Materials is not English, Duality shall provide a certified full English translation of all documents to Licensee. Licensee shall be responsible for all costs and expenses reasonably incurred by Duality in relation to or as a result of such replacement; provided that if the replacement was caused by a breach of the applicable terms of this Agreement, Applicable Laws or the GXP by Duality, the costs and expenses reasonably incurred by Licensee in relation or as a result of such replacement shall be borne by Duality.</w:t>
      </w:r>
    </w:p>
    <w:p>
      <w:pPr>
        <w:spacing w:after="0" w:line="13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5.6</w:t>
      </w:r>
      <w:r>
        <w:rPr>
          <w:sz w:val="20"/>
          <w:szCs w:val="20"/>
          <w:color w:val="auto"/>
        </w:rPr>
        <w:tab/>
      </w:r>
      <w:r>
        <w:rPr>
          <w:rFonts w:ascii="Times New Roman" w:cs="Times New Roman" w:eastAsia="Times New Roman" w:hAnsi="Times New Roman"/>
          <w:sz w:val="19"/>
          <w:szCs w:val="19"/>
          <w:b w:val="1"/>
          <w:bCs w:val="1"/>
          <w:color w:val="auto"/>
        </w:rPr>
        <w:t>Data Access; Right of Reference; Access to Regulatory Materials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5.7 Pharmacovigilance </w:t>
      </w:r>
      <w:r>
        <w:rPr>
          <w:rFonts w:ascii="Times New Roman" w:cs="Times New Roman" w:eastAsia="Times New Roman" w:hAnsi="Times New Roman"/>
          <w:sz w:val="19"/>
          <w:szCs w:val="19"/>
          <w:color w:val="auto"/>
        </w:rPr>
        <w:t>. Within [***] days of the Effective Date, the Parties shall enter into a pharmacovigilance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regarding the Licensed Compound and Original ADC Licensed Products (the “</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which shall set forth standard operating procedures governing the collection, investigation, reporting, and exchange of safety information sufficient to permit each Party to comply with its regulatory and other legal obligations within the applicable timeframes. In the event of any inconsistency between the terms of this Agreement and the Pharmacovigilance Agreement, the terms of this Agreement shall prevail and govern, except to the extent such conflicting terms relate directly to the pharmacovigilance responsibilities of the Parties (including the exchange of safety data), in which case the terms of the Pharmacovigilance Agreement shall prevail and govern. Prior to the Parties entering into the Pharmacovigilance Agreement, Duality is and shall continue to be the owner of the global safety database for the Original ADC Licensed Products. The Pharmacovigilance Agreement can be amended at Licensee’s request during the Term and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2" w:name="page653"/>
    <w:bookmarkEnd w:id="652"/>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preparation to the Commercialization, at least [***] months’ ahead of the first MAA submission. At any time during the Term, upon reasonable prior notice, during regular business hours and under obligations of confidentiality, Licensee (or its designees) shall be entitled to audit (i) any of Duality’s or its Affiliates’, or any of their respective CROs’ or CMOs’ manufacturing sites; and (ii) any of Duality’s, its Affiliates’ clinical sites, as selected by Licensee in its sole discretion, to assess Duality’s compliance with all GXPs and all matters arising under the Pharmacovigilance Agreement, in each case of the foregoing (i) and (ii), only in respect of any Clinical Trials run by Duality for Licensee in the Territory; provided that such audit shall not be conducted more than once in any given Calendar Year, unless it is a for-cause audit. If (a) such audit by Licensee identifies any material non-compliance by Duality (via its subcontractors) or its Affiliates (via its subcontractors) of the GXPs or the Pharmacovigilance Agreement in the Territory, and (b) such material non-compliance is confirmed to be an uncured material breach on the part of Duality pursuant to Section 13.3, then the provisions of Section 13.7 shall apply.</w:t>
      </w:r>
    </w:p>
    <w:p>
      <w:pPr>
        <w:spacing w:after="0" w:line="144" w:lineRule="exact"/>
        <w:rPr>
          <w:sz w:val="20"/>
          <w:szCs w:val="20"/>
          <w:color w:val="auto"/>
        </w:rPr>
      </w:pPr>
    </w:p>
    <w:p>
      <w:pPr>
        <w:jc w:val="both"/>
        <w:ind w:right="20" w:firstLine="576"/>
        <w:spacing w:after="0" w:line="215" w:lineRule="auto"/>
        <w:rPr>
          <w:sz w:val="20"/>
          <w:szCs w:val="20"/>
          <w:color w:val="auto"/>
        </w:rPr>
      </w:pPr>
      <w:r>
        <w:rPr>
          <w:rFonts w:ascii="Times New Roman" w:cs="Times New Roman" w:eastAsia="Times New Roman" w:hAnsi="Times New Roman"/>
          <w:sz w:val="19"/>
          <w:szCs w:val="19"/>
          <w:b w:val="1"/>
          <w:bCs w:val="1"/>
          <w:color w:val="auto"/>
        </w:rPr>
        <w:t>5.8 Remedial Actions</w:t>
      </w:r>
      <w:r>
        <w:rPr>
          <w:rFonts w:ascii="Times New Roman" w:cs="Times New Roman" w:eastAsia="Times New Roman" w:hAnsi="Times New Roman"/>
          <w:sz w:val="19"/>
          <w:szCs w:val="19"/>
          <w:color w:val="auto"/>
        </w:rPr>
        <w:t>. Each Party shall notify the other immediately, and promptly confirm such notice in writing, if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obtains information indicating that any Original ADC Licensed Product may be subject to any recall, corrective action, patent regulatory procedures or other regulatory action in the Territory or the Retained Territory by any Governmental Authority or Regulatory Authority (a “</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The Parties shall assist each other in gathering and evaluating such information as is necessary to determine the necessity of conducting a Remedial Action. The Parties shall collaborate in good faith and endeavor to reach an agreement on Remedial Action related decisions save that were there is any unsettled issues in relation to any Remedial Action related matters (i) with respect to the Territory, Licensee shall have the final decision making authority and Duality shall take all actions reasonably requested by Licensee in relation to such Remedial Action, save that where such Remedial Action is reasonably likely to impact Duality’s position in respect of the Original ADC Licensed Product or any Regulatory Authorities in the Retained Territory, no action will be taken by Licensee (unless immediate action is required to comply with Applicable Laws and mitigate further damage arising from the Remedial Action) without Duality’s prior written consent, and (ii) with respect to the Retained Territory, Duality shall have the final decision making authority and Licensee shall take all actions reasonably requested by Duality in relation to such Remedial Action, save that where such Remedial Action is reasonably likely to impact Licensee’s position in respect of the Original ADC Licensed Product or any Regulatory Authorities in the Territory, no action will be taken by Duality without Licensee’s prior written consent. The cost and expenses of any Remedial Action shall be borne by the Party whose action or inaction caused the Remedial Action of the Original ADC Licensed Product.</w:t>
      </w:r>
    </w:p>
    <w:p>
      <w:pPr>
        <w:spacing w:after="0" w:line="200" w:lineRule="exact"/>
        <w:rPr>
          <w:sz w:val="20"/>
          <w:szCs w:val="20"/>
          <w:color w:val="auto"/>
        </w:rPr>
      </w:pPr>
    </w:p>
    <w:p>
      <w:pPr>
        <w:spacing w:after="0" w:line="3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6</w:t>
      </w:r>
    </w:p>
    <w:p>
      <w:pPr>
        <w:ind w:left="4020"/>
        <w:spacing w:after="0"/>
        <w:rPr>
          <w:sz w:val="20"/>
          <w:szCs w:val="20"/>
          <w:color w:val="auto"/>
        </w:rPr>
      </w:pPr>
      <w:r>
        <w:rPr>
          <w:rFonts w:ascii="Times New Roman" w:cs="Times New Roman" w:eastAsia="Times New Roman" w:hAnsi="Times New Roman"/>
          <w:sz w:val="19"/>
          <w:szCs w:val="19"/>
          <w:b w:val="1"/>
          <w:bCs w:val="1"/>
          <w:color w:val="auto"/>
        </w:rPr>
        <w:t>MANUFACTURE &amp; SUPPLY</w:t>
      </w:r>
    </w:p>
    <w:p>
      <w:pPr>
        <w:spacing w:after="0" w:line="14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6.1 Costs of CMC Activities</w:t>
      </w:r>
      <w:r>
        <w:rPr>
          <w:rFonts w:ascii="Times New Roman" w:cs="Times New Roman" w:eastAsia="Times New Roman" w:hAnsi="Times New Roman"/>
          <w:sz w:val="19"/>
          <w:szCs w:val="19"/>
          <w:color w:val="auto"/>
        </w:rPr>
        <w:t>. Duality will conduct CMC activities for the Original ADC Licensed Products according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scope as agreed upon by the Parties in the Development Plan. [***]</w:t>
      </w:r>
    </w:p>
    <w:p>
      <w:pPr>
        <w:spacing w:after="0" w:line="123"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6.2 Transfer of CMC Materials from Duality to Licensee </w:t>
      </w:r>
      <w:r>
        <w:rPr>
          <w:rFonts w:ascii="Times New Roman" w:cs="Times New Roman" w:eastAsia="Times New Roman" w:hAnsi="Times New Roman"/>
          <w:sz w:val="19"/>
          <w:szCs w:val="19"/>
          <w:color w:val="auto"/>
        </w:rPr>
        <w:t>. Following the Effective Date (and thereafter from time to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the Term upon Licensee’s reasonable advance request and to the extent not previously provided), Duality shall provide to Licensee (or its designees) the CMC -related technical documents and CMC- related technology (and any associated manufacturing process technology) that are necessary or reasonably useful for the Manufacture of the Licensed Compound and Original ADC Licensed Product and are Controlled by Duality or any of its Affiliates as of the Effective Date and which become Controlled by Duality or any of its Affiliates during the Term (“</w:t>
      </w:r>
      <w:r>
        <w:rPr>
          <w:rFonts w:ascii="Times New Roman" w:cs="Times New Roman" w:eastAsia="Times New Roman" w:hAnsi="Times New Roman"/>
          <w:sz w:val="19"/>
          <w:szCs w:val="19"/>
          <w:b w:val="1"/>
          <w:bCs w:val="1"/>
          <w:color w:val="auto"/>
        </w:rPr>
        <w:t>CMC Materials</w:t>
      </w:r>
      <w:r>
        <w:rPr>
          <w:rFonts w:ascii="Times New Roman" w:cs="Times New Roman" w:eastAsia="Times New Roman" w:hAnsi="Times New Roman"/>
          <w:sz w:val="19"/>
          <w:szCs w:val="19"/>
          <w:color w:val="auto"/>
        </w:rPr>
        <w:t xml:space="preserve"> ”), and customs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3" w:name="page654"/>
    <w:bookmarkEnd w:id="653"/>
    <w:p>
      <w:pPr>
        <w:spacing w:after="0" w:line="257"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9"/>
          <w:szCs w:val="19"/>
          <w:color w:val="auto"/>
        </w:rPr>
        <w:t>technology export licenses required by Applicable Law for such transfer(s), if any. Within [***] of Licensee’s request, Duality or a Duality CMO shall provide Licensee with reasonable assistance and on-site support in respect of the CMC-related technology and associated manufacturing process technology transferred to Licensee pursuant to this Section 6.2. Any assistance required in excess of</w:t>
      </w:r>
    </w:p>
    <w:p>
      <w:pPr>
        <w:jc w:val="both"/>
        <w:ind w:right="20" w:firstLine="6"/>
        <w:spacing w:after="0" w:line="221" w:lineRule="auto"/>
        <w:tabs>
          <w:tab w:leader="none" w:pos="478" w:val="left"/>
        </w:tabs>
        <w:numPr>
          <w:ilvl w:val="0"/>
          <w:numId w:val="6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be at the Licensee’s cost and expense. To the extent that the original language of the CMC Materials (including Third Party agreements) is not English, Duality shall provide a certified full English translation of these materials. The conclusion of new Third Party agreements regarding the CMC activities contemplated under Section 6.1 or the amendment of existing Third Party agreements regarding the same shall be subject to Licensee’s prior written approval.</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6.3 Transfer of Cell Lines and Cell Banks</w:t>
      </w:r>
      <w:r>
        <w:rPr>
          <w:rFonts w:ascii="Times New Roman" w:cs="Times New Roman" w:eastAsia="Times New Roman" w:hAnsi="Times New Roman"/>
          <w:sz w:val="19"/>
          <w:szCs w:val="19"/>
          <w:color w:val="auto"/>
        </w:rPr>
        <w:t>. The Parties will enter into a separate quality agreement to manage the logistics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shipping of the transfer of the cell lines and cell banks [***] licensed to Duality pursuant to the Cell Line License Agreement (the “</w:t>
      </w:r>
      <w:r>
        <w:rPr>
          <w:rFonts w:ascii="Times New Roman" w:cs="Times New Roman" w:eastAsia="Times New Roman" w:hAnsi="Times New Roman"/>
          <w:sz w:val="19"/>
          <w:szCs w:val="19"/>
          <w:b w:val="1"/>
          <w:bCs w:val="1"/>
          <w:color w:val="auto"/>
        </w:rPr>
        <w:t>Cell Lines and Cell Banks</w:t>
      </w:r>
      <w:r>
        <w:rPr>
          <w:rFonts w:ascii="Times New Roman" w:cs="Times New Roman" w:eastAsia="Times New Roman" w:hAnsi="Times New Roman"/>
          <w:sz w:val="19"/>
          <w:szCs w:val="19"/>
          <w:color w:val="auto"/>
        </w:rPr>
        <w:t xml:space="preserve"> ”) used for Manufacturing the Antibody incorporated in the Original ADC Licensed Product within [***] days after the Effective Date. [***].</w:t>
      </w:r>
    </w:p>
    <w:p>
      <w:pPr>
        <w:spacing w:after="0" w:line="134"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6.4 Initial Clinical Supply</w:t>
      </w:r>
      <w:r>
        <w:rPr>
          <w:rFonts w:ascii="Times New Roman" w:cs="Times New Roman" w:eastAsia="Times New Roman" w:hAnsi="Times New Roman"/>
          <w:sz w:val="19"/>
          <w:szCs w:val="19"/>
          <w:color w:val="auto"/>
        </w:rPr>
        <w:t>. Duality shall, by itself or through one or more Duality CMO(s) in the Retained Territory, supply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Licensee [***] to Licensee’s designated [***] and in accordance with a separate clinical supply agreement as contemplated below; provided that Licensee shall be [***]. Unless otherwise agreed by the Parties, the Parties shall negotiate in good faith a clinical supply agreement and related quality agreement with such negotiation to be commenced within [***] days after the Effective Date and completed no later than [***] days after the Effective Date, which clinical supply agreement shall contain customary language regarding supply of the Original ADC Licensed Products to Licensee (including equitable allocation in the event of disruption to or shortage of product supply). [***]</w:t>
      </w:r>
    </w:p>
    <w:p>
      <w:pPr>
        <w:spacing w:after="0" w:line="135"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6.5 Ongoing Supply</w:t>
      </w:r>
      <w:r>
        <w:rPr>
          <w:rFonts w:ascii="Times New Roman" w:cs="Times New Roman" w:eastAsia="Times New Roman" w:hAnsi="Times New Roman"/>
          <w:sz w:val="19"/>
          <w:szCs w:val="19"/>
          <w:color w:val="auto"/>
        </w:rPr>
        <w:t>. Except as may otherwise be provided under the clinical supply agreement entered into by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Section 6.4 and until the Licensee has qualified a new manufacturing site to Manufacture the Licensed Compound and the Original ADC Licensed Products in the Territory, Licensee shall be solely responsible for (i) Manufacturing the Licensed Compound and Original ADC Licensed Products intended for use in the Territory, and (ii) the associated costs and expenses of such Manufacturing activities, subject to Duality’s performance of its obligations under this Agreement. Once the Original ADC Licensed Product is approved, [***]</w:t>
      </w:r>
    </w:p>
    <w:p>
      <w:pPr>
        <w:spacing w:after="0" w:line="200" w:lineRule="exact"/>
        <w:rPr>
          <w:sz w:val="20"/>
          <w:szCs w:val="20"/>
          <w:color w:val="auto"/>
        </w:rPr>
      </w:pPr>
    </w:p>
    <w:p>
      <w:pPr>
        <w:spacing w:after="0" w:line="3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7</w:t>
      </w:r>
    </w:p>
    <w:p>
      <w:pPr>
        <w:ind w:left="3680"/>
        <w:spacing w:after="0"/>
        <w:rPr>
          <w:sz w:val="20"/>
          <w:szCs w:val="20"/>
          <w:color w:val="auto"/>
        </w:rPr>
      </w:pPr>
      <w:r>
        <w:rPr>
          <w:rFonts w:ascii="Times New Roman" w:cs="Times New Roman" w:eastAsia="Times New Roman" w:hAnsi="Times New Roman"/>
          <w:sz w:val="19"/>
          <w:szCs w:val="19"/>
          <w:b w:val="1"/>
          <w:bCs w:val="1"/>
          <w:color w:val="auto"/>
        </w:rPr>
        <w:t>COMMERCIALIZATION MATTERS</w:t>
      </w:r>
    </w:p>
    <w:p>
      <w:pPr>
        <w:spacing w:after="0" w:line="142" w:lineRule="exact"/>
        <w:rPr>
          <w:sz w:val="20"/>
          <w:szCs w:val="20"/>
          <w:color w:val="auto"/>
        </w:rPr>
      </w:pPr>
    </w:p>
    <w:p>
      <w:pPr>
        <w:jc w:val="both"/>
        <w:ind w:right="20"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7.1 Overview; Diligence</w:t>
      </w:r>
      <w:r>
        <w:rPr>
          <w:rFonts w:ascii="Times New Roman" w:cs="Times New Roman" w:eastAsia="Times New Roman" w:hAnsi="Times New Roman"/>
          <w:sz w:val="19"/>
          <w:szCs w:val="19"/>
          <w:color w:val="auto"/>
        </w:rPr>
        <w:t>. Subject to the terms and conditions of this Agreement (including the diligence obligations set forth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Licensee (itself or through its Affiliates or Sublicensees, as applicable) shall be solely responsible for Commercialization of the Original ADC Licensed Products in the Field in the Territory, including: (i) developing and executing a commercial launch and pre-launch plan, (ii) developing the global pricing strategy and negotiating with applicable Governmental Authorities regarding price and reimbursement of the Original ADC Licensed Products; (iii) marketing, advertising and promotion; (iv) booking sales; (v) distribution and handling all aspects of order processing, invoicing and collection, inventory and receivables; (vi) providing customer support, and performing other related functions; (vii) conforming its practices and procedures to Applicable Laws relating to the marketing, detailing and promotion of the Original ADC Licensed Products in the Field; and (viii) developing and implementing the global and local Medical Affairs Activities and medical information infrastructure required in the Field in the Territory. Licensee shall bear all of the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4" w:name="page655"/>
    <w:bookmarkEnd w:id="654"/>
    <w:p>
      <w:pPr>
        <w:spacing w:after="0" w:line="25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9"/>
          <w:szCs w:val="19"/>
          <w:color w:val="auto"/>
        </w:rPr>
        <w:t>expenses incurred in connection with such Commercialization activities in the Territory. Licensee shall use Commercially Reasonable Efforts to launch the [***] in [***].</w:t>
      </w:r>
    </w:p>
    <w:p>
      <w:pPr>
        <w:spacing w:after="0" w:line="12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7.2 Commercialization Plan</w:t>
      </w:r>
      <w:r>
        <w:rPr>
          <w:rFonts w:ascii="Times New Roman" w:cs="Times New Roman" w:eastAsia="Times New Roman" w:hAnsi="Times New Roman"/>
          <w:sz w:val="19"/>
          <w:szCs w:val="19"/>
          <w:color w:val="auto"/>
        </w:rPr>
        <w:t>. No later than [***] months before the anticipated date of the submission of the first MAA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Original ADC Licensed Product in the Territory, Licensee shall prepare a written Commercialization plan that sets forth the timeline and details of all major Commercialization activities planned for such Original ADC Licensed Product in the Territory (the “</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xml:space="preserve"> ”). The Commercialization Plan shall be updated at least once a year.</w:t>
      </w:r>
    </w:p>
    <w:p>
      <w:pPr>
        <w:spacing w:after="0" w:line="134" w:lineRule="exact"/>
        <w:rPr>
          <w:sz w:val="20"/>
          <w:szCs w:val="20"/>
          <w:color w:val="auto"/>
        </w:rPr>
      </w:pPr>
    </w:p>
    <w:p>
      <w:pPr>
        <w:jc w:val="both"/>
        <w:ind w:right="20"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7.3 Coordination of Commercialization Activities</w:t>
      </w:r>
      <w:r>
        <w:rPr>
          <w:rFonts w:ascii="Times New Roman" w:cs="Times New Roman" w:eastAsia="Times New Roman" w:hAnsi="Times New Roman"/>
          <w:sz w:val="19"/>
          <w:szCs w:val="19"/>
          <w:color w:val="auto"/>
        </w:rPr>
        <w:t>. (i) The Parties recognize that they may benefit from the coordination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certain activities in support of the Commercialization of an Original ADC Licensed Product across their territories. As such, the Parties may coordinate such activities where appropriate, including scientific and medical communication and Original ADC Licensed Product positioning. For clarity, Licensee shall not conduct any Commercialization of any Original ADC Licensed Product outside the Territory without Duality’s express prior written consent and Duality shall not conduct any Commercialization of Original ADC Licensed Products outside of the Retained Territory without Licensee’s express prior written consent. (ii) After the exercise of the Cost &amp; Profit/Loss Sharing Option, the Parties will hold [***] meetings which shall serve as a forum for openly discussing the commercialization strategy for the Cost &amp; Profit/Loss Sharing Territory and the Commercialization budget.</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Commercialization Reports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440" w:firstLine="574"/>
        <w:spacing w:after="0"/>
        <w:tabs>
          <w:tab w:leader="none" w:pos="1736" w:val="left"/>
        </w:tabs>
        <w:numPr>
          <w:ilvl w:val="0"/>
          <w:numId w:val="6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shall keep Duality informed of its, its Affiliates’ and Sublicensees’ Commercialization activities in the Territory with respect to each Original ADC Licensed Product and Duality shall keep Licensee informed of Duality’s, its Affiliates’ and sublicensees’ Commercialization activities in the Retained Territory with respect to each Original ADC Licensed Product. All information and reports provided to the other Party in such report shall be treated as Confidential Information of the disclosing Party.</w:t>
      </w:r>
    </w:p>
    <w:p>
      <w:pPr>
        <w:spacing w:after="0" w:line="278"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shall, [***], provide Duality with [***].</w:t>
      </w:r>
    </w:p>
    <w:p>
      <w:pPr>
        <w:spacing w:after="0" w:line="165" w:lineRule="exact"/>
        <w:rPr>
          <w:rFonts w:ascii="Times New Roman" w:cs="Times New Roman" w:eastAsia="Times New Roman" w:hAnsi="Times New Roman"/>
          <w:sz w:val="19"/>
          <w:szCs w:val="19"/>
          <w:color w:val="auto"/>
        </w:rPr>
      </w:pPr>
    </w:p>
    <w:p>
      <w:pPr>
        <w:jc w:val="both"/>
        <w:ind w:left="440" w:right="20" w:firstLine="574"/>
        <w:spacing w:after="0" w:line="232" w:lineRule="auto"/>
        <w:tabs>
          <w:tab w:leader="none" w:pos="1736" w:val="left"/>
        </w:tabs>
        <w:numPr>
          <w:ilvl w:val="0"/>
          <w:numId w:val="6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other provisions of this Section, each Party shall make available to the other Party such additional information about its Commercialization activities with respect to an Original ADC Licensed Product as may be reasonably requested by the other Party from time to time.</w:t>
      </w:r>
    </w:p>
    <w:p>
      <w:pPr>
        <w:spacing w:after="0" w:line="133"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7.5 Trademarks</w:t>
      </w:r>
      <w:r>
        <w:rPr>
          <w:rFonts w:ascii="Times New Roman" w:cs="Times New Roman" w:eastAsia="Times New Roman" w:hAnsi="Times New Roman"/>
          <w:sz w:val="19"/>
          <w:szCs w:val="19"/>
          <w:color w:val="auto"/>
        </w:rPr>
        <w:t>. Licensee shall be responsible for the registration, filing, maintenance and enforcement of any trademarks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(including domain names) developed for the Original ADC Licensed Products in the Field in the Territory (the “ </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The Parties will discuss in good faith and enter into a separate branding agreement outlining terms for ownership, use, management and enforcement of trademarks (including domain names) adopted to identify the Original ADC Licensed Products in the Field in the Retained Territory.</w:t>
      </w:r>
    </w:p>
    <w:p>
      <w:pPr>
        <w:spacing w:after="0" w:line="133"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7.6 Original ADC Licensed Products Tracking in the Territory and Retained Territory </w:t>
      </w:r>
      <w:r>
        <w:rPr>
          <w:rFonts w:ascii="Times New Roman" w:cs="Times New Roman" w:eastAsia="Times New Roman" w:hAnsi="Times New Roman"/>
          <w:sz w:val="19"/>
          <w:szCs w:val="19"/>
          <w:color w:val="auto"/>
        </w:rPr>
        <w:t>. Licensee shall, and shall ensure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its Affiliates and Sublicensees, maintain adequate records to permit the Parties to trace the distribution, sale, and use of all Original ADC Licensed Products through all relevant channels (e.g. wholesalers, hospitals and pharmacies) in the Territory. Duality shall, and shall ensure that its Affiliates and sublicensees, maintain adequate records to permit the Parties to trace the distribution, sale, and use of all Original ADC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5" w:name="page656"/>
    <w:bookmarkEnd w:id="655"/>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Licensed Products through all relevant channels (e.g. wholesalers, hospitals and pharmacies) in the Retained Territory.</w:t>
      </w:r>
    </w:p>
    <w:p>
      <w:pPr>
        <w:spacing w:after="0" w:line="164" w:lineRule="exact"/>
        <w:rPr>
          <w:sz w:val="20"/>
          <w:szCs w:val="20"/>
          <w:color w:val="auto"/>
        </w:rPr>
      </w:pPr>
    </w:p>
    <w:p>
      <w:pPr>
        <w:jc w:val="both"/>
        <w:ind w:firstLine="576"/>
        <w:spacing w:after="0" w:line="212" w:lineRule="auto"/>
        <w:rPr>
          <w:sz w:val="20"/>
          <w:szCs w:val="20"/>
          <w:color w:val="auto"/>
        </w:rPr>
      </w:pPr>
      <w:r>
        <w:rPr>
          <w:rFonts w:ascii="Times New Roman" w:cs="Times New Roman" w:eastAsia="Times New Roman" w:hAnsi="Times New Roman"/>
          <w:sz w:val="19"/>
          <w:szCs w:val="19"/>
          <w:b w:val="1"/>
          <w:bCs w:val="1"/>
          <w:color w:val="auto"/>
        </w:rPr>
        <w:t>7.7 No Diversion</w:t>
      </w:r>
      <w:r>
        <w:rPr>
          <w:rFonts w:ascii="Times New Roman" w:cs="Times New Roman" w:eastAsia="Times New Roman" w:hAnsi="Times New Roman"/>
          <w:sz w:val="19"/>
          <w:szCs w:val="19"/>
          <w:color w:val="auto"/>
        </w:rPr>
        <w:t>. Each Party hereby covenants and agrees that during the Term, and except as expressly permitted by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it shall not (and shall cause its Affiliates and Sublicensees (with respect to Licensee), sublicensees (with respect to Duality) and subcontractors not to), either itself or through a Third Party, develop, use, market, promote, import, export, sell or actively offer for sale (online or otherwise) the ADC Licensed Products in the other Party’s territory. Without limiting the generality of the foregoing, except as mutually agreed by the Parties, each Party shall not (a) engage in any advertising activities relating to the ADC Licensed Products directed primarily to customers in the other Party’s territory, or (b) actively or intentionally solicit orders from any prospective purchaser located in the other Party’s territory or prospective purchasers whose delivery address is located in the other Party’s territory. To the extent permitted by Applicable Laws, including applicable antitrust laws, if a Party receives any order for ADC Licensed Products from a prospective purchaser located in or with a nominated delivery address in a country or jurisdiction in the other Party’s territory, such Party shall immediately refer that order to the other Party and shall not accept any such order or deliver or tender (or cause to be delivered or tendered) the ADC Licensed Products under such order. If a Party should reasonably know that a customer or distributor is actively engaged itself or through a Third Party in the sale or distribution of the ADC Licensed Products in the other Party’s territory, then such Party shall (i) within [***] Days of gaining knowledge of such activities, notify the other Party regarding such activities and provide all information available to such Party that the other Party may reasonably request concerning such activities and</w:t>
      </w:r>
    </w:p>
    <w:p>
      <w:pPr>
        <w:spacing w:after="0" w:line="11" w:lineRule="exact"/>
        <w:rPr>
          <w:sz w:val="20"/>
          <w:szCs w:val="20"/>
          <w:color w:val="auto"/>
        </w:rPr>
      </w:pPr>
    </w:p>
    <w:p>
      <w:pPr>
        <w:ind w:right="20" w:firstLine="6"/>
        <w:spacing w:after="0" w:line="231" w:lineRule="auto"/>
        <w:tabs>
          <w:tab w:leader="none" w:pos="308" w:val="left"/>
        </w:tabs>
        <w:numPr>
          <w:ilvl w:val="0"/>
          <w:numId w:val="6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Commercially Reasonable Efforts (including cessation of sales or delivery to such customer) necessary to limit such sale or distribution in the other Party’s territory, unless otherwise agreed in writing by the Parties prior to such sale or delivery.</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7.8</w:t>
      </w:r>
      <w:r>
        <w:rPr>
          <w:sz w:val="20"/>
          <w:szCs w:val="20"/>
          <w:color w:val="auto"/>
        </w:rPr>
        <w:tab/>
      </w:r>
      <w:r>
        <w:rPr>
          <w:rFonts w:ascii="Times New Roman" w:cs="Times New Roman" w:eastAsia="Times New Roman" w:hAnsi="Times New Roman"/>
          <w:sz w:val="19"/>
          <w:szCs w:val="19"/>
          <w:b w:val="1"/>
          <w:bCs w:val="1"/>
          <w:color w:val="auto"/>
        </w:rPr>
        <w:t>Co-Promotion Option.</w:t>
      </w:r>
    </w:p>
    <w:p>
      <w:pPr>
        <w:spacing w:after="0" w:line="168" w:lineRule="exact"/>
        <w:rPr>
          <w:sz w:val="20"/>
          <w:szCs w:val="20"/>
          <w:color w:val="auto"/>
        </w:rPr>
      </w:pPr>
    </w:p>
    <w:p>
      <w:pPr>
        <w:jc w:val="both"/>
        <w:ind w:left="440" w:firstLine="574"/>
        <w:spacing w:after="0" w:line="223" w:lineRule="auto"/>
        <w:tabs>
          <w:tab w:leader="none" w:pos="1736" w:val="left"/>
        </w:tabs>
        <w:numPr>
          <w:ilvl w:val="0"/>
          <w:numId w:val="6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of this Agreement, with respect only to the first Original ADC Licensed Product, Licensee hereby grants to Duality an exclusive option during the applicable Co-Promotion Option Period, to assume between [***] and [***] of the total sales force for such Original ADC Licensed Product measured in terms of number of FTEs in the Cost &amp; Profit/Loss Sharing Territory (“</w:t>
      </w:r>
      <w:r>
        <w:rPr>
          <w:rFonts w:ascii="Times New Roman" w:cs="Times New Roman" w:eastAsia="Times New Roman" w:hAnsi="Times New Roman"/>
          <w:sz w:val="19"/>
          <w:szCs w:val="19"/>
          <w:b w:val="1"/>
          <w:bCs w:val="1"/>
          <w:color w:val="auto"/>
        </w:rPr>
        <w:t>Co-Promotion Option</w:t>
      </w:r>
      <w:r>
        <w:rPr>
          <w:rFonts w:ascii="Times New Roman" w:cs="Times New Roman" w:eastAsia="Times New Roman" w:hAnsi="Times New Roman"/>
          <w:sz w:val="19"/>
          <w:szCs w:val="19"/>
          <w:color w:val="auto"/>
        </w:rPr>
        <w:t>”); provided that Duality’s exercise of the Co-Promotion Option shall not become effective unless Duality satisfies the criteria in Section 7.8(e) .</w:t>
      </w:r>
    </w:p>
    <w:p>
      <w:pPr>
        <w:spacing w:after="0" w:line="135" w:lineRule="exact"/>
        <w:rPr>
          <w:rFonts w:ascii="Times New Roman" w:cs="Times New Roman" w:eastAsia="Times New Roman" w:hAnsi="Times New Roman"/>
          <w:sz w:val="19"/>
          <w:szCs w:val="19"/>
          <w:color w:val="auto"/>
        </w:rPr>
      </w:pPr>
    </w:p>
    <w:p>
      <w:pPr>
        <w:jc w:val="both"/>
        <w:ind w:left="440" w:right="20" w:firstLine="574"/>
        <w:spacing w:after="0" w:line="224" w:lineRule="auto"/>
        <w:tabs>
          <w:tab w:leader="none" w:pos="1736" w:val="left"/>
        </w:tabs>
        <w:numPr>
          <w:ilvl w:val="0"/>
          <w:numId w:val="6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 days from the Cost &amp; Profit/Loss Sharing Option Exercise Date (the “</w:t>
      </w:r>
      <w:r>
        <w:rPr>
          <w:rFonts w:ascii="Times New Roman" w:cs="Times New Roman" w:eastAsia="Times New Roman" w:hAnsi="Times New Roman"/>
          <w:sz w:val="19"/>
          <w:szCs w:val="19"/>
          <w:b w:val="1"/>
          <w:bCs w:val="1"/>
          <w:color w:val="auto"/>
        </w:rPr>
        <w:t>Co-Promotion Option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Period</w:t>
      </w:r>
      <w:r>
        <w:rPr>
          <w:rFonts w:ascii="Times New Roman" w:cs="Times New Roman" w:eastAsia="Times New Roman" w:hAnsi="Times New Roman"/>
          <w:sz w:val="19"/>
          <w:szCs w:val="19"/>
          <w:color w:val="auto"/>
        </w:rPr>
        <w:t>”), Duality may during the Co-Promotion Option Period notify Licensee in writing of its desire to exercise the Co-Promotion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Option with respect to the first Original ADC Licensed Product (thereafter, the “ </w:t>
      </w:r>
      <w:r>
        <w:rPr>
          <w:rFonts w:ascii="Times New Roman" w:cs="Times New Roman" w:eastAsia="Times New Roman" w:hAnsi="Times New Roman"/>
          <w:sz w:val="19"/>
          <w:szCs w:val="19"/>
          <w:b w:val="1"/>
          <w:bCs w:val="1"/>
          <w:color w:val="auto"/>
        </w:rPr>
        <w:t>Co-Promotion Product</w:t>
      </w:r>
      <w:r>
        <w:rPr>
          <w:rFonts w:ascii="Times New Roman" w:cs="Times New Roman" w:eastAsia="Times New Roman" w:hAnsi="Times New Roman"/>
          <w:sz w:val="19"/>
          <w:szCs w:val="19"/>
          <w:color w:val="auto"/>
        </w:rPr>
        <w:t>”) in the Cost &amp; Profit/Loss Sharing Territory (the “</w:t>
      </w:r>
      <w:r>
        <w:rPr>
          <w:rFonts w:ascii="Times New Roman" w:cs="Times New Roman" w:eastAsia="Times New Roman" w:hAnsi="Times New Roman"/>
          <w:sz w:val="19"/>
          <w:szCs w:val="19"/>
          <w:b w:val="1"/>
          <w:bCs w:val="1"/>
          <w:color w:val="auto"/>
        </w:rPr>
        <w:t>Co-Promotion Option Exercise Notice</w:t>
      </w:r>
      <w:r>
        <w:rPr>
          <w:rFonts w:ascii="Times New Roman" w:cs="Times New Roman" w:eastAsia="Times New Roman" w:hAnsi="Times New Roman"/>
          <w:sz w:val="19"/>
          <w:szCs w:val="19"/>
          <w:color w:val="auto"/>
        </w:rPr>
        <w:t>”, such date of the Co-Promotion Option Exercise Notice, the “</w:t>
      </w:r>
      <w:r>
        <w:rPr>
          <w:rFonts w:ascii="Times New Roman" w:cs="Times New Roman" w:eastAsia="Times New Roman" w:hAnsi="Times New Roman"/>
          <w:sz w:val="19"/>
          <w:szCs w:val="19"/>
          <w:b w:val="1"/>
          <w:bCs w:val="1"/>
          <w:color w:val="auto"/>
        </w:rPr>
        <w:t>Co-Promotion Option Exercise Date</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color w:val="auto"/>
        </w:rPr>
      </w:pPr>
    </w:p>
    <w:p>
      <w:pPr>
        <w:jc w:val="both"/>
        <w:ind w:left="1160" w:firstLine="575"/>
        <w:spacing w:after="0" w:line="219" w:lineRule="auto"/>
        <w:tabs>
          <w:tab w:leader="none" w:pos="2300" w:val="left"/>
        </w:tabs>
        <w:numPr>
          <w:ilvl w:val="2"/>
          <w:numId w:val="6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Duality elects to exercise the Co-Promotion Option it shall deliver to Licensee the Co-Promotion Option Exercise Notice during the Co-Promotion Option Period, and promptly thereafter the Parties shall engage in good faith negotiations and enter into definitive agreement not later than [***] months (and in any event, to be finalized no later than</w:t>
      </w:r>
    </w:p>
    <w:p>
      <w:pPr>
        <w:jc w:val="both"/>
        <w:ind w:left="1160" w:right="20" w:hanging="2"/>
        <w:spacing w:after="0" w:line="224" w:lineRule="auto"/>
        <w:tabs>
          <w:tab w:leader="none" w:pos="1635" w:val="left"/>
        </w:tabs>
        <w:numPr>
          <w:ilvl w:val="1"/>
          <w:numId w:val="6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prior to the estimated date of the first submission of the MAA in the Cost &amp; Profit/Loss Sharing Territory for the Co-Promotion Product, as set forth in the applicable Development Plan at the Co-Promotion Option Exercise Date) (the “</w:t>
      </w:r>
      <w:r>
        <w:rPr>
          <w:rFonts w:ascii="Times New Roman" w:cs="Times New Roman" w:eastAsia="Times New Roman" w:hAnsi="Times New Roman"/>
          <w:sz w:val="19"/>
          <w:szCs w:val="19"/>
          <w:b w:val="1"/>
          <w:bCs w:val="1"/>
          <w:color w:val="auto"/>
        </w:rPr>
        <w:t>Co-Promotion Negotiation Period</w:t>
      </w:r>
      <w:r>
        <w:rPr>
          <w:rFonts w:ascii="Times New Roman" w:cs="Times New Roman" w:eastAsia="Times New Roman" w:hAnsi="Times New Roman"/>
          <w:sz w:val="19"/>
          <w:szCs w:val="19"/>
          <w:color w:val="auto"/>
        </w:rPr>
        <w:t>”) from the date of Licensee’s receipt of the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6" w:name="page657"/>
    <w:bookmarkEnd w:id="656"/>
    <w:p>
      <w:pPr>
        <w:spacing w:after="0" w:line="257" w:lineRule="exact"/>
        <w:rPr>
          <w:sz w:val="20"/>
          <w:szCs w:val="20"/>
          <w:color w:val="auto"/>
        </w:rPr>
      </w:pPr>
    </w:p>
    <w:p>
      <w:pPr>
        <w:jc w:val="both"/>
        <w:ind w:left="380"/>
        <w:spacing w:after="0" w:line="219" w:lineRule="auto"/>
        <w:rPr>
          <w:sz w:val="20"/>
          <w:szCs w:val="20"/>
          <w:color w:val="auto"/>
        </w:rPr>
      </w:pPr>
      <w:r>
        <w:rPr>
          <w:rFonts w:ascii="Times New Roman" w:cs="Times New Roman" w:eastAsia="Times New Roman" w:hAnsi="Times New Roman"/>
          <w:sz w:val="19"/>
          <w:szCs w:val="19"/>
          <w:color w:val="auto"/>
        </w:rPr>
        <w:t>Promotion Option Exercise Notice to enter into a co-promotion agreement in accordance with the terms and conditions set out in this Section 7.8 and the Co-Promotion Terms (the “</w:t>
      </w:r>
      <w:r>
        <w:rPr>
          <w:rFonts w:ascii="Times New Roman" w:cs="Times New Roman" w:eastAsia="Times New Roman" w:hAnsi="Times New Roman"/>
          <w:sz w:val="19"/>
          <w:szCs w:val="19"/>
          <w:b w:val="1"/>
          <w:bCs w:val="1"/>
          <w:color w:val="auto"/>
        </w:rPr>
        <w:t>Co-Promotion Agreement</w:t>
      </w:r>
      <w:r>
        <w:rPr>
          <w:rFonts w:ascii="Times New Roman" w:cs="Times New Roman" w:eastAsia="Times New Roman" w:hAnsi="Times New Roman"/>
          <w:sz w:val="19"/>
          <w:szCs w:val="19"/>
          <w:color w:val="auto"/>
        </w:rPr>
        <w:t>”). For clarity, the Parties will discuss and agree on the sales force allocation based on the then actual sales force forecast during the Co -Promotion Agreement negotiation period. The Parties shall agree to discuss in good faith to conclude the Co-Promotion Agreement with terms and conditions that are customary for a co-promotion agreement in the Cost &amp; Profit/Loss Sharing Territory; provided that such terms and conditions are consistent with the Co-Promotion Terms. If the Parties are unable to agree on the terms of the Co-Promotion Agreement within the Co-Promotion Negotiation Period, then the Co-Promotion Option shall be deemed to have expired.</w:t>
      </w:r>
    </w:p>
    <w:p>
      <w:pPr>
        <w:spacing w:after="0" w:line="134" w:lineRule="exact"/>
        <w:rPr>
          <w:sz w:val="20"/>
          <w:szCs w:val="20"/>
          <w:color w:val="auto"/>
        </w:rPr>
      </w:pPr>
    </w:p>
    <w:p>
      <w:pPr>
        <w:jc w:val="both"/>
        <w:ind w:left="380" w:firstLine="575"/>
        <w:spacing w:after="0" w:line="232" w:lineRule="auto"/>
        <w:tabs>
          <w:tab w:leader="none" w:pos="1532" w:val="left"/>
        </w:tabs>
        <w:numPr>
          <w:ilvl w:val="2"/>
          <w:numId w:val="6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Duality does not exercise the Co-Promotion Option for the first Original ADC Licensed Product prior to the expiration of the applicable Co-Promotion Option Period, Duality shall be deemed to have irrevocably waived its right to Co-Promote the first Original ADC Licensed Product.</w:t>
      </w:r>
    </w:p>
    <w:p>
      <w:pPr>
        <w:spacing w:after="0" w:line="134" w:lineRule="exact"/>
        <w:rPr>
          <w:rFonts w:ascii="Times New Roman" w:cs="Times New Roman" w:eastAsia="Times New Roman" w:hAnsi="Times New Roman"/>
          <w:sz w:val="19"/>
          <w:szCs w:val="19"/>
          <w:color w:val="auto"/>
        </w:rPr>
      </w:pPr>
    </w:p>
    <w:p>
      <w:pPr>
        <w:jc w:val="both"/>
        <w:ind w:left="-340" w:right="20" w:firstLine="574"/>
        <w:spacing w:after="0" w:line="223" w:lineRule="auto"/>
        <w:tabs>
          <w:tab w:leader="none" w:pos="956" w:val="left"/>
        </w:tabs>
        <w:numPr>
          <w:ilvl w:val="0"/>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latest of [***] months prior to the anticipated launch of the first ADC Original Licensed Product in the Cost &amp; Profit/Loss Sharing Territory, the Parties will coordinate through the SSC to prepare and approve the co-promotion plan (the “</w:t>
      </w:r>
      <w:r>
        <w:rPr>
          <w:rFonts w:ascii="Times New Roman" w:cs="Times New Roman" w:eastAsia="Times New Roman" w:hAnsi="Times New Roman"/>
          <w:sz w:val="19"/>
          <w:szCs w:val="19"/>
          <w:b w:val="1"/>
          <w:bCs w:val="1"/>
          <w:color w:val="auto"/>
        </w:rPr>
        <w:t>Co-Promotion Plan</w:t>
      </w:r>
      <w:r>
        <w:rPr>
          <w:rFonts w:ascii="Times New Roman" w:cs="Times New Roman" w:eastAsia="Times New Roman" w:hAnsi="Times New Roman"/>
          <w:sz w:val="19"/>
          <w:szCs w:val="19"/>
          <w:color w:val="auto"/>
        </w:rPr>
        <w:t>”), which Co-Promotion Plan will inter alia set forth (i) all major Co-Promotion activities of the Co-Promotion Product under a single trademark in the Cost &amp; Profit/Loss Sharing Territory to be conducted by the Parties, (ii) an estimated budget related to such Co-Promotion activities, and (iii) an anticipated timeline related to such co-promotion activities.</w:t>
      </w:r>
    </w:p>
    <w:p>
      <w:pPr>
        <w:spacing w:after="0" w:line="137" w:lineRule="exact"/>
        <w:rPr>
          <w:rFonts w:ascii="Times New Roman" w:cs="Times New Roman" w:eastAsia="Times New Roman" w:hAnsi="Times New Roman"/>
          <w:sz w:val="19"/>
          <w:szCs w:val="19"/>
          <w:color w:val="auto"/>
        </w:rPr>
      </w:pPr>
    </w:p>
    <w:p>
      <w:pPr>
        <w:jc w:val="both"/>
        <w:ind w:left="-340" w:right="20" w:firstLine="574"/>
        <w:spacing w:after="0"/>
        <w:tabs>
          <w:tab w:leader="none" w:pos="956" w:val="left"/>
        </w:tabs>
        <w:numPr>
          <w:ilvl w:val="0"/>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Co-Promotion Agreement, Licensee shall have the sole right to control all decisions with respect to the Co-Promotion arrangement, including the call plans and assigned states within the Cost &amp; Profit/Loss Sharing Territory covered by Duality’s sales representatives, the promotional materials to be used, the training and testing applicable to such sales representatives, and restrictions with respect to the ability of each Party’s sales representatives to Detail other products; provided that Licensee shall ensure allocation of assigned states and metropolitan and rural territories between the Parties are fair and equitable.</w:t>
      </w:r>
    </w:p>
    <w:p>
      <w:pPr>
        <w:spacing w:after="0" w:line="251" w:lineRule="exact"/>
        <w:rPr>
          <w:rFonts w:ascii="Times New Roman" w:cs="Times New Roman" w:eastAsia="Times New Roman" w:hAnsi="Times New Roman"/>
          <w:sz w:val="19"/>
          <w:szCs w:val="19"/>
          <w:color w:val="auto"/>
        </w:rPr>
      </w:pPr>
    </w:p>
    <w:p>
      <w:pPr>
        <w:jc w:val="both"/>
        <w:ind w:left="-340" w:firstLine="574"/>
        <w:spacing w:after="0" w:line="220" w:lineRule="auto"/>
        <w:tabs>
          <w:tab w:leader="none" w:pos="956" w:val="left"/>
        </w:tabs>
        <w:numPr>
          <w:ilvl w:val="0"/>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 months prior to the anticipated launch of the first ADC Original Licensed Product in the Cost &amp; Profit/Loss Sharing Territory, Duality must demonstrate to Licensee by providing adequate documentation (such as CV with a meaningful description of past work experience) that it has a [***] in place (representing the percentage of the total sales force assigned to Duality pursuant to Section 7.8(b)(i)). If Duality cannot demonstrate that it has such a [***] in the Cost &amp; Profit/Loss Sharing Territory at least [***] months prior to the launch of the first Original ADC Licensed Product in the Cost &amp; Profit/Loss Sharing Territory, Duality shall be deemed to have irrevocably waived its right to Co-Promote the first Original ADC Licensed Product in the Cost &amp; Profit/Loss Sharing Territory.</w:t>
      </w:r>
    </w:p>
    <w:p>
      <w:pPr>
        <w:spacing w:after="0" w:line="134" w:lineRule="exact"/>
        <w:rPr>
          <w:rFonts w:ascii="Times New Roman" w:cs="Times New Roman" w:eastAsia="Times New Roman" w:hAnsi="Times New Roman"/>
          <w:sz w:val="19"/>
          <w:szCs w:val="19"/>
          <w:color w:val="auto"/>
        </w:rPr>
      </w:pPr>
    </w:p>
    <w:p>
      <w:pPr>
        <w:ind w:left="-200" w:right="20" w:firstLine="578"/>
        <w:spacing w:after="0" w:line="246" w:lineRule="auto"/>
        <w:tabs>
          <w:tab w:leader="none" w:pos="952" w:val="left"/>
        </w:tabs>
        <w:numPr>
          <w:ilvl w:val="1"/>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clarity, this Co-Promotion Option is not sublicensable or transferable to any Third Party and does not apply to the [***], [***] and Sequence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9800"/>
          </w:cols>
          <w:pgMar w:left="1440" w:top="1440" w:right="660" w:bottom="1440" w:gutter="0" w:footer="0" w:header="0"/>
        </w:sectPr>
      </w:pPr>
    </w:p>
    <w:bookmarkStart w:id="657" w:name="page658"/>
    <w:bookmarkEnd w:id="657"/>
    <w:p>
      <w:pPr>
        <w:spacing w:after="0" w:line="25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8</w:t>
      </w:r>
    </w:p>
    <w:p>
      <w:pPr>
        <w:ind w:left="4380"/>
        <w:spacing w:after="0"/>
        <w:rPr>
          <w:sz w:val="20"/>
          <w:szCs w:val="20"/>
          <w:color w:val="auto"/>
        </w:rPr>
      </w:pPr>
      <w:r>
        <w:rPr>
          <w:rFonts w:ascii="Times New Roman" w:cs="Times New Roman" w:eastAsia="Times New Roman" w:hAnsi="Times New Roman"/>
          <w:sz w:val="19"/>
          <w:szCs w:val="19"/>
          <w:b w:val="1"/>
          <w:bCs w:val="1"/>
          <w:color w:val="auto"/>
        </w:rPr>
        <w:t>FINANCIAL TERMS</w:t>
      </w:r>
    </w:p>
    <w:p>
      <w:pPr>
        <w:spacing w:after="0" w:line="14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8. 1 Upfront Payment</w:t>
      </w:r>
      <w:r>
        <w:rPr>
          <w:rFonts w:ascii="Times New Roman" w:cs="Times New Roman" w:eastAsia="Times New Roman" w:hAnsi="Times New Roman"/>
          <w:sz w:val="19"/>
          <w:szCs w:val="19"/>
          <w:color w:val="auto"/>
        </w:rPr>
        <w:t>. In partial consideration of Duality’s granting of the licenses and rights to Licensee hereunder,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Licensee shall make a one -time, non-refundable, non-creditable payment to Duality of [***] (the “</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within [***] days after receipt of an invoice issued by Duality to the Licensee on or after the Effective Date.</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6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440" w:right="20" w:firstLine="574"/>
        <w:spacing w:after="0" w:line="222" w:lineRule="auto"/>
        <w:tabs>
          <w:tab w:leader="none" w:pos="1736" w:val="left"/>
        </w:tabs>
        <w:numPr>
          <w:ilvl w:val="0"/>
          <w:numId w:val="6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Invoicing</w:t>
      </w:r>
      <w:r>
        <w:rPr>
          <w:rFonts w:ascii="Times New Roman" w:cs="Times New Roman" w:eastAsia="Times New Roman" w:hAnsi="Times New Roman"/>
          <w:sz w:val="19"/>
          <w:szCs w:val="19"/>
          <w:color w:val="auto"/>
        </w:rPr>
        <w:t>. No later than [***] setting forth the amount of actual Duality Costs for the Planned Trials and Licensee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Added Trials (if any) incurred during such Calendar Quarter in the Territory which shall be reimbursed by Licensee pursuant to this Section 8.2, along with supporting documentation itemizing the breakdown of the costs and expenses that were incurred and are reimbursable hereunder. Each invoice issued by Duality shall list Duality Costs [***] in the Territory actually incurred in U.S. Dollars (and if any item was originally in another currency, the exchange rate used for converting the original currency to U.S. Dollar in accordance with Section 9.2). [***]</w:t>
      </w:r>
    </w:p>
    <w:p>
      <w:pPr>
        <w:spacing w:after="0" w:line="131" w:lineRule="exact"/>
        <w:rPr>
          <w:rFonts w:ascii="Times New Roman" w:cs="Times New Roman" w:eastAsia="Times New Roman" w:hAnsi="Times New Roman"/>
          <w:sz w:val="19"/>
          <w:szCs w:val="19"/>
          <w:color w:val="auto"/>
        </w:rPr>
      </w:pPr>
    </w:p>
    <w:p>
      <w:pPr>
        <w:jc w:val="both"/>
        <w:ind w:left="440" w:right="60" w:firstLine="574"/>
        <w:spacing w:after="0" w:line="233" w:lineRule="auto"/>
        <w:tabs>
          <w:tab w:leader="none" w:pos="1736" w:val="left"/>
        </w:tabs>
        <w:numPr>
          <w:ilvl w:val="0"/>
          <w:numId w:val="6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Other Clinical Trials</w:t>
      </w:r>
      <w:r>
        <w:rPr>
          <w:rFonts w:ascii="Times New Roman" w:cs="Times New Roman" w:eastAsia="Times New Roman" w:hAnsi="Times New Roman"/>
          <w:sz w:val="19"/>
          <w:szCs w:val="19"/>
          <w:color w:val="auto"/>
        </w:rPr>
        <w:t>. At Licensee’s request, Duality shall perform any other Clinical Trial of an Original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 (other than the Planned Trials and Licensee Added Trials). The Parties shall discuss (through the JSC) Licensee’s funding [***].</w:t>
      </w:r>
    </w:p>
    <w:p>
      <w:pPr>
        <w:spacing w:after="0" w:line="132" w:lineRule="exact"/>
        <w:rPr>
          <w:sz w:val="20"/>
          <w:szCs w:val="20"/>
          <w:color w:val="auto"/>
        </w:rPr>
      </w:pPr>
    </w:p>
    <w:p>
      <w:pPr>
        <w:jc w:val="both"/>
        <w:ind w:right="20"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8.3 Development and Regulatory Milestone Payments of the Original ADC Licensed Product</w:t>
      </w:r>
      <w:r>
        <w:rPr>
          <w:rFonts w:ascii="Times New Roman" w:cs="Times New Roman" w:eastAsia="Times New Roman" w:hAnsi="Times New Roman"/>
          <w:sz w:val="19"/>
          <w:szCs w:val="19"/>
          <w:color w:val="auto"/>
        </w:rPr>
        <w:t>. Subject to Section 8.8(d),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milestone events set forth in the tables below, promptly following the first achievement, whether by Duality or any of Duality’s Affiliates (when designated by Licensee) or by Licensee or any of Licensee’s Affiliates or Sublicensees, of the corresponding milestone event by the first Original ADC Licensed Product, Licensee or Duality, as the case may be, shall notify the other Party within</w:t>
      </w:r>
    </w:p>
    <w:p>
      <w:pPr>
        <w:spacing w:after="0" w:line="2" w:lineRule="exact"/>
        <w:rPr>
          <w:sz w:val="20"/>
          <w:szCs w:val="20"/>
          <w:color w:val="auto"/>
        </w:rPr>
      </w:pPr>
    </w:p>
    <w:p>
      <w:pPr>
        <w:jc w:val="both"/>
        <w:ind w:firstLine="6"/>
        <w:spacing w:after="0" w:line="224" w:lineRule="auto"/>
        <w:tabs>
          <w:tab w:leader="none" w:pos="468" w:val="left"/>
        </w:tabs>
        <w:numPr>
          <w:ilvl w:val="0"/>
          <w:numId w:val="6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of such achievement, and Licensee shall pay to Duality the corresponding non-refundable, non-creditable milestone payment within [***] days after the receipt of an invoice issued by Duality to Licensee on or after the achievement of the applicable milestone event:</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8.4 Sales Milestone Payments of the Original ADC Licensed Products</w:t>
      </w:r>
      <w:r>
        <w:rPr>
          <w:rFonts w:ascii="Times New Roman" w:cs="Times New Roman" w:eastAsia="Times New Roman" w:hAnsi="Times New Roman"/>
          <w:sz w:val="19"/>
          <w:szCs w:val="19"/>
          <w:color w:val="auto"/>
        </w:rPr>
        <w:t>. Subject to Section 8.8(d), Licensee shall pay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Duality the additional one -time, non-refundable, non -creditable payments set forth in the table below within [***] days after receipt of an invoice issued by Duality to Licensee on or after the first achievement of each milestone event described below. [***].</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Within [***] days after the end of the Calendar Quarter in which any milestone event set forth above in this Section 8.4 for which a milestone payment is payable is achieved, Licensee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8" w:name="page659"/>
    <w:bookmarkEnd w:id="658"/>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deliver a written notice to Duality of such achievement, and Licensee shall pay to Duality the corresponding milestone payment within</w:t>
      </w:r>
    </w:p>
    <w:p>
      <w:pPr>
        <w:jc w:val="both"/>
        <w:ind w:firstLine="6"/>
        <w:spacing w:after="0" w:line="224" w:lineRule="auto"/>
        <w:tabs>
          <w:tab w:leader="none" w:pos="464" w:val="left"/>
        </w:tabs>
        <w:numPr>
          <w:ilvl w:val="0"/>
          <w:numId w:val="6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receipt of an invoice issued by Duality to Licensee. For clarity, each of the milestone payments set forth above in this Section 8.4 shall be additive such that if multiple milestone events specified above are achieved in the same Calendar Quarter, then the milestone payments for all such milestone events shall be payable by Licensee.</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8.5 Royalties</w:t>
      </w:r>
      <w:r>
        <w:rPr>
          <w:rFonts w:ascii="Times New Roman" w:cs="Times New Roman" w:eastAsia="Times New Roman" w:hAnsi="Times New Roman"/>
          <w:sz w:val="19"/>
          <w:szCs w:val="19"/>
          <w:color w:val="auto"/>
        </w:rPr>
        <w:t>. Licensee shall pay tiered royalties to Duality on Annual Net Sales of: (i) all Original ADC Licensed Products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Territory in each Calendar Quarter as set forth below in the first table in this Section 8.5 and subject to Section 8.8(f), calculated by [***]; (ii) any [***] and/or [***] at the Reduced Royalty Rates for each respective Annual Net Sales threshold as set forth in the second or third table in this Section 8.5 respectively, calculated by [***]:</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8.6 Royalty Term</w:t>
      </w:r>
      <w:r>
        <w:rPr>
          <w:rFonts w:ascii="Times New Roman" w:cs="Times New Roman" w:eastAsia="Times New Roman" w:hAnsi="Times New Roman"/>
          <w:sz w:val="19"/>
          <w:szCs w:val="19"/>
          <w:color w:val="auto"/>
        </w:rPr>
        <w:t>. Royalties under Section 8.5 shall be payable, on a [***] basis, during the period beginning on [***]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continuing until the latest of: [***] (the “</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8.7</w:t>
      </w:r>
      <w:r>
        <w:rPr>
          <w:sz w:val="20"/>
          <w:szCs w:val="20"/>
          <w:color w:val="auto"/>
        </w:rPr>
        <w:tab/>
      </w:r>
      <w:r>
        <w:rPr>
          <w:rFonts w:ascii="Times New Roman" w:cs="Times New Roman" w:eastAsia="Times New Roman" w:hAnsi="Times New Roman"/>
          <w:sz w:val="19"/>
          <w:szCs w:val="19"/>
          <w:b w:val="1"/>
          <w:bCs w:val="1"/>
          <w:color w:val="auto"/>
        </w:rPr>
        <w:t>Royalty Payment Reduction of ADC Licensed Products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6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8.8</w:t>
      </w:r>
      <w:r>
        <w:rPr>
          <w:sz w:val="20"/>
          <w:szCs w:val="20"/>
          <w:color w:val="auto"/>
        </w:rPr>
        <w:tab/>
      </w:r>
      <w:r>
        <w:rPr>
          <w:rFonts w:ascii="Times New Roman" w:cs="Times New Roman" w:eastAsia="Times New Roman" w:hAnsi="Times New Roman"/>
          <w:sz w:val="19"/>
          <w:szCs w:val="19"/>
          <w:b w:val="1"/>
          <w:bCs w:val="1"/>
          <w:color w:val="auto"/>
        </w:rPr>
        <w:t>Effects of Cost &amp; Profit/Loss Sharing Option Exercise for the Original ADC Licensed Product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6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Sales Milestone Payments for Original ADC Licensed Product.</w:t>
      </w:r>
    </w:p>
    <w:p>
      <w:pPr>
        <w:spacing w:after="0" w:line="168"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After exercise of the Cost &amp; Profit/Loss Sharing Option by Duality, in lieu of the sales milestone payments to be made by Licensee to Duality under Section 8.4, Licensee shall pay to Duality the additional one-time, non- refundable, non -creditable payments set forth in the table below after the first achievement of each milestone event described below in the Territory other than Cost &amp; Profit/Loss Sharing Territory:</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59" w:name="page660"/>
    <w:bookmarkEnd w:id="659"/>
    <w:p>
      <w:pPr>
        <w:spacing w:after="0" w:line="255" w:lineRule="exact"/>
        <w:rPr>
          <w:sz w:val="20"/>
          <w:szCs w:val="20"/>
          <w:color w:val="auto"/>
        </w:rPr>
      </w:pPr>
    </w:p>
    <w:p>
      <w:pPr>
        <w:ind w:left="1740" w:hanging="726"/>
        <w:spacing w:after="0"/>
        <w:tabs>
          <w:tab w:leader="none" w:pos="1740" w:val="left"/>
        </w:tabs>
        <w:numPr>
          <w:ilvl w:val="0"/>
          <w:numId w:val="6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Royalties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color w:val="auto"/>
        </w:rPr>
        <w:t>After exercise of the Cost &amp; Profit/Loss Sharing Option by Duality, in lieu of the royalties to be made by Licensee to Duality under Section 8.5, Licensee shall pay tiered royalties to Duality on Annual Net Sales of all Original ADC Licensed Products in the Territory other than Cost &amp; Profit/Loss Sharing Territory in each Calendar Quarter as set forth below, calculated by [***]. For the avoidance of doubt, Section 8.7 shall apply in determining the royalties to be paid pursuant to this Section 8.8(f):</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8.9</w:t>
      </w:r>
      <w:r>
        <w:rPr>
          <w:sz w:val="20"/>
          <w:szCs w:val="20"/>
          <w:color w:val="auto"/>
        </w:rPr>
        <w:tab/>
      </w:r>
      <w:r>
        <w:rPr>
          <w:rFonts w:ascii="Times New Roman" w:cs="Times New Roman" w:eastAsia="Times New Roman" w:hAnsi="Times New Roman"/>
          <w:sz w:val="19"/>
          <w:szCs w:val="19"/>
          <w:b w:val="1"/>
          <w:bCs w:val="1"/>
          <w:color w:val="auto"/>
        </w:rPr>
        <w:t xml:space="preserve">Payments for Other ADC Licensed Products. </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8.10</w:t>
        <w:tab/>
        <w:t xml:space="preserve">Payments for Sequence Licensed Products. </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8.11</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9</w:t>
      </w:r>
    </w:p>
    <w:p>
      <w:pPr>
        <w:ind w:left="3860"/>
        <w:spacing w:after="0"/>
        <w:rPr>
          <w:sz w:val="20"/>
          <w:szCs w:val="20"/>
          <w:color w:val="auto"/>
        </w:rPr>
      </w:pPr>
      <w:r>
        <w:rPr>
          <w:rFonts w:ascii="Times New Roman" w:cs="Times New Roman" w:eastAsia="Times New Roman" w:hAnsi="Times New Roman"/>
          <w:sz w:val="19"/>
          <w:szCs w:val="19"/>
          <w:b w:val="1"/>
          <w:bCs w:val="1"/>
          <w:color w:val="auto"/>
        </w:rPr>
        <w:t>PAYMENT; RECORDS; AUDITS</w:t>
      </w:r>
    </w:p>
    <w:p>
      <w:pPr>
        <w:spacing w:after="0" w:line="14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9.1 Payment; Reports</w:t>
      </w:r>
      <w:r>
        <w:rPr>
          <w:rFonts w:ascii="Times New Roman" w:cs="Times New Roman" w:eastAsia="Times New Roman" w:hAnsi="Times New Roman"/>
          <w:sz w:val="19"/>
          <w:szCs w:val="19"/>
          <w:color w:val="auto"/>
        </w:rPr>
        <w:t>. Royalties shall be calculated and reported for each Calendar Quarter within [***] days after the end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each Calendar Quarter. Each payment shall be accompanied by a report of [***]. Except as may otherwise be expressly provided herein, Licensee shall not have the right to set off, withhold or make any deduction from any payment of royalties or other payments due to Duality hereunder for any reason whatsoever.</w:t>
      </w:r>
    </w:p>
    <w:p>
      <w:pPr>
        <w:spacing w:after="0" w:line="134"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9.2 Exchange Rate; Manner and Place of Payment</w:t>
      </w:r>
      <w:r>
        <w:rPr>
          <w:rFonts w:ascii="Times New Roman" w:cs="Times New Roman" w:eastAsia="Times New Roman" w:hAnsi="Times New Roman"/>
          <w:sz w:val="19"/>
          <w:szCs w:val="19"/>
          <w:color w:val="auto"/>
        </w:rPr>
        <w:t>. All payments hereunder shall be payable in U.S. dollars within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days after receipt of an invoice from Duality. With respect to sales of Licensed Products invoiced in a currency other than U.S. dollars, sales milestones and royalties shall be converted into U.S. dollar using the exchange rate mechanism generally applied by Licensee or its Affiliates or Sublicensees for consolidation purposes, in accordance with the Accounting Standards, for the Calendar Quarter for which a payment is due. All payments owed under this Agreement shall be made by wire transfer in immediately available funds to a bank and account designated in writing by Duality, unless otherwise specified in writing by Duality.</w:t>
      </w:r>
    </w:p>
    <w:p>
      <w:pPr>
        <w:spacing w:after="0" w:line="13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440" w:firstLine="574"/>
        <w:spacing w:after="0" w:line="224" w:lineRule="auto"/>
        <w:tabs>
          <w:tab w:leader="none" w:pos="1736" w:val="left"/>
        </w:tabs>
        <w:numPr>
          <w:ilvl w:val="0"/>
          <w:numId w:val="6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Taxes on Income</w:t>
      </w:r>
      <w:r>
        <w:rPr>
          <w:rFonts w:ascii="Times New Roman" w:cs="Times New Roman" w:eastAsia="Times New Roman" w:hAnsi="Times New Roman"/>
          <w:sz w:val="19"/>
          <w:szCs w:val="19"/>
          <w:color w:val="auto"/>
        </w:rPr>
        <w:t>. Except as otherwise provided in this Section 9.3, Licensee shall be solely responsible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payment of all value added taxes, fees, duties, surcharges, and other deductions or withholding taxes imposed by or on any entity in the Territory in connection with the payments and activities contemplated hereunder. Except as otherwise set forth in this Section, each Party shall be solely responsible for the payment of all taxes imposed on such Party’s income arising directly or indirectly from the activities of the Parties under this Agreement.</w:t>
      </w:r>
    </w:p>
    <w:p>
      <w:pPr>
        <w:spacing w:after="0" w:line="132" w:lineRule="exact"/>
        <w:rPr>
          <w:rFonts w:ascii="Times New Roman" w:cs="Times New Roman" w:eastAsia="Times New Roman" w:hAnsi="Times New Roman"/>
          <w:sz w:val="19"/>
          <w:szCs w:val="19"/>
          <w:color w:val="auto"/>
        </w:rPr>
      </w:pPr>
    </w:p>
    <w:p>
      <w:pPr>
        <w:jc w:val="both"/>
        <w:ind w:left="440" w:firstLine="574"/>
        <w:spacing w:after="0" w:line="224" w:lineRule="auto"/>
        <w:tabs>
          <w:tab w:leader="none" w:pos="1736" w:val="left"/>
        </w:tabs>
        <w:numPr>
          <w:ilvl w:val="0"/>
          <w:numId w:val="6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In the event that any withholding tax, fee, duty or surcharge applicable to or assessable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 of any of the Upfront Payment, development, regulatory or sales milestone payments, or royalty payments to be made by Licensee to Duality under this Agreement (collectively, the “ </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is required to be withheld and deducted under Applicable Laws (“</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Licensee (or its Affiliate paying on behalf of Licensee) shall make such deduction and withholding and will pay the remaining License Payments to Duality. For clarity,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0" w:name="page661"/>
    <w:bookmarkEnd w:id="660"/>
    <w:p>
      <w:pPr>
        <w:spacing w:after="0" w:line="257" w:lineRule="exact"/>
        <w:rPr>
          <w:sz w:val="20"/>
          <w:szCs w:val="20"/>
          <w:color w:val="auto"/>
        </w:rPr>
      </w:pPr>
    </w:p>
    <w:p>
      <w:pPr>
        <w:ind w:left="440" w:right="60"/>
        <w:spacing w:after="0" w:line="246" w:lineRule="auto"/>
        <w:rPr>
          <w:sz w:val="20"/>
          <w:szCs w:val="20"/>
          <w:color w:val="auto"/>
        </w:rPr>
      </w:pPr>
      <w:r>
        <w:rPr>
          <w:rFonts w:ascii="Times New Roman" w:cs="Times New Roman" w:eastAsia="Times New Roman" w:hAnsi="Times New Roman"/>
          <w:sz w:val="19"/>
          <w:szCs w:val="19"/>
          <w:color w:val="auto"/>
        </w:rPr>
        <w:t>Licensee’s reimbursement of Duality Costs in the Territory shall not be deemed to be License Payments or subject to any Tax Withholdings.</w:t>
      </w:r>
    </w:p>
    <w:p>
      <w:pPr>
        <w:spacing w:after="0" w:line="126" w:lineRule="exact"/>
        <w:rPr>
          <w:sz w:val="20"/>
          <w:szCs w:val="20"/>
          <w:color w:val="auto"/>
        </w:rPr>
      </w:pPr>
    </w:p>
    <w:p>
      <w:pPr>
        <w:jc w:val="both"/>
        <w:ind w:left="440" w:firstLine="574"/>
        <w:spacing w:after="0" w:line="216" w:lineRule="auto"/>
        <w:tabs>
          <w:tab w:leader="none" w:pos="1736" w:val="left"/>
        </w:tabs>
        <w:numPr>
          <w:ilvl w:val="0"/>
          <w:numId w:val="6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Cooperation</w:t>
      </w:r>
      <w:r>
        <w:rPr>
          <w:rFonts w:ascii="Times New Roman" w:cs="Times New Roman" w:eastAsia="Times New Roman" w:hAnsi="Times New Roman"/>
          <w:sz w:val="19"/>
          <w:szCs w:val="19"/>
          <w:color w:val="auto"/>
        </w:rPr>
        <w:t>. Licensee shall make such deduction of taxes and withholding tax payments to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taxing authority(ies) in a timely manner and shall promptly provide Duality with the appropriate proof of payment and relevant receipt(s) with respect to such deduction or withholding. To the extent permitted by Applicable Laws, Licensee shall provide Duality reasonable assistance in order to allow Duality to obtain the benefit of any present or future treaty against double taxation or refund or reduction in taxes which may apply to the License Payments. Each Party agrees to use commercially reasonable efforts to cooperate with the other Party in claiming refunds, reductions, or exemptions from such deductions or withholdings under any relevant agreement or treaty that is in effect. Duality will provide Licensee with any tax forms or other documentation reasonably necessary in order for Licensee not to withhold or to withhold tax at a reduced rate under an applicable bilateral income tax treaty. If the taxes originally paid or otherwise borne by a Party are in whole or in part subsequently determined not to have been chargeable, all reasonably necessary steps will be taken by each Party to obtain a refund of these undue taxes from the applicable Governmental Authority or other fiscal authority and any amount of undue taxes repaid by such authority to the receiving Party will be transferred to the paying Party within [***] days of receipt.</w:t>
      </w:r>
    </w:p>
    <w:p>
      <w:pPr>
        <w:spacing w:after="0" w:line="137"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9.4 Blocked Currency</w:t>
      </w:r>
      <w:r>
        <w:rPr>
          <w:rFonts w:ascii="Times New Roman" w:cs="Times New Roman" w:eastAsia="Times New Roman" w:hAnsi="Times New Roman"/>
          <w:sz w:val="19"/>
          <w:szCs w:val="19"/>
          <w:color w:val="auto"/>
        </w:rPr>
        <w:t>. In the event that, by reason of Applicable Law in any country or region, it becomes impossible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illegal, after reasonable efforts by Licensee to do so, for Licensee or its Affiliate to transfer, or have transferred on its behalf, payments owed Duality hereunder, Licensee shall promptly notify Duality of the conditions preventing such transfer and such payments will be deposited in local currency in the relevant country or region to the credit of Duality in a recognized banking institution designated by Duality provided such arrangements are legal under all Applicable Laws.</w:t>
      </w:r>
    </w:p>
    <w:p>
      <w:pPr>
        <w:spacing w:after="0" w:line="133" w:lineRule="exact"/>
        <w:rPr>
          <w:sz w:val="20"/>
          <w:szCs w:val="20"/>
          <w:color w:val="auto"/>
        </w:rPr>
      </w:pPr>
    </w:p>
    <w:p>
      <w:pPr>
        <w:jc w:val="both"/>
        <w:ind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9.5 Records; Audits</w:t>
      </w:r>
      <w:r>
        <w:rPr>
          <w:rFonts w:ascii="Times New Roman" w:cs="Times New Roman" w:eastAsia="Times New Roman" w:hAnsi="Times New Roman"/>
          <w:sz w:val="19"/>
          <w:szCs w:val="19"/>
          <w:color w:val="auto"/>
        </w:rPr>
        <w:t>. Licensee shall keep, and require its Affiliates and Sublicensees to keep, complete, fair and true books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accounts and records for the purpose of determining the amounts payable to Duality pursuant to this Agreement. Such books and records shall be kept for at least [***] Years following the end of the Calendar Year to which they pertain. Duality shall have the right to cause an independent, certified public accountant reasonably acceptable to Licensee to audit such records to confirm Net Sales, royalties and other payments for a period covering not more than the preceding [***] Years; provided that (a) such audit shall not be more frequent than once in any [***] month period, and (b) once such accountant has conducted a review and audit of any records pursuant to this Section 9.5 in respect of any given period, it may not subsequently re-inspect such records with respect to such period, unless, in each case of (a) and (b), for cause. Prior to engagement by an independent, certified public accountant, such accountant must have executed and delivered to Licensee and its Affiliates a confidentiality agreement as reasonably requested by Licensee, which will include provisions limiting such accountant’s disclosure to Duality to only the results and basis for such results of such inspection. Such audits may be exercised during normal business hours upon reasonable prior written notice to Licensee. Prompt adjustments shall be made by the Parties to reflect the results of such audit. Duality shall bear the full cost of such audit unless such audit discloses an underpayment by Licensee of more than [***] of the amount of royalties or other payments due under this Agreement for any applicable Calendar Quarter, in which case, Licensee shall bear the cost of such audit and shall promptly remit to Duality the amount of any underpayment. Any overpayment by Licensee revealed by an audit shall be fully -creditable against future payment owed by Licensee to Duality (and if no further payments are due, shall be refunded by Duality at the request of Licensee). Any underpayment by Licensee identified by an audit shall not be subject to Section 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1" w:name="page662"/>
    <w:bookmarkEnd w:id="661"/>
    <w:p>
      <w:pPr>
        <w:spacing w:after="0" w:line="255"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9.6 Late Payments</w:t>
      </w:r>
      <w:r>
        <w:rPr>
          <w:rFonts w:ascii="Times New Roman" w:cs="Times New Roman" w:eastAsia="Times New Roman" w:hAnsi="Times New Roman"/>
          <w:sz w:val="19"/>
          <w:szCs w:val="19"/>
          <w:color w:val="auto"/>
        </w:rPr>
        <w:t>. In the event that either Party fails to make any payment due under this Agreement (save as set out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9.5), simple interest shall thereafter accrue on the sum due from the due date until the date of payment at [***].</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10</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CONFIDENTIALITY</w:t>
      </w:r>
    </w:p>
    <w:p>
      <w:pPr>
        <w:spacing w:after="0" w:line="142"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10.1 Confidential Information</w:t>
      </w:r>
      <w:r>
        <w:rPr>
          <w:rFonts w:ascii="Times New Roman" w:cs="Times New Roman" w:eastAsia="Times New Roman" w:hAnsi="Times New Roman"/>
          <w:sz w:val="19"/>
          <w:szCs w:val="19"/>
          <w:color w:val="auto"/>
        </w:rPr>
        <w:t>. Except to the extent expressly authorized by this Agreement or otherwise agreed in writing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Parties, each Party (in such capacity, the “</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xml:space="preserve">”) agrees that, during the Term and for [***] years thereafter, it shall keep confidential and shall not publish or otherwise disclose to any Third Party, and shall not use for any purpose other than as expressly provided for in this Agreement or any other written agreement between the Parties, any Confidential Information, including any Know-How, furnished or made available to it by or on behalf of the other Party (in such capacity, the “ </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 The Receiving Party shall use at least the same standard of care as it uses to protect proprietary or confidential information of its own (but in no event less than reasonable care) to ensure that its, and its Affiliates’, employees, agents, contractors, consultants and other representatives do not disclose or make any unauthorized use of the Confidential Information. The Receiving Party shall promptly notify the Disclosing Party upon discovery of any unauthorized use or disclosure of the Disclosing Party’s Confidential Information.</w:t>
      </w:r>
    </w:p>
    <w:p>
      <w:pPr>
        <w:spacing w:after="0" w:line="134"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10. 2 Exceptions</w:t>
      </w:r>
      <w:r>
        <w:rPr>
          <w:rFonts w:ascii="Times New Roman" w:cs="Times New Roman" w:eastAsia="Times New Roman" w:hAnsi="Times New Roman"/>
          <w:sz w:val="19"/>
          <w:szCs w:val="19"/>
          <w:color w:val="auto"/>
        </w:rPr>
        <w:t>. Confidential Information shall not include any information which the Receiving Party can prove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evidence: (a) is at the time of disclosure, or thereafter becomes, through no act or failure to act on the part of the Receiving Party, generally known or available to the public or part of the public domain; (b) is known by the Receiving Party and/or any of its Affiliates at the time of receiving such information, as evidenced by its records; (c) is hereafter furnished to the Receiving Party and/or any of its Affiliates by a Third Party, as a matter of right and without restriction on disclosure; or (d) is independently discovered or developed by the Receiving Party and/or any of its Affiliates, without the use of or reference to Confidential Information of the Disclosing Party.</w:t>
      </w:r>
    </w:p>
    <w:p>
      <w:pPr>
        <w:spacing w:after="0" w:line="22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10.3 Authorized Disclosure</w:t>
      </w:r>
      <w:r>
        <w:rPr>
          <w:rFonts w:ascii="Times New Roman" w:cs="Times New Roman" w:eastAsia="Times New Roman" w:hAnsi="Times New Roman"/>
          <w:sz w:val="19"/>
          <w:szCs w:val="19"/>
          <w:color w:val="auto"/>
        </w:rPr>
        <w:t>. Notwithstanding the provisions of Section 10.1, the Receiving Party may disclose Confidential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of the Disclosing Party as expressly permitted by this Agreement, or if and to the extent such disclosure is reasonably necessary in the following instances:</w:t>
      </w:r>
    </w:p>
    <w:p>
      <w:pPr>
        <w:spacing w:after="0" w:line="134" w:lineRule="exact"/>
        <w:rPr>
          <w:sz w:val="20"/>
          <w:szCs w:val="20"/>
          <w:color w:val="auto"/>
        </w:rPr>
      </w:pPr>
    </w:p>
    <w:p>
      <w:pPr>
        <w:ind w:left="1740" w:hanging="726"/>
        <w:spacing w:after="0"/>
        <w:tabs>
          <w:tab w:leader="none" w:pos="1740" w:val="left"/>
        </w:tabs>
        <w:numPr>
          <w:ilvl w:val="0"/>
          <w:numId w:val="6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filing or prosecuting or defending Patents as permitted by this Agreement;</w:t>
      </w:r>
    </w:p>
    <w:p>
      <w:pPr>
        <w:spacing w:after="0" w:line="165"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required in connection with any judicial, regulatory or administrative process relating to or arising from this Agreement (including any enforcement hereof) or to comply with applicable court orders;</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6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Affiliates, employees, contractors, consultants or agents of the Receiving Party who have a need to know such information in order for the Receiving Party to exercise its rights or fulfill its obligations under this Agreement; provided, in each case, that any such Affiliate, actual or potential licensee or Sublicensee, employee, contractor, consultant or agent agrees to be bound by terms of confidentiality and non-use comparable in scope to those set forth in this Article 10;</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32" w:lineRule="auto"/>
        <w:tabs>
          <w:tab w:leader="none" w:pos="1736" w:val="left"/>
        </w:tabs>
        <w:numPr>
          <w:ilvl w:val="0"/>
          <w:numId w:val="6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disclosure is made to such Party’s attorneys, independent accountants or financial advisors for the sole purpose of enabling such attorneys, independent accountants or financial advisors to provide advice to the Receiving Party, on the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2" w:name="page663"/>
    <w:bookmarkEnd w:id="662"/>
    <w:p>
      <w:pPr>
        <w:spacing w:after="0" w:line="257" w:lineRule="exact"/>
        <w:rPr>
          <w:sz w:val="20"/>
          <w:szCs w:val="20"/>
          <w:color w:val="auto"/>
        </w:rPr>
      </w:pPr>
    </w:p>
    <w:p>
      <w:pPr>
        <w:jc w:val="both"/>
        <w:ind w:left="440"/>
        <w:spacing w:after="0" w:line="227" w:lineRule="auto"/>
        <w:rPr>
          <w:sz w:val="20"/>
          <w:szCs w:val="20"/>
          <w:color w:val="auto"/>
        </w:rPr>
      </w:pPr>
      <w:r>
        <w:rPr>
          <w:rFonts w:ascii="Times New Roman" w:cs="Times New Roman" w:eastAsia="Times New Roman" w:hAnsi="Times New Roman"/>
          <w:sz w:val="19"/>
          <w:szCs w:val="19"/>
          <w:color w:val="auto"/>
        </w:rPr>
        <w:t>that such attorneys, independent accountants and financial advisors are bound by confidentiality and non-use obligations consistent with the confidentiality provisions of this Agreement as they apply to the Receiving Party (provided, however, that in the case of financial advisers, including investment bankers, the term of confidentiality may be shortened to [***] years from the date of disclosure and in the case of attorneys, no written agreement shall be required);</w:t>
      </w:r>
    </w:p>
    <w:p>
      <w:pPr>
        <w:spacing w:after="0" w:line="134" w:lineRule="exact"/>
        <w:rPr>
          <w:sz w:val="20"/>
          <w:szCs w:val="20"/>
          <w:color w:val="auto"/>
        </w:rPr>
      </w:pPr>
    </w:p>
    <w:p>
      <w:pPr>
        <w:jc w:val="both"/>
        <w:ind w:left="440" w:right="20" w:firstLine="574"/>
        <w:spacing w:after="0" w:line="223" w:lineRule="auto"/>
        <w:tabs>
          <w:tab w:leader="none" w:pos="1736" w:val="left"/>
        </w:tabs>
        <w:numPr>
          <w:ilvl w:val="0"/>
          <w:numId w:val="6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existing investors, acquirors or collaborators or potential bona fide investors, acquirors, licensees, Sublicensees or collaborators in connection with due diligence or similar investigations by such Third Parties; provided, in each case, that any such existing or potential investor, acquiror, licensees, Sublicensees or collaborator agrees to be bound by confidentiality and non-use obligations consistent with those contained in this Agreement as they apply to the Receiving Party (but of duration customary in confidentiality agreements entered into for similar purpose);</w:t>
      </w:r>
    </w:p>
    <w:p>
      <w:pPr>
        <w:spacing w:after="0" w:line="137" w:lineRule="exact"/>
        <w:rPr>
          <w:rFonts w:ascii="Times New Roman" w:cs="Times New Roman" w:eastAsia="Times New Roman" w:hAnsi="Times New Roman"/>
          <w:sz w:val="19"/>
          <w:szCs w:val="19"/>
          <w:color w:val="auto"/>
        </w:rPr>
      </w:pPr>
    </w:p>
    <w:p>
      <w:pPr>
        <w:ind w:left="440" w:right="40" w:firstLine="574"/>
        <w:spacing w:after="0" w:line="246" w:lineRule="auto"/>
        <w:tabs>
          <w:tab w:leader="none" w:pos="1736" w:val="left"/>
        </w:tabs>
        <w:numPr>
          <w:ilvl w:val="0"/>
          <w:numId w:val="6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Regulatory Authorities as required by Applicable Laws in relation to Regulatory Approvals and regulatory procedures, proceedings and other filings;</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21" w:lineRule="auto"/>
        <w:tabs>
          <w:tab w:leader="none" w:pos="1736" w:val="left"/>
        </w:tabs>
        <w:numPr>
          <w:ilvl w:val="0"/>
          <w:numId w:val="6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(i) Governmental Authorities to the extent useful or necessary to make regulatory filings and obtain or maintain Regulatory Approvals (including fulfilling post-approval regulatory obligations) for any Licensed Product; (ii) Governmental Authorities, technical committees or similar public health or scientific bodies for purposes of securing product use recommendations, tenders, direct procurement contracts or responding to relevant requests for information; (iii) comply with Applicable Laws with respect to performance under this Agreement; and (iv) to Governmental Authorities in order to respond to inquiries, requests or investigations relating to Licensed Products or this Agreement; and</w:t>
      </w:r>
    </w:p>
    <w:p>
      <w:pPr>
        <w:spacing w:after="0" w:line="137"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6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mutually agreed to by the Parties in writing.</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Notwithstanding the foregoing, in the event a Party is required to make a disclosure of the other Party’s Confidential Information pursuant to Section 10.3(a) or Section 10.3(b), it will, except where impracticable for necessary disclosures, give reasonable advance notice to the other Party of such disclosure requirement and will use its reasonable efforts to secure and cooperate with the other Party, as necessary, to seek and obtain confidential treatment of such Confidential Information required to be disclosed to the extent legally permissible and will limit the disclosure of that Confidential Information required to be disclosure to (i) to advisors (including lawyers and accountants) or Governmental Authorities on a need to know basis, in each case under appropriate confidentiality provisions or professional standards of confidentiality substantially equivalent to those of this Agreement, or (ii) to the extent agreed to by the Parties.</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10.4</w:t>
      </w:r>
      <w:r>
        <w:rPr>
          <w:sz w:val="20"/>
          <w:szCs w:val="20"/>
          <w:color w:val="auto"/>
        </w:rPr>
        <w:tab/>
      </w:r>
      <w:r>
        <w:rPr>
          <w:rFonts w:ascii="Times New Roman" w:cs="Times New Roman" w:eastAsia="Times New Roman" w:hAnsi="Times New Roman"/>
          <w:sz w:val="19"/>
          <w:szCs w:val="19"/>
          <w:b w:val="1"/>
          <w:bCs w:val="1"/>
          <w:color w:val="auto"/>
        </w:rPr>
        <w:t>Public Announcements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726"/>
        <w:spacing w:after="0"/>
        <w:tabs>
          <w:tab w:leader="none" w:pos="1740" w:val="left"/>
        </w:tabs>
        <w:numPr>
          <w:ilvl w:val="0"/>
          <w:numId w:val="6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Press Releases and Publicity</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440" w:firstLine="682"/>
        <w:spacing w:after="0" w:line="220" w:lineRule="auto"/>
        <w:tabs>
          <w:tab w:leader="none" w:pos="1724" w:val="left"/>
        </w:tabs>
        <w:numPr>
          <w:ilvl w:val="1"/>
          <w:numId w:val="6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following the Effective Date and on a date mutually agreed by the Parties, the Parties shall issue a joint press release announcing the execution of this Agreement in substantially the form attached hereto as </w:t>
      </w:r>
      <w:r>
        <w:rPr>
          <w:rFonts w:ascii="Times New Roman" w:cs="Times New Roman" w:eastAsia="Times New Roman" w:hAnsi="Times New Roman"/>
          <w:sz w:val="19"/>
          <w:szCs w:val="19"/>
          <w:b w:val="1"/>
          <w:bCs w:val="1"/>
          <w:color w:val="auto"/>
        </w:rPr>
        <w:t>Schedule 10.4</w:t>
      </w:r>
      <w:r>
        <w:rPr>
          <w:rFonts w:ascii="Times New Roman" w:cs="Times New Roman" w:eastAsia="Times New Roman" w:hAnsi="Times New Roman"/>
          <w:sz w:val="19"/>
          <w:szCs w:val="19"/>
          <w:color w:val="auto"/>
        </w:rPr>
        <w:t>. Except as required by applicable securities laws (including disclosure requirements of the U.S.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or any stock exchange on which securities issued by a Party or its Affiliates are traded), neither Party shall make any other public announcement or statement, whether oral or written, concerning this Agreement or the subject matter hereof without the prior written consent of the other Party, which shall not be unreasonably withheld, conditioned or delayed; provided that each Party may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3" w:name="page664"/>
    <w:bookmarkEnd w:id="663"/>
    <w:p>
      <w:pPr>
        <w:spacing w:after="0" w:line="25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other Party pursuant to this Section 10.4 and which do not reveal non -public information about the other Party.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Licensee shall have final decision making authority in respect of the proposed text of any required public announcement relating to the Licensed Product in the Territory and Retained Territory.</w:t>
      </w:r>
    </w:p>
    <w:p>
      <w:pPr>
        <w:spacing w:after="0" w:line="134" w:lineRule="exact"/>
        <w:rPr>
          <w:sz w:val="20"/>
          <w:szCs w:val="20"/>
          <w:color w:val="auto"/>
        </w:rPr>
      </w:pPr>
    </w:p>
    <w:p>
      <w:pPr>
        <w:jc w:val="both"/>
        <w:ind w:right="20" w:firstLine="682"/>
        <w:spacing w:after="0" w:line="218" w:lineRule="auto"/>
        <w:tabs>
          <w:tab w:leader="none" w:pos="1284" w:val="left"/>
        </w:tabs>
        <w:numPr>
          <w:ilvl w:val="1"/>
          <w:numId w:val="6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termination of this Agreement for any reason, if in the reasonable opinion of the either Party’s legal counsel, public disclosure of such termination is required under the Applicable Law or the rules of a stock exchange on which the securities of either Party (or any controlling Affiliate of such Party) are listed (or to which an application for listing has been submitted), the Parties shall cooperate in good faith to coordinate public disclosure, if any, of such termination and the reasons therefor. The principles to be observed in such disclosures shall be accuracy, compliance with Applicable Law, the rules of the applicable stock exchange and regulatory guidance documents, and reasonable sensitivity to potential negative investor reaction to such news and neither Party shall make any other public announcement or statement, whether oral or written, concerning the termination of this Agreement without the prior written consent of the other Party, which shall not be unreasonably withheld, conditioned or delayed.</w:t>
      </w:r>
    </w:p>
    <w:p>
      <w:pPr>
        <w:spacing w:after="0" w:line="134" w:lineRule="exact"/>
        <w:rPr>
          <w:rFonts w:ascii="Times New Roman" w:cs="Times New Roman" w:eastAsia="Times New Roman" w:hAnsi="Times New Roman"/>
          <w:sz w:val="19"/>
          <w:szCs w:val="19"/>
          <w:color w:val="auto"/>
        </w:rPr>
      </w:pPr>
    </w:p>
    <w:p>
      <w:pPr>
        <w:jc w:val="both"/>
        <w:ind w:right="20" w:firstLine="682"/>
        <w:spacing w:after="0"/>
        <w:tabs>
          <w:tab w:leader="none" w:pos="1284" w:val="left"/>
        </w:tabs>
        <w:numPr>
          <w:ilvl w:val="1"/>
          <w:numId w:val="6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10.4, and subject to Section 10.5, the Parties have the right to publicly disclose (A) the achievement of milestones under this Agreement; and (B) the commencement, completion, material data and key results of Clinical Trials conducted under this Agreement. After a publication has been made available to the public, each Party may post such publication or a link to it on its corporate web site without the prior written consent of the other Party.</w:t>
      </w:r>
    </w:p>
    <w:p>
      <w:pPr>
        <w:spacing w:after="0" w:line="276" w:lineRule="exact"/>
        <w:rPr>
          <w:rFonts w:ascii="Times New Roman" w:cs="Times New Roman" w:eastAsia="Times New Roman" w:hAnsi="Times New Roman"/>
          <w:sz w:val="19"/>
          <w:szCs w:val="19"/>
          <w:color w:val="auto"/>
        </w:rPr>
      </w:pPr>
    </w:p>
    <w:p>
      <w:pPr>
        <w:jc w:val="both"/>
        <w:ind w:firstLine="574"/>
        <w:spacing w:after="0" w:line="218" w:lineRule="auto"/>
        <w:tabs>
          <w:tab w:leader="none" w:pos="1296" w:val="left"/>
        </w:tabs>
        <w:numPr>
          <w:ilvl w:val="0"/>
          <w:numId w:val="6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Filing of this Agreement</w:t>
      </w:r>
      <w:r>
        <w:rPr>
          <w:rFonts w:ascii="Times New Roman" w:cs="Times New Roman" w:eastAsia="Times New Roman" w:hAnsi="Times New Roman"/>
          <w:sz w:val="19"/>
          <w:szCs w:val="19"/>
          <w:color w:val="auto"/>
        </w:rPr>
        <w:t>. The Parties shall coordinate in advance with each other in connection with the filing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(including redaction of certain provisions of this Agreement) with the SEC or any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or any stock exchange or other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or any stock exchange or other governmental agency.</w:t>
      </w:r>
    </w:p>
    <w:p>
      <w:pPr>
        <w:spacing w:after="0" w:line="134"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9"/>
          <w:szCs w:val="19"/>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Publication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right="20" w:firstLine="574"/>
        <w:spacing w:after="0" w:line="223" w:lineRule="auto"/>
        <w:tabs>
          <w:tab w:leader="none" w:pos="1296" w:val="left"/>
        </w:tabs>
        <w:numPr>
          <w:ilvl w:val="0"/>
          <w:numId w:val="6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either Party proposes to publicly present or publish, in any publication or venue, in their respective Territories, any Clinical Trial data, non-clinical data or any associated results or conclusions generated by or on behalf of Licensee pursuant to Clinical Trials (each such proposed presentation or publication, a “</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it shall obtain the other Party’s prior written consent and otherwise comply with this Section 10.5. The proposing Party shall provide the other Party with a copy of such Proposed Publication at least [***] days prior to the earlier of its presentation or intended submission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140"/>
          </w:cols>
          <w:pgMar w:left="1100" w:top="1440" w:right="660" w:bottom="1440" w:gutter="0" w:footer="0" w:header="0"/>
        </w:sectPr>
      </w:pPr>
    </w:p>
    <w:bookmarkStart w:id="664" w:name="page665"/>
    <w:bookmarkEnd w:id="664"/>
    <w:p>
      <w:pPr>
        <w:spacing w:after="0" w:line="255" w:lineRule="exact"/>
        <w:rPr>
          <w:sz w:val="20"/>
          <w:szCs w:val="20"/>
          <w:color w:val="auto"/>
        </w:rPr>
      </w:pPr>
    </w:p>
    <w:p>
      <w:pPr>
        <w:jc w:val="both"/>
        <w:ind w:left="440"/>
        <w:spacing w:after="0" w:line="214" w:lineRule="auto"/>
        <w:rPr>
          <w:sz w:val="20"/>
          <w:szCs w:val="20"/>
          <w:color w:val="auto"/>
        </w:rPr>
      </w:pPr>
      <w:r>
        <w:rPr>
          <w:rFonts w:ascii="Times New Roman" w:cs="Times New Roman" w:eastAsia="Times New Roman" w:hAnsi="Times New Roman"/>
          <w:sz w:val="19"/>
          <w:szCs w:val="19"/>
          <w:color w:val="auto"/>
        </w:rPr>
        <w:t xml:space="preserve">publication; provided that in the case of abstracts, this period shall be at least [***] Days (such applicable period, the “ </w:t>
      </w:r>
      <w:r>
        <w:rPr>
          <w:rFonts w:ascii="Times New Roman" w:cs="Times New Roman" w:eastAsia="Times New Roman" w:hAnsi="Times New Roman"/>
          <w:sz w:val="19"/>
          <w:szCs w:val="19"/>
          <w:b w:val="1"/>
          <w:bCs w:val="1"/>
          <w:color w:val="auto"/>
        </w:rPr>
        <w:t>Review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Period</w:t>
      </w:r>
      <w:r>
        <w:rPr>
          <w:rFonts w:ascii="Times New Roman" w:cs="Times New Roman" w:eastAsia="Times New Roman" w:hAnsi="Times New Roman"/>
          <w:sz w:val="19"/>
          <w:szCs w:val="19"/>
          <w:color w:val="auto"/>
        </w:rPr>
        <w:t>”) . The proposing Party agrees that it will not submit or present any Proposed Publication (i) until the other Party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written comments during such Review Period on the material in such Proposed Publication or (ii) until the applicable Review Period (as may be extended by subsection (C) below) has elapsed without written comments from the other Party, in which case the proposing Party may proceed and the Proposed Publication will be considered approved in its entirety. If the proposing Party receives written comments from the other Party during the applicable Review Period, it shall consider the comments of the other Party in good faith, but will retain the sole authority to submit the manuscript for such Proposed Publication; provided that the proposing Party agrees to (A) delete any Confidential Information of the other Party that the other Party identifies for deletion in the other Party’s written comments, (B) delete any Clinical Trial data, non- clinical data, results, conclusions or other related information that is not specific to or resulting from any Clinical Trial conducted in the proposing Party’s territory, and (C) delay such Proposed Publication for a period of up to an additional [***] days after the end of the applicable Review Period to enable the other Party to draft and file patents with respect to any subject matter to be made public in such Proposed Publication and to which the other Party has the applicable intellectual property rights to file such patents. The proposing Party shall provide the other Party a copy of the Proposed Publication at the time of the submission or presentation. The proposing Party shall require its Affiliates, (sub)licensees (in case that Duality is the proposing Party), Sublicensees (in case that Licensee is the proposing Party) and contractors to comply with the obligations of this Section 10.5 as if they were the proposing Party, and shall be liable for their non-compliance.</w:t>
      </w:r>
    </w:p>
    <w:p>
      <w:pPr>
        <w:spacing w:after="0" w:line="145"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10.6 Publication and Listing of Clinical Trials</w:t>
      </w:r>
      <w:r>
        <w:rPr>
          <w:rFonts w:ascii="Times New Roman" w:cs="Times New Roman" w:eastAsia="Times New Roman" w:hAnsi="Times New Roman"/>
          <w:sz w:val="19"/>
          <w:szCs w:val="19"/>
          <w:color w:val="auto"/>
        </w:rPr>
        <w:t>. Each Party agrees to comply, with respect to the listing of Clinical Trials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publication of Clinical Trial information and results with respect to Licensed Products and to the extent applicable to its activities conducted under this Agreement, with any Applicable Law or applicable court order, stipulations, consent agreements and settlements entered into by such Party; provided that any listings or publications made pursuant to this Section 10.6 shall be considered a publication hereunder and shall be subject to Section 10.5.</w:t>
      </w:r>
    </w:p>
    <w:p>
      <w:pPr>
        <w:spacing w:after="0" w:line="133"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10.7 Prior Non-Disclosure Agreement</w:t>
      </w:r>
      <w:r>
        <w:rPr>
          <w:rFonts w:ascii="Times New Roman" w:cs="Times New Roman" w:eastAsia="Times New Roman" w:hAnsi="Times New Roman"/>
          <w:sz w:val="19"/>
          <w:szCs w:val="19"/>
          <w:color w:val="auto"/>
        </w:rPr>
        <w:t>. As of the Effective Date, the terms of this Article 10 shall supersede any prior non-disclosure, secrecy or confidentiality agreement between the Parties (or their Affiliates) to the extent dealing with the subject of this Agreement. Any information disclosed pursuant to any such prior agreement relating to the subject to this Agreement shall be deemed Confidential Information for purposes of this Agreement.</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10.8 Equitable Relief</w:t>
      </w:r>
      <w:r>
        <w:rPr>
          <w:rFonts w:ascii="Times New Roman" w:cs="Times New Roman" w:eastAsia="Times New Roman" w:hAnsi="Times New Roman"/>
          <w:sz w:val="19"/>
          <w:szCs w:val="19"/>
          <w:color w:val="auto"/>
        </w:rPr>
        <w:t>. Given the nature of the Confidential Information and the competitive damage that would result 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upon unauthorized disclosure, use or transfer of its Confidential Information to any Third Party, the Parties agree that monetary damages would not be a sufficient remedy for any breach of this Article 10. In addition to all other remedies, a Party shall be entitled to seek specific performance and injunctive and other equitable relief as a remedy for any breach or threatened breach of this Article 10.</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11</w:t>
      </w: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 LIMITATION OF LIABILITY</w:t>
      </w:r>
    </w:p>
    <w:p>
      <w:pPr>
        <w:spacing w:after="0" w:line="14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11.1</w:t>
        <w:tab/>
        <w:t>Mutual Representations and Warranties</w:t>
      </w:r>
      <w:r>
        <w:rPr>
          <w:rFonts w:ascii="Times New Roman" w:cs="Times New Roman" w:eastAsia="Times New Roman" w:hAnsi="Times New Roman"/>
          <w:sz w:val="19"/>
          <w:szCs w:val="19"/>
          <w:color w:val="auto"/>
        </w:rPr>
        <w:t>. Each Party represents and warrants to the other that,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5" w:name="page666"/>
    <w:bookmarkEnd w:id="665"/>
    <w:p>
      <w:pPr>
        <w:spacing w:after="0" w:line="257" w:lineRule="exact"/>
        <w:rPr>
          <w:sz w:val="20"/>
          <w:szCs w:val="20"/>
          <w:color w:val="auto"/>
        </w:rPr>
      </w:pPr>
    </w:p>
    <w:p>
      <w:pPr>
        <w:ind w:left="440" w:firstLine="574"/>
        <w:spacing w:after="0" w:line="246" w:lineRule="auto"/>
        <w:tabs>
          <w:tab w:leader="none" w:pos="1736" w:val="left"/>
        </w:tabs>
        <w:numPr>
          <w:ilvl w:val="0"/>
          <w:numId w:val="6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line="246" w:lineRule="auto"/>
        <w:tabs>
          <w:tab w:leader="none" w:pos="1736" w:val="left"/>
        </w:tabs>
        <w:numPr>
          <w:ilvl w:val="0"/>
          <w:numId w:val="6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authorized to execute and deliver this Agreement and to perform its obligations hereunder, and the person or persons executing this Agreement on its behalf has been duly authorized to do so by all requisite corporate or partnership action;</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6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legally binding upon it, enforceable in accordance with its terms, and does not (i) conflict with any agreement, instrument or understanding, oral or written, to which it is a party or by which it may be bound, (ii) conflict with or result in a breach of any provision of its organizational documents, or (iii) violate any material law or regulation of any court, governmental body or administrative or other agency having jurisdiction over it; and</w:t>
      </w:r>
    </w:p>
    <w:p>
      <w:pPr>
        <w:spacing w:after="0" w:line="133" w:lineRule="exact"/>
        <w:rPr>
          <w:rFonts w:ascii="Times New Roman" w:cs="Times New Roman" w:eastAsia="Times New Roman" w:hAnsi="Times New Roman"/>
          <w:sz w:val="19"/>
          <w:szCs w:val="19"/>
          <w:color w:val="auto"/>
        </w:rPr>
      </w:pPr>
    </w:p>
    <w:p>
      <w:pPr>
        <w:jc w:val="both"/>
        <w:ind w:left="440" w:right="40" w:firstLine="574"/>
        <w:spacing w:after="0" w:line="227" w:lineRule="auto"/>
        <w:tabs>
          <w:tab w:leader="none" w:pos="1736" w:val="left"/>
        </w:tabs>
        <w:numPr>
          <w:ilvl w:val="0"/>
          <w:numId w:val="6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shall conduct, and shall cause its Affiliates and Sublicensees (in the case of Licensee) and sublicensees (in the case of Duality) to conduct all activities under this Agreement in compliance with all Applicable Laws, all applicable national and international guidelines and any Regulatory Authority and Governmental Authority health care programs having jurisdiction, each as may be amended from time to time.</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11.2</w:t>
        <w:tab/>
        <w:t>Additional Duality Representations and Warranties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Duality represents and warrants to Licensee, as of the Effective Date and/or such any other date(s) expressly stated, subject to a Disclosure Schedule (attached here to as Schedule 11.2) (the “</w:t>
      </w:r>
      <w:r>
        <w:rPr>
          <w:rFonts w:ascii="Times New Roman" w:cs="Times New Roman" w:eastAsia="Times New Roman" w:hAnsi="Times New Roman"/>
          <w:sz w:val="19"/>
          <w:szCs w:val="19"/>
          <w:b w:val="1"/>
          <w:bCs w:val="1"/>
          <w:color w:val="auto"/>
        </w:rPr>
        <w:t>Disclosure Schedule</w:t>
      </w:r>
      <w:r>
        <w:rPr>
          <w:rFonts w:ascii="Times New Roman" w:cs="Times New Roman" w:eastAsia="Times New Roman" w:hAnsi="Times New Roman"/>
          <w:sz w:val="19"/>
          <w:szCs w:val="19"/>
          <w:color w:val="auto"/>
        </w:rPr>
        <w:t>”), as may be updated as further described in Section 11.8 below as follows:</w:t>
      </w:r>
    </w:p>
    <w:p>
      <w:pPr>
        <w:spacing w:after="0" w:line="135" w:lineRule="exact"/>
        <w:rPr>
          <w:sz w:val="20"/>
          <w:szCs w:val="20"/>
          <w:color w:val="auto"/>
        </w:rPr>
      </w:pPr>
    </w:p>
    <w:p>
      <w:pPr>
        <w:ind w:left="580" w:right="60" w:hanging="575"/>
        <w:spacing w:after="0" w:line="246" w:lineRule="auto"/>
        <w:tabs>
          <w:tab w:leader="none" w:pos="560" w:val="left"/>
        </w:tabs>
        <w:rPr>
          <w:sz w:val="20"/>
          <w:szCs w:val="20"/>
          <w:color w:val="auto"/>
        </w:rPr>
      </w:pPr>
      <w:r>
        <w:rPr>
          <w:rFonts w:ascii="Times New Roman" w:cs="Times New Roman" w:eastAsia="Times New Roman" w:hAnsi="Times New Roman"/>
          <w:sz w:val="19"/>
          <w:szCs w:val="19"/>
          <w:color w:val="auto"/>
        </w:rPr>
        <w:t>11.2.1</w:t>
        <w:tab/>
        <w:t>With respect to the [***], the below representations and warranties regarding Licensed Products are given as of the Effective Date but only specifically in relation to [***].</w:t>
      </w:r>
    </w:p>
    <w:p>
      <w:pPr>
        <w:spacing w:after="0" w:line="128" w:lineRule="exact"/>
        <w:rPr>
          <w:sz w:val="20"/>
          <w:szCs w:val="20"/>
          <w:color w:val="auto"/>
        </w:rPr>
      </w:pPr>
    </w:p>
    <w:p>
      <w:pPr>
        <w:ind w:left="580" w:right="60" w:hanging="575"/>
        <w:spacing w:after="0" w:line="246" w:lineRule="auto"/>
        <w:tabs>
          <w:tab w:leader="none" w:pos="560" w:val="left"/>
        </w:tabs>
        <w:rPr>
          <w:sz w:val="20"/>
          <w:szCs w:val="20"/>
          <w:color w:val="auto"/>
        </w:rPr>
      </w:pPr>
      <w:r>
        <w:rPr>
          <w:rFonts w:ascii="Times New Roman" w:cs="Times New Roman" w:eastAsia="Times New Roman" w:hAnsi="Times New Roman"/>
          <w:sz w:val="19"/>
          <w:szCs w:val="19"/>
          <w:color w:val="auto"/>
        </w:rPr>
        <w:t>11.2.2</w:t>
        <w:tab/>
        <w:t>With respect to the [***], the below representations and warranties regarding Licensed Products are given as of the Effective Date but only specifically in relation to [***].</w:t>
      </w:r>
    </w:p>
    <w:p>
      <w:pPr>
        <w:spacing w:after="0" w:line="12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9"/>
          <w:szCs w:val="19"/>
          <w:color w:val="auto"/>
        </w:rPr>
        <w:t>11.2.3</w:t>
        <w:tab/>
        <w:t>With respect to the [***].</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1"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11.3</w:t>
        <w:tab/>
        <w:t>Additional Licensee Representations and Warranties</w:t>
      </w:r>
      <w:r>
        <w:rPr>
          <w:rFonts w:ascii="Times New Roman" w:cs="Times New Roman" w:eastAsia="Times New Roman" w:hAnsi="Times New Roman"/>
          <w:sz w:val="19"/>
          <w:szCs w:val="19"/>
          <w:color w:val="auto"/>
        </w:rPr>
        <w:t>. Licensee represents and warrants to Duality, as of the Effective</w:t>
      </w: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11.4 Mutual Covenants</w:t>
      </w:r>
      <w:r>
        <w:rPr>
          <w:rFonts w:ascii="Times New Roman" w:cs="Times New Roman" w:eastAsia="Times New Roman" w:hAnsi="Times New Roman"/>
          <w:sz w:val="19"/>
          <w:szCs w:val="19"/>
          <w:color w:val="auto"/>
        </w:rPr>
        <w:t>. In addition to any covenants made by the Parties elsewhere in this Agreement, each Party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to the other that:</w:t>
      </w:r>
    </w:p>
    <w:p>
      <w:pPr>
        <w:spacing w:after="0" w:line="125" w:lineRule="exact"/>
        <w:rPr>
          <w:sz w:val="20"/>
          <w:szCs w:val="20"/>
          <w:color w:val="auto"/>
        </w:rPr>
      </w:pPr>
    </w:p>
    <w:p>
      <w:pPr>
        <w:jc w:val="both"/>
        <w:ind w:left="440" w:right="20" w:firstLine="574"/>
        <w:spacing w:after="0" w:line="221" w:lineRule="auto"/>
        <w:tabs>
          <w:tab w:leader="none" w:pos="1736" w:val="left"/>
        </w:tabs>
        <w:numPr>
          <w:ilvl w:val="0"/>
          <w:numId w:val="6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all patient authorizations and consents required under Applicable Laws (in connection with any applicable clinical study) permit the granting of access of Data that such Party is required to provide to the other Party pursuant to Section 5.6, and (ii) it will comply with Applicable Laws in transferring personal and other Data in connection with the granting of access of Data that such Party is required to provide to the other Party pursuant to Section 5.6. Each Party will obtain all the necessary authorizations, consents and approvals in order for such Party to grant access to its Data with the other Party, including obtaining the necessary patient authorizations and consents, and obtaining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600"/>
          </w:cols>
          <w:pgMar w:left="660" w:top="1440" w:right="640" w:bottom="1440" w:gutter="0" w:footer="0" w:header="0"/>
        </w:sectPr>
      </w:pPr>
    </w:p>
    <w:bookmarkStart w:id="666" w:name="page667"/>
    <w:bookmarkEnd w:id="666"/>
    <w:p>
      <w:pPr>
        <w:spacing w:after="0" w:line="257" w:lineRule="exact"/>
        <w:rPr>
          <w:sz w:val="20"/>
          <w:szCs w:val="20"/>
          <w:color w:val="auto"/>
        </w:rPr>
      </w:pPr>
    </w:p>
    <w:p>
      <w:pPr>
        <w:ind w:left="440" w:right="20"/>
        <w:spacing w:after="0" w:line="246" w:lineRule="auto"/>
        <w:rPr>
          <w:sz w:val="20"/>
          <w:szCs w:val="20"/>
          <w:color w:val="auto"/>
        </w:rPr>
      </w:pPr>
      <w:r>
        <w:rPr>
          <w:rFonts w:ascii="Times New Roman" w:cs="Times New Roman" w:eastAsia="Times New Roman" w:hAnsi="Times New Roman"/>
          <w:sz w:val="19"/>
          <w:szCs w:val="19"/>
          <w:color w:val="auto"/>
        </w:rPr>
        <w:t>necessary approvals from and completing all necessary filing procedures with the applicable Governmental Authorities in the Territory and within the Retained Territory (to the extent required to preserve Licensee’s position in the Territory);</w:t>
      </w:r>
    </w:p>
    <w:p>
      <w:pPr>
        <w:spacing w:after="0" w:line="128" w:lineRule="exact"/>
        <w:rPr>
          <w:sz w:val="20"/>
          <w:szCs w:val="20"/>
          <w:color w:val="auto"/>
        </w:rPr>
      </w:pPr>
    </w:p>
    <w:p>
      <w:pPr>
        <w:jc w:val="both"/>
        <w:ind w:left="440" w:right="20" w:firstLine="574"/>
        <w:spacing w:after="0" w:line="221"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will not knowingly, during the Term, employ or use the services of any person who is debarred or disqualified in connection with activities relating to the Licensed Compound or Licensed Products; and in the event that it becomes aware of the debarment or disqualification or threatened debarment or disqualification of any person providing services to it with respect to any activities relating to the Licensed Compound or Licensed Products, it will immediately notify the other Party in writing and it will cease employing, contracting with, or retaining any such person to perform any services relating to the Licensed Compound or Licensed Products;</w:t>
      </w:r>
    </w:p>
    <w:p>
      <w:pPr>
        <w:spacing w:after="0" w:line="137" w:lineRule="exact"/>
        <w:rPr>
          <w:rFonts w:ascii="Times New Roman" w:cs="Times New Roman" w:eastAsia="Times New Roman" w:hAnsi="Times New Roman"/>
          <w:sz w:val="19"/>
          <w:szCs w:val="19"/>
          <w:color w:val="auto"/>
        </w:rPr>
      </w:pPr>
    </w:p>
    <w:p>
      <w:pPr>
        <w:jc w:val="both"/>
        <w:ind w:left="440" w:right="20" w:firstLine="574"/>
        <w:spacing w:after="0" w:line="223"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and shall cause its Affiliates, subcontractors, Sublicensees (in the case of Licensee) or sublicensees (in the case of Duality) to conduct all activities under this Agreement (including, as set forth in the Development Plan(s) and Commercialization Plan(s) (as may apply) with respect to the ADC Licensed Products in the Field in the Territory) in compliance with all Applicable Laws, and any Regulatory Authority and Governmental Authority health care programs having jurisdiction, each as may be amended from time to time;</w:t>
      </w:r>
    </w:p>
    <w:p>
      <w:pPr>
        <w:spacing w:after="0" w:line="137" w:lineRule="exact"/>
        <w:rPr>
          <w:rFonts w:ascii="Times New Roman" w:cs="Times New Roman" w:eastAsia="Times New Roman" w:hAnsi="Times New Roman"/>
          <w:sz w:val="19"/>
          <w:szCs w:val="19"/>
          <w:color w:val="auto"/>
        </w:rPr>
      </w:pPr>
    </w:p>
    <w:p>
      <w:pPr>
        <w:ind w:left="440" w:right="40" w:firstLine="574"/>
        <w:spacing w:after="0" w:line="246"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its obligations with respect to Development of the ADC Licensed Products in the Territory in adherence with the Development Plan (including the Development Budget) as may be amended from time to time;</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comply, and ensure that shall use commercially reasonable efforts to cause its Affiliates, subcontractors and Sublicensees (in case of Licensee) or sublicensees (in case of Duality) to comply with and commit to uphold the ABC Terms in the performance of activities under this Agreement;</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21"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have (and shall ensure its Affiliates, Sublicensees (in the case of Licensee) or sublicensees (in the case of Duality) and subcontractors as applicable, have), at all times, a reasonably sufficient number of suitably qualified personnel to allow the Party (or its Affiliates Sublicensees (in the case of Licensee) or sublicensees (in the case of Duality) or subcontractors, as applicable) to conduct, in compliance with all Development timeframes set out in the applicable Development Plans and GXPs, any Clinical Trials that the Party is required to conduct with respect to the Licensed Products in its territory, or in the other Party’s territory as permitted under this Agreement; and</w:t>
      </w:r>
    </w:p>
    <w:p>
      <w:pPr>
        <w:spacing w:after="0" w:line="137"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6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not induce or solicit, or attempt to induce or solicit, any employees of the other Party or any of its Affiliates to leave the employment of, or to terminate his/her employment, services or engagement with, the other Party or its applicable Affiliate, or enter into any employment or services agreement or arrangement with such Party or any of its Affiliates.</w:t>
      </w:r>
    </w:p>
    <w:p>
      <w:pPr>
        <w:spacing w:after="0" w:line="133"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 Duality Covenants. </w:t>
      </w:r>
      <w:r>
        <w:rPr>
          <w:rFonts w:ascii="Times New Roman" w:cs="Times New Roman" w:eastAsia="Times New Roman" w:hAnsi="Times New Roman"/>
          <w:sz w:val="19"/>
          <w:szCs w:val="19"/>
          <w:color w:val="auto"/>
        </w:rPr>
        <w:t>In addition to any covenants made by Duality elsewhere in this Agreement, Duality hereby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Licensee as follows:</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11.6 Performance by Affiliates, Sublicensees and Subcontractors</w:t>
      </w:r>
      <w:r>
        <w:rPr>
          <w:rFonts w:ascii="Times New Roman" w:cs="Times New Roman" w:eastAsia="Times New Roman" w:hAnsi="Times New Roman"/>
          <w:sz w:val="19"/>
          <w:szCs w:val="19"/>
          <w:color w:val="auto"/>
        </w:rPr>
        <w:t>. (a) Subject to Licensee’s prior written consent or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explicitly stated in the Development Plan or this Agreement, Duality may perform some or all of its respective obligations under this Agreement through one or more Affiliates, subcontractors or sublicensees, and (b) Licensee may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7" w:name="page668"/>
    <w:bookmarkEnd w:id="667"/>
    <w:p>
      <w:pPr>
        <w:spacing w:after="0" w:line="257"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9"/>
          <w:szCs w:val="19"/>
          <w:color w:val="auto"/>
        </w:rPr>
        <w:t>some or all of its respective obligations under this Agreement through one or more Affiliates, subcontractors or Sublicensees; provided that with respect to the foregoing clauses (a) and (b), the Party involving its Affiliates, subcontractors or Sublicensees (in case of Licensee) or sublicensees (in case of Duality) shall at all times be fully responsible for the performance and payment of such Affiliate, subcontractor or Sublicensees (in case of Licensee) or sublicensees (in case of Duality).</w:t>
      </w:r>
    </w:p>
    <w:p>
      <w:pPr>
        <w:spacing w:after="0" w:line="132" w:lineRule="exact"/>
        <w:rPr>
          <w:sz w:val="20"/>
          <w:szCs w:val="20"/>
          <w:color w:val="auto"/>
        </w:rPr>
      </w:pPr>
    </w:p>
    <w:p>
      <w:pPr>
        <w:jc w:val="both"/>
        <w:ind w:right="10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11.7 Disclaimer</w:t>
      </w:r>
      <w:r>
        <w:rPr>
          <w:rFonts w:ascii="Times New Roman" w:cs="Times New Roman" w:eastAsia="Times New Roman" w:hAnsi="Times New Roman"/>
          <w:sz w:val="19"/>
          <w:szCs w:val="19"/>
          <w:color w:val="auto"/>
        </w:rPr>
        <w:t>. EXCEPT AS EXPRESSLY SET FORTH IN THIS AGREEMENT, THE TECHNOLOGY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INTELLECTUAL PROPERTY RIGHTS PROVIDED BY DUALITY TO LICENSEE HEREUNDER ARE PROVIDED “AS IS,” AND DUALITY EXPRESSLY DISCLAIMS ANY AND ALL WARRANTIES OF ANY KIND, EXPRESS OR IMPLIED, INCLUDING THE WARRANTIES OF DESIGN, MERCHANTABILITY, FITNESS FOR A PARTICULAR PURPOSE, OBTAINING SUCCESSFUL RESULTS, NON- INFRINGEMENT OF THE INTELLECTUAL PROPERTY RIGHTS OF THIRD PARTIES, OR ARISING FROM A COURSE OF DEALING, USAGE OR TRADE PRACTICES.</w:t>
      </w:r>
    </w:p>
    <w:p>
      <w:pPr>
        <w:spacing w:after="0" w:line="13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11.8</w:t>
        <w:tab/>
        <w:t>Updated Disclosure Schedule</w:t>
      </w:r>
    </w:p>
    <w:p>
      <w:pPr>
        <w:spacing w:after="0" w:line="168" w:lineRule="exact"/>
        <w:rPr>
          <w:sz w:val="20"/>
          <w:szCs w:val="20"/>
          <w:color w:val="auto"/>
        </w:rPr>
      </w:pPr>
    </w:p>
    <w:p>
      <w:pPr>
        <w:jc w:val="both"/>
        <w:ind w:left="440" w:firstLine="574"/>
        <w:spacing w:after="0" w:line="223" w:lineRule="auto"/>
        <w:tabs>
          <w:tab w:leader="none" w:pos="1736" w:val="left"/>
        </w:tabs>
        <w:numPr>
          <w:ilvl w:val="0"/>
          <w:numId w:val="6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 (Section 2.9) and the Duality Immune Agonist ADC Product (Section 2.10) that are subject to an option right, and subject to the occurrence of any change or event having a material adverse effect on it or which it believes would or would be reasonably likely to cause or constitute a material breach of any of its representations, warranties or covenants set forth herein. Duality shall be entitled to update the Disclosure Schedule (“</w:t>
      </w:r>
      <w:r>
        <w:rPr>
          <w:rFonts w:ascii="Times New Roman" w:cs="Times New Roman" w:eastAsia="Times New Roman" w:hAnsi="Times New Roman"/>
          <w:sz w:val="19"/>
          <w:szCs w:val="19"/>
          <w:b w:val="1"/>
          <w:bCs w:val="1"/>
          <w:color w:val="auto"/>
        </w:rPr>
        <w:t>Updated Disclosure Schedule</w:t>
      </w:r>
      <w:r>
        <w:rPr>
          <w:rFonts w:ascii="Times New Roman" w:cs="Times New Roman" w:eastAsia="Times New Roman" w:hAnsi="Times New Roman"/>
          <w:sz w:val="19"/>
          <w:szCs w:val="19"/>
          <w:color w:val="auto"/>
        </w:rPr>
        <w:t>”) in accordance with this Section 11.8.</w:t>
      </w:r>
    </w:p>
    <w:p>
      <w:pPr>
        <w:spacing w:after="0" w:line="137"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6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to update the Disclosure Schedule shall be limited to the respective option exercise period as set forth in Section 2.10 and 2.11 respectively and ends [***] Days before the option exercise period ends.</w:t>
      </w:r>
    </w:p>
    <w:p>
      <w:pPr>
        <w:spacing w:after="0" w:line="128" w:lineRule="exact"/>
        <w:rPr>
          <w:rFonts w:ascii="Times New Roman" w:cs="Times New Roman" w:eastAsia="Times New Roman" w:hAnsi="Times New Roman"/>
          <w:sz w:val="19"/>
          <w:szCs w:val="19"/>
          <w:color w:val="auto"/>
        </w:rPr>
      </w:pPr>
    </w:p>
    <w:p>
      <w:pPr>
        <w:jc w:val="both"/>
        <w:ind w:left="440" w:right="40" w:firstLine="574"/>
        <w:spacing w:after="0" w:line="232" w:lineRule="auto"/>
        <w:tabs>
          <w:tab w:leader="none" w:pos="1736" w:val="left"/>
        </w:tabs>
        <w:numPr>
          <w:ilvl w:val="0"/>
          <w:numId w:val="6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no update to the Disclosure Schedule pursuant to this Section 11.8 shall cure any breach of a representation or warranty of Duality contained in this Agreement with respect to the ADC Licensed Product and/or Sequence Licensed Product and shall not affect any of the Licensee’s remedies with respect thereto.</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12</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4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12.1</w:t>
        <w:tab/>
        <w:t>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right="20" w:firstLine="574"/>
        <w:spacing w:after="0" w:line="222" w:lineRule="auto"/>
        <w:tabs>
          <w:tab w:leader="none" w:pos="1736" w:val="left"/>
        </w:tabs>
        <w:numPr>
          <w:ilvl w:val="0"/>
          <w:numId w:val="7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Background IP</w:t>
      </w:r>
      <w:r>
        <w:rPr>
          <w:rFonts w:ascii="Times New Roman" w:cs="Times New Roman" w:eastAsia="Times New Roman" w:hAnsi="Times New Roman"/>
          <w:sz w:val="19"/>
          <w:szCs w:val="19"/>
          <w:color w:val="auto"/>
        </w:rPr>
        <w:t>. (i) Duality shall retain all right, title and interest in and to any Patents, Know-How, and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intellectual property rights Controlled by Duality or any of its Affiliates on or prior to the Effective Date or during the Term independent of the activities hereunder (the “</w:t>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and (ii) Licensee shall retain all right, title and interest in and to any Patents, Know-How, and other intellectual property rights Controlled (other than pursuant to this Agreement) by Licensee or any of its Affiliates on or prior to the Effective Date or during the Term independent of the activities hereunder, specifically relating to the ADC (the “</w:t>
      </w:r>
      <w:r>
        <w:rPr>
          <w:rFonts w:ascii="Times New Roman" w:cs="Times New Roman" w:eastAsia="Times New Roman" w:hAnsi="Times New Roman"/>
          <w:sz w:val="19"/>
          <w:szCs w:val="19"/>
          <w:b w:val="1"/>
          <w:bCs w:val="1"/>
          <w:color w:val="auto"/>
        </w:rPr>
        <w:t>Licensee Background IP</w:t>
      </w:r>
      <w:r>
        <w:rPr>
          <w:rFonts w:ascii="Times New Roman" w:cs="Times New Roman" w:eastAsia="Times New Roman" w:hAnsi="Times New Roman"/>
          <w:sz w:val="19"/>
          <w:szCs w:val="19"/>
          <w:color w:val="auto"/>
        </w:rPr>
        <w:t>”).</w:t>
      </w:r>
    </w:p>
    <w:p>
      <w:pPr>
        <w:spacing w:after="0" w:line="131"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Solely Owned Collaboration IP and Solely Owned Collaboration Patents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720" w:hanging="598"/>
        <w:spacing w:after="0"/>
        <w:tabs>
          <w:tab w:leader="none" w:pos="1720" w:val="left"/>
        </w:tabs>
        <w:numPr>
          <w:ilvl w:val="1"/>
          <w:numId w:val="7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68" w:name="page669"/>
    <w:bookmarkEnd w:id="668"/>
    <w:p>
      <w:pPr>
        <w:spacing w:after="0" w:line="257" w:lineRule="exact"/>
        <w:rPr>
          <w:sz w:val="20"/>
          <w:szCs w:val="20"/>
          <w:color w:val="auto"/>
        </w:rPr>
      </w:pPr>
    </w:p>
    <w:p>
      <w:pPr>
        <w:ind w:left="1140" w:hanging="598"/>
        <w:spacing w:after="0"/>
        <w:tabs>
          <w:tab w:leader="none" w:pos="1140" w:val="left"/>
        </w:tabs>
        <w:numPr>
          <w:ilvl w:val="1"/>
          <w:numId w:val="7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ectPr>
          <w:pgSz w:w="11900" w:h="16840" w:orient="portrait"/>
          <w:cols w:equalWidth="0" w:num="1">
            <w:col w:w="10000"/>
          </w:cols>
          <w:pgMar w:left="1240" w:top="1440" w:right="660" w:bottom="1440" w:gutter="0" w:footer="0" w:header="0"/>
        </w:sectPr>
      </w:pPr>
    </w:p>
    <w:p>
      <w:pPr>
        <w:spacing w:after="0" w:line="164" w:lineRule="exact"/>
        <w:rPr>
          <w:sz w:val="20"/>
          <w:szCs w:val="20"/>
          <w:color w:val="auto"/>
        </w:rPr>
      </w:pPr>
    </w:p>
    <w:p>
      <w:pPr>
        <w:jc w:val="both"/>
        <w:ind w:left="-140" w:firstLine="574"/>
        <w:spacing w:after="0" w:line="233" w:lineRule="auto"/>
        <w:tabs>
          <w:tab w:leader="none" w:pos="1156" w:val="left"/>
        </w:tabs>
        <w:numPr>
          <w:ilvl w:val="0"/>
          <w:numId w:val="7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Data and Regulatory Materials. </w:t>
      </w:r>
      <w:r>
        <w:rPr>
          <w:rFonts w:ascii="Times New Roman" w:cs="Times New Roman" w:eastAsia="Times New Roman" w:hAnsi="Times New Roman"/>
          <w:sz w:val="19"/>
          <w:szCs w:val="19"/>
          <w:color w:val="auto"/>
        </w:rPr>
        <w:t>Regulatory Materials are allocated in accordance accordance with Section 5.6.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hanging="38"/>
        <w:spacing w:after="0" w:line="246" w:lineRule="auto"/>
        <w:rPr>
          <w:sz w:val="20"/>
          <w:szCs w:val="20"/>
          <w:color w:val="auto"/>
        </w:rPr>
      </w:pPr>
      <w:r>
        <w:rPr>
          <w:rFonts w:ascii="Times New Roman" w:cs="Times New Roman" w:eastAsia="Times New Roman" w:hAnsi="Times New Roman"/>
          <w:sz w:val="19"/>
          <w:szCs w:val="19"/>
          <w:color w:val="auto"/>
        </w:rPr>
        <w:t>Notwithstanding anything contrary in this Section 12.1, the ownership rights to with Sections 5.2(b) and 5.4. The ownership rights to Data are allocated in</w:t>
      </w:r>
    </w:p>
    <w:p>
      <w:pPr>
        <w:spacing w:after="0" w:line="320" w:lineRule="exact"/>
        <w:rPr>
          <w:sz w:val="20"/>
          <w:szCs w:val="20"/>
          <w:color w:val="auto"/>
        </w:rPr>
      </w:pPr>
    </w:p>
    <w:p>
      <w:pPr>
        <w:sectPr>
          <w:pgSz w:w="11900" w:h="16840" w:orient="portrait"/>
          <w:cols w:equalWidth="0" w:num="2">
            <w:col w:w="3780" w:space="80"/>
            <w:col w:w="6140"/>
          </w:cols>
          <w:pgMar w:left="1240" w:top="1440" w:right="660" w:bottom="1440" w:gutter="0" w:footer="0" w:header="0"/>
          <w:type w:val="continuous"/>
        </w:sectPr>
      </w:pPr>
    </w:p>
    <w:p>
      <w:pPr>
        <w:ind w:left="1140" w:hanging="706"/>
        <w:spacing w:after="0"/>
        <w:tabs>
          <w:tab w:leader="none" w:pos="1140" w:val="left"/>
        </w:tabs>
        <w:numPr>
          <w:ilvl w:val="1"/>
          <w:numId w:val="7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140" w:right="20" w:firstLine="574"/>
        <w:spacing w:after="0" w:line="222" w:lineRule="auto"/>
        <w:tabs>
          <w:tab w:leader="none" w:pos="1144" w:val="left"/>
        </w:tabs>
        <w:numPr>
          <w:ilvl w:val="1"/>
          <w:numId w:val="7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Disclosures; Cooperation</w:t>
      </w:r>
      <w:r>
        <w:rPr>
          <w:rFonts w:ascii="Times New Roman" w:cs="Times New Roman" w:eastAsia="Times New Roman" w:hAnsi="Times New Roman"/>
          <w:sz w:val="19"/>
          <w:szCs w:val="19"/>
          <w:color w:val="auto"/>
        </w:rPr>
        <w:t>. Each Party shall, and shall ensure that each of its Affiliates, (sub)licensees (in the case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Duality), Sublicensees (in the case of Licensee) and subcontractors under this Agreement has a contractual obligation to disclose to such Party all Collaboration IP, Data and other Know-How generated, invented, discovered, developed, made or otherwise created by or for them or their employees, agents or independent contractors, and to provide sufficient documentary proof to evidence ownership, rights and interest with respect thereto, so that such Party can comply with its obligations under this Section 12.1.</w:t>
      </w:r>
    </w:p>
    <w:p>
      <w:pPr>
        <w:spacing w:after="0" w:line="131" w:lineRule="exact"/>
        <w:rPr>
          <w:rFonts w:ascii="Times New Roman" w:cs="Times New Roman" w:eastAsia="Times New Roman" w:hAnsi="Times New Roman"/>
          <w:sz w:val="19"/>
          <w:szCs w:val="19"/>
          <w:color w:val="auto"/>
        </w:rPr>
      </w:pPr>
    </w:p>
    <w:p>
      <w:pPr>
        <w:ind w:left="580" w:hanging="290"/>
        <w:spacing w:after="0"/>
        <w:tabs>
          <w:tab w:leader="none" w:pos="580" w:val="left"/>
        </w:tabs>
        <w:numPr>
          <w:ilvl w:val="0"/>
          <w:numId w:val="7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Inventorship Determination</w:t>
      </w:r>
      <w:r>
        <w:rPr>
          <w:rFonts w:ascii="Times New Roman" w:cs="Times New Roman" w:eastAsia="Times New Roman" w:hAnsi="Times New Roman"/>
          <w:sz w:val="19"/>
          <w:szCs w:val="19"/>
          <w:color w:val="auto"/>
        </w:rPr>
        <w:t>. The Parties agree that [***].</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12.2</w:t>
        <w:tab/>
        <w:t>Patent Prosecution and Maintenance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firstLine="574"/>
        <w:spacing w:after="0" w:line="233" w:lineRule="auto"/>
        <w:tabs>
          <w:tab w:leader="none" w:pos="1156"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Definition</w:t>
      </w:r>
      <w:r>
        <w:rPr>
          <w:rFonts w:ascii="Times New Roman" w:cs="Times New Roman" w:eastAsia="Times New Roman" w:hAnsi="Times New Roman"/>
          <w:sz w:val="19"/>
          <w:szCs w:val="19"/>
          <w:color w:val="auto"/>
        </w:rPr>
        <w:t>. For purposes of this Section 12.2 and Sections 12.1(e) and 12.1(f), the terms “prosecute,”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“prosecuting” and “prosecution,” when used in reference to any Patent, shall be deemed to include, without limitation, control of any [***] with respect to such Patent.</w:t>
      </w:r>
    </w:p>
    <w:p>
      <w:pPr>
        <w:spacing w:after="0" w:line="133"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12.3</w:t>
        <w:tab/>
        <w:t>Infringement by Third Parties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firstLine="574"/>
        <w:spacing w:after="0" w:line="224" w:lineRule="auto"/>
        <w:tabs>
          <w:tab w:leader="none" w:pos="1156"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In the event that either Duality or Licensee becomes aware of any infringement or threatened infringement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 Third Party of any Solely Owned Collaboration Patent, Duality Product Patent, Duality Linker-Payload Patent, [***], and any related declaratory judgment or equivalent action, including administrative proceedings, alleging the invalidity, unenforceability or non-infringement of any such Patent, it shall notify the other Party in writing to that effect within [***] Days after becoming aware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000"/>
          </w:cols>
          <w:pgMar w:left="1240" w:top="1440" w:right="660" w:bottom="1440" w:gutter="0" w:footer="0" w:header="0"/>
          <w:type w:val="continuous"/>
        </w:sectPr>
      </w:pPr>
    </w:p>
    <w:bookmarkStart w:id="669" w:name="page670"/>
    <w:bookmarkEnd w:id="669"/>
    <w:p>
      <w:pPr>
        <w:spacing w:after="0" w:line="257" w:lineRule="exact"/>
        <w:rPr>
          <w:sz w:val="20"/>
          <w:szCs w:val="20"/>
          <w:color w:val="auto"/>
        </w:rPr>
      </w:pPr>
    </w:p>
    <w:p>
      <w:pPr>
        <w:ind w:left="1740" w:hanging="726"/>
        <w:spacing w:after="0"/>
        <w:tabs>
          <w:tab w:leader="none" w:pos="174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12.4</w:t>
        <w:tab/>
        <w:t>Infringement of Third Party Rights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7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12.5</w:t>
        <w:tab/>
        <w:t>Marking</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12. 6 Patent Listings</w:t>
      </w:r>
      <w:r>
        <w:rPr>
          <w:rFonts w:ascii="Times New Roman" w:cs="Times New Roman" w:eastAsia="Times New Roman" w:hAnsi="Times New Roman"/>
          <w:sz w:val="19"/>
          <w:szCs w:val="19"/>
          <w:color w:val="auto"/>
        </w:rPr>
        <w:t>. On a Licensed Product-by-Licensed Product basis, as between the Parties, [***] to make all patent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listings of Duality Product Patents, Solely Owned Collaboration Patents, [***] or other patent-related submissions with Regulatory Authorities with respect to such Licensed Product, except for Duality Linker-Payload Patents [***], to make all patent listings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that </w:t>
      </w:r>
      <w:r>
        <w:rPr>
          <w:rFonts w:ascii="Times New Roman" w:cs="Times New Roman" w:eastAsia="Times New Roman" w:hAnsi="Times New Roman"/>
          <w:sz w:val="19"/>
          <w:szCs w:val="19"/>
          <w:color w:val="auto"/>
        </w:rPr>
        <w:t>[***] will be obliged to make all patent listings or other patent- related submissions with Regulatory Authorities in [***].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reasonable requests in connection therewith, including meeting any submission deadlines, to the extent required or permitted by Applicable Laws.</w:t>
      </w:r>
    </w:p>
    <w:p>
      <w:pPr>
        <w:spacing w:after="0" w:line="252"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12.7</w:t>
        <w:tab/>
        <w:t>Patent Right Term Extension</w:t>
      </w:r>
      <w:r>
        <w:rPr>
          <w:rFonts w:ascii="Times New Roman" w:cs="Times New Roman" w:eastAsia="Times New Roman" w:hAnsi="Times New Roman"/>
          <w:sz w:val="19"/>
          <w:szCs w:val="19"/>
          <w:color w:val="auto"/>
        </w:rPr>
        <w:t>. [***]</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13</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TERM; TERMINATION</w:t>
      </w:r>
    </w:p>
    <w:p>
      <w:pPr>
        <w:spacing w:after="0" w:line="142"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13.1 Term</w:t>
      </w:r>
      <w:r>
        <w:rPr>
          <w:rFonts w:ascii="Times New Roman" w:cs="Times New Roman" w:eastAsia="Times New Roman" w:hAnsi="Times New Roman"/>
          <w:sz w:val="19"/>
          <w:szCs w:val="19"/>
          <w:color w:val="auto"/>
        </w:rPr>
        <w:t>. The term of this Agreement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commence on the Effective Date, and unless terminated earlier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in this Article 13, shall continue in full force and effect, on [***] except as provided otherwise in this Article 13.</w:t>
      </w:r>
    </w:p>
    <w:p>
      <w:pPr>
        <w:spacing w:after="0" w:line="123"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7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13.3</w:t>
      </w:r>
      <w:r>
        <w:rPr>
          <w:sz w:val="20"/>
          <w:szCs w:val="20"/>
          <w:color w:val="auto"/>
        </w:rPr>
        <w:tab/>
      </w:r>
      <w:r>
        <w:rPr>
          <w:rFonts w:ascii="Times New Roman" w:cs="Times New Roman" w:eastAsia="Times New Roman" w:hAnsi="Times New Roman"/>
          <w:sz w:val="19"/>
          <w:szCs w:val="19"/>
          <w:b w:val="1"/>
          <w:bCs w:val="1"/>
          <w:color w:val="auto"/>
        </w:rPr>
        <w:t>Termination for Material Breach by Either Party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firstLine="586"/>
        <w:spacing w:after="0" w:line="222" w:lineRule="auto"/>
        <w:tabs>
          <w:tab w:leader="none" w:pos="1736" w:val="left"/>
        </w:tabs>
        <w:numPr>
          <w:ilvl w:val="0"/>
          <w:numId w:val="7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Right. </w:t>
      </w:r>
      <w:r>
        <w:rPr>
          <w:rFonts w:ascii="Times New Roman" w:cs="Times New Roman" w:eastAsia="Times New Roman" w:hAnsi="Times New Roman"/>
          <w:sz w:val="19"/>
          <w:szCs w:val="19"/>
          <w:color w:val="auto"/>
        </w:rPr>
        <w:t>A Party shall have the right to terminate this Agreement (in its entirety or on a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Product-by-Licensed Product and country-by-country basis) upon written notice to the other Party if such other Party is in material breach of this Agreement and has not cured such breach within [***] days after written notice from the terminating Party requesting cure of the breach. In case the alleged material breach is a material breach of Licensee’s diligence obligations set forth in Sections 4.1 and/or 7.1 of this Agreement, Duality shall only be entitled to terminate the Agreement with effect to the country or countries with respect to which Licensee has in fact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70" w:name="page671"/>
    <w:bookmarkEnd w:id="670"/>
    <w:p>
      <w:pPr>
        <w:spacing w:after="0" w:line="257"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9"/>
          <w:szCs w:val="19"/>
          <w:color w:val="auto"/>
        </w:rPr>
        <w:t>breached the diligence obligations with respect to the Original ADC Licensed Product and not cured such breach. If at the end of the cure period the breaching Party has failed to perform the activities of the cure plan to cure the breach, the non- breaching Party shall be entitled to terminate the Agreement with [***] prior notice. If the existence of material breach or the failure to cure such material breach is not disputed by the breaching Party and the Agreement is terminated by the non- breaching Party, the consequences of termination set forth in Section 13.7 or Section 13.8 (as the case may be) shall apply. If the existence of material breach or the failure to cure such material breach is disputed by the breaching Party, Section 13.7 or Section 13.8 (as the case may be) shall apply if the existence of material breach or the failure to cure such material breach is determined pursuant to Section 15.2 and the Agreement is thereafter terminated by the breaching Party.</w:t>
      </w:r>
    </w:p>
    <w:p>
      <w:pPr>
        <w:spacing w:after="0" w:line="132" w:lineRule="exact"/>
        <w:rPr>
          <w:sz w:val="20"/>
          <w:szCs w:val="20"/>
          <w:color w:val="auto"/>
        </w:rPr>
      </w:pPr>
    </w:p>
    <w:p>
      <w:pPr>
        <w:jc w:val="both"/>
        <w:ind w:firstLine="574"/>
        <w:spacing w:after="0"/>
        <w:tabs>
          <w:tab w:leader="none" w:pos="1296" w:val="left"/>
        </w:tabs>
        <w:numPr>
          <w:ilvl w:val="0"/>
          <w:numId w:val="7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Dispute as to Material Breach</w:t>
      </w:r>
      <w:r>
        <w:rPr>
          <w:rFonts w:ascii="Times New Roman" w:cs="Times New Roman" w:eastAsia="Times New Roman" w:hAnsi="Times New Roman"/>
          <w:sz w:val="19"/>
          <w:szCs w:val="19"/>
          <w:color w:val="auto"/>
        </w:rPr>
        <w:t>. In the event that the breaching Party disputes the existence of material breach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failure to cure such material breach by initiating arbitration proceedings pursuant to Section 15.2 within the cure period, the non-breaching Party shall not have the right to terminate in accordance with Section 13.3(a) unless and until the relevant dispute has been resolved pursuant to Section 15.2. During the pendency of such dispute, the applicable cure period shall be tolled, all the terms of this Agreement shall remain in effect, and the Parties shall continue to perform all of their respective obligations hereunder.</w:t>
      </w:r>
    </w:p>
    <w:p>
      <w:pPr>
        <w:spacing w:after="0" w:line="252"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9"/>
          <w:szCs w:val="19"/>
          <w:b w:val="1"/>
          <w:bCs w:val="1"/>
          <w:color w:val="auto"/>
        </w:rPr>
        <w:t>13.4</w:t>
      </w:r>
      <w:r>
        <w:rPr>
          <w:sz w:val="20"/>
          <w:szCs w:val="20"/>
          <w:color w:val="auto"/>
        </w:rPr>
        <w:tab/>
      </w:r>
      <w:r>
        <w:rPr>
          <w:rFonts w:ascii="Times New Roman" w:cs="Times New Roman" w:eastAsia="Times New Roman" w:hAnsi="Times New Roman"/>
          <w:sz w:val="19"/>
          <w:szCs w:val="19"/>
          <w:b w:val="1"/>
          <w:bCs w:val="1"/>
          <w:color w:val="auto"/>
        </w:rPr>
        <w:t>Termination for Other Causes.</w:t>
      </w:r>
    </w:p>
    <w:p>
      <w:pPr>
        <w:spacing w:after="0" w:line="168" w:lineRule="exact"/>
        <w:rPr>
          <w:sz w:val="20"/>
          <w:szCs w:val="20"/>
          <w:color w:val="auto"/>
        </w:rPr>
      </w:pPr>
    </w:p>
    <w:p>
      <w:pPr>
        <w:ind w:left="1300" w:hanging="714"/>
        <w:spacing w:after="0"/>
        <w:tabs>
          <w:tab w:leader="none" w:pos="1300"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right="40" w:firstLine="586"/>
        <w:spacing w:after="0" w:line="229" w:lineRule="auto"/>
        <w:tabs>
          <w:tab w:leader="none" w:pos="1296"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Bankruptcy</w:t>
      </w:r>
      <w:r>
        <w:rPr>
          <w:rFonts w:ascii="Times New Roman" w:cs="Times New Roman" w:eastAsia="Times New Roman" w:hAnsi="Times New Roman"/>
          <w:sz w:val="19"/>
          <w:szCs w:val="19"/>
          <w:color w:val="auto"/>
        </w:rPr>
        <w:t>. A Party shall have the right to terminate this Agreement upon written notice to the other Party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filing or institution of bankruptcy, reorganization, dissolution, liquidation or winding up of such other Party, or the making or seeking to make or arrange an assignment of a substantial portion of such other Party’s assets for the benefit of creditors of such other Party, or the initiation of proceedings in voluntary or involuntary bankruptcy against such other Party, or is adjudged bankrupt, or the appointment of a receiver or trustee of such other Party’s property, in each case that is not discharged within [***] days, or immediately upon written notice to the Party, if such Party otherwise admits in writing to the other Party its inability generally to meet its obligations as and when they fall due in the general course of business. In the event a Party is bankrupted or a bankruptcy proceedings is commenced by or against such Party or its Affiliates or any country or jurisdiction, all rights under this Agreement will be fully exercisable and the bankrupt Party (in any capacity, including debtor-in-possession) and its successors and assigns (including a trustee) shall continue to perform all of the obligations provided in this Agreement to be performed by such Party. If the bankrupt Party and its successors and assigns are restricted by Applicable Laws from performing its obligations hereunder and the other Party elects to retain its rights hereunder, then the bankrupt Party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w:t>
      </w:r>
    </w:p>
    <w:p>
      <w:pPr>
        <w:spacing w:after="0" w:line="139" w:lineRule="exact"/>
        <w:rPr>
          <w:rFonts w:ascii="Times New Roman" w:cs="Times New Roman" w:eastAsia="Times New Roman" w:hAnsi="Times New Roman"/>
          <w:sz w:val="19"/>
          <w:szCs w:val="19"/>
          <w:color w:val="auto"/>
        </w:rPr>
      </w:pPr>
    </w:p>
    <w:p>
      <w:pPr>
        <w:ind w:left="1300" w:hanging="714"/>
        <w:spacing w:after="0"/>
        <w:tabs>
          <w:tab w:leader="none" w:pos="1300"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right="40" w:firstLine="586"/>
        <w:spacing w:after="0" w:line="249" w:lineRule="auto"/>
        <w:tabs>
          <w:tab w:leader="none" w:pos="1296"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Mutual Agreement. </w:t>
      </w:r>
      <w:r>
        <w:rPr>
          <w:rFonts w:ascii="Times New Roman" w:cs="Times New Roman" w:eastAsia="Times New Roman" w:hAnsi="Times New Roman"/>
          <w:sz w:val="19"/>
          <w:szCs w:val="19"/>
          <w:color w:val="auto"/>
        </w:rPr>
        <w:t>The Parties may terminate this Agreement in full or on a Licensed Product-by-Licensed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or a country-by-country basis, at any time during the Term upon mutual agreement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160"/>
          </w:cols>
          <w:pgMar w:left="1100" w:top="1440" w:right="640" w:bottom="1440" w:gutter="0" w:footer="0" w:header="0"/>
        </w:sectPr>
      </w:pPr>
    </w:p>
    <w:bookmarkStart w:id="671" w:name="page672"/>
    <w:bookmarkEnd w:id="671"/>
    <w:p>
      <w:pPr>
        <w:spacing w:after="0" w:line="255"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13.5</w:t>
      </w:r>
      <w:r>
        <w:rPr>
          <w:sz w:val="20"/>
          <w:szCs w:val="20"/>
          <w:color w:val="auto"/>
        </w:rPr>
        <w:tab/>
      </w:r>
      <w:r>
        <w:rPr>
          <w:rFonts w:ascii="Times New Roman" w:cs="Times New Roman" w:eastAsia="Times New Roman" w:hAnsi="Times New Roman"/>
          <w:sz w:val="19"/>
          <w:szCs w:val="19"/>
          <w:b w:val="1"/>
          <w:bCs w:val="1"/>
          <w:color w:val="auto"/>
        </w:rPr>
        <w:t>General Effects of Expiration or Termination.</w:t>
      </w:r>
    </w:p>
    <w:p>
      <w:pPr>
        <w:spacing w:after="0" w:line="166" w:lineRule="exact"/>
        <w:rPr>
          <w:sz w:val="20"/>
          <w:szCs w:val="20"/>
          <w:color w:val="auto"/>
        </w:rPr>
      </w:pPr>
    </w:p>
    <w:p>
      <w:pPr>
        <w:jc w:val="both"/>
        <w:ind w:left="440" w:right="20" w:firstLine="586"/>
        <w:spacing w:after="0" w:line="224" w:lineRule="auto"/>
        <w:tabs>
          <w:tab w:leader="none" w:pos="1736"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Accrued Rights and Obligations</w:t>
      </w:r>
      <w:r>
        <w:rPr>
          <w:rFonts w:ascii="Times New Roman" w:cs="Times New Roman" w:eastAsia="Times New Roman" w:hAnsi="Times New Roman"/>
          <w:sz w:val="19"/>
          <w:szCs w:val="19"/>
          <w:color w:val="auto"/>
        </w:rPr>
        <w:t>. Neither expiration nor any termination of this Agreement for whatsoever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 shall relieve either Party of any obligation or liability (including but not limited to any payment obligation under Article 8) accruing prior to such expiration or termination, nor shall expiration or any termination of this Agreement for whatsoever reason preclude either Party from pursuing all rights and remedies it may have under this Agreement, at law or in equity, with respect to breach of this Agreement. Such obligations and rights shall survive termination and expiration of this Agreement.</w:t>
      </w:r>
    </w:p>
    <w:p>
      <w:pPr>
        <w:spacing w:after="0" w:line="132" w:lineRule="exact"/>
        <w:rPr>
          <w:rFonts w:ascii="Times New Roman" w:cs="Times New Roman" w:eastAsia="Times New Roman" w:hAnsi="Times New Roman"/>
          <w:sz w:val="19"/>
          <w:szCs w:val="19"/>
          <w:color w:val="auto"/>
        </w:rPr>
      </w:pPr>
    </w:p>
    <w:p>
      <w:pPr>
        <w:jc w:val="both"/>
        <w:ind w:left="440" w:right="20" w:firstLine="586"/>
        <w:spacing w:after="0" w:line="233" w:lineRule="auto"/>
        <w:tabs>
          <w:tab w:leader="none" w:pos="1736"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Non-Expired Options</w:t>
      </w:r>
      <w:r>
        <w:rPr>
          <w:rFonts w:ascii="Times New Roman" w:cs="Times New Roman" w:eastAsia="Times New Roman" w:hAnsi="Times New Roman"/>
          <w:sz w:val="19"/>
          <w:szCs w:val="19"/>
          <w:color w:val="auto"/>
        </w:rPr>
        <w:t>. In case of termination of the entire Agreement, all non-expired option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periods under the Agreement shall automatically terminate. Upon termination of one or more Licensed Products, the option period shall only terminate with respect to the terminated Licensed Product(s).</w:t>
      </w:r>
    </w:p>
    <w:p>
      <w:pPr>
        <w:spacing w:after="0" w:line="131" w:lineRule="exact"/>
        <w:rPr>
          <w:rFonts w:ascii="Times New Roman" w:cs="Times New Roman" w:eastAsia="Times New Roman" w:hAnsi="Times New Roman"/>
          <w:sz w:val="19"/>
          <w:szCs w:val="19"/>
          <w:color w:val="auto"/>
        </w:rPr>
      </w:pPr>
    </w:p>
    <w:p>
      <w:pPr>
        <w:jc w:val="both"/>
        <w:ind w:left="440" w:firstLine="586"/>
        <w:spacing w:after="0" w:line="224" w:lineRule="auto"/>
        <w:tabs>
          <w:tab w:leader="none" w:pos="1736"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Surviving Terms. </w:t>
      </w:r>
      <w:r>
        <w:rPr>
          <w:rFonts w:ascii="Times New Roman" w:cs="Times New Roman" w:eastAsia="Times New Roman" w:hAnsi="Times New Roman"/>
          <w:sz w:val="19"/>
          <w:szCs w:val="19"/>
          <w:color w:val="auto"/>
        </w:rPr>
        <w:t>The Parties’ rights and obligations under Article 1 (Definitions), Article 8 (Financial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otherwise set out in this Article 13, the Financial Terms only survive with respect to Licensee’s sell-off right in Sections 13.6(e), 13.7(b)(iv) and 13.8(b)(iii)); Article 9 (Payment); Article 10 (Confidentiality), Section 12.1 and with respect to [***] only Sections 12.2 and 12.4; Sections 13.5 to 13.10; Article 14(Indemnification) other than Section 14.4 (Insurance); Article 15 (Dispute Resolution); Article 16 (Miscellaneous) of this Agreement shall survive expiration or any termination of this Agreement.</w:t>
      </w:r>
    </w:p>
    <w:p>
      <w:pPr>
        <w:spacing w:after="0" w:line="13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13.6</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13. 7 Consequences of Termination by Duality for Material Breach or Patent Challenge by Licensee</w:t>
      </w:r>
      <w:r>
        <w:rPr>
          <w:rFonts w:ascii="Times New Roman" w:cs="Times New Roman" w:eastAsia="Times New Roman" w:hAnsi="Times New Roman"/>
          <w:sz w:val="19"/>
          <w:szCs w:val="19"/>
          <w:color w:val="auto"/>
        </w:rPr>
        <w:t>. If an 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tribunal in accordance with the process set out in Section 15.2 confirmed the existence of a material breach on the part of Licensee, and such material breach was not or cannot be cured, or in case of an uncured patent challenge by Licensee (Section 13.4(a)(i)), the following shall apply:</w:t>
      </w:r>
    </w:p>
    <w:p>
      <w:pPr>
        <w:spacing w:after="0" w:line="134" w:lineRule="exact"/>
        <w:rPr>
          <w:sz w:val="20"/>
          <w:szCs w:val="20"/>
          <w:color w:val="auto"/>
        </w:rPr>
      </w:pPr>
    </w:p>
    <w:p>
      <w:pPr>
        <w:ind w:left="1740" w:hanging="726"/>
        <w:spacing w:after="0"/>
        <w:tabs>
          <w:tab w:leader="none" w:pos="1740" w:val="left"/>
        </w:tabs>
        <w:numPr>
          <w:ilvl w:val="1"/>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Duality’s Election to Continue</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left="440" w:right="20" w:firstLine="574"/>
        <w:spacing w:after="0" w:line="233" w:lineRule="auto"/>
        <w:tabs>
          <w:tab w:leader="none" w:pos="1736" w:val="left"/>
        </w:tabs>
        <w:numPr>
          <w:ilvl w:val="1"/>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Duality’s Election to Terminate. </w:t>
      </w:r>
      <w:r>
        <w:rPr>
          <w:rFonts w:ascii="Times New Roman" w:cs="Times New Roman" w:eastAsia="Times New Roman" w:hAnsi="Times New Roman"/>
          <w:sz w:val="19"/>
          <w:szCs w:val="19"/>
          <w:color w:val="auto"/>
        </w:rPr>
        <w:t>Duality may, in its sole discretion, elect to terminate the Agreement (in part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its entirety, as applicable) for material breach in accordance with Section 13.3. The consequences of such a termination for material breach shall be as follows:</w:t>
      </w:r>
    </w:p>
    <w:p>
      <w:pPr>
        <w:spacing w:after="0" w:line="131" w:lineRule="exact"/>
        <w:rPr>
          <w:rFonts w:ascii="Times New Roman" w:cs="Times New Roman" w:eastAsia="Times New Roman" w:hAnsi="Times New Roman"/>
          <w:sz w:val="19"/>
          <w:szCs w:val="19"/>
          <w:color w:val="auto"/>
        </w:rPr>
      </w:pPr>
    </w:p>
    <w:p>
      <w:pPr>
        <w:ind w:left="1720" w:hanging="598"/>
        <w:spacing w:after="0"/>
        <w:tabs>
          <w:tab w:leader="none" w:pos="1720" w:val="left"/>
        </w:tabs>
        <w:numPr>
          <w:ilvl w:val="2"/>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Licenses Granted to Licensee</w:t>
      </w:r>
      <w:r>
        <w:rPr>
          <w:rFonts w:ascii="Times New Roman" w:cs="Times New Roman" w:eastAsia="Times New Roman" w:hAnsi="Times New Roman"/>
          <w:sz w:val="19"/>
          <w:szCs w:val="19"/>
          <w:color w:val="auto"/>
        </w:rPr>
        <w:t>. In case of a termination of the entire Agreement, [***].</w:t>
      </w:r>
    </w:p>
    <w:p>
      <w:pPr>
        <w:spacing w:after="0" w:line="165" w:lineRule="exact"/>
        <w:rPr>
          <w:rFonts w:ascii="Times New Roman" w:cs="Times New Roman" w:eastAsia="Times New Roman" w:hAnsi="Times New Roman"/>
          <w:sz w:val="19"/>
          <w:szCs w:val="19"/>
          <w:color w:val="auto"/>
        </w:rPr>
      </w:pPr>
    </w:p>
    <w:p>
      <w:pPr>
        <w:ind w:left="1720" w:hanging="598"/>
        <w:spacing w:after="0"/>
        <w:tabs>
          <w:tab w:leader="none" w:pos="1720" w:val="left"/>
        </w:tabs>
        <w:numPr>
          <w:ilvl w:val="2"/>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Rights Granted to Duality</w:t>
      </w:r>
      <w:r>
        <w:rPr>
          <w:rFonts w:ascii="Times New Roman" w:cs="Times New Roman" w:eastAsia="Times New Roman" w:hAnsi="Times New Roman"/>
          <w:sz w:val="19"/>
          <w:szCs w:val="19"/>
          <w:color w:val="auto"/>
        </w:rPr>
        <w:t>. In case of termination of the entire Agreement, [***].</w:t>
      </w:r>
    </w:p>
    <w:p>
      <w:pPr>
        <w:spacing w:after="0" w:line="165" w:lineRule="exact"/>
        <w:rPr>
          <w:rFonts w:ascii="Times New Roman" w:cs="Times New Roman" w:eastAsia="Times New Roman" w:hAnsi="Times New Roman"/>
          <w:sz w:val="19"/>
          <w:szCs w:val="19"/>
          <w:color w:val="auto"/>
        </w:rPr>
      </w:pPr>
    </w:p>
    <w:p>
      <w:pPr>
        <w:ind w:left="440" w:right="20" w:firstLine="682"/>
        <w:spacing w:after="0" w:line="249" w:lineRule="auto"/>
        <w:tabs>
          <w:tab w:leader="none" w:pos="1724" w:val="left"/>
        </w:tabs>
        <w:numPr>
          <w:ilvl w:val="2"/>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Wind-Down or Transfer of Activities. </w:t>
      </w:r>
      <w:r>
        <w:rPr>
          <w:rFonts w:ascii="Times New Roman" w:cs="Times New Roman" w:eastAsia="Times New Roman" w:hAnsi="Times New Roman"/>
          <w:sz w:val="19"/>
          <w:szCs w:val="19"/>
          <w:color w:val="auto"/>
        </w:rPr>
        <w:t>Licensee shall, as directed by Duality in its sole discretion, on a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Trial-by-Clinical Trial basis, either:</w:t>
      </w:r>
    </w:p>
    <w:p>
      <w:pPr>
        <w:spacing w:after="0" w:line="124" w:lineRule="exact"/>
        <w:rPr>
          <w:rFonts w:ascii="Times New Roman" w:cs="Times New Roman" w:eastAsia="Times New Roman" w:hAnsi="Times New Roman"/>
          <w:sz w:val="19"/>
          <w:szCs w:val="19"/>
          <w:color w:val="auto"/>
        </w:rPr>
      </w:pPr>
    </w:p>
    <w:p>
      <w:pPr>
        <w:ind w:left="1720" w:hanging="598"/>
        <w:spacing w:after="0"/>
        <w:tabs>
          <w:tab w:leader="none" w:pos="1720" w:val="left"/>
        </w:tabs>
        <w:numPr>
          <w:ilvl w:val="2"/>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ind w:left="1720" w:hanging="598"/>
        <w:spacing w:after="0"/>
        <w:tabs>
          <w:tab w:leader="none" w:pos="1720" w:val="left"/>
        </w:tabs>
        <w:numPr>
          <w:ilvl w:val="2"/>
          <w:numId w:val="7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Sublicenses. </w:t>
      </w:r>
      <w:r>
        <w:rPr>
          <w:rFonts w:ascii="Times New Roman" w:cs="Times New Roman" w:eastAsia="Times New Roman" w:hAnsi="Times New Roman"/>
          <w:sz w:val="19"/>
          <w:szCs w:val="19"/>
          <w:color w:val="auto"/>
        </w:rPr>
        <w:t>Duality shall grant to Licensee’s or Licensee’s Affiliate’s Sublicensees a direct license; provided that</w:t>
      </w:r>
    </w:p>
    <w:p>
      <w:pPr>
        <w:ind w:left="760" w:hanging="322"/>
        <w:spacing w:after="0" w:line="210" w:lineRule="auto"/>
        <w:tabs>
          <w:tab w:leader="none" w:pos="760" w:val="left"/>
        </w:tabs>
        <w:numPr>
          <w:ilvl w:val="0"/>
          <w:numId w:val="7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sublicense agreement is consistent with the relevant terms and conditions of this Agreement at the time of termination of</w:t>
      </w:r>
    </w:p>
    <w:p>
      <w:pPr>
        <w:ind w:left="4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72" w:name="page673"/>
    <w:bookmarkEnd w:id="672"/>
    <w:p>
      <w:pPr>
        <w:spacing w:after="0" w:line="257" w:lineRule="exact"/>
        <w:rPr>
          <w:sz w:val="20"/>
          <w:szCs w:val="20"/>
          <w:color w:val="auto"/>
        </w:rPr>
      </w:pPr>
    </w:p>
    <w:p>
      <w:pPr>
        <w:jc w:val="both"/>
        <w:ind w:left="440"/>
        <w:spacing w:after="0" w:line="227" w:lineRule="auto"/>
        <w:rPr>
          <w:sz w:val="20"/>
          <w:szCs w:val="20"/>
          <w:color w:val="auto"/>
        </w:rPr>
      </w:pPr>
      <w:r>
        <w:rPr>
          <w:rFonts w:ascii="Times New Roman" w:cs="Times New Roman" w:eastAsia="Times New Roman" w:hAnsi="Times New Roman"/>
          <w:sz w:val="19"/>
          <w:szCs w:val="19"/>
          <w:color w:val="auto"/>
        </w:rPr>
        <w:t>Agreement, (B) such Sublicensee then is not in material breach of its sublicense agreement and (C) such Sublicensee then has not caused Licensee to be in material breach of this Agreement due to any act or omission of such Sublicensee. The scope of such direct license shall be no less than the scope of the license granted in this Agreement and sublicensed to such Sublicensee and such direct license shall be on terms and conditions substantially similar to those set forth in this Agreement.</w:t>
      </w:r>
    </w:p>
    <w:p>
      <w:pPr>
        <w:spacing w:after="0" w:line="132"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9"/>
          <w:szCs w:val="19"/>
          <w:b w:val="1"/>
          <w:bCs w:val="1"/>
          <w:color w:val="auto"/>
        </w:rPr>
        <w:t xml:space="preserve">13. 8 Consequences of Termination by Licensee for Material Breach or Patent Challenge by Duality. </w:t>
      </w:r>
      <w:r>
        <w:rPr>
          <w:rFonts w:ascii="Times New Roman" w:cs="Times New Roman" w:eastAsia="Times New Roman" w:hAnsi="Times New Roman"/>
          <w:sz w:val="19"/>
          <w:szCs w:val="19"/>
          <w:color w:val="auto"/>
        </w:rPr>
        <w:t>If an 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tribunal in accordance with the process set out in Section 15.2 confirmed (A) the existence of a material breach on the part of Duality, and such material breach was not or cannot be cured, or (B) in case of [***], with the Licensee’s Executive Officer having the final say, the following shall apply:</w:t>
      </w:r>
    </w:p>
    <w:p>
      <w:pPr>
        <w:spacing w:after="0" w:line="147" w:lineRule="exact"/>
        <w:rPr>
          <w:sz w:val="20"/>
          <w:szCs w:val="20"/>
          <w:color w:val="auto"/>
        </w:rPr>
      </w:pPr>
    </w:p>
    <w:p>
      <w:pPr>
        <w:ind w:left="1160" w:hanging="290"/>
        <w:spacing w:after="0"/>
        <w:tabs>
          <w:tab w:leader="none" w:pos="1160" w:val="left"/>
        </w:tabs>
        <w:numPr>
          <w:ilvl w:val="0"/>
          <w:numId w:val="7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290"/>
        <w:spacing w:after="0"/>
        <w:tabs>
          <w:tab w:leader="none" w:pos="1160" w:val="left"/>
        </w:tabs>
        <w:numPr>
          <w:ilvl w:val="0"/>
          <w:numId w:val="7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290"/>
        <w:spacing w:after="0"/>
        <w:tabs>
          <w:tab w:leader="none" w:pos="1160" w:val="left"/>
        </w:tabs>
        <w:numPr>
          <w:ilvl w:val="0"/>
          <w:numId w:val="7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13.9</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13.10</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ARTICLE 14</w:t>
      </w: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142" w:lineRule="exact"/>
        <w:rPr>
          <w:sz w:val="20"/>
          <w:szCs w:val="20"/>
          <w:color w:val="auto"/>
        </w:rPr>
      </w:pPr>
    </w:p>
    <w:p>
      <w:pPr>
        <w:jc w:val="both"/>
        <w:ind w:right="20"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14. 1 Indemnification of Duality</w:t>
      </w:r>
      <w:r>
        <w:rPr>
          <w:rFonts w:ascii="Times New Roman" w:cs="Times New Roman" w:eastAsia="Times New Roman" w:hAnsi="Times New Roman"/>
          <w:sz w:val="19"/>
          <w:szCs w:val="19"/>
          <w:color w:val="auto"/>
        </w:rPr>
        <w:t>. Licensee shall indemnify and hold harmless each of Duality and its Affiliates and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consultants, agents and successors and assigns of any of the foregoing (the “</w:t>
      </w:r>
      <w:r>
        <w:rPr>
          <w:rFonts w:ascii="Times New Roman" w:cs="Times New Roman" w:eastAsia="Times New Roman" w:hAnsi="Times New Roman"/>
          <w:sz w:val="19"/>
          <w:szCs w:val="19"/>
          <w:b w:val="1"/>
          <w:bCs w:val="1"/>
          <w:color w:val="auto"/>
        </w:rPr>
        <w:t>Duality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Indemnitees</w:t>
      </w:r>
      <w:r>
        <w:rPr>
          <w:rFonts w:ascii="Times New Roman" w:cs="Times New Roman" w:eastAsia="Times New Roman" w:hAnsi="Times New Roman"/>
          <w:sz w:val="19"/>
          <w:szCs w:val="19"/>
          <w:color w:val="auto"/>
        </w:rPr>
        <w:t>”) from and against any and all losses, damages, liabilities, expenses and costs, including reasonable legal expense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attorneys’ fees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incurred by any Duality Indemnitee as a result of any claims, demands, actions, suits or proceedings brought by a Third Party (“</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arising directly or indirectly out of: (a) the practice by Licensee or its Affiliates or Sublicensees or subcontractors of the licenses granted to Licensee under this Agreement; (b) the research, Development, Manufacture or have Manufactured, use, handling, storage, Commercialization or other disposition of the Licensed Compound or the Licensed Products by Licensee or its Affiliates or Sublicensees or subcontractors; (c) the negligence or willful misconduct of any Licensee Indemnitee;</w:t>
      </w:r>
    </w:p>
    <w:p>
      <w:pPr>
        <w:spacing w:after="0" w:line="2" w:lineRule="exact"/>
        <w:rPr>
          <w:sz w:val="20"/>
          <w:szCs w:val="20"/>
          <w:color w:val="auto"/>
        </w:rPr>
      </w:pPr>
    </w:p>
    <w:p>
      <w:pPr>
        <w:jc w:val="both"/>
        <w:ind w:right="20" w:firstLine="6"/>
        <w:spacing w:after="0" w:line="216" w:lineRule="auto"/>
        <w:tabs>
          <w:tab w:leader="none" w:pos="291" w:val="left"/>
        </w:tabs>
        <w:numPr>
          <w:ilvl w:val="0"/>
          <w:numId w:val="7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any representations, warranties or covenants by Licensee under this Agreement or (e) any breach of the obligations under Section 8.8 or Section 8.9 of this Agreement; except, in each case, (x) to the extent such Third Party Claims fall within the scope of the indemnification obligations of Duality set forth in Section 14.2, or (y) arising from or occurring as a result of a Duality Indemnitee’s negligence, illegal conduct or willful misconduct in performing its or their obligations or exercising their rights under this Agreement. Except as set forth in Clause (e) above, Licensee’s indemnification obligation specifically excludes any and all Third Party Claims for the use of any Patents, Know-How or other intellectual property rights under any Third Party agreements entered into by Duality prior to the Effective Date, including but not limited to the payment of royalties thereunder, other than Third Party Claims arising from or related to Licensee’s failure to make any payment under Section 8.9 or Section 8.10 of this Agreement.</w:t>
      </w:r>
    </w:p>
    <w:p>
      <w:pPr>
        <w:spacing w:after="0" w:line="131"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14. 2 Indemnification of Licensee</w:t>
      </w:r>
      <w:r>
        <w:rPr>
          <w:rFonts w:ascii="Times New Roman" w:cs="Times New Roman" w:eastAsia="Times New Roman" w:hAnsi="Times New Roman"/>
          <w:sz w:val="19"/>
          <w:szCs w:val="19"/>
          <w:color w:val="auto"/>
        </w:rPr>
        <w:t>. Duality shall indemnify and hold harmless each of Licensee and its Affiliates and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consultants,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600"/>
          </w:cols>
          <w:pgMar w:left="660" w:top="1440" w:right="640" w:bottom="1440" w:gutter="0" w:footer="0" w:header="0"/>
        </w:sectPr>
      </w:pPr>
    </w:p>
    <w:bookmarkStart w:id="673" w:name="page674"/>
    <w:bookmarkEnd w:id="673"/>
    <w:p>
      <w:pPr>
        <w:spacing w:after="0" w:line="2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and successors and assigns of any of the foregoing (the “</w:t>
      </w:r>
      <w:r>
        <w:rPr>
          <w:rFonts w:ascii="Times New Roman" w:cs="Times New Roman" w:eastAsia="Times New Roman" w:hAnsi="Times New Roman"/>
          <w:sz w:val="19"/>
          <w:szCs w:val="19"/>
          <w:b w:val="1"/>
          <w:bCs w:val="1"/>
          <w:color w:val="auto"/>
        </w:rPr>
        <w:t>Licensee Indemnitees</w:t>
      </w:r>
      <w:r>
        <w:rPr>
          <w:rFonts w:ascii="Times New Roman" w:cs="Times New Roman" w:eastAsia="Times New Roman" w:hAnsi="Times New Roman"/>
          <w:sz w:val="19"/>
          <w:szCs w:val="19"/>
          <w:color w:val="auto"/>
        </w:rPr>
        <w:t>”), from and against any and all Losses incurred by any Licensee Indemnitee as a result of any Third Party Claims arising directly or indirectly out of: (a) the practice by Duality or its Affiliates or sublicensees or subcontractors of the license granted to Duality under Section 2.5; (b) the research, Development, Manufacture or have Manufactured, use, handling, storage, Commercialization or other disposition of the Licensed Compound or Licensed Products by Duality or its Affiliates or sublicensees or subcontractors; (c) the negligence or willful misconduct of any Duality Indemnitee; or (d) any breach of any representations, warranties or covenants by Duality under this Agreement; except, in each case, (x) to the extent such Third Party Claims fall within the scope of the indemnification obligations of Licensee set forth in Section 14.1, or (y) arising from or occurring as a result of a Licensee Indemnitee’s negligence, illegal conduct or willful misconduct in performing its or their obligations or exercising their rights under this Agreement. In addition to the above, and not subject to (x), regardless of any information provided by Duality to Licensee regarding Third Party Agreements entered into prior to the Effective Date, Duality’s indemnification obligation shall cover any and all Third Party Claims for the use of any Patents, Know- How or other intellectual property rights under any Third Party Agreements entered into by Duality prior to the Effective Date, including but not limited to the payment of royalties thereunder, other than Third Party Claims arising from or related to Licensee’s failure to make any payment under Section 8.9 or Section 8.10 of this Agreement.</w:t>
      </w:r>
    </w:p>
    <w:p>
      <w:pPr>
        <w:spacing w:after="0" w:line="135" w:lineRule="exact"/>
        <w:rPr>
          <w:sz w:val="20"/>
          <w:szCs w:val="20"/>
          <w:color w:val="auto"/>
        </w:rPr>
      </w:pPr>
    </w:p>
    <w:p>
      <w:pPr>
        <w:jc w:val="both"/>
        <w:ind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14.3 Procedure</w:t>
      </w:r>
      <w:r>
        <w:rPr>
          <w:rFonts w:ascii="Times New Roman" w:cs="Times New Roman" w:eastAsia="Times New Roman" w:hAnsi="Times New Roman"/>
          <w:sz w:val="19"/>
          <w:szCs w:val="19"/>
          <w:color w:val="auto"/>
        </w:rPr>
        <w:t>. If any Duality Indemnitee or Licensee Indemnitee intends to claim indemnification under this Article 14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Duality or Licensee, as the case may be, shall promptly notify the indemnifying Party (the “</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in writing of any Third Party Claim, in respect of which the Indemnitee intends to claim such indemnification. Each indemnification claim notice must contain a description of the claim, the nature and amount of such loss (to the extent known at the time). The Indemnitor shall have sole control of the defense and/or settlement thereof and the Indemnitee shall be entitled to participate in (but not control) the defense of such Third Party Claim and to employ counsel of its choice for this purpose, at its own expense. The indemnity arrangement in this Article 14 shall not apply to amounts paid in settlement of any action with respect to a Third Party Claim, if such settlement is effected without the consent of the Indemnitor, which consent shall not be withheld, conditioned or delayed unreasonably. The failure to deliver written notice to the Indemnitee within a reasonable time after the commencement of any action with respect to a Third Party Claim shall only relieve the Indemnitor of its indemnification obligations under this Article 14 if and to the extent the Indemnitee is actually prejudiced thereby. Duality or Licensee, as the case may be, and the Indemnitee shall cooperate fully with the Indemnitor and its legal representatives in the investigation of any action with respect to a Third Party Claim covered by these indemnification provisions. The Indemnitor shall not settle any Third Party Claim without the prior written consent of the Indemnitee if the settlement is reasonably expected to: (a) result in or impose any obligation (including any payment obligation) on the Indemnitee or otherwise adversely affect the business of the Indemnitee in any manner, or (b) result in any admission of wrong-doing or fault by the Indemnitee. The costs and expenses, including fees and disbursements of counsel, incurred by the Indemnitee in connection with any claim shall be reimbursed by the Indemnitor on a Calendar Quarter basis, without prejudice to the Indemnitor’s right to contest the Indemnitee’s right to indemnification and subject to refund in the event the Indemnitee is ultimately held not to be obligated to indemnify the Indemnitee.</w:t>
      </w:r>
    </w:p>
    <w:p>
      <w:pPr>
        <w:spacing w:after="0" w:line="142"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14.4 Insurance</w:t>
      </w:r>
      <w:r>
        <w:rPr>
          <w:rFonts w:ascii="Times New Roman" w:cs="Times New Roman" w:eastAsia="Times New Roman" w:hAnsi="Times New Roman"/>
          <w:sz w:val="19"/>
          <w:szCs w:val="19"/>
          <w:color w:val="auto"/>
        </w:rPr>
        <w:t>. Each Party, at its own expense, shall maintain product liability and other appropriate insurance (or self-insure) in an amount consistent with sound business practice and reasonable in light of its obligations under this Agreement during the Term. Each Party shall provide a certificate of insurance (or evidence of self- insurance) evidencing such coverage to the other Party upon request. Such insurance shall not be construed to create a limit on either Party’s liability with respect to its indemnification obligations under this Article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74" w:name="page675"/>
    <w:bookmarkEnd w:id="674"/>
    <w:p>
      <w:pPr>
        <w:spacing w:after="0" w:line="255"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15</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DISPUTE RESOLUTION</w:t>
      </w:r>
    </w:p>
    <w:p>
      <w:pPr>
        <w:spacing w:after="0" w:line="142"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15.1 Deadlock Resolution</w:t>
      </w:r>
      <w:r>
        <w:rPr>
          <w:rFonts w:ascii="Times New Roman" w:cs="Times New Roman" w:eastAsia="Times New Roman" w:hAnsi="Times New Roman"/>
          <w:sz w:val="19"/>
          <w:szCs w:val="19"/>
          <w:color w:val="auto"/>
        </w:rPr>
        <w:t>. In the event a deadlock occurs with respect to the decision-making process of the JSC,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deadlock shall be subject to binding determination by an expert panel in the Hong Kong Special Administrative Region. The expert panel shall consist of [***] members, [***] of which [***] appointed by each Party and the [***] member shall be selected by the other</w:t>
      </w:r>
    </w:p>
    <w:p>
      <w:pPr>
        <w:spacing w:after="0" w:line="2" w:lineRule="exact"/>
        <w:rPr>
          <w:sz w:val="20"/>
          <w:szCs w:val="20"/>
          <w:color w:val="auto"/>
        </w:rPr>
      </w:pPr>
    </w:p>
    <w:p>
      <w:pPr>
        <w:jc w:val="both"/>
        <w:ind w:right="20" w:firstLine="6"/>
        <w:spacing w:after="0" w:line="215" w:lineRule="auto"/>
        <w:tabs>
          <w:tab w:leader="none" w:pos="476" w:val="left"/>
        </w:tabs>
        <w:numPr>
          <w:ilvl w:val="0"/>
          <w:numId w:val="7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(collectively, the “</w:t>
      </w:r>
      <w:r>
        <w:rPr>
          <w:rFonts w:ascii="Times New Roman" w:cs="Times New Roman" w:eastAsia="Times New Roman" w:hAnsi="Times New Roman"/>
          <w:sz w:val="19"/>
          <w:szCs w:val="19"/>
          <w:b w:val="1"/>
          <w:bCs w:val="1"/>
          <w:color w:val="auto"/>
        </w:rPr>
        <w:t>Experts</w:t>
      </w:r>
      <w:r>
        <w:rPr>
          <w:rFonts w:ascii="Times New Roman" w:cs="Times New Roman" w:eastAsia="Times New Roman" w:hAnsi="Times New Roman"/>
          <w:sz w:val="19"/>
          <w:szCs w:val="19"/>
          <w:color w:val="auto"/>
        </w:rPr>
        <w:t>”). The panel must be appointed within [***] days of the occurrence of a deadlock event or such longer period as the Parties may agree. Each Expert shall be a person having not less than [***] years’ experience in the area of expertise in the business of pharmaceuticals (including biologics) and having no conflict of interest with either Party. If the issues in dispute involve scientific, technical or commercial matters, the Experts chosen hereunder shall have educational training or industry experience sufficient to demonstrate a reasonable level of relevant scientific, medical and industry knowledge, as necessary to resolve the dispute. With respect to any dispute to be submitted to an Expert pursuant to this Agreement, the use of the Expert shall be the exclusive remedy of the Parties, and neither Party shall attempt to adjudicate such dispute in any other forum. The decision of the Experts shall be final and binding on the applicable Parties involved in such dispute and deadlock resolution procedure contemplated by this Section 15.1 and shall not be capable of challenge, whether by arbitration, in court or otherwise. All proceedings and communications shall be in English.</w:t>
      </w:r>
    </w:p>
    <w:p>
      <w:pPr>
        <w:spacing w:after="0" w:line="131"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15.2 Disputes</w:t>
      </w:r>
      <w:r>
        <w:rPr>
          <w:rFonts w:ascii="Times New Roman" w:cs="Times New Roman" w:eastAsia="Times New Roman" w:hAnsi="Times New Roman"/>
          <w:sz w:val="19"/>
          <w:szCs w:val="19"/>
          <w:color w:val="auto"/>
        </w:rPr>
        <w:t>. Subject to Sections 15.4 and 15.5, upon the written request of either Party to the other Party, any differences,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claim, dispute, or controversy as to the breach, enforcement, interpretation or validity of this Agreement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be referred to the Executive Officers for resolution. In the event such executives are unable to resolve such Dispute within [***] days after the initial written request, then, upon the written demand of either Party and subject to Section 15.4 below, the Dispute shall be referred to and finally resolved by binding arbitration administered by the Hong Kong International Arbitration Centre (“</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(or any successor entity thereto) pursuant to the United Nations Commission on International Trade Law (“</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Arbitration Rules in force when the notice of arbitration is submitted, as modified by the HKIAC Procedures for the Administration of Arbitration under the UNCITRAL Arbitration Rules (the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as modified by Section 15.3 below.</w:t>
      </w:r>
    </w:p>
    <w:p>
      <w:pPr>
        <w:spacing w:after="0" w:line="134"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15.3</w:t>
      </w:r>
      <w:r>
        <w:rPr>
          <w:sz w:val="20"/>
          <w:szCs w:val="20"/>
          <w:color w:val="auto"/>
        </w:rPr>
        <w:tab/>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Procedure</w:t>
      </w:r>
      <w:r>
        <w:rPr>
          <w:rFonts w:ascii="Times New Roman" w:cs="Times New Roman" w:eastAsia="Times New Roman" w:hAnsi="Times New Roman"/>
          <w:sz w:val="19"/>
          <w:szCs w:val="19"/>
          <w:color w:val="auto"/>
        </w:rPr>
        <w:t>. The arbitration shall be conducted by a panel of three arbitrators experienced in the business of pharmaceuticals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biologicals). If the issues in dispute involve scientific, technical or commercial matters, the arbitrators chosen hereunder shall engage experts having educational training or industry experience sufficient to demonstrate a reasonable level of relevant scientific, medical and industry knowledge, as necessary to resolve the dispute. Within [***] days after initiation of arbitration, each of the Parties shall select one arbitrator and these two arbitrators shall jointly select a third arbitrator. If a Party fails to select an arbitrator or if the two arbitrators selected by the Parties are unable or fail to agree upon the third arbitrator within such [***] day period, any unselected arbitrator or third arbitrator, as the case may be, shall be appointed in accordance with the Rules. The place of arbitration and the seat of arbitration shall be Hong Kong Special Administrative Region, and all proceedings and communications shall be in English. Unless agreed by the Parties in writing, all documents provided under or in connection with this Agreement shall be in the English language or accompanied by a certified English translation. If such document is translated into any other language, the English language version shall prevail unless the document is a constitution, statutory or other official document. The laws governing this arbitration agreement shall be the laws of Hong Kong Special Administrative Region and the arbitral award shall be final and binding on the Parties.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75" w:name="page676"/>
    <w:bookmarkEnd w:id="675"/>
    <w:p>
      <w:pPr>
        <w:spacing w:after="0" w:line="25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the extent necessary to confirm an award or as may be required by law, neither a Party nor the arbitrators may disclose the existence, content, or results of arbitration without the prior written consent of both Parties.</w:t>
      </w:r>
    </w:p>
    <w:p>
      <w:pPr>
        <w:spacing w:after="0" w:line="126" w:lineRule="exact"/>
        <w:rPr>
          <w:sz w:val="20"/>
          <w:szCs w:val="20"/>
          <w:color w:val="auto"/>
        </w:rPr>
      </w:pPr>
    </w:p>
    <w:p>
      <w:pPr>
        <w:jc w:val="both"/>
        <w:ind w:left="440" w:firstLine="574"/>
        <w:spacing w:after="0" w:line="227" w:lineRule="auto"/>
        <w:tabs>
          <w:tab w:leader="none" w:pos="1736" w:val="left"/>
        </w:tabs>
        <w:numPr>
          <w:ilvl w:val="0"/>
          <w:numId w:val="7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Arbitrators’ Award</w:t>
      </w:r>
      <w:r>
        <w:rPr>
          <w:rFonts w:ascii="Times New Roman" w:cs="Times New Roman" w:eastAsia="Times New Roman" w:hAnsi="Times New Roman"/>
          <w:sz w:val="19"/>
          <w:szCs w:val="19"/>
          <w:color w:val="auto"/>
        </w:rPr>
        <w:t>. The arbitrators shall, within [***] days after the conclusion of the arbitration hearing, issue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any court of competent jurisdiction.</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24" w:lineRule="auto"/>
        <w:tabs>
          <w:tab w:leader="none" w:pos="1736" w:val="left"/>
        </w:tabs>
        <w:numPr>
          <w:ilvl w:val="0"/>
          <w:numId w:val="7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Each Party shall bear its own attorney’s fees, costs, and disbursements arising out of the arbitration,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pay an equal share of the fees and costs of the arbitrators; provided, however, that the arbitrators shall be authorized to determine whether a Party is the prevailing party, and if so, to award to that prevailing party reimbursement for any or all of its reasonable attorneys’ fees, costs and disbursements (including, for example, expert witness fees and expenses, photocopy charges, travel expenses, etc.), and/or the fees and costs of the HKIAC and the arbitrators.</w:t>
      </w:r>
    </w:p>
    <w:p>
      <w:pPr>
        <w:spacing w:after="0" w:line="132" w:lineRule="exact"/>
        <w:rPr>
          <w:rFonts w:ascii="Times New Roman" w:cs="Times New Roman" w:eastAsia="Times New Roman" w:hAnsi="Times New Roman"/>
          <w:sz w:val="19"/>
          <w:szCs w:val="19"/>
          <w:color w:val="auto"/>
        </w:rPr>
      </w:pPr>
    </w:p>
    <w:p>
      <w:pPr>
        <w:ind w:left="440" w:right="40" w:firstLine="574"/>
        <w:spacing w:after="0" w:line="249" w:lineRule="auto"/>
        <w:tabs>
          <w:tab w:leader="none" w:pos="1736" w:val="left"/>
        </w:tabs>
        <w:numPr>
          <w:ilvl w:val="0"/>
          <w:numId w:val="7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Protective Orders</w:t>
      </w:r>
      <w:r>
        <w:rPr>
          <w:rFonts w:ascii="Times New Roman" w:cs="Times New Roman" w:eastAsia="Times New Roman" w:hAnsi="Times New Roman"/>
          <w:sz w:val="19"/>
          <w:szCs w:val="19"/>
          <w:color w:val="auto"/>
        </w:rPr>
        <w:t>. At the request of either Party, the Tribunal shall enter an appropriate protective order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 the confidentiality of information produced or exchanged in the course of the arbitration proceedings.</w:t>
      </w:r>
    </w:p>
    <w:p>
      <w:pPr>
        <w:spacing w:after="0" w:line="123"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15.5 Interim Relief</w:t>
      </w:r>
      <w:r>
        <w:rPr>
          <w:rFonts w:ascii="Times New Roman" w:cs="Times New Roman" w:eastAsia="Times New Roman" w:hAnsi="Times New Roman"/>
          <w:sz w:val="19"/>
          <w:szCs w:val="19"/>
          <w:color w:val="auto"/>
        </w:rPr>
        <w:t>. Each Party shall be entitled to take action in any court with competent jurisdiction to apply for and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emergency or other interim relief and otherwise enforce by injunction, specific performance or other equitable relief, without prejudice to any other rights and remedies that it may have under this Agreement</w:t>
      </w:r>
    </w:p>
    <w:p>
      <w:pPr>
        <w:spacing w:after="0" w:line="132"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15.6 Continued Performance. </w:t>
      </w:r>
      <w:r>
        <w:rPr>
          <w:rFonts w:ascii="Times New Roman" w:cs="Times New Roman" w:eastAsia="Times New Roman" w:hAnsi="Times New Roman"/>
          <w:sz w:val="19"/>
          <w:szCs w:val="19"/>
          <w:color w:val="auto"/>
        </w:rPr>
        <w:t>Provided that this Agreement has not been terminated in its entirety, the Parties agree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 performing under this Agreement in accordance with its provisions, pending the final resolution of any Dispute.</w:t>
      </w:r>
    </w:p>
    <w:p>
      <w:pPr>
        <w:spacing w:after="0" w:line="200" w:lineRule="exact"/>
        <w:rPr>
          <w:sz w:val="20"/>
          <w:szCs w:val="20"/>
          <w:color w:val="auto"/>
        </w:rPr>
      </w:pPr>
    </w:p>
    <w:p>
      <w:pPr>
        <w:spacing w:after="0" w:line="3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16</w:t>
      </w:r>
    </w:p>
    <w:p>
      <w:pPr>
        <w:ind w:left="444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42"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9"/>
          <w:szCs w:val="19"/>
          <w:b w:val="1"/>
          <w:bCs w:val="1"/>
          <w:color w:val="auto"/>
        </w:rPr>
        <w:t>16.1</w:t>
      </w:r>
      <w:r>
        <w:rPr>
          <w:sz w:val="20"/>
          <w:szCs w:val="20"/>
          <w:color w:val="auto"/>
        </w:rPr>
        <w:tab/>
      </w:r>
      <w:r>
        <w:rPr>
          <w:rFonts w:ascii="Times New Roman" w:cs="Times New Roman" w:eastAsia="Times New Roman" w:hAnsi="Times New Roman"/>
          <w:sz w:val="19"/>
          <w:szCs w:val="19"/>
          <w:b w:val="1"/>
          <w:bCs w:val="1"/>
          <w:color w:val="auto"/>
        </w:rPr>
        <w:t>Rights in Bankruptcy.</w:t>
      </w:r>
    </w:p>
    <w:p>
      <w:pPr>
        <w:spacing w:after="0" w:line="168" w:lineRule="exact"/>
        <w:rPr>
          <w:sz w:val="20"/>
          <w:szCs w:val="20"/>
          <w:color w:val="auto"/>
        </w:rPr>
      </w:pPr>
    </w:p>
    <w:p>
      <w:pPr>
        <w:jc w:val="both"/>
        <w:ind w:left="440" w:firstLine="574"/>
        <w:spacing w:after="0" w:line="219" w:lineRule="auto"/>
        <w:tabs>
          <w:tab w:leader="none" w:pos="1736" w:val="left"/>
        </w:tabs>
        <w:numPr>
          <w:ilvl w:val="0"/>
          <w:numId w:val="7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to take advantage of the protections of Section 365(n) (or any successor 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or in any analogous provisions in any other country or jurisdiction (as the case may be) shall be deemed to be “intellectual property” for the purposes of Section 365(n) or any analogous provisions in any other country or jurisdiction (as the case may be). The Parties shall retain and may fully exercise all of their rights and elections under the U.S. Bankruptcy Code or any analogous provisions in any other country or jurisdiction, including the right to obtain the intellectual property from another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76" w:name="page677"/>
    <w:bookmarkEnd w:id="676"/>
    <w:p>
      <w:pPr>
        <w:spacing w:after="0" w:line="257" w:lineRule="exact"/>
        <w:rPr>
          <w:sz w:val="20"/>
          <w:szCs w:val="20"/>
          <w:color w:val="auto"/>
        </w:rPr>
      </w:pPr>
    </w:p>
    <w:p>
      <w:pPr>
        <w:jc w:val="both"/>
        <w:ind w:left="440" w:firstLine="574"/>
        <w:spacing w:after="0" w:line="220" w:lineRule="auto"/>
        <w:tabs>
          <w:tab w:leader="none" w:pos="1736" w:val="left"/>
        </w:tabs>
        <w:numPr>
          <w:ilvl w:val="0"/>
          <w:numId w:val="7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(i) upon commencement of a bankruptcy proceeding, unless the Party subject to such proceeding continues to perform all of its obligations under this Agreement, or (ii) if not delivered pursuant to clause (i) above because the subject Party continues to perform, upon the rejection of this Agreement by or on behalf of the subject Party.</w:t>
      </w:r>
    </w:p>
    <w:p>
      <w:pPr>
        <w:spacing w:after="0" w:line="134"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7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spacing w:after="0" w:line="132"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16.2 Governing Law</w:t>
      </w:r>
      <w:r>
        <w:rPr>
          <w:rFonts w:ascii="Times New Roman" w:cs="Times New Roman" w:eastAsia="Times New Roman" w:hAnsi="Times New Roman"/>
          <w:sz w:val="19"/>
          <w:szCs w:val="19"/>
          <w:color w:val="auto"/>
        </w:rPr>
        <w:t>. This Agreement and any disputes, claims, or actions related thereto shall be governed by and construed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 laws of the State of New York, without regard to the conflicts of law provisions thereof.</w:t>
      </w:r>
    </w:p>
    <w:p>
      <w:pPr>
        <w:spacing w:after="0" w:line="123"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16.3 Entire Agreement; Amendment </w:t>
      </w:r>
      <w:r>
        <w:rPr>
          <w:rFonts w:ascii="Times New Roman" w:cs="Times New Roman" w:eastAsia="Times New Roman" w:hAnsi="Times New Roman"/>
          <w:sz w:val="19"/>
          <w:szCs w:val="19"/>
          <w:color w:val="auto"/>
        </w:rPr>
        <w:t>. This Agreement, including the Schedules hereto, sets forth all of the agreements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understandings between the Parties with respect to the subject matter hereof and thereof, and supersedes and terminates all prior agreements and understandings between the Parties with respect to the subject matter hereof and thereof. There are no other agreements or understandings with respect to the subject matter hereof, either oral or written, between the Parties. Except as expressly set forth in this Agreement, no subsequent amendment, modification or addition to this Agreement shall be binding upon the Parties unless reduced to writing and signed by the respective authorized officers of the Parties.</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16.4 Further Assurances</w:t>
      </w:r>
      <w:r>
        <w:rPr>
          <w:rFonts w:ascii="Times New Roman" w:cs="Times New Roman" w:eastAsia="Times New Roman" w:hAnsi="Times New Roman"/>
          <w:sz w:val="19"/>
          <w:szCs w:val="19"/>
          <w:color w:val="auto"/>
        </w:rPr>
        <w:t>. Each Party shall duly execute and deliver, or cause to be duly executed and delivered, such further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instruments and do and cause to be done such further acts and things, including the filing of such assignments, agreements, documents, and instruments, as may be necessary or as any other Party may reasonably request in connection with this Agreement or to carry out more effectively the provisions and purposes hereof, or to better assure and confirm unto such other Party its rights and remedies under this Agreement.</w:t>
      </w:r>
    </w:p>
    <w:p>
      <w:pPr>
        <w:spacing w:after="0" w:line="133"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16.5 Relationship Between the Parties</w:t>
      </w:r>
      <w:r>
        <w:rPr>
          <w:rFonts w:ascii="Times New Roman" w:cs="Times New Roman" w:eastAsia="Times New Roman" w:hAnsi="Times New Roman"/>
          <w:sz w:val="19"/>
          <w:szCs w:val="19"/>
          <w:color w:val="auto"/>
        </w:rPr>
        <w:t>. The Parties’ relationship, as established by this Agreement, is solely that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independent contractors. This Agreement does not create any partnership, joint venture or similar business relationship or legal entity of any type between the Parties. Neither Party is a legal representative of the other Party, and neither Party can assume or create any obligation, representation, warranty or guarantee, express or implied, on behalf of the other Party for any purpose whatsoever. Neither Party shall treat or report the relationship arising under this Agreement as a partnership for United States tax purposes unless otherwise required pursuant to a determination within the meaning of Section 1313 of the Internal Revenue Code of 1986, as amended.</w:t>
      </w:r>
    </w:p>
    <w:p>
      <w:pPr>
        <w:spacing w:after="0" w:line="132"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16.6 Non -Waiver</w:t>
      </w:r>
      <w:r>
        <w:rPr>
          <w:rFonts w:ascii="Times New Roman" w:cs="Times New Roman" w:eastAsia="Times New Roman" w:hAnsi="Times New Roman"/>
          <w:sz w:val="19"/>
          <w:szCs w:val="19"/>
          <w:color w:val="auto"/>
        </w:rPr>
        <w:t>. The failure of a Party to insist upon strict performance of any provision of this Agreement or to exercise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of a particular scope, and shall be signed by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77" w:name="page678"/>
    <w:bookmarkEnd w:id="677"/>
    <w:p>
      <w:pPr>
        <w:spacing w:after="0" w:line="255" w:lineRule="exact"/>
        <w:rPr>
          <w:sz w:val="20"/>
          <w:szCs w:val="20"/>
          <w:color w:val="auto"/>
        </w:rPr>
      </w:pPr>
    </w:p>
    <w:p>
      <w:pPr>
        <w:jc w:val="both"/>
        <w:ind w:right="20"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16.7 Assignment</w:t>
      </w:r>
      <w:r>
        <w:rPr>
          <w:rFonts w:ascii="Times New Roman" w:cs="Times New Roman" w:eastAsia="Times New Roman" w:hAnsi="Times New Roman"/>
          <w:sz w:val="19"/>
          <w:szCs w:val="19"/>
          <w:color w:val="auto"/>
        </w:rPr>
        <w:t>. Except as expressly provided hereunder, neither this Agreement nor any rights or obligations hereunder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be assigned by a Party without the prior written consent of the other Party (which shall not be unreasonably withheld, conditioned or delayed), except to (a) an Affiliate; provided that this Agreement shall be assigned in whole, and the assigning Party shall remain liable and responsible to the non -assigning Party hereto for the performance and observance of all such duties and obligations by such Affiliate;</w:t>
      </w:r>
    </w:p>
    <w:p>
      <w:pPr>
        <w:spacing w:after="0" w:line="2" w:lineRule="exact"/>
        <w:rPr>
          <w:sz w:val="20"/>
          <w:szCs w:val="20"/>
          <w:color w:val="auto"/>
        </w:rPr>
      </w:pPr>
    </w:p>
    <w:p>
      <w:pPr>
        <w:jc w:val="both"/>
        <w:ind w:right="40" w:firstLine="6"/>
        <w:spacing w:after="0" w:line="216" w:lineRule="auto"/>
        <w:tabs>
          <w:tab w:leader="none" w:pos="281" w:val="left"/>
        </w:tabs>
        <w:numPr>
          <w:ilvl w:val="0"/>
          <w:numId w:val="7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Third Party in connection with the sale of all or substantially all of its assets to which this Agreement relates, whether in a sale of stock, sale of assets, business combination, reorganization, or other transaction or series of related transactions. Unless expressly stated otherwise in this Agreement, Duality may assign without the prior consent of Licensee its right to receive payments under this Agreement or grant any security interest in its rights, title and interest in this Agreement, in whole or in part and in their entirety or in portions, to an institutional financier in connection with a financing transaction; provided that Duality has given Licensee a prior written notice regarding such assignment. The rights and obligations of the Parties under this Agreement shall be binding upon and inure to the benefit of the permitted assigns of the Parties. Any assignment not in accordance with this Agreement shall be void.</w:t>
      </w:r>
    </w:p>
    <w:p>
      <w:pPr>
        <w:spacing w:after="0" w:line="13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16. 8 Third Party Beneficiaries</w:t>
      </w:r>
      <w:r>
        <w:rPr>
          <w:rFonts w:ascii="Times New Roman" w:cs="Times New Roman" w:eastAsia="Times New Roman" w:hAnsi="Times New Roman"/>
          <w:sz w:val="19"/>
          <w:szCs w:val="19"/>
          <w:color w:val="auto"/>
        </w:rPr>
        <w:t>. This Agreement is not intended to and shall not be construed to give any Third Party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or rights (including any third party beneficiary rights) with respect to or in connection with any agreement or provision contained herein or contemplated hereby.</w:t>
      </w:r>
    </w:p>
    <w:p>
      <w:pPr>
        <w:spacing w:after="0" w:line="132"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16. 9 Severability </w:t>
      </w:r>
      <w:r>
        <w:rPr>
          <w:rFonts w:ascii="Times New Roman" w:cs="Times New Roman" w:eastAsia="Times New Roman" w:hAnsi="Times New Roman"/>
          <w:sz w:val="19"/>
          <w:szCs w:val="19"/>
          <w:color w:val="auto"/>
        </w:rPr>
        <w:t>. If, for any reason, any part of this Agreement is adjudicated invalid, unenforceable or illegal by a court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jurisdiction, such adjudication shall not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 The Parties shall use their commercially reasonable efforts to replace the invalid, illegal or unenforceable provision(s) with valid, legal and enforceable provision(s) in a way that, to the extent practicable and legally permissible, implements the original intent of the Parties.</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16.10 Notices</w:t>
      </w:r>
      <w:r>
        <w:rPr>
          <w:rFonts w:ascii="Times New Roman" w:cs="Times New Roman" w:eastAsia="Times New Roman" w:hAnsi="Times New Roman"/>
          <w:sz w:val="19"/>
          <w:szCs w:val="19"/>
          <w:color w:val="auto"/>
        </w:rPr>
        <w:t>. Any notice to be given under this Agreement must be in writing and delivered either in person, by any method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mail (postage prepaid) requiring return receipt, or by overnight courier or facsimile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delivered by overnight courier, [***] Business Days after delivery; or (c) if sent by facsimile, upon electronic confirmation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600"/>
          </w:cols>
          <w:pgMar w:left="660" w:top="1440" w:right="640" w:bottom="1440" w:gutter="0" w:footer="0" w:header="0"/>
        </w:sectPr>
      </w:pPr>
    </w:p>
    <w:bookmarkStart w:id="678" w:name="page679"/>
    <w:bookmarkEnd w:id="678"/>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if to Duality: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Duality Biologics (Suzhou) Co., Ltd</w:t>
      </w:r>
    </w:p>
    <w:p>
      <w:pPr>
        <w:spacing w:after="0" w:line="17" w:lineRule="exact"/>
        <w:rPr>
          <w:sz w:val="20"/>
          <w:szCs w:val="20"/>
          <w:color w:val="auto"/>
        </w:rPr>
      </w:pPr>
    </w:p>
    <w:p>
      <w:pPr>
        <w:sectPr>
          <w:pgSz w:w="11900" w:h="16840" w:orient="portrait"/>
          <w:cols w:equalWidth="0" w:num="2">
            <w:col w:w="4520" w:space="720"/>
            <w:col w:w="5340"/>
          </w:cols>
          <w:pgMar w:left="660" w:top="1440" w:right="660" w:bottom="1440" w:gutter="0" w:footer="0" w:header="0"/>
        </w:sectPr>
      </w:pPr>
    </w:p>
    <w:p>
      <w:pPr>
        <w:ind w:left="5240"/>
        <w:spacing w:after="0"/>
        <w:rPr>
          <w:sz w:val="20"/>
          <w:szCs w:val="20"/>
          <w:color w:val="auto"/>
        </w:rPr>
      </w:pPr>
      <w:r>
        <w:rPr>
          <w:rFonts w:ascii="Times New Roman" w:cs="Times New Roman" w:eastAsia="Times New Roman" w:hAnsi="Times New Roman"/>
          <w:sz w:val="19"/>
          <w:szCs w:val="19"/>
          <w:color w:val="auto"/>
        </w:rPr>
        <w:t>Unit 1106, No 868 Yinghua Road, Pudong New District, Shanghai,</w:t>
      </w:r>
    </w:p>
    <w:p>
      <w:pPr>
        <w:ind w:left="5240"/>
        <w:spacing w:after="0"/>
        <w:rPr>
          <w:sz w:val="20"/>
          <w:szCs w:val="20"/>
          <w:color w:val="auto"/>
        </w:rPr>
      </w:pPr>
      <w:r>
        <w:rPr>
          <w:rFonts w:ascii="Times New Roman" w:cs="Times New Roman" w:eastAsia="Times New Roman" w:hAnsi="Times New Roman"/>
          <w:sz w:val="19"/>
          <w:szCs w:val="19"/>
          <w:color w:val="auto"/>
        </w:rPr>
        <w:t>China</w:t>
      </w:r>
    </w:p>
    <w:p>
      <w:pPr>
        <w:spacing w:after="0" w:line="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Attention: [***]</w:t>
      </w: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Email: [***]</w:t>
      </w:r>
    </w:p>
    <w:p>
      <w:pPr>
        <w:sectPr>
          <w:pgSz w:w="11900" w:h="16840" w:orient="portrait"/>
          <w:cols w:equalWidth="0" w:num="1">
            <w:col w:w="10580"/>
          </w:cols>
          <w:pgMar w:left="660" w:top="1440" w:right="66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ectPr>
          <w:pgSz w:w="11900" w:h="16840" w:orient="portrait"/>
          <w:cols w:equalWidth="0" w:num="2">
            <w:col w:w="4520" w:space="720"/>
            <w:col w:w="5340"/>
          </w:cols>
          <w:pgMar w:left="660" w:top="1440" w:right="66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1440" w:right="66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if to Licensee: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BIONTECH SE</w:t>
      </w:r>
    </w:p>
    <w:p>
      <w:pPr>
        <w:spacing w:after="0" w:line="210" w:lineRule="auto"/>
        <w:rPr>
          <w:sz w:val="20"/>
          <w:szCs w:val="20"/>
          <w:color w:val="auto"/>
        </w:rPr>
      </w:pP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19"/>
          <w:szCs w:val="19"/>
          <w:color w:val="auto"/>
        </w:rPr>
        <w:t>Address: An der Goldgrube 12,</w:t>
      </w:r>
    </w:p>
    <w:p>
      <w:pPr>
        <w:spacing w:after="0" w:line="211" w:lineRule="auto"/>
        <w:rPr>
          <w:sz w:val="20"/>
          <w:szCs w:val="20"/>
          <w:color w:val="auto"/>
        </w:rPr>
      </w:pPr>
      <w:r>
        <w:rPr>
          <w:rFonts w:ascii="Times New Roman" w:cs="Times New Roman" w:eastAsia="Times New Roman" w:hAnsi="Times New Roman"/>
          <w:sz w:val="19"/>
          <w:szCs w:val="19"/>
          <w:color w:val="auto"/>
        </w:rPr>
        <w:t>55131 Mainz,</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Germany</w:t>
      </w:r>
    </w:p>
    <w:p>
      <w:pPr>
        <w:spacing w:after="0" w:line="200" w:lineRule="exact"/>
        <w:rPr>
          <w:sz w:val="20"/>
          <w:szCs w:val="20"/>
          <w:color w:val="auto"/>
        </w:rPr>
      </w:pPr>
    </w:p>
    <w:p>
      <w:pPr>
        <w:sectPr>
          <w:pgSz w:w="11900" w:h="16840" w:orient="portrait"/>
          <w:cols w:equalWidth="0" w:num="2">
            <w:col w:w="4500" w:space="720"/>
            <w:col w:w="5360"/>
          </w:cols>
          <w:pgMar w:left="660" w:top="1440" w:right="660" w:bottom="1440" w:gutter="0" w:footer="0" w:header="0"/>
          <w:type w:val="continuous"/>
        </w:sectPr>
      </w:pP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40" w:orient="portrait"/>
          <w:cols w:equalWidth="0" w:num="2">
            <w:col w:w="4500" w:space="720"/>
            <w:col w:w="5360"/>
          </w:cols>
          <w:pgMar w:left="660" w:top="1440" w:right="66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16.11 Force Majeure</w:t>
      </w:r>
      <w:r>
        <w:rPr>
          <w:rFonts w:ascii="Times New Roman" w:cs="Times New Roman" w:eastAsia="Times New Roman" w:hAnsi="Times New Roman"/>
          <w:sz w:val="19"/>
          <w:szCs w:val="19"/>
          <w:color w:val="auto"/>
        </w:rPr>
        <w:t>. Each Party shall be excused from liability for the failure or delay in performance of any obligation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under this Agreement by reason of any event beyond such Party’s reasonable control including but not limited to acts of God, fire, flood, explosion, earthquake, or other natural forces, regional or worldwide epidemic, pandemic, war, civil unrest, acts of terrorism, accident, destruction or other casualty, and a material change in Applicable Law (a “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Such excuse from liability shall be effective only to the extent and duration of the event(s) causing the failure or delay in performance and provided that the Party has not caused such event(s) to occur. Notice of a Party’s failure or delay in performance due to a Force Majeure Event must be given to the other Party within [***] days after its occurrence. The Party affected by a Force Majeure Event will use reasonable efforts to resume performance of its obligations and will keep the other Party informed of actions related thereto. If any such failure or delay in a Party’s performance hereunder continues for more than [***] days, the other Party may terminate this Agreement upon written notice to the delayed Party.</w:t>
      </w:r>
    </w:p>
    <w:p>
      <w:pPr>
        <w:spacing w:after="0" w:line="137"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16.12 Interpretation</w:t>
      </w:r>
      <w:r>
        <w:rPr>
          <w:rFonts w:ascii="Times New Roman" w:cs="Times New Roman" w:eastAsia="Times New Roman" w:hAnsi="Times New Roman"/>
          <w:sz w:val="19"/>
          <w:szCs w:val="19"/>
          <w:color w:val="auto"/>
        </w:rPr>
        <w:t>. The headings of clauses contained in this Agreement preceding the text of the sections, subsections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The words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type w:val="continuous"/>
        </w:sectPr>
      </w:pPr>
    </w:p>
    <w:bookmarkStart w:id="679" w:name="page680"/>
    <w:bookmarkEnd w:id="679"/>
    <w:p>
      <w:pPr>
        <w:spacing w:after="0" w:line="25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9"/>
          <w:szCs w:val="19"/>
          <w:color w:val="auto"/>
        </w:rPr>
        <w:t>“including”, “containing”, “comprising” and similar words shall not be deemed to be terms of limitation and shall be deemed to be followed by “ without limitation,” whether or not specifically stated and the language following such words shall not be deemed to set forth an exhaustive list. The word “or” means “and/or” unless the context dictates otherwise because the subject of the conjunction are mutually exclusive. The words “herein,” “hereof” and “hereunder” and other words of similar import refer to this Agreement as a whole and not to any particular Section or other subdivision. The words “pharmaceuticals” or “drugs” include biologics unless expressly indicated otherwise. All references to days in this Agreement shall mean calendar days, unless otherwise specified. All references to any Applicable Law in this Agreement shall mean such Applicable Law as amended, restated, supplanted or otherwise modified from time to time. Ambiguities and uncertainties in this Agreement, if any, shall not be interpreted against either Party, irrespective of which Party may be deemed to have caused the ambiguity or uncertainty to exist.</w:t>
      </w:r>
    </w:p>
    <w:p>
      <w:pPr>
        <w:spacing w:after="0" w:line="132"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16.13 Construction</w:t>
      </w:r>
      <w:r>
        <w:rPr>
          <w:rFonts w:ascii="Times New Roman" w:cs="Times New Roman" w:eastAsia="Times New Roman" w:hAnsi="Times New Roman"/>
          <w:sz w:val="19"/>
          <w:szCs w:val="19"/>
          <w:color w:val="auto"/>
        </w:rPr>
        <w:t>. The Parties hereto acknowledge and agree that: (a) each Party and its counsel reviewed and negotiated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33"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16.14 Counterparts; Electronic Signatures</w:t>
      </w:r>
      <w:r>
        <w:rPr>
          <w:rFonts w:ascii="Times New Roman" w:cs="Times New Roman" w:eastAsia="Times New Roman" w:hAnsi="Times New Roman"/>
          <w:sz w:val="19"/>
          <w:szCs w:val="19"/>
          <w:color w:val="auto"/>
        </w:rPr>
        <w:t>. This Agreement may be executed in two (2) or more counterparts, including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transmission of facsimile or PDF copies of signature pages to the Parties or their representative legal counsel, each of which shall be deemed an original document, and all of which, together with this writing, shall be deemed one and the same instrument. Electronic, facsimile or PDF image signatures shall be treated as original signatures, with the understanding that each Party expressly agrees that such Party shall be bound by its own electronically transmitted signature and shall accept the electronically transmitted signature of the other Party (including through the use of eSignature platforms such as DocuSign®). No Party will raise the use of electronic delivery to transmit a signature or the fact that any signature or agreement or instrument was transmitted or communicated through the use of electronic delivery as a defense to the formation of a contract.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60" w:top="1440" w:right="660" w:bottom="1440" w:gutter="0" w:footer="0" w:header="0"/>
        </w:sectPr>
      </w:pPr>
    </w:p>
    <w:bookmarkStart w:id="680" w:name="page681"/>
    <w:bookmarkEnd w:id="680"/>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duly executed this</w:t>
      </w:r>
      <w:r>
        <w:rPr>
          <w:rFonts w:ascii="Times New Roman" w:cs="Times New Roman" w:eastAsia="Times New Roman" w:hAnsi="Times New Roman"/>
          <w:sz w:val="19"/>
          <w:szCs w:val="19"/>
          <w:b w:val="1"/>
          <w:bCs w:val="1"/>
          <w:color w:val="auto"/>
        </w:rPr>
        <w:t xml:space="preserve"> License and Collaboration Agreement </w:t>
      </w:r>
      <w:r>
        <w:rPr>
          <w:rFonts w:ascii="Times New Roman" w:cs="Times New Roman" w:eastAsia="Times New Roman" w:hAnsi="Times New Roman"/>
          <w:sz w:val="19"/>
          <w:szCs w:val="19"/>
          <w:color w:val="auto"/>
        </w:rPr>
        <w:t>as of the Effective</w:t>
      </w:r>
    </w:p>
    <w:p>
      <w:pPr>
        <w:ind w:left="20"/>
        <w:spacing w:after="0"/>
        <w:rPr>
          <w:sz w:val="20"/>
          <w:szCs w:val="20"/>
          <w:color w:val="auto"/>
        </w:rPr>
      </w:pPr>
      <w:r>
        <w:rPr>
          <w:rFonts w:ascii="Times New Roman" w:cs="Times New Roman" w:eastAsia="Times New Roman" w:hAnsi="Times New Roman"/>
          <w:sz w:val="19"/>
          <w:szCs w:val="19"/>
          <w:color w:val="auto"/>
        </w:rPr>
        <w:t>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tc>
        <w:tc>
          <w:tcPr>
            <w:tcW w:w="5860" w:type="dxa"/>
            <w:vAlign w:val="bottom"/>
            <w:gridSpan w:val="4"/>
          </w:tcPr>
          <w:p>
            <w:pPr>
              <w:ind w:left="1160"/>
              <w:spacing w:after="0"/>
              <w:rPr>
                <w:sz w:val="20"/>
                <w:szCs w:val="20"/>
                <w:color w:val="auto"/>
              </w:rPr>
            </w:pPr>
            <w:r>
              <w:rPr>
                <w:rFonts w:ascii="Times New Roman" w:cs="Times New Roman" w:eastAsia="Times New Roman" w:hAnsi="Times New Roman"/>
                <w:sz w:val="19"/>
                <w:szCs w:val="19"/>
                <w:b w:val="1"/>
                <w:bCs w:val="1"/>
                <w:color w:val="auto"/>
              </w:rPr>
              <w:t>BioNTech SE</w:t>
            </w:r>
          </w:p>
        </w:tc>
      </w:tr>
      <w:tr>
        <w:trPr>
          <w:trHeight w:val="386"/>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By: /s/ Zhongyuan John Zhu</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By: /s/ Ugur Sahin</w:t>
            </w: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5"/>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Name: Zhongyuan John Zhu</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Name: Ugur Sahin</w:t>
            </w:r>
          </w:p>
        </w:tc>
      </w:tr>
      <w:tr>
        <w:trPr>
          <w:trHeight w:val="251"/>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Title: Chief Executive Officer</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Title: Chief Executive Officer</w:t>
            </w:r>
          </w:p>
        </w:tc>
      </w:tr>
      <w:tr>
        <w:trPr>
          <w:trHeight w:val="686"/>
        </w:trPr>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By: /s/ Sean Marett</w:t>
            </w:r>
          </w:p>
        </w:tc>
      </w:tr>
      <w:tr>
        <w:trPr>
          <w:trHeight w:val="20"/>
        </w:trPr>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5"/>
        </w:trPr>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Name: Sean Marett</w:t>
            </w:r>
          </w:p>
        </w:tc>
      </w:tr>
      <w:tr>
        <w:trPr>
          <w:trHeight w:val="251"/>
        </w:trPr>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Title: Chief Business Officer and Chief Commercial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B7H3 License And Collaboration Agreement</w:t>
      </w: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80"/>
          </w:cols>
          <w:pgMar w:left="640" w:top="1440" w:right="680" w:bottom="1440" w:gutter="0" w:footer="0" w:header="0"/>
        </w:sectPr>
      </w:pPr>
    </w:p>
    <w:bookmarkStart w:id="681" w:name="page682"/>
    <w:bookmarkEnd w:id="681"/>
    <w:p>
      <w:pPr>
        <w:spacing w:after="0" w:line="200" w:lineRule="exact"/>
        <w:rPr>
          <w:sz w:val="20"/>
          <w:szCs w:val="20"/>
          <w:color w:val="auto"/>
        </w:rPr>
      </w:pPr>
    </w:p>
    <w:p>
      <w:pPr>
        <w:spacing w:after="0" w:line="283"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19"/>
          <w:szCs w:val="19"/>
          <w:b w:val="1"/>
          <w:bCs w:val="1"/>
          <w:color w:val="auto"/>
        </w:rPr>
        <w:t>Schedule 1.1</w:t>
      </w:r>
    </w:p>
    <w:p>
      <w:pPr>
        <w:spacing w:after="0" w:line="202" w:lineRule="exact"/>
        <w:rPr>
          <w:sz w:val="20"/>
          <w:szCs w:val="20"/>
          <w:color w:val="auto"/>
        </w:rPr>
      </w:pPr>
    </w:p>
    <w:p>
      <w:pPr>
        <w:ind w:left="4794"/>
        <w:spacing w:after="0"/>
        <w:rPr>
          <w:sz w:val="20"/>
          <w:szCs w:val="20"/>
          <w:color w:val="auto"/>
        </w:rPr>
      </w:pPr>
      <w:r>
        <w:rPr>
          <w:rFonts w:ascii="Times New Roman" w:cs="Times New Roman" w:eastAsia="Times New Roman" w:hAnsi="Times New Roman"/>
          <w:sz w:val="19"/>
          <w:szCs w:val="19"/>
          <w:b w:val="1"/>
          <w:bCs w:val="1"/>
          <w:color w:val="auto"/>
        </w:rPr>
        <w:t>ABC Terms</w:t>
      </w:r>
    </w:p>
    <w:p>
      <w:pPr>
        <w:spacing w:after="0" w:line="200" w:lineRule="exact"/>
        <w:rPr>
          <w:sz w:val="20"/>
          <w:szCs w:val="20"/>
          <w:color w:val="auto"/>
        </w:rPr>
      </w:pPr>
    </w:p>
    <w:p>
      <w:pPr>
        <w:spacing w:after="0" w:line="352" w:lineRule="exact"/>
        <w:rPr>
          <w:sz w:val="20"/>
          <w:szCs w:val="20"/>
          <w:color w:val="auto"/>
        </w:rPr>
      </w:pPr>
    </w:p>
    <w:p>
      <w:pPr>
        <w:jc w:val="both"/>
        <w:ind w:left="294" w:right="40" w:hanging="294"/>
        <w:spacing w:after="0" w:line="288"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it will not undertake any activities which will result in a violation of any applicable laws, regulations, and applicable industry and professional codes, including but not limited to applicable local and extraterritorial anti-bribery, Anti-Corruption Laws and anti-money laundering laws (collectively "</w:t>
      </w:r>
      <w:r>
        <w:rPr>
          <w:rFonts w:ascii="Times New Roman" w:cs="Times New Roman" w:eastAsia="Times New Roman" w:hAnsi="Times New Roman"/>
          <w:sz w:val="19"/>
          <w:szCs w:val="19"/>
          <w:b w:val="1"/>
          <w:bCs w:val="1"/>
          <w:color w:val="auto"/>
        </w:rPr>
        <w:t>Prohibited Conduct</w:t>
      </w:r>
      <w:r>
        <w:rPr>
          <w:rFonts w:ascii="Times New Roman" w:cs="Times New Roman" w:eastAsia="Times New Roman" w:hAnsi="Times New Roman"/>
          <w:sz w:val="19"/>
          <w:szCs w:val="19"/>
          <w:color w:val="auto"/>
        </w:rPr>
        <w:t>") in connection with the performance of any activities under this Agreement.</w:t>
      </w:r>
    </w:p>
    <w:p>
      <w:pPr>
        <w:spacing w:after="0" w:line="55" w:lineRule="exact"/>
        <w:rPr>
          <w:rFonts w:ascii="Times New Roman" w:cs="Times New Roman" w:eastAsia="Times New Roman" w:hAnsi="Times New Roman"/>
          <w:sz w:val="19"/>
          <w:szCs w:val="19"/>
          <w:color w:val="auto"/>
        </w:rPr>
      </w:pPr>
    </w:p>
    <w:p>
      <w:pPr>
        <w:jc w:val="both"/>
        <w:ind w:left="294" w:hanging="294"/>
        <w:spacing w:after="0" w:line="282"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particular, each Party agrees that during the course of the performance of activities under this Agreement, it (i) shall not make any offer, payment, or promise to pay money or provide anything of value to a Government Official (as defined below) or any other individual and/or legal entity whether directly or indirectly, for the purpose of improperly influencing any act and/or decision of, and/or for securing any improper advantage; (ii) shall not accept, receive, agree to accept and/or receive a payment and/or anything of value from any individual for undue favorable treatment in obtaining, retaining, and/or directing business for, and/or to obtain any undue special concession on behalf of either Party; and (iii) shall not facilitate any payments to any Government Official to expedite a routine government action and/or other official act.</w:t>
      </w:r>
    </w:p>
    <w:p>
      <w:pPr>
        <w:spacing w:after="0" w:line="61" w:lineRule="exact"/>
        <w:rPr>
          <w:rFonts w:ascii="Times New Roman" w:cs="Times New Roman" w:eastAsia="Times New Roman" w:hAnsi="Times New Roman"/>
          <w:sz w:val="19"/>
          <w:szCs w:val="19"/>
          <w:color w:val="auto"/>
        </w:rPr>
      </w:pPr>
    </w:p>
    <w:p>
      <w:pPr>
        <w:jc w:val="both"/>
        <w:ind w:left="294" w:right="40" w:hanging="294"/>
        <w:spacing w:after="0" w:line="289"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Government Official</w:t>
      </w:r>
      <w:r>
        <w:rPr>
          <w:rFonts w:ascii="Times New Roman" w:cs="Times New Roman" w:eastAsia="Times New Roman" w:hAnsi="Times New Roman"/>
          <w:sz w:val="19"/>
          <w:szCs w:val="19"/>
          <w:color w:val="auto"/>
        </w:rPr>
        <w:t>” shall include (i) individuals acting on behalf of governments on a national, regional and local level (such as elected officials, customs officials, tax officials, etc.); (ii) individuals acting on behalf of government-owned or government-controlled enterprises; (iii) individuals acting for political parties or as or on behalf of candidates for public office; and (iv) individuals acting on behalf of public international organizations (such as the WHO, World Bank, OECD, etc.).</w:t>
      </w:r>
    </w:p>
    <w:p>
      <w:pPr>
        <w:spacing w:after="0" w:line="53" w:lineRule="exact"/>
        <w:rPr>
          <w:rFonts w:ascii="Times New Roman" w:cs="Times New Roman" w:eastAsia="Times New Roman" w:hAnsi="Times New Roman"/>
          <w:sz w:val="19"/>
          <w:szCs w:val="19"/>
          <w:color w:val="auto"/>
        </w:rPr>
      </w:pPr>
    </w:p>
    <w:p>
      <w:pPr>
        <w:jc w:val="both"/>
        <w:ind w:left="294" w:right="40" w:hanging="294"/>
        <w:spacing w:after="0" w:line="288"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and expenses incurred on behalf of either Party shall be accurately recorded and maintained in the respective Party’s books and records in a timely manner and in reasonable detail in accordance with the applicable generally accepted accounting principles. False, misleading, incomplete, duplicated, inaccurate or artificial entries for the foregoing expenses in a Party’s books and records are strictly prohibited.</w:t>
      </w:r>
    </w:p>
    <w:p>
      <w:pPr>
        <w:spacing w:after="0" w:line="55" w:lineRule="exact"/>
        <w:rPr>
          <w:rFonts w:ascii="Times New Roman" w:cs="Times New Roman" w:eastAsia="Times New Roman" w:hAnsi="Times New Roman"/>
          <w:sz w:val="19"/>
          <w:szCs w:val="19"/>
          <w:color w:val="auto"/>
        </w:rPr>
      </w:pPr>
    </w:p>
    <w:p>
      <w:pPr>
        <w:jc w:val="both"/>
        <w:ind w:left="294" w:right="40" w:hanging="294"/>
        <w:spacing w:after="0" w:line="276"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if it becomes aware or has reason to suspect that any person or legal entity acting on the Party’s and/or the other Party’s behalf has engaged in any Prohibited Conduct related to the Agreement, then such Party will promptly report such knowledge or suspicion to the other Party via the following email address: (a) in case that Duality is the reporting party: [***] and</w:t>
      </w:r>
    </w:p>
    <w:p>
      <w:pPr>
        <w:spacing w:after="0" w:line="2" w:lineRule="exact"/>
        <w:rPr>
          <w:rFonts w:ascii="Times New Roman" w:cs="Times New Roman" w:eastAsia="Times New Roman" w:hAnsi="Times New Roman"/>
          <w:sz w:val="19"/>
          <w:szCs w:val="19"/>
          <w:color w:val="auto"/>
        </w:rPr>
      </w:pPr>
    </w:p>
    <w:p>
      <w:pPr>
        <w:ind w:left="29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in case that Licensee is the reporting party: [***].</w:t>
      </w:r>
    </w:p>
    <w:p>
      <w:pPr>
        <w:spacing w:after="0" w:line="129" w:lineRule="exact"/>
        <w:rPr>
          <w:rFonts w:ascii="Times New Roman" w:cs="Times New Roman" w:eastAsia="Times New Roman" w:hAnsi="Times New Roman"/>
          <w:sz w:val="19"/>
          <w:szCs w:val="19"/>
          <w:color w:val="auto"/>
        </w:rPr>
      </w:pPr>
    </w:p>
    <w:p>
      <w:pPr>
        <w:ind w:left="294" w:right="40" w:hanging="294"/>
        <w:spacing w:after="0" w:line="312" w:lineRule="auto"/>
        <w:tabs>
          <w:tab w:leader="none" w:pos="294"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Duality shall apply Commercially Reasonable Efforts to implement, operate and enforce, without undue delay after the Effective Date, a reasonably designed compliance and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514"/>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94"/>
          </w:cols>
          <w:pgMar w:left="666" w:top="1440" w:right="640" w:bottom="1440" w:gutter="0" w:footer="0" w:header="0"/>
        </w:sectPr>
      </w:pPr>
    </w:p>
    <w:bookmarkStart w:id="682" w:name="page683"/>
    <w:bookmarkEnd w:id="682"/>
    <w:p>
      <w:pPr>
        <w:spacing w:after="0" w:line="377" w:lineRule="exact"/>
        <w:rPr>
          <w:sz w:val="20"/>
          <w:szCs w:val="20"/>
          <w:color w:val="auto"/>
        </w:rPr>
      </w:pPr>
    </w:p>
    <w:p>
      <w:pPr>
        <w:ind w:left="294" w:right="20"/>
        <w:spacing w:after="0" w:line="312" w:lineRule="auto"/>
        <w:rPr>
          <w:sz w:val="20"/>
          <w:szCs w:val="20"/>
          <w:color w:val="auto"/>
        </w:rPr>
      </w:pPr>
      <w:r>
        <w:rPr>
          <w:rFonts w:ascii="Times New Roman" w:cs="Times New Roman" w:eastAsia="Times New Roman" w:hAnsi="Times New Roman"/>
          <w:sz w:val="19"/>
          <w:szCs w:val="19"/>
          <w:color w:val="auto"/>
        </w:rPr>
        <w:t>ethics management and control system that is intended for the prevention and detection of criminal conduct in accordance with applicable Anti-Corruption Laws.</w:t>
      </w:r>
    </w:p>
    <w:p>
      <w:pPr>
        <w:spacing w:after="0" w:line="32" w:lineRule="exact"/>
        <w:rPr>
          <w:sz w:val="20"/>
          <w:szCs w:val="20"/>
          <w:color w:val="auto"/>
        </w:rPr>
      </w:pPr>
    </w:p>
    <w:p>
      <w:pPr>
        <w:jc w:val="both"/>
        <w:ind w:left="294" w:right="20" w:hanging="294"/>
        <w:spacing w:after="0" w:line="285" w:lineRule="auto"/>
        <w:tabs>
          <w:tab w:leader="none" w:pos="294"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to provide reasonable cooperation in any investigation that may be conducted by or on behalf of the other Party related to the performance of potentially Prohibited Conduct as described in Article 1 above. Upon notice of an intended investigation, a Party will provide, in a reasonable time, to the investigating Party or to a third party engaged by the investigating Party: (a) access to the relevant persons; and/or (b) access to relevant documents and data (e.g., invoices and requests for expense reimbursement, supporting receipts and substantiation, and original entry records for charges and payments).</w:t>
      </w:r>
    </w:p>
    <w:p>
      <w:pPr>
        <w:spacing w:after="0" w:line="59" w:lineRule="exact"/>
        <w:rPr>
          <w:rFonts w:ascii="Times New Roman" w:cs="Times New Roman" w:eastAsia="Times New Roman" w:hAnsi="Times New Roman"/>
          <w:sz w:val="19"/>
          <w:szCs w:val="19"/>
          <w:color w:val="auto"/>
        </w:rPr>
      </w:pPr>
    </w:p>
    <w:p>
      <w:pPr>
        <w:jc w:val="both"/>
        <w:ind w:left="294" w:hanging="294"/>
        <w:spacing w:after="0" w:line="285" w:lineRule="auto"/>
        <w:tabs>
          <w:tab w:leader="none" w:pos="294"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acknowledges that the obligations under the applicable local and extraterritorial anti-bribery, Anti-Corruption Laws and anti-money laundering laws apply to all its Affiliates and employees, subcontractors and Sublicensees (in case of Licensee) or sublicensees (in case of Duality). Each Party will bind subcontractors who act for or on behalf of such Party to perform activities under this Agreement by such Party for or on behalf of the other Party by respective contractual clauses encompassing all or all material provisions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514"/>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74"/>
          </w:cols>
          <w:pgMar w:left="666" w:top="1440" w:right="660" w:bottom="1440" w:gutter="0" w:footer="0" w:header="0"/>
        </w:sectPr>
      </w:pPr>
    </w:p>
    <w:bookmarkStart w:id="683" w:name="page684"/>
    <w:bookmarkEnd w:id="683"/>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1.7</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Calculation of Adjusted Net Profits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4" w:name="page685"/>
    <w:bookmarkEnd w:id="684"/>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1.38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Co-Promotion Terms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5" w:name="page686"/>
    <w:bookmarkEnd w:id="685"/>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1.76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6" w:name="page687"/>
    <w:bookmarkEnd w:id="686"/>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1.78</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Duality Know-How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7" w:name="page688"/>
    <w:bookmarkEnd w:id="687"/>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1.84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List of Duality Patent Rights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8" w:name="page689"/>
    <w:bookmarkEnd w:id="688"/>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2.7</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Initial Know-How Transfer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89" w:name="page690"/>
    <w:bookmarkEnd w:id="689"/>
    <w:p>
      <w:pPr>
        <w:spacing w:after="0" w:line="200" w:lineRule="exact"/>
        <w:rPr>
          <w:sz w:val="20"/>
          <w:szCs w:val="20"/>
          <w:color w:val="auto"/>
        </w:rPr>
      </w:pPr>
    </w:p>
    <w:p>
      <w:pPr>
        <w:spacing w:after="0" w:line="24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Schedule 2.9(b)</w:t>
      </w:r>
    </w:p>
    <w:p>
      <w:pPr>
        <w:spacing w:after="0" w:line="166" w:lineRule="exact"/>
        <w:rPr>
          <w:sz w:val="20"/>
          <w:szCs w:val="20"/>
          <w:color w:val="auto"/>
        </w:rPr>
      </w:pPr>
    </w:p>
    <w:p>
      <w:pPr>
        <w:ind w:left="4180" w:hanging="471"/>
        <w:spacing w:after="0"/>
        <w:tabs>
          <w:tab w:leader="none" w:pos="4180" w:val="left"/>
        </w:tabs>
        <w:numPr>
          <w:ilvl w:val="0"/>
          <w:numId w:val="7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Data Package</w:t>
      </w:r>
    </w:p>
    <w:p>
      <w:pPr>
        <w:spacing w:after="0" w:line="3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9780"/>
          </w:cols>
          <w:pgMar w:left="1440" w:top="1440" w:right="680" w:bottom="1440" w:gutter="0" w:footer="0" w:header="0"/>
        </w:sectPr>
      </w:pPr>
    </w:p>
    <w:bookmarkStart w:id="690" w:name="page691"/>
    <w:bookmarkEnd w:id="690"/>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8.8(b)(iii)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Illustrative Example for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Costs </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91" w:name="page692"/>
    <w:bookmarkEnd w:id="691"/>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8.8(c)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Example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Calculation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92" w:name="page693"/>
    <w:bookmarkEnd w:id="692"/>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8.9</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Payments for Other ADC Licensed Products</w:t>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10560"/>
          </w:cols>
          <w:pgMar w:left="660" w:top="1440" w:right="680" w:bottom="1440" w:gutter="0" w:footer="0" w:header="0"/>
        </w:sectPr>
      </w:pPr>
    </w:p>
    <w:bookmarkStart w:id="693" w:name="page694"/>
    <w:bookmarkEnd w:id="693"/>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Schedule 8.10</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 xml:space="preserve">Payments for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Licensed Products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9800"/>
          </w:cols>
          <w:pgMar w:left="660" w:top="1335" w:right="1440" w:bottom="1440" w:gutter="0" w:footer="0" w:header="0"/>
        </w:sectPr>
      </w:pPr>
    </w:p>
    <w:bookmarkStart w:id="694" w:name="page695"/>
    <w:bookmarkEnd w:id="694"/>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10.4</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Joint Press 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9800"/>
          </w:cols>
          <w:pgMar w:left="660" w:top="1335" w:right="1440" w:bottom="1440" w:gutter="0" w:footer="0" w:header="0"/>
        </w:sectPr>
      </w:pPr>
    </w:p>
    <w:bookmarkStart w:id="695" w:name="page696"/>
    <w:bookmarkEnd w:id="695"/>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11.2</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Disclosure Schedule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89</w:t>
      </w:r>
    </w:p>
    <w:p>
      <w:pPr>
        <w:sectPr>
          <w:pgSz w:w="11900" w:h="16840" w:orient="portrait"/>
          <w:cols w:equalWidth="0" w:num="1">
            <w:col w:w="9800"/>
          </w:cols>
          <w:pgMar w:left="660" w:top="1335" w:right="1440" w:bottom="1440" w:gutter="0" w:footer="0" w:header="0"/>
        </w:sectPr>
      </w:pPr>
    </w:p>
    <w:bookmarkStart w:id="696" w:name="page697"/>
    <w:bookmarkEnd w:id="696"/>
    <w:p>
      <w:pPr>
        <w:jc w:val="right"/>
        <w:spacing w:after="0"/>
        <w:rPr>
          <w:sz w:val="20"/>
          <w:szCs w:val="20"/>
          <w:color w:val="auto"/>
        </w:rPr>
      </w:pPr>
      <w:r>
        <w:rPr>
          <w:rFonts w:ascii="Times New Roman" w:cs="Times New Roman" w:eastAsia="Times New Roman" w:hAnsi="Times New Roman"/>
          <w:sz w:val="16"/>
          <w:szCs w:val="16"/>
          <w:b w:val="1"/>
          <w:bCs w:val="1"/>
          <w:color w:val="auto"/>
        </w:rPr>
        <w:t>Exhibit 4.52</w:t>
      </w:r>
    </w:p>
    <w:p>
      <w:pPr>
        <w:spacing w:after="0" w:line="248" w:lineRule="exact"/>
        <w:rPr>
          <w:sz w:val="20"/>
          <w:szCs w:val="20"/>
          <w:color w:val="auto"/>
        </w:rPr>
      </w:pPr>
    </w:p>
    <w:p>
      <w:pPr>
        <w:ind w:right="180" w:firstLine="2"/>
        <w:spacing w:after="0" w:line="235" w:lineRule="auto"/>
        <w:tabs>
          <w:tab w:leader="none" w:pos="372" w:val="left"/>
        </w:tabs>
        <w:numPr>
          <w:ilvl w:val="0"/>
          <w:numId w:val="7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27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jc w:val="right"/>
        <w:ind w:right="20"/>
        <w:spacing w:after="0"/>
        <w:rPr>
          <w:sz w:val="20"/>
          <w:szCs w:val="20"/>
          <w:color w:val="auto"/>
        </w:rPr>
      </w:pPr>
      <w:r>
        <w:rPr>
          <w:rFonts w:ascii="Times New Roman" w:cs="Times New Roman" w:eastAsia="Times New Roman" w:hAnsi="Times New Roman"/>
          <w:sz w:val="19"/>
          <w:szCs w:val="19"/>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 (TROP2)</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by and between</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16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BIONTECH SE</w:t>
      </w:r>
    </w:p>
    <w:p>
      <w:pPr>
        <w:spacing w:after="0" w:line="1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dated as of August 4, 2023</w:t>
      </w:r>
    </w:p>
    <w:p>
      <w:pPr>
        <w:sectPr>
          <w:pgSz w:w="11900" w:h="16840" w:orient="portrait"/>
          <w:cols w:equalWidth="0" w:num="1">
            <w:col w:w="10240"/>
          </w:cols>
          <w:pgMar w:left="1000" w:top="555" w:right="660" w:bottom="1440" w:gutter="0" w:footer="0" w:header="0"/>
        </w:sectPr>
      </w:pPr>
    </w:p>
    <w:bookmarkStart w:id="697" w:name="page698"/>
    <w:bookmarkEnd w:id="697"/>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20" w:type="dxa"/>
            <w:vAlign w:val="bottom"/>
          </w:tcPr>
          <w:p>
            <w:pPr>
              <w:ind w:left="294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060" w:type="dxa"/>
            <w:vAlign w:val="bottom"/>
          </w:tcPr>
          <w:p>
            <w:pPr>
              <w:spacing w:after="0"/>
              <w:rPr>
                <w:sz w:val="22"/>
                <w:szCs w:val="22"/>
                <w:color w:val="auto"/>
              </w:rPr>
            </w:pPr>
          </w:p>
        </w:tc>
      </w:tr>
      <w:tr>
        <w:trPr>
          <w:trHeight w:val="359"/>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ARTICLE 1 DEFINITIONS </w:t>
            </w:r>
            <w:r>
              <w:rPr>
                <w:rFonts w:ascii="Times New Roman" w:cs="Times New Roman" w:eastAsia="Times New Roman" w:hAnsi="Times New Roman"/>
                <w:sz w:val="19"/>
                <w:szCs w:val="19"/>
                <w:color w:val="auto"/>
              </w:rPr>
              <w:t>.......................................................................................</w:t>
            </w:r>
          </w:p>
        </w:tc>
        <w:tc>
          <w:tcPr>
            <w:tcW w:w="1060" w:type="dxa"/>
            <w:vAlign w:val="bottom"/>
          </w:tcPr>
          <w:p>
            <w:pPr>
              <w:jc w:val="right"/>
              <w:ind w:right="644"/>
              <w:spacing w:after="0"/>
              <w:rPr>
                <w:sz w:val="20"/>
                <w:szCs w:val="20"/>
                <w:color w:val="auto"/>
              </w:rPr>
            </w:pPr>
            <w:r>
              <w:rPr>
                <w:rFonts w:ascii="Times New Roman" w:cs="Times New Roman" w:eastAsia="Times New Roman" w:hAnsi="Times New Roman"/>
                <w:sz w:val="19"/>
                <w:szCs w:val="19"/>
                <w:color w:val="auto"/>
              </w:rPr>
              <w:t>1</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2 LICENSE </w:t>
            </w:r>
            <w:r>
              <w:rPr>
                <w:rFonts w:ascii="Times New Roman" w:cs="Times New Roman" w:eastAsia="Times New Roman" w:hAnsi="Times New Roman"/>
                <w:sz w:val="19"/>
                <w:szCs w:val="19"/>
                <w:color w:val="auto"/>
              </w:rPr>
              <w:t>..............................................................................................</w:t>
            </w:r>
          </w:p>
        </w:tc>
        <w:tc>
          <w:tcPr>
            <w:tcW w:w="1060" w:type="dxa"/>
            <w:vAlign w:val="bottom"/>
          </w:tcPr>
          <w:p>
            <w:pPr>
              <w:jc w:val="right"/>
              <w:ind w:right="644"/>
              <w:spacing w:after="0" w:line="216" w:lineRule="exact"/>
              <w:rPr>
                <w:sz w:val="20"/>
                <w:szCs w:val="20"/>
                <w:color w:val="auto"/>
              </w:rPr>
            </w:pPr>
            <w:r>
              <w:rPr>
                <w:rFonts w:ascii="Times New Roman" w:cs="Times New Roman" w:eastAsia="Times New Roman" w:hAnsi="Times New Roman"/>
                <w:sz w:val="19"/>
                <w:szCs w:val="19"/>
                <w:color w:val="auto"/>
              </w:rPr>
              <w:t>24</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3 GOVERNANCE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31</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4 DEVELOPMENT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36</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5 REGULATORY </w:t>
            </w:r>
            <w:r>
              <w:rPr>
                <w:rFonts w:ascii="Times New Roman" w:cs="Times New Roman" w:eastAsia="Times New Roman" w:hAnsi="Times New Roman"/>
                <w:sz w:val="19"/>
                <w:szCs w:val="19"/>
                <w:color w:val="auto"/>
              </w:rPr>
              <w:t>...................................................................................</w:t>
            </w:r>
          </w:p>
        </w:tc>
        <w:tc>
          <w:tcPr>
            <w:tcW w:w="1060" w:type="dxa"/>
            <w:vAlign w:val="bottom"/>
          </w:tcPr>
          <w:p>
            <w:pPr>
              <w:jc w:val="right"/>
              <w:ind w:right="624"/>
              <w:spacing w:after="0" w:line="216" w:lineRule="exact"/>
              <w:rPr>
                <w:sz w:val="20"/>
                <w:szCs w:val="20"/>
                <w:color w:val="auto"/>
              </w:rPr>
            </w:pPr>
            <w:r>
              <w:rPr>
                <w:rFonts w:ascii="Times New Roman" w:cs="Times New Roman" w:eastAsia="Times New Roman" w:hAnsi="Times New Roman"/>
                <w:sz w:val="19"/>
                <w:szCs w:val="19"/>
                <w:color w:val="auto"/>
              </w:rPr>
              <w:t>44</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6 MANUFACTURE &amp; SUPPLY </w:t>
            </w:r>
            <w:r>
              <w:rPr>
                <w:rFonts w:ascii="Times New Roman" w:cs="Times New Roman" w:eastAsia="Times New Roman" w:hAnsi="Times New Roman"/>
                <w:sz w:val="19"/>
                <w:szCs w:val="19"/>
                <w:color w:val="auto"/>
              </w:rPr>
              <w:t>...........................................................</w:t>
            </w:r>
          </w:p>
        </w:tc>
        <w:tc>
          <w:tcPr>
            <w:tcW w:w="1060" w:type="dxa"/>
            <w:vAlign w:val="bottom"/>
          </w:tcPr>
          <w:p>
            <w:pPr>
              <w:jc w:val="right"/>
              <w:ind w:right="644"/>
              <w:spacing w:after="0" w:line="216" w:lineRule="exact"/>
              <w:rPr>
                <w:sz w:val="20"/>
                <w:szCs w:val="20"/>
                <w:color w:val="auto"/>
              </w:rPr>
            </w:pPr>
            <w:r>
              <w:rPr>
                <w:rFonts w:ascii="Times New Roman" w:cs="Times New Roman" w:eastAsia="Times New Roman" w:hAnsi="Times New Roman"/>
                <w:sz w:val="19"/>
                <w:szCs w:val="19"/>
                <w:color w:val="auto"/>
              </w:rPr>
              <w:t>49</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7 COMMERCIALIZATION MATTERS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51</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8 FINANCIAL TERMS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54</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9 PAYMENT; RECORDS; AUDITS </w:t>
            </w:r>
            <w:r>
              <w:rPr>
                <w:rFonts w:ascii="Times New Roman" w:cs="Times New Roman" w:eastAsia="Times New Roman" w:hAnsi="Times New Roman"/>
                <w:sz w:val="19"/>
                <w:szCs w:val="19"/>
                <w:color w:val="auto"/>
              </w:rPr>
              <w:t>....................................................</w:t>
            </w:r>
          </w:p>
        </w:tc>
        <w:tc>
          <w:tcPr>
            <w:tcW w:w="1060" w:type="dxa"/>
            <w:vAlign w:val="bottom"/>
          </w:tcPr>
          <w:p>
            <w:pPr>
              <w:jc w:val="right"/>
              <w:ind w:right="644"/>
              <w:spacing w:after="0" w:line="216" w:lineRule="exact"/>
              <w:rPr>
                <w:sz w:val="20"/>
                <w:szCs w:val="20"/>
                <w:color w:val="auto"/>
              </w:rPr>
            </w:pPr>
            <w:r>
              <w:rPr>
                <w:rFonts w:ascii="Times New Roman" w:cs="Times New Roman" w:eastAsia="Times New Roman" w:hAnsi="Times New Roman"/>
                <w:sz w:val="19"/>
                <w:szCs w:val="19"/>
                <w:color w:val="auto"/>
              </w:rPr>
              <w:t>65</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10 CONFIDENTIALITY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67</w:t>
            </w:r>
          </w:p>
        </w:tc>
      </w:tr>
      <w:tr>
        <w:trPr>
          <w:trHeight w:val="218"/>
        </w:trPr>
        <w:tc>
          <w:tcPr>
            <w:tcW w:w="76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11 REPRESENTATIONS AND WARRANTIES; LIMITATION OF LIABILITY</w:t>
            </w:r>
          </w:p>
        </w:tc>
      </w:tr>
      <w:tr>
        <w:trPr>
          <w:trHeight w:val="214"/>
        </w:trPr>
        <w:tc>
          <w:tcPr>
            <w:tcW w:w="1320" w:type="dxa"/>
            <w:vAlign w:val="bottom"/>
            <w:gridSpan w:val="2"/>
          </w:tcPr>
          <w:p>
            <w:pPr>
              <w:spacing w:after="0"/>
              <w:rPr>
                <w:sz w:val="20"/>
                <w:szCs w:val="20"/>
                <w:color w:val="auto"/>
              </w:rPr>
            </w:pPr>
            <w:r>
              <w:rPr>
                <w:rFonts w:ascii="Times New Roman" w:cs="Times New Roman" w:eastAsia="Times New Roman" w:hAnsi="Times New Roman"/>
                <w:sz w:val="7"/>
                <w:szCs w:val="7"/>
                <w:color w:val="auto"/>
                <w:w w:val="84"/>
              </w:rPr>
              <w:t>........................................................................................</w:t>
            </w:r>
          </w:p>
        </w:tc>
        <w:tc>
          <w:tcPr>
            <w:tcW w:w="5220" w:type="dxa"/>
            <w:vAlign w:val="bottom"/>
          </w:tcPr>
          <w:p>
            <w:pPr>
              <w:ind w:left="3100"/>
              <w:spacing w:after="0" w:line="214" w:lineRule="exact"/>
              <w:rPr>
                <w:sz w:val="20"/>
                <w:szCs w:val="20"/>
                <w:color w:val="auto"/>
              </w:rPr>
            </w:pPr>
            <w:r>
              <w:rPr>
                <w:rFonts w:ascii="Times New Roman" w:cs="Times New Roman" w:eastAsia="Times New Roman" w:hAnsi="Times New Roman"/>
                <w:sz w:val="19"/>
                <w:szCs w:val="19"/>
                <w:color w:val="auto"/>
              </w:rPr>
              <w:t>71</w:t>
            </w:r>
          </w:p>
        </w:tc>
        <w:tc>
          <w:tcPr>
            <w:tcW w:w="1060" w:type="dxa"/>
            <w:vAlign w:val="bottom"/>
          </w:tcPr>
          <w:p>
            <w:pPr>
              <w:spacing w:after="0"/>
              <w:rPr>
                <w:sz w:val="18"/>
                <w:szCs w:val="18"/>
                <w:color w:val="auto"/>
              </w:rPr>
            </w:pP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12 INTELLECTUAL PROPERTY </w:t>
            </w:r>
            <w:r>
              <w:rPr>
                <w:rFonts w:ascii="Times New Roman" w:cs="Times New Roman" w:eastAsia="Times New Roman" w:hAnsi="Times New Roman"/>
                <w:sz w:val="19"/>
                <w:szCs w:val="19"/>
                <w:color w:val="auto"/>
              </w:rPr>
              <w:t>......................................................</w:t>
            </w:r>
          </w:p>
        </w:tc>
        <w:tc>
          <w:tcPr>
            <w:tcW w:w="1060" w:type="dxa"/>
            <w:vAlign w:val="bottom"/>
          </w:tcPr>
          <w:p>
            <w:pPr>
              <w:jc w:val="right"/>
              <w:ind w:right="684"/>
              <w:spacing w:after="0" w:line="216" w:lineRule="exact"/>
              <w:rPr>
                <w:sz w:val="20"/>
                <w:szCs w:val="20"/>
                <w:color w:val="auto"/>
              </w:rPr>
            </w:pPr>
            <w:r>
              <w:rPr>
                <w:rFonts w:ascii="Times New Roman" w:cs="Times New Roman" w:eastAsia="Times New Roman" w:hAnsi="Times New Roman"/>
                <w:sz w:val="19"/>
                <w:szCs w:val="19"/>
                <w:color w:val="auto"/>
              </w:rPr>
              <w:t>80</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13 TERM; TERMINATION </w:t>
            </w:r>
            <w:r>
              <w:rPr>
                <w:rFonts w:ascii="Times New Roman" w:cs="Times New Roman" w:eastAsia="Times New Roman" w:hAnsi="Times New Roman"/>
                <w:sz w:val="19"/>
                <w:szCs w:val="19"/>
                <w:color w:val="auto"/>
              </w:rPr>
              <w:t>.................................................................</w:t>
            </w:r>
          </w:p>
        </w:tc>
        <w:tc>
          <w:tcPr>
            <w:tcW w:w="1060" w:type="dxa"/>
            <w:vAlign w:val="bottom"/>
          </w:tcPr>
          <w:p>
            <w:pPr>
              <w:jc w:val="right"/>
              <w:ind w:right="684"/>
              <w:spacing w:after="0" w:line="216" w:lineRule="exact"/>
              <w:rPr>
                <w:sz w:val="20"/>
                <w:szCs w:val="20"/>
                <w:color w:val="auto"/>
              </w:rPr>
            </w:pPr>
            <w:r>
              <w:rPr>
                <w:rFonts w:ascii="Times New Roman" w:cs="Times New Roman" w:eastAsia="Times New Roman" w:hAnsi="Times New Roman"/>
                <w:sz w:val="19"/>
                <w:szCs w:val="19"/>
                <w:color w:val="auto"/>
              </w:rPr>
              <w:t>86</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14 INDEMNIFICATION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97</w:t>
            </w:r>
          </w:p>
        </w:tc>
      </w:tr>
      <w:tr>
        <w:trPr>
          <w:trHeight w:val="216"/>
        </w:trPr>
        <w:tc>
          <w:tcPr>
            <w:tcW w:w="65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ARTICLE 15 DISPUTE RESOLUTION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line="216" w:lineRule="exact"/>
              <w:rPr>
                <w:sz w:val="20"/>
                <w:szCs w:val="20"/>
                <w:color w:val="auto"/>
              </w:rPr>
            </w:pPr>
            <w:r>
              <w:rPr>
                <w:rFonts w:ascii="Times New Roman" w:cs="Times New Roman" w:eastAsia="Times New Roman" w:hAnsi="Times New Roman"/>
                <w:sz w:val="19"/>
                <w:szCs w:val="19"/>
                <w:color w:val="auto"/>
              </w:rPr>
              <w:t>99</w:t>
            </w:r>
          </w:p>
        </w:tc>
      </w:tr>
      <w:tr>
        <w:trPr>
          <w:trHeight w:val="253"/>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ARTICLE 16 MISCELLANEOUS </w:t>
            </w:r>
            <w:r>
              <w:rPr>
                <w:rFonts w:ascii="Times New Roman" w:cs="Times New Roman" w:eastAsia="Times New Roman" w:hAnsi="Times New Roman"/>
                <w:sz w:val="19"/>
                <w:szCs w:val="19"/>
                <w:color w:val="auto"/>
              </w:rPr>
              <w:t>........................................................................</w:t>
            </w:r>
          </w:p>
        </w:tc>
        <w:tc>
          <w:tcPr>
            <w:tcW w:w="1060" w:type="dxa"/>
            <w:vAlign w:val="bottom"/>
          </w:tcPr>
          <w:p>
            <w:pPr>
              <w:jc w:val="right"/>
              <w:ind w:right="664"/>
              <w:spacing w:after="0"/>
              <w:rPr>
                <w:sz w:val="20"/>
                <w:szCs w:val="20"/>
                <w:color w:val="auto"/>
              </w:rPr>
            </w:pPr>
            <w:r>
              <w:rPr>
                <w:rFonts w:ascii="Times New Roman" w:cs="Times New Roman" w:eastAsia="Times New Roman" w:hAnsi="Times New Roman"/>
                <w:sz w:val="19"/>
                <w:szCs w:val="19"/>
                <w:color w:val="auto"/>
                <w:w w:val="98"/>
              </w:rPr>
              <w:t>101</w:t>
            </w:r>
          </w:p>
        </w:tc>
      </w:tr>
      <w:tr>
        <w:trPr>
          <w:trHeight w:val="386"/>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9"/>
              </w:rPr>
              <w:t>Schedules</w:t>
            </w:r>
          </w:p>
        </w:tc>
        <w:tc>
          <w:tcPr>
            <w:tcW w:w="5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0"/>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Schedule 1.1</w:t>
            </w:r>
          </w:p>
        </w:tc>
        <w:tc>
          <w:tcPr>
            <w:tcW w:w="52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ABC Terms</w:t>
            </w:r>
          </w:p>
        </w:tc>
        <w:tc>
          <w:tcPr>
            <w:tcW w:w="1060" w:type="dxa"/>
            <w:vAlign w:val="bottom"/>
          </w:tcPr>
          <w:p>
            <w:pPr>
              <w:spacing w:after="0"/>
              <w:rPr>
                <w:sz w:val="24"/>
                <w:szCs w:val="24"/>
                <w:color w:val="auto"/>
              </w:rPr>
            </w:pPr>
          </w:p>
        </w:tc>
      </w:tr>
      <w:tr>
        <w:trPr>
          <w:trHeight w:val="420"/>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1.54</w:t>
            </w:r>
            <w:r>
              <w:rPr>
                <w:rFonts w:ascii="Times New Roman" w:cs="Times New Roman" w:eastAsia="Times New Roman" w:hAnsi="Times New Roman"/>
                <w:sz w:val="19"/>
                <w:szCs w:val="19"/>
                <w:color w:val="auto"/>
              </w:rPr>
              <w:t>Duality In-Licensed Agreements</w:t>
            </w:r>
          </w:p>
        </w:tc>
        <w:tc>
          <w:tcPr>
            <w:tcW w:w="1060" w:type="dxa"/>
            <w:vAlign w:val="bottom"/>
          </w:tcPr>
          <w:p>
            <w:pPr>
              <w:spacing w:after="0"/>
              <w:rPr>
                <w:sz w:val="24"/>
                <w:szCs w:val="24"/>
                <w:color w:val="auto"/>
              </w:rPr>
            </w:pPr>
          </w:p>
        </w:tc>
      </w:tr>
      <w:tr>
        <w:trPr>
          <w:trHeight w:val="384"/>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1.57</w:t>
            </w:r>
            <w:r>
              <w:rPr>
                <w:rFonts w:ascii="Times New Roman" w:cs="Times New Roman" w:eastAsia="Times New Roman" w:hAnsi="Times New Roman"/>
                <w:sz w:val="19"/>
                <w:szCs w:val="19"/>
                <w:color w:val="auto"/>
              </w:rPr>
              <w:t>Description of Duality Know-How</w:t>
            </w:r>
          </w:p>
        </w:tc>
        <w:tc>
          <w:tcPr>
            <w:tcW w:w="1060" w:type="dxa"/>
            <w:vAlign w:val="bottom"/>
          </w:tcPr>
          <w:p>
            <w:pPr>
              <w:spacing w:after="0"/>
              <w:rPr>
                <w:sz w:val="24"/>
                <w:szCs w:val="24"/>
                <w:color w:val="auto"/>
              </w:rPr>
            </w:pPr>
          </w:p>
        </w:tc>
      </w:tr>
      <w:tr>
        <w:trPr>
          <w:trHeight w:val="384"/>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1.63</w:t>
            </w:r>
            <w:r>
              <w:rPr>
                <w:rFonts w:ascii="Times New Roman" w:cs="Times New Roman" w:eastAsia="Times New Roman" w:hAnsi="Times New Roman"/>
                <w:sz w:val="19"/>
                <w:szCs w:val="19"/>
                <w:color w:val="auto"/>
              </w:rPr>
              <w:t>List of Duality Patents</w:t>
            </w:r>
          </w:p>
        </w:tc>
        <w:tc>
          <w:tcPr>
            <w:tcW w:w="1060" w:type="dxa"/>
            <w:vAlign w:val="bottom"/>
          </w:tcPr>
          <w:p>
            <w:pPr>
              <w:spacing w:after="0"/>
              <w:rPr>
                <w:sz w:val="24"/>
                <w:szCs w:val="24"/>
                <w:color w:val="auto"/>
              </w:rPr>
            </w:pPr>
          </w:p>
        </w:tc>
      </w:tr>
      <w:tr>
        <w:trPr>
          <w:trHeight w:val="384"/>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Schedule 1.94</w:t>
            </w:r>
          </w:p>
        </w:tc>
        <w:tc>
          <w:tcPr>
            <w:tcW w:w="5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List of Indications</w:t>
            </w:r>
          </w:p>
        </w:tc>
        <w:tc>
          <w:tcPr>
            <w:tcW w:w="1060" w:type="dxa"/>
            <w:vAlign w:val="bottom"/>
          </w:tcPr>
          <w:p>
            <w:pPr>
              <w:spacing w:after="0"/>
              <w:rPr>
                <w:sz w:val="24"/>
                <w:szCs w:val="24"/>
                <w:color w:val="auto"/>
              </w:rPr>
            </w:pPr>
          </w:p>
        </w:tc>
      </w:tr>
      <w:tr>
        <w:trPr>
          <w:trHeight w:val="420"/>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Schedule 1.102</w:t>
            </w:r>
          </w:p>
        </w:tc>
        <w:tc>
          <w:tcPr>
            <w:tcW w:w="52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Licensed Compound</w:t>
            </w:r>
          </w:p>
        </w:tc>
        <w:tc>
          <w:tcPr>
            <w:tcW w:w="1060" w:type="dxa"/>
            <w:vAlign w:val="bottom"/>
          </w:tcPr>
          <w:p>
            <w:pPr>
              <w:spacing w:after="0"/>
              <w:rPr>
                <w:sz w:val="24"/>
                <w:szCs w:val="24"/>
                <w:color w:val="auto"/>
              </w:rPr>
            </w:pPr>
          </w:p>
        </w:tc>
      </w:tr>
      <w:tr>
        <w:trPr>
          <w:trHeight w:val="420"/>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Schedule 1.141  </w:t>
            </w:r>
            <w:r>
              <w:rPr>
                <w:rFonts w:ascii="Times New Roman" w:cs="Times New Roman" w:eastAsia="Times New Roman" w:hAnsi="Times New Roman"/>
                <w:sz w:val="19"/>
                <w:szCs w:val="19"/>
                <w:color w:val="auto"/>
              </w:rPr>
              <w:t>Preliminary Original ADC Licensed Product Development Plan</w:t>
            </w:r>
          </w:p>
        </w:tc>
        <w:tc>
          <w:tcPr>
            <w:tcW w:w="1060" w:type="dxa"/>
            <w:vAlign w:val="bottom"/>
          </w:tcPr>
          <w:p>
            <w:pPr>
              <w:spacing w:after="0"/>
              <w:rPr>
                <w:sz w:val="24"/>
                <w:szCs w:val="24"/>
                <w:color w:val="auto"/>
              </w:rPr>
            </w:pPr>
          </w:p>
        </w:tc>
      </w:tr>
      <w:tr>
        <w:trPr>
          <w:trHeight w:val="362"/>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Schedule 1.149  </w:t>
            </w:r>
            <w:r>
              <w:rPr>
                <w:rFonts w:ascii="Times New Roman" w:cs="Times New Roman" w:eastAsia="Times New Roman" w:hAnsi="Times New Roman"/>
                <w:sz w:val="19"/>
                <w:szCs w:val="19"/>
                <w:color w:val="auto"/>
              </w:rPr>
              <w:t>Pre-clinical Proof-of-Concept Criteria</w:t>
            </w:r>
          </w:p>
        </w:tc>
        <w:tc>
          <w:tcPr>
            <w:tcW w:w="1060" w:type="dxa"/>
            <w:vAlign w:val="bottom"/>
          </w:tcPr>
          <w:p>
            <w:pPr>
              <w:spacing w:after="0"/>
              <w:rPr>
                <w:sz w:val="24"/>
                <w:szCs w:val="24"/>
                <w:color w:val="auto"/>
              </w:rPr>
            </w:pPr>
          </w:p>
        </w:tc>
      </w:tr>
      <w:tr>
        <w:trPr>
          <w:trHeight w:val="253"/>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2.6</w:t>
            </w:r>
            <w:r>
              <w:rPr>
                <w:rFonts w:ascii="Times New Roman" w:cs="Times New Roman" w:eastAsia="Times New Roman" w:hAnsi="Times New Roman"/>
                <w:sz w:val="19"/>
                <w:szCs w:val="19"/>
                <w:color w:val="auto"/>
              </w:rPr>
              <w:t>Initial Know-How Transfer</w:t>
            </w:r>
          </w:p>
        </w:tc>
        <w:tc>
          <w:tcPr>
            <w:tcW w:w="1060" w:type="dxa"/>
            <w:vAlign w:val="bottom"/>
          </w:tcPr>
          <w:p>
            <w:pPr>
              <w:spacing w:after="0"/>
              <w:rPr>
                <w:sz w:val="22"/>
                <w:szCs w:val="22"/>
                <w:color w:val="auto"/>
              </w:rPr>
            </w:pPr>
          </w:p>
        </w:tc>
      </w:tr>
      <w:tr>
        <w:trPr>
          <w:trHeight w:val="417"/>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9.2</w:t>
            </w:r>
            <w:r>
              <w:rPr>
                <w:rFonts w:ascii="Times New Roman" w:cs="Times New Roman" w:eastAsia="Times New Roman" w:hAnsi="Times New Roman"/>
                <w:sz w:val="19"/>
                <w:szCs w:val="19"/>
                <w:color w:val="auto"/>
              </w:rPr>
              <w:t>Invoicing Procedures &amp; Invoice Information</w:t>
            </w:r>
          </w:p>
        </w:tc>
        <w:tc>
          <w:tcPr>
            <w:tcW w:w="1060" w:type="dxa"/>
            <w:vAlign w:val="bottom"/>
          </w:tcPr>
          <w:p>
            <w:pPr>
              <w:spacing w:after="0"/>
              <w:rPr>
                <w:sz w:val="24"/>
                <w:szCs w:val="24"/>
                <w:color w:val="auto"/>
              </w:rPr>
            </w:pPr>
          </w:p>
        </w:tc>
      </w:tr>
      <w:tr>
        <w:trPr>
          <w:trHeight w:val="420"/>
        </w:trPr>
        <w:tc>
          <w:tcPr>
            <w:tcW w:w="6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Schedule 10.4</w:t>
            </w:r>
            <w:r>
              <w:rPr>
                <w:rFonts w:ascii="Times New Roman" w:cs="Times New Roman" w:eastAsia="Times New Roman" w:hAnsi="Times New Roman"/>
                <w:sz w:val="19"/>
                <w:szCs w:val="19"/>
                <w:color w:val="auto"/>
              </w:rPr>
              <w:t>Duality Press Release</w:t>
            </w:r>
          </w:p>
        </w:tc>
        <w:tc>
          <w:tcPr>
            <w:tcW w:w="1060" w:type="dxa"/>
            <w:vAlign w:val="bottom"/>
          </w:tcPr>
          <w:p>
            <w:pPr>
              <w:spacing w:after="0"/>
              <w:rPr>
                <w:sz w:val="24"/>
                <w:szCs w:val="24"/>
                <w:color w:val="auto"/>
              </w:rPr>
            </w:pPr>
          </w:p>
        </w:tc>
      </w:tr>
      <w:tr>
        <w:trPr>
          <w:trHeight w:val="420"/>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Schedule 11.2</w:t>
            </w:r>
          </w:p>
        </w:tc>
        <w:tc>
          <w:tcPr>
            <w:tcW w:w="5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Disclosure Schedule</w:t>
            </w:r>
          </w:p>
        </w:tc>
        <w:tc>
          <w:tcPr>
            <w:tcW w:w="1060" w:type="dxa"/>
            <w:vAlign w:val="bottom"/>
          </w:tcPr>
          <w:p>
            <w:pPr>
              <w:spacing w:after="0"/>
              <w:rPr>
                <w:sz w:val="24"/>
                <w:szCs w:val="24"/>
                <w:color w:val="auto"/>
              </w:rPr>
            </w:pPr>
          </w:p>
        </w:tc>
      </w:tr>
    </w:tbl>
    <w:p>
      <w:pPr>
        <w:sectPr>
          <w:pgSz w:w="11900" w:h="16840" w:orient="portrait"/>
          <w:cols w:equalWidth="0" w:num="1">
            <w:col w:w="9800"/>
          </w:cols>
          <w:pgMar w:left="660" w:top="1440" w:right="1440" w:bottom="1440" w:gutter="0" w:footer="0" w:header="0"/>
        </w:sectPr>
      </w:pPr>
    </w:p>
    <w:bookmarkStart w:id="698" w:name="page699"/>
    <w:bookmarkEnd w:id="698"/>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LICENSE AND COLLABORATION AGREEMENT (TROP2)</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This License and Collaboration Agreement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as of August 4,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between </w:t>
      </w:r>
      <w:r>
        <w:rPr>
          <w:rFonts w:ascii="Times New Roman" w:cs="Times New Roman" w:eastAsia="Times New Roman" w:hAnsi="Times New Roman"/>
          <w:sz w:val="19"/>
          <w:szCs w:val="19"/>
          <w:b w:val="1"/>
          <w:bCs w:val="1"/>
          <w:color w:val="auto"/>
        </w:rPr>
        <w:t>Duality Biologics (Suzhou) Co. Ltd.</w:t>
      </w:r>
      <w:r>
        <w:rPr>
          <w:rFonts w:ascii="Times New Roman" w:cs="Times New Roman" w:eastAsia="Times New Roman" w:hAnsi="Times New Roman"/>
          <w:sz w:val="19"/>
          <w:szCs w:val="19"/>
          <w:color w:val="auto"/>
        </w:rPr>
        <w:t>, a corporation organized and existing under the laws of the People’s Republic of China (“</w:t>
      </w:r>
      <w:r>
        <w:rPr>
          <w:rFonts w:ascii="Times New Roman" w:cs="Times New Roman" w:eastAsia="Times New Roman" w:hAnsi="Times New Roman"/>
          <w:sz w:val="19"/>
          <w:szCs w:val="19"/>
          <w:b w:val="1"/>
          <w:bCs w:val="1"/>
          <w:color w:val="auto"/>
        </w:rPr>
        <w:t>Duality</w:t>
      </w:r>
      <w:r>
        <w:rPr>
          <w:rFonts w:ascii="Times New Roman" w:cs="Times New Roman" w:eastAsia="Times New Roman" w:hAnsi="Times New Roman"/>
          <w:sz w:val="19"/>
          <w:szCs w:val="19"/>
          <w:color w:val="auto"/>
        </w:rPr>
        <w:t xml:space="preserve">”), having a place of business at Unit 1105-1106, No 868 Ying Hua Road, Pudong New District, Shanghai, China, and </w:t>
      </w:r>
      <w:r>
        <w:rPr>
          <w:rFonts w:ascii="Times New Roman" w:cs="Times New Roman" w:eastAsia="Times New Roman" w:hAnsi="Times New Roman"/>
          <w:sz w:val="19"/>
          <w:szCs w:val="19"/>
          <w:b w:val="1"/>
          <w:bCs w:val="1"/>
          <w:color w:val="auto"/>
        </w:rPr>
        <w:t xml:space="preserve">BioNTech SE </w:t>
      </w:r>
      <w:r>
        <w:rPr>
          <w:rFonts w:ascii="Times New Roman" w:cs="Times New Roman" w:eastAsia="Times New Roman" w:hAnsi="Times New Roman"/>
          <w:sz w:val="19"/>
          <w:szCs w:val="19"/>
          <w:color w:val="auto"/>
        </w:rPr>
        <w:t>, a company organized and existing under the laws of Germany, having a place of business at An der Goldgrube 12, D-55131 Mainz, Germany (“</w:t>
      </w:r>
      <w:r>
        <w:rPr>
          <w:rFonts w:ascii="Times New Roman" w:cs="Times New Roman" w:eastAsia="Times New Roman" w:hAnsi="Times New Roman"/>
          <w:sz w:val="19"/>
          <w:szCs w:val="19"/>
          <w:b w:val="1"/>
          <w:bCs w:val="1"/>
          <w:color w:val="auto"/>
        </w:rPr>
        <w:t>Licensee</w:t>
      </w:r>
      <w:r>
        <w:rPr>
          <w:rFonts w:ascii="Times New Roman" w:cs="Times New Roman" w:eastAsia="Times New Roman" w:hAnsi="Times New Roman"/>
          <w:sz w:val="19"/>
          <w:szCs w:val="19"/>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Duality is a clinical stage company focusing on the discovery and development of the next generation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therapeutics to treat patients in cancer and autoimmune diseases;</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is engaged in the research, development and commercialization of active immunotherapies for patient-specific approaches to the treatment of diseases;</w:t>
      </w:r>
    </w:p>
    <w:p>
      <w:pPr>
        <w:spacing w:after="0" w:line="12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Licensee desires to obtain from Duality, and Duality desires to grant to Licensee, an exclusive sublicensable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Duality Licensed IP to research, Develop, Manufacture and Commercialize the Licensed Products in the Field in the Territory (each as defined below), subject to the terms and conditions of this Agreement; and</w:t>
      </w:r>
    </w:p>
    <w:p>
      <w:pPr>
        <w:spacing w:after="0" w:line="13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desire to collaborate in the research, Development, Manufacture and Commercialization of the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ADC Licensed Products and/or after Next Generation Option Exercise, the Next Generation ADC Licensed Products (each as defined below) in accordance with the terms and conditions of this Agreement.</w:t>
      </w:r>
    </w:p>
    <w:p>
      <w:pPr>
        <w:spacing w:after="0" w:line="132"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premises and the mutual covenants herein contained, and for other good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valuable consideration, the receipt and sufficiency of which are hereby acknowledged, Duality and Licensee hereby agree as follows:</w:t>
      </w:r>
    </w:p>
    <w:p>
      <w:pPr>
        <w:spacing w:after="0" w:line="200" w:lineRule="exact"/>
        <w:rPr>
          <w:sz w:val="20"/>
          <w:szCs w:val="20"/>
          <w:color w:val="auto"/>
        </w:rPr>
      </w:pPr>
    </w:p>
    <w:p>
      <w:pPr>
        <w:spacing w:after="0" w:line="3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w:t>
      </w:r>
    </w:p>
    <w:p>
      <w:pPr>
        <w:ind w:left="466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42" w:lineRule="exact"/>
        <w:rPr>
          <w:sz w:val="20"/>
          <w:szCs w:val="20"/>
          <w:color w:val="auto"/>
        </w:rPr>
      </w:pPr>
    </w:p>
    <w:p>
      <w:pPr>
        <w:ind w:left="1020"/>
        <w:spacing w:after="0"/>
        <w:tabs>
          <w:tab w:leader="none" w:pos="170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ABC Terms</w:t>
      </w:r>
      <w:r>
        <w:rPr>
          <w:rFonts w:ascii="Times New Roman" w:cs="Times New Roman" w:eastAsia="Times New Roman" w:hAnsi="Times New Roman"/>
          <w:sz w:val="19"/>
          <w:szCs w:val="19"/>
          <w:color w:val="auto"/>
        </w:rPr>
        <w:t xml:space="preserve">” shall mean those terms set out in </w:t>
      </w:r>
      <w:r>
        <w:rPr>
          <w:rFonts w:ascii="Times New Roman" w:cs="Times New Roman" w:eastAsia="Times New Roman" w:hAnsi="Times New Roman"/>
          <w:sz w:val="19"/>
          <w:szCs w:val="19"/>
          <w:b w:val="1"/>
          <w:bCs w:val="1"/>
          <w:color w:val="auto"/>
        </w:rPr>
        <w:t>Schedule 1.1</w:t>
      </w:r>
      <w:r>
        <w:rPr>
          <w:rFonts w:ascii="Times New Roman" w:cs="Times New Roman" w:eastAsia="Times New Roman" w:hAnsi="Times New Roman"/>
          <w:sz w:val="19"/>
          <w:szCs w:val="19"/>
          <w:color w:val="auto"/>
        </w:rPr>
        <w:t xml:space="preserve"> of this Agreement.</w:t>
      </w:r>
    </w:p>
    <w:p>
      <w:pPr>
        <w:spacing w:after="0" w:line="166" w:lineRule="exact"/>
        <w:rPr>
          <w:sz w:val="20"/>
          <w:szCs w:val="20"/>
          <w:color w:val="auto"/>
        </w:rPr>
      </w:pPr>
    </w:p>
    <w:p>
      <w:pPr>
        <w:jc w:val="both"/>
        <w:ind w:left="46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Accounting Standards</w:t>
      </w:r>
      <w:r>
        <w:rPr>
          <w:rFonts w:ascii="Times New Roman" w:cs="Times New Roman" w:eastAsia="Times New Roman" w:hAnsi="Times New Roman"/>
          <w:sz w:val="19"/>
          <w:szCs w:val="19"/>
          <w:color w:val="auto"/>
        </w:rPr>
        <w:t>” shall mean with respect to a Selling Party (as defined below), International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Reporting Standards endorsed by the European Union or other applicable standard accounting principles used by Sublicensees.</w:t>
      </w:r>
    </w:p>
    <w:p>
      <w:pPr>
        <w:spacing w:after="0" w:line="123" w:lineRule="exact"/>
        <w:rPr>
          <w:sz w:val="20"/>
          <w:szCs w:val="20"/>
          <w:color w:val="auto"/>
        </w:rPr>
      </w:pPr>
    </w:p>
    <w:p>
      <w:pPr>
        <w:jc w:val="both"/>
        <w:ind w:left="46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ADC</w:t>
      </w:r>
      <w:r>
        <w:rPr>
          <w:rFonts w:ascii="Times New Roman" w:cs="Times New Roman" w:eastAsia="Times New Roman" w:hAnsi="Times New Roman"/>
          <w:sz w:val="19"/>
          <w:szCs w:val="19"/>
          <w:color w:val="auto"/>
        </w:rPr>
        <w:t>” shall mean any construct comprising an Antibody(ies) linked to a non-Antibody chemical species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 or biological activity or function, including non-Antibody chemical species that (i) directly kills, slows or stops the growth of a tumor cell through such compound’s primary mechanism of action (“</w:t>
      </w:r>
      <w:r>
        <w:rPr>
          <w:rFonts w:ascii="Times New Roman" w:cs="Times New Roman" w:eastAsia="Times New Roman" w:hAnsi="Times New Roman"/>
          <w:sz w:val="19"/>
          <w:szCs w:val="19"/>
          <w:b w:val="1"/>
          <w:bCs w:val="1"/>
          <w:color w:val="auto"/>
        </w:rPr>
        <w:t>Cytotoxic Payload</w:t>
      </w:r>
      <w:r>
        <w:rPr>
          <w:rFonts w:ascii="Times New Roman" w:cs="Times New Roman" w:eastAsia="Times New Roman" w:hAnsi="Times New Roman"/>
          <w:sz w:val="19"/>
          <w:szCs w:val="19"/>
          <w:color w:val="auto"/>
        </w:rPr>
        <w:t>”) or (ii) [***].</w:t>
      </w:r>
    </w:p>
    <w:p>
      <w:pPr>
        <w:spacing w:after="0" w:line="132" w:lineRule="exact"/>
        <w:rPr>
          <w:sz w:val="20"/>
          <w:szCs w:val="20"/>
          <w:color w:val="auto"/>
        </w:rPr>
      </w:pPr>
    </w:p>
    <w:p>
      <w:pPr>
        <w:jc w:val="both"/>
        <w:ind w:left="460"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Active(s)</w:t>
      </w:r>
      <w:r>
        <w:rPr>
          <w:rFonts w:ascii="Times New Roman" w:cs="Times New Roman" w:eastAsia="Times New Roman" w:hAnsi="Times New Roman"/>
          <w:sz w:val="19"/>
          <w:szCs w:val="19"/>
          <w:color w:val="auto"/>
        </w:rPr>
        <w:t>” shall mean any active pharmaceutical or biologic ingredient(s) or agent(s) that is not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699" w:name="page700"/>
    <w:bookmarkEnd w:id="699"/>
    <w:p>
      <w:pPr>
        <w:spacing w:after="0" w:line="255"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mean any company or entity controlled by, controlling, or under common control with a Party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another entity. For the purpose of this definition, an entity shall be deemed to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another entity, if it owns directly or indirectly, more than fifty percent (50%) of the outstanding voting securities, capital stock, or other comparable equity or ownership interest of such entity, or possession, direct or indirect, of the power to direct or cause the direction of the management or policies of an entity (whether through ownership of securities or other ownership interests, by contract or otherwise).</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shall have the meaning provided in Section 3.10.</w:t>
      </w:r>
    </w:p>
    <w:p>
      <w:pPr>
        <w:spacing w:after="0" w:line="16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“Annual Net Sales</w:t>
      </w:r>
      <w:r>
        <w:rPr>
          <w:rFonts w:ascii="Times New Roman" w:cs="Times New Roman" w:eastAsia="Times New Roman" w:hAnsi="Times New Roman"/>
          <w:sz w:val="19"/>
          <w:szCs w:val="19"/>
          <w:color w:val="auto"/>
        </w:rPr>
        <w:t>” shall mean for a particular Licensed Product the total Net Sales for a particular Calendar</w:t>
      </w: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42"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Antibody</w:t>
      </w:r>
      <w:r>
        <w:rPr>
          <w:rFonts w:ascii="Times New Roman" w:cs="Times New Roman" w:eastAsia="Times New Roman" w:hAnsi="Times New Roman"/>
          <w:sz w:val="19"/>
          <w:szCs w:val="19"/>
          <w:color w:val="auto"/>
        </w:rPr>
        <w:t>” shall mean any antibody (including murine, chimeric, human, humanized, recombinant, transgenic,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grafted, phage display derived, or single chain antibody), or antigen binding fragment thereof. [***]</w:t>
      </w:r>
    </w:p>
    <w:p>
      <w:pPr>
        <w:spacing w:after="0" w:line="12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1.9 “Anti-Corruption Laws” </w:t>
      </w:r>
      <w:r>
        <w:rPr>
          <w:rFonts w:ascii="Times New Roman" w:cs="Times New Roman" w:eastAsia="Times New Roman" w:hAnsi="Times New Roman"/>
          <w:sz w:val="19"/>
          <w:szCs w:val="19"/>
          <w:color w:val="auto"/>
        </w:rPr>
        <w:t>shall mean all applicable anti-bribery and anti-corruption laws and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the U.S. Foreign Corrupt Practices Act of 1977, the U.K. Bribery Act 2010 and the PRC Anti-Money Laundering Law and the comparable Applicable Laws of any countries in which candidates or Licensed Products, payments or services will be provided or procured under or pursuant to this Agreement.</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Data Protection Law</w:t>
      </w:r>
      <w:r>
        <w:rPr>
          <w:rFonts w:ascii="Times New Roman" w:cs="Times New Roman" w:eastAsia="Times New Roman" w:hAnsi="Times New Roman"/>
          <w:sz w:val="19"/>
          <w:szCs w:val="19"/>
          <w:color w:val="auto"/>
        </w:rPr>
        <w:t>” shall mean all Applicable Laws in any jurisdiction relating to privacy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processing or protection of personal data or personal information, including the General Data Protection Regulation (EU) 2016/679 (GDPR), the UK Data Protection Act 2018, the e- Privacy Directive (2002/58/EC) and the comparable in other jurisdictions and all guidance issued by any applicable data protection authority.</w:t>
      </w:r>
    </w:p>
    <w:p>
      <w:pPr>
        <w:spacing w:after="0" w:line="134"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 xml:space="preserve">1. 11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Laws</w:t>
      </w:r>
      <w:r>
        <w:rPr>
          <w:rFonts w:ascii="Times New Roman" w:cs="Times New Roman" w:eastAsia="Times New Roman" w:hAnsi="Times New Roman"/>
          <w:sz w:val="19"/>
          <w:szCs w:val="19"/>
          <w:color w:val="auto"/>
        </w:rPr>
        <w:t>” shall mean collectively the applicable provisions of any and all national, supranational,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regional, state and local laws, treaties, statutes, rules, regulations, administrative codes, guidance, ordinances, judgments, decrees, directives, injunctions, orders, of any Governmental Authority and any license, franchise, permit or similar right granted under any of the foregoing (including Regulatory Approvals) and any policies and other requirements of or from any court, arbitrator, Regulatory Authority or governmental agency or Governmental Authority having jurisdiction over or related to the subject item or subject person, including all applicable GXPs, Anti-Corruption Laws, Applicable Data Protection Laws, accounting and recordkeeping laws, export control laws and laws relating to interactions with health care professionals and Government Officials (as defined in Schedule 1.1) .</w:t>
      </w:r>
    </w:p>
    <w:p>
      <w:pPr>
        <w:spacing w:after="0" w:line="134"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Biologics License Application </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BLA</w:t>
      </w:r>
      <w:r>
        <w:rPr>
          <w:rFonts w:ascii="Times New Roman" w:cs="Times New Roman" w:eastAsia="Times New Roman" w:hAnsi="Times New Roman"/>
          <w:sz w:val="19"/>
          <w:szCs w:val="19"/>
          <w:color w:val="auto"/>
        </w:rPr>
        <w:t>” shall mean an application requesting permission from the FDA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introduce, or deliver for introduction, a biological product into interstate commerce.</w:t>
      </w:r>
    </w:p>
    <w:p>
      <w:pPr>
        <w:spacing w:after="0" w:line="123"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Biosimilar Product</w:t>
      </w:r>
      <w:r>
        <w:rPr>
          <w:rFonts w:ascii="Times New Roman" w:cs="Times New Roman" w:eastAsia="Times New Roman" w:hAnsi="Times New Roman"/>
          <w:sz w:val="19"/>
          <w:szCs w:val="19"/>
          <w:color w:val="auto"/>
        </w:rPr>
        <w:t>” shall mean with respect to a particular Licensed Product in a given country, a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comprising an ADC sold by a Third Party not authorized by Licensee or its Affiliates or Sublicensees that is approved by the applicable Regulatory Authority for such country through an application or submission filed with a Regulatory Authority for marketing approval of a biologic product claimed to be biosimilar or interchangeable to such Licensed Product, including an application filed under 42 U.S.C. § 262(k) (or any successor thereto) or any similar laws or regulations in a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0" w:name="page701"/>
    <w:bookmarkEnd w:id="700"/>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outside the United States in reliance on data generated for a Regulatory Approval of such Licensed Product.</w:t>
      </w:r>
    </w:p>
    <w:p>
      <w:pPr>
        <w:spacing w:after="0" w:line="164"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Business Day </w:t>
      </w:r>
      <w:r>
        <w:rPr>
          <w:rFonts w:ascii="Times New Roman" w:cs="Times New Roman" w:eastAsia="Times New Roman" w:hAnsi="Times New Roman"/>
          <w:sz w:val="19"/>
          <w:szCs w:val="19"/>
          <w:color w:val="auto"/>
        </w:rPr>
        <w:t>” shall mean any day that is not a Saturday, a Sunday or any other day on which banks are required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authorized by law to close in Mainz, Rhineland-Palatine (in Germany) or any government mandated holiday in Mainland China.</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shall mean each period of three (3) consecutive months commencing on January 1, April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1 or October 1 (or any portion thereof at the beginning or end of the Term or other relevant period).</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Calendar Year </w:t>
      </w:r>
      <w:r>
        <w:rPr>
          <w:rFonts w:ascii="Times New Roman" w:cs="Times New Roman" w:eastAsia="Times New Roman" w:hAnsi="Times New Roman"/>
          <w:sz w:val="19"/>
          <w:szCs w:val="19"/>
          <w:color w:val="auto"/>
        </w:rPr>
        <w:t>” shall mean each period of twelve (12) consecutive months commencing on January 1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ending on December 31 (or any portion thereof at the beginning or end of the Term or other relevant period).</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Cell Banks</w:t>
      </w:r>
      <w:r>
        <w:rPr>
          <w:rFonts w:ascii="Times New Roman" w:cs="Times New Roman" w:eastAsia="Times New Roman" w:hAnsi="Times New Roman"/>
          <w:sz w:val="19"/>
          <w:szCs w:val="19"/>
          <w:color w:val="auto"/>
        </w:rPr>
        <w:t>” shall have the meaning provided in Section 6.3.</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shall mean, with respect to either Party: (a) a merger, acquisition, reorganization,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consolidation of such Party 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immediately after such merger, acquisition, reorganization, or consolidation; (b) a transaction or series of related transactions in which a Third Party, together with its Affiliates, becomes the beneficial owner, directly or indirectly, of more than fifty percent (50%) of the combined voting power of the outstanding securities of such Party; or (c) a transfer to a Third Party of all or substantially all of its assets relating to this Agreement.</w:t>
      </w:r>
    </w:p>
    <w:p>
      <w:pPr>
        <w:spacing w:after="0" w:line="135"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Clinical Trial</w:t>
      </w:r>
      <w:r>
        <w:rPr>
          <w:rFonts w:ascii="Times New Roman" w:cs="Times New Roman" w:eastAsia="Times New Roman" w:hAnsi="Times New Roman"/>
          <w:sz w:val="19"/>
          <w:szCs w:val="19"/>
          <w:color w:val="auto"/>
        </w:rPr>
        <w:t>” shall mean a Phase I Clinical Trial, Phase II Clinical Trial, Phase III Clinical Trial, Registrational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 or other human clinical trial conducted after the Regulatory Approval of a product in a country, which trial may be conducted to (a) enhance scientific knowledge of such product (e.g., for expansion of product labeling), (b) due to a request or requirement of a Regulatory Authority in such country, (c) is otherwise designed to establish that a product is reasonably safe for continued testing and to identify adverse reactions and ascertain the safety of the product, or (d) investigate the safety and efficacy of the product for its intended use, and to define warnings, precautions and adverse reactions that may be associated with the product in the dosage range to be prescribed.</w:t>
      </w:r>
    </w:p>
    <w:p>
      <w:pPr>
        <w:spacing w:after="0" w:line="135"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w:t>
      </w:r>
      <w:r>
        <w:rPr>
          <w:rFonts w:ascii="Times New Roman" w:cs="Times New Roman" w:eastAsia="Times New Roman" w:hAnsi="Times New Roman"/>
          <w:sz w:val="19"/>
          <w:szCs w:val="19"/>
          <w:color w:val="auto"/>
        </w:rPr>
        <w:t>” shall mean chemistry, manufacturing and controls with respect to the Licensed Compound or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Products.</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CMC Materials</w:t>
      </w:r>
      <w:r>
        <w:rPr>
          <w:rFonts w:ascii="Times New Roman" w:cs="Times New Roman" w:eastAsia="Times New Roman" w:hAnsi="Times New Roman"/>
          <w:sz w:val="19"/>
          <w:szCs w:val="19"/>
          <w:color w:val="auto"/>
        </w:rPr>
        <w:t>” shall have the meaning provided in Section 6.2.</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CMO</w:t>
      </w:r>
      <w:r>
        <w:rPr>
          <w:rFonts w:ascii="Times New Roman" w:cs="Times New Roman" w:eastAsia="Times New Roman" w:hAnsi="Times New Roman"/>
          <w:sz w:val="19"/>
          <w:szCs w:val="19"/>
          <w:color w:val="auto"/>
        </w:rPr>
        <w:t>” shall mean Third Party contract manufacturing organization.</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Collaboration IP</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Combination Product</w:t>
      </w:r>
      <w:r>
        <w:rPr>
          <w:rFonts w:ascii="Times New Roman" w:cs="Times New Roman" w:eastAsia="Times New Roman" w:hAnsi="Times New Roman"/>
          <w:sz w:val="19"/>
          <w:szCs w:val="19"/>
          <w:color w:val="auto"/>
        </w:rPr>
        <w:t>” shall [***].</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w:t>
      </w:r>
      <w:r>
        <w:rPr>
          <w:rFonts w:ascii="Times New Roman" w:cs="Times New Roman" w:eastAsia="Times New Roman" w:hAnsi="Times New Roman"/>
          <w:sz w:val="19"/>
          <w:szCs w:val="19"/>
          <w:color w:val="auto"/>
        </w:rPr>
        <w:t>” shall mean, with respect to a product, any and all activities undertaken before and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obtaining Regulatory Approvals relating specifically to the pre-launch, launch, promotion, detailing, marketing, pricing, reimbursement, sale, importing, exporting or transporting such product, and distribution of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1" w:name="page702"/>
    <w:bookmarkEnd w:id="701"/>
    <w:p>
      <w:pPr>
        <w:spacing w:after="0" w:line="2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including strategic marketing, sales force detailing, advertising, market product support, all customer support, product distribution, and invoicing and sales activities, but excluding Development and Manufacturing. “</w:t>
      </w:r>
      <w:r>
        <w:rPr>
          <w:rFonts w:ascii="Times New Roman" w:cs="Times New Roman" w:eastAsia="Times New Roman" w:hAnsi="Times New Roman"/>
          <w:sz w:val="19"/>
          <w:szCs w:val="19"/>
          <w:b w:val="1"/>
          <w:bCs w:val="1"/>
          <w:color w:val="auto"/>
        </w:rPr>
        <w:t>Commercialize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Commercialized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Commercializing</w:t>
      </w:r>
      <w:r>
        <w:rPr>
          <w:rFonts w:ascii="Times New Roman" w:cs="Times New Roman" w:eastAsia="Times New Roman" w:hAnsi="Times New Roman"/>
          <w:sz w:val="19"/>
          <w:szCs w:val="19"/>
          <w:color w:val="auto"/>
        </w:rPr>
        <w:t>” shall have the correlative meanings.</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 Phase</w:t>
      </w:r>
      <w:r>
        <w:rPr>
          <w:rFonts w:ascii="Times New Roman" w:cs="Times New Roman" w:eastAsia="Times New Roman" w:hAnsi="Times New Roman"/>
          <w:sz w:val="19"/>
          <w:szCs w:val="19"/>
          <w:color w:val="auto"/>
        </w:rPr>
        <w:t>” would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shall have the meaning provided in Section 7.2.</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meaning given in Section 3.4.</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1. 31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Competitive Change of Control” </w:t>
      </w:r>
      <w:r>
        <w:rPr>
          <w:rFonts w:ascii="Times New Roman" w:cs="Times New Roman" w:eastAsia="Times New Roman" w:hAnsi="Times New Roman"/>
          <w:sz w:val="19"/>
          <w:szCs w:val="19"/>
          <w:color w:val="auto"/>
        </w:rPr>
        <w:t>shall mean a Change of Control of Duality where the incoming Third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and/or its Affiliates is a Competitor.</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1.33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shall mean all Know-How and other proprietary scientific, technical,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financial or commercial information or Data Controlled by a Party or its Affiliates, which one Party or any of its Affiliates has furnished or made available to the other Party or its Affiliates, whether in oral, written or electronic form. The existence and terms of this Agreement shall be deemed Confidential Information of each Party.</w:t>
      </w:r>
    </w:p>
    <w:p>
      <w:pPr>
        <w:spacing w:after="0" w:line="134"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 xml:space="preserve">1.34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(including any variations such as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Controlling</w:t>
      </w:r>
      <w:r>
        <w:rPr>
          <w:rFonts w:ascii="Times New Roman" w:cs="Times New Roman" w:eastAsia="Times New Roman" w:hAnsi="Times New Roman"/>
          <w:sz w:val="19"/>
          <w:szCs w:val="19"/>
          <w:color w:val="auto"/>
        </w:rPr>
        <w:t>”) shall mean, with respect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Know-How, Patents or other intellectual property rights, possession by a Party or Third Party of the right, power and authority (whether by ownership, license, sublicense or otherwise, other than by virtue of any rights granted under this Agreement) to grant access to, to grant use of, or to grant a license or a sublicense to such Know -How, Patents or intellectual property rights without violating the terms of any agreement or other arrangement with any Third Party. Notwithstanding anything in this Agreement to the contrary, a Party and its Affiliates will be deemed to not Control any Know-How, Patents, or other intellectual property rights that are in-licensed or acquired by such Party or its Affiliates from a Third Party after the Effective Date, unless the other Party agrees to (a) comply with the terms and conditions of the agreement under which such Know-How, Patents, or other intellectual property rights were in-licensed or acquired by such Party; and (b) pay all amounts that such Party would be obligated to pay in connection with the grant, maintenance and exercise of a (sub)license as reasonably allocable to such other Party for use in its territory under such Know- How, Patents, or other intellectual property rights.</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CRO</w:t>
      </w:r>
      <w:r>
        <w:rPr>
          <w:rFonts w:ascii="Times New Roman" w:cs="Times New Roman" w:eastAsia="Times New Roman" w:hAnsi="Times New Roman"/>
          <w:sz w:val="19"/>
          <w:szCs w:val="19"/>
          <w:color w:val="auto"/>
        </w:rPr>
        <w:t>” shall mean a contract research organization.</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1.37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 shall mean all data, including non- clinical data, preclinical data and clinical data,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pharmacological, biological, chemical, toxicological, clinical test, safety, clinical and analytical information, quality control, trial, stability and manufacturing processes and techniques data generated by or on behalf of a Party or its Affiliates or their respective Sublicensees (in case of Licensee) and (sub)licensees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2" w:name="page703"/>
    <w:bookmarkEnd w:id="702"/>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(sub)contractors (in the case of Duality) pursuant to activities conducted under this Agreement.</w:t>
      </w:r>
    </w:p>
    <w:p>
      <w:pPr>
        <w:spacing w:after="0" w:line="16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1.38</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w:t>
      </w:r>
      <w:r>
        <w:rPr>
          <w:rFonts w:ascii="Times New Roman" w:cs="Times New Roman" w:eastAsia="Times New Roman" w:hAnsi="Times New Roman"/>
          <w:sz w:val="19"/>
          <w:szCs w:val="19"/>
          <w:color w:val="auto"/>
        </w:rPr>
        <w:t>” shall mean, with respect to a pharmaceutical or biological product, any research activities, all non-clinical and clinical drug development activities and processes, [***] regulatory affairs and other activities, in each case, which are reasonably necessary to prepare submissions for, and obtain or maintain, Regulatory Approval of such product and interacting with Regulatory Authorities regarding the foregoing, including lifecycle management studies and other activities. “</w:t>
      </w:r>
      <w:r>
        <w:rPr>
          <w:rFonts w:ascii="Times New Roman" w:cs="Times New Roman" w:eastAsia="Times New Roman" w:hAnsi="Times New Roman"/>
          <w:sz w:val="19"/>
          <w:szCs w:val="19"/>
          <w:b w:val="1"/>
          <w:bCs w:val="1"/>
          <w:color w:val="auto"/>
        </w:rPr>
        <w:t>Develop</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Developed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Developing</w:t>
      </w:r>
      <w:r>
        <w:rPr>
          <w:rFonts w:ascii="Times New Roman" w:cs="Times New Roman" w:eastAsia="Times New Roman" w:hAnsi="Times New Roman"/>
          <w:sz w:val="19"/>
          <w:szCs w:val="19"/>
          <w:color w:val="auto"/>
        </w:rPr>
        <w:t>” shall have the correlative meanings.</w:t>
      </w:r>
    </w:p>
    <w:p>
      <w:pPr>
        <w:spacing w:after="0" w:line="13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1.40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Development Budget </w:t>
      </w:r>
      <w:r>
        <w:rPr>
          <w:rFonts w:ascii="Times New Roman" w:cs="Times New Roman" w:eastAsia="Times New Roman" w:hAnsi="Times New Roman"/>
          <w:sz w:val="19"/>
          <w:szCs w:val="19"/>
          <w:color w:val="auto"/>
        </w:rPr>
        <w:t>” shall mean the Original ADC Licensed Product Development Budget and/or the Next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Generation Development Budget, as the context admits.</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Costs</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1. 42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Phase</w:t>
      </w:r>
      <w:r>
        <w:rPr>
          <w:rFonts w:ascii="Times New Roman" w:cs="Times New Roman" w:eastAsia="Times New Roman" w:hAnsi="Times New Roman"/>
          <w:sz w:val="19"/>
          <w:szCs w:val="19"/>
          <w:color w:val="auto"/>
        </w:rPr>
        <w:t>” shall mean the phase starting with the Effective Date to the First Commercial Sale of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 during which either Party is conducting Development activities for such Licensed Product or Licensed Compound, or after Next Generation Option Exercise, the Next Generation ADC Licensed Product or Next Generation Licensed Compound.</w:t>
      </w:r>
    </w:p>
    <w:p>
      <w:pPr>
        <w:spacing w:after="0" w:line="305"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1.43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Plan</w:t>
      </w:r>
      <w:r>
        <w:rPr>
          <w:rFonts w:ascii="Times New Roman" w:cs="Times New Roman" w:eastAsia="Times New Roman" w:hAnsi="Times New Roman"/>
          <w:sz w:val="19"/>
          <w:szCs w:val="19"/>
          <w:color w:val="auto"/>
        </w:rPr>
        <w:t>” shall mean the Original ADC Licensed Product Development Plan and/or the Next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Generation Development Plan, as the context admits.</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Schedule</w:t>
      </w:r>
      <w:r>
        <w:rPr>
          <w:rFonts w:ascii="Times New Roman" w:cs="Times New Roman" w:eastAsia="Times New Roman" w:hAnsi="Times New Roman"/>
          <w:sz w:val="19"/>
          <w:szCs w:val="19"/>
          <w:color w:val="auto"/>
        </w:rPr>
        <w:t>” shall have the meaning provided in Section 11.2.</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have the meaning provided in Section 15.2.</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1.47</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1.48</w:t>
      </w:r>
      <w:r>
        <w:rPr>
          <w:sz w:val="20"/>
          <w:szCs w:val="20"/>
          <w:color w:val="auto"/>
        </w:rPr>
        <w:tab/>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shall have the meaning provided in Section 12.1(a).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CMO</w:t>
      </w:r>
      <w:r>
        <w:rPr>
          <w:rFonts w:ascii="Times New Roman" w:cs="Times New Roman" w:eastAsia="Times New Roman" w:hAnsi="Times New Roman"/>
          <w:sz w:val="19"/>
          <w:szCs w:val="19"/>
          <w:color w:val="auto"/>
        </w:rPr>
        <w:t>” shall mean any CMO engaged by Duality or any Affiliate of Duality.</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Costs</w:t>
      </w:r>
      <w:r>
        <w:rPr>
          <w:rFonts w:ascii="Times New Roman" w:cs="Times New Roman" w:eastAsia="Times New Roman" w:hAnsi="Times New Roman"/>
          <w:sz w:val="19"/>
          <w:szCs w:val="19"/>
          <w:color w:val="auto"/>
        </w:rPr>
        <w:t>” shall mean any and all costs and expenses that are reasonably incurred by or on behalf of Duality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its applicable Affiliates after the Effective Date in conducting the Planned Trials, the Next Generation Added Trials and/or performing other Development activities as agreed hereunder in the Territory pursuant to this Agreement and the respective Development Plan. [***]</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Development Activities</w:t>
      </w:r>
      <w:r>
        <w:rPr>
          <w:rFonts w:ascii="Times New Roman" w:cs="Times New Roman" w:eastAsia="Times New Roman" w:hAnsi="Times New Roman"/>
          <w:sz w:val="19"/>
          <w:szCs w:val="19"/>
          <w:color w:val="auto"/>
        </w:rPr>
        <w:t>” shall have the meaning provided in Section 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3" w:name="page704"/>
    <w:bookmarkEnd w:id="703"/>
    <w:p>
      <w:pPr>
        <w:spacing w:after="0" w:line="25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Immune Agonist ADC Product</w:t>
      </w:r>
      <w:r>
        <w:rPr>
          <w:rFonts w:ascii="Times New Roman" w:cs="Times New Roman" w:eastAsia="Times New Roman" w:hAnsi="Times New Roman"/>
          <w:sz w:val="19"/>
          <w:szCs w:val="19"/>
          <w:color w:val="auto"/>
        </w:rPr>
        <w:t>” shall have the meaning provided in Section 2.8.</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9"/>
          <w:szCs w:val="19"/>
          <w:b w:val="1"/>
          <w:bCs w:val="1"/>
          <w:color w:val="auto"/>
        </w:rPr>
        <w:t xml:space="preserve">“Duality In-Licensed Agreements” </w:t>
      </w:r>
      <w:r>
        <w:rPr>
          <w:rFonts w:ascii="Times New Roman" w:cs="Times New Roman" w:eastAsia="Times New Roman" w:hAnsi="Times New Roman"/>
          <w:sz w:val="19"/>
          <w:szCs w:val="19"/>
          <w:color w:val="auto"/>
        </w:rPr>
        <w:t>shall mean each Agreement as set forth on</w:t>
      </w:r>
      <w:r>
        <w:rPr>
          <w:rFonts w:ascii="Times New Roman" w:cs="Times New Roman" w:eastAsia="Times New Roman" w:hAnsi="Times New Roman"/>
          <w:sz w:val="19"/>
          <w:szCs w:val="19"/>
          <w:b w:val="1"/>
          <w:bCs w:val="1"/>
          <w:color w:val="auto"/>
        </w:rPr>
        <w:t xml:space="preserve"> Schedule 1.54.</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1.55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In-Licensed IP</w:t>
      </w:r>
      <w:r>
        <w:rPr>
          <w:rFonts w:ascii="Times New Roman" w:cs="Times New Roman" w:eastAsia="Times New Roman" w:hAnsi="Times New Roman"/>
          <w:sz w:val="19"/>
          <w:szCs w:val="19"/>
          <w:color w:val="auto"/>
        </w:rPr>
        <w:t>” shall mean any and all Patents or Know-How that is Controlled by Duality or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pursuant to the Duality In-Licensed Agreements.</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Indemnitees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 xml:space="preserve">1.57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Know-How</w:t>
      </w:r>
      <w:r>
        <w:rPr>
          <w:rFonts w:ascii="Times New Roman" w:cs="Times New Roman" w:eastAsia="Times New Roman" w:hAnsi="Times New Roman"/>
          <w:sz w:val="19"/>
          <w:szCs w:val="19"/>
          <w:color w:val="auto"/>
        </w:rPr>
        <w:t>” shall mean any and all Know-How (including Data) that (a) is Controlled by Duality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its Affiliates as of the Effective Date or at any time during the Term, and (b) are necessary or reasonably useful for the Development, Manufacture or Commercialization of or to otherwise exploit the Licensed Compound or Licensed Products, and/or after Next Generation Option Exercise, the Next Generation Licensed Compound or Next Generation ADC Licensed Products, in the Field in the Territory, including but not limited to, with respect to (a) and (b), the Know-How (including Data) contained in Duality Solely Owned Collaboration IP, [***]. Notwithstanding the foregoing, Duality Know-How shall not include (i) any Know-How (including Data) Controlled by any Third Party that becomes an Affiliate of Duality after the Effective Date as a result of a merger, acquisition or other similar transaction, unless such Know-How (including Data) is used by either Party in the Development, Manufacturing or Commercialization of the Licensed Compound or Licensed Products, and/or after Next Generation Option Exercise, the Next Generation Licensed Compound or Next Generation ADC Licensed Products, and (ii) any Know-How that is related to any Additional Active or other proprietary compound or product Controlled by Duality or any of its Affiliates. A description of Duality Know-How as of the Effective Date is attached hereto on </w:t>
      </w:r>
      <w:r>
        <w:rPr>
          <w:rFonts w:ascii="Times New Roman" w:cs="Times New Roman" w:eastAsia="Times New Roman" w:hAnsi="Times New Roman"/>
          <w:sz w:val="19"/>
          <w:szCs w:val="19"/>
          <w:b w:val="1"/>
          <w:bCs w:val="1"/>
          <w:color w:val="auto"/>
        </w:rPr>
        <w:t>Schedule 1.57.</w:t>
      </w:r>
    </w:p>
    <w:p>
      <w:pPr>
        <w:spacing w:after="0" w:line="137"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Licensed IP</w:t>
      </w:r>
      <w:r>
        <w:rPr>
          <w:rFonts w:ascii="Times New Roman" w:cs="Times New Roman" w:eastAsia="Times New Roman" w:hAnsi="Times New Roman"/>
          <w:sz w:val="19"/>
          <w:szCs w:val="19"/>
          <w:color w:val="auto"/>
        </w:rPr>
        <w:t>” shall mean Duality Know-How and Duality Patents. Duality Licensed IP includes Duality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In-Licensed IP.</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mean any new or useful invention, discovery, adaptation, redesign, modification, improvement,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enhancement, contribution or other desirable change generated in the course of performing activities under this Agreement solely relating to [***]. [***]</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1.61</w:t>
      </w:r>
      <w:r>
        <w:rPr>
          <w:sz w:val="20"/>
          <w:szCs w:val="20"/>
          <w:color w:val="auto"/>
        </w:rPr>
        <w:tab/>
      </w:r>
      <w:r>
        <w:rPr>
          <w:rFonts w:ascii="Times New Roman" w:cs="Times New Roman" w:eastAsia="Times New Roman" w:hAnsi="Times New Roman"/>
          <w:sz w:val="19"/>
          <w:szCs w:val="19"/>
          <w:b w:val="1"/>
          <w:bCs w:val="1"/>
          <w:color w:val="auto"/>
        </w:rPr>
        <w:t>[***]</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Linker-Payload Patents</w:t>
      </w:r>
      <w:r>
        <w:rPr>
          <w:rFonts w:ascii="Times New Roman" w:cs="Times New Roman" w:eastAsia="Times New Roman" w:hAnsi="Times New Roman"/>
          <w:sz w:val="19"/>
          <w:szCs w:val="19"/>
          <w:color w:val="auto"/>
        </w:rPr>
        <w:t>” shall mean any and all Patents claiming the Duality Linker-Payload.</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Patents</w:t>
      </w:r>
      <w:r>
        <w:rPr>
          <w:rFonts w:ascii="Times New Roman" w:cs="Times New Roman" w:eastAsia="Times New Roman" w:hAnsi="Times New Roman"/>
          <w:sz w:val="19"/>
          <w:szCs w:val="19"/>
          <w:color w:val="auto"/>
        </w:rPr>
        <w:t>” shall mean any and all Patents [***]</w:t>
      </w:r>
      <w:r>
        <w:rPr>
          <w:rFonts w:ascii="Times New Roman" w:cs="Times New Roman" w:eastAsia="Times New Roman" w:hAnsi="Times New Roman"/>
          <w:sz w:val="19"/>
          <w:szCs w:val="19"/>
          <w:b w:val="1"/>
          <w:bCs w:val="1"/>
          <w:color w:val="auto"/>
        </w:rPr>
        <w:t>.</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Product Patents</w:t>
      </w:r>
      <w:r>
        <w:rPr>
          <w:rFonts w:ascii="Times New Roman" w:cs="Times New Roman" w:eastAsia="Times New Roman" w:hAnsi="Times New Roman"/>
          <w:sz w:val="19"/>
          <w:szCs w:val="19"/>
          <w:color w:val="auto"/>
        </w:rPr>
        <w:t>” shall mean any and all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IP</w:t>
      </w:r>
      <w:r>
        <w:rPr>
          <w:rFonts w:ascii="Times New Roman" w:cs="Times New Roman" w:eastAsia="Times New Roman" w:hAnsi="Times New Roman"/>
          <w:sz w:val="19"/>
          <w:szCs w:val="19"/>
          <w:color w:val="auto"/>
        </w:rPr>
        <w:t>” shall have the meaning provided in Section 12.1(b).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00"/>
          </w:cols>
          <w:pgMar w:left="1120" w:top="1440" w:right="680" w:bottom="1440" w:gutter="0" w:footer="0" w:header="0"/>
        </w:sectPr>
      </w:pPr>
    </w:p>
    <w:bookmarkStart w:id="704" w:name="page705"/>
    <w:bookmarkEnd w:id="704"/>
    <w:p>
      <w:pPr>
        <w:spacing w:after="0" w:line="25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Duality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shall have the meaning provided in the introductory paragraph of this Agreement.</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Election Notice</w:t>
      </w:r>
      <w:r>
        <w:rPr>
          <w:rFonts w:ascii="Times New Roman" w:cs="Times New Roman" w:eastAsia="Times New Roman" w:hAnsi="Times New Roman"/>
          <w:sz w:val="19"/>
          <w:szCs w:val="19"/>
          <w:color w:val="auto"/>
        </w:rPr>
        <w:t>” shall have the meaning provided in Section 2.13.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EMA</w:t>
      </w:r>
      <w:r>
        <w:rPr>
          <w:rFonts w:ascii="Times New Roman" w:cs="Times New Roman" w:eastAsia="Times New Roman" w:hAnsi="Times New Roman"/>
          <w:sz w:val="19"/>
          <w:szCs w:val="19"/>
          <w:color w:val="auto"/>
        </w:rPr>
        <w:t>” shall mean shall mean the European Medicines Agency and any successor entity thereto.</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shall have the meaning provided in Section 3.6(a).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Experts</w:t>
      </w:r>
      <w:r>
        <w:rPr>
          <w:rFonts w:ascii="Times New Roman" w:cs="Times New Roman" w:eastAsia="Times New Roman" w:hAnsi="Times New Roman"/>
          <w:sz w:val="19"/>
          <w:szCs w:val="19"/>
          <w:color w:val="auto"/>
        </w:rPr>
        <w:t>” shall have the meaning provided in Section 15.1.</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shall mean the U.S. Food and Drug Administration and any successor entity thereto.</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Field</w:t>
      </w:r>
      <w:r>
        <w:rPr>
          <w:rFonts w:ascii="Times New Roman" w:cs="Times New Roman" w:eastAsia="Times New Roman" w:hAnsi="Times New Roman"/>
          <w:sz w:val="19"/>
          <w:szCs w:val="19"/>
          <w:color w:val="auto"/>
        </w:rPr>
        <w:t>” shall mean all uses.</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Commercial Sale</w:t>
      </w:r>
      <w:r>
        <w:rPr>
          <w:rFonts w:ascii="Times New Roman" w:cs="Times New Roman" w:eastAsia="Times New Roman" w:hAnsi="Times New Roman"/>
          <w:sz w:val="19"/>
          <w:szCs w:val="19"/>
          <w:color w:val="auto"/>
        </w:rPr>
        <w:t>” shall mean, with respect to a Licensed Product,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1.75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shall have the meaning provided in Section 16.11.</w:t>
      </w:r>
    </w:p>
    <w:p>
      <w:pPr>
        <w:spacing w:after="0" w:line="166"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FTE</w:t>
      </w:r>
      <w:r>
        <w:rPr>
          <w:rFonts w:ascii="Times New Roman" w:cs="Times New Roman" w:eastAsia="Times New Roman" w:hAnsi="Times New Roman"/>
          <w:sz w:val="19"/>
          <w:szCs w:val="19"/>
          <w:color w:val="auto"/>
        </w:rPr>
        <w:t>” shall mean the equivalent of a full-time individual’s work time for a twelve (12) month period devoted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performing activities under the Agreement, where “full-time” is determined by [***] hours per Calendar Year. In the event that any individual who works full -time during a given Calendar Year works partially on the activities under this Agreement and partially on other work outside this Agreement, then the full -time equivalent to be attributed to such individual’s work hereunder for such Calendar Year shall be equal to the percentage of such individual’s total work time in such Calendar Year that such individual spent working on activities under this Agreement.</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1. 77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FTE Rate</w:t>
      </w:r>
      <w:r>
        <w:rPr>
          <w:rFonts w:ascii="Times New Roman" w:cs="Times New Roman" w:eastAsia="Times New Roman" w:hAnsi="Times New Roman"/>
          <w:sz w:val="19"/>
          <w:szCs w:val="19"/>
          <w:color w:val="auto"/>
        </w:rPr>
        <w:t>” shall mean [***] for the first [***] years from the Effective Date. After the [***] anniversary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Date, the FTE rate will be adjusted on an annual basis based on the higher of (i) the average inflation rate in the countries of the Territory where the Development activities are performed by Duality or (ii) the average salary increase in the relevant categories of Duality’s employees who participate in the project on the FTE basis; provided in either case that any such increase of FTE Rate each year shall not be more than [***].</w:t>
      </w:r>
    </w:p>
    <w:p>
      <w:pPr>
        <w:spacing w:after="0" w:line="133"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1.78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Fully Burdened Manufacturing Cost</w:t>
      </w:r>
      <w:r>
        <w:rPr>
          <w:rFonts w:ascii="Times New Roman" w:cs="Times New Roman" w:eastAsia="Times New Roman" w:hAnsi="Times New Roman"/>
          <w:sz w:val="19"/>
          <w:szCs w:val="19"/>
          <w:color w:val="auto"/>
        </w:rPr>
        <w:t>” shall mean, with respect to any Original ADC Licensed Product, or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Next Generation Option Exercise, a Next Generation ADC Licensed Product, supplied by or on behalf of Duality: [***].</w:t>
      </w:r>
    </w:p>
    <w:p>
      <w:pPr>
        <w:spacing w:after="0" w:line="12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GCLP</w:t>
      </w:r>
      <w:r>
        <w:rPr>
          <w:rFonts w:ascii="Times New Roman" w:cs="Times New Roman" w:eastAsia="Times New Roman" w:hAnsi="Times New Roman"/>
          <w:sz w:val="19"/>
          <w:szCs w:val="19"/>
          <w:color w:val="auto"/>
        </w:rPr>
        <w:t>” shall mean any and all applicable laws, rules, regulations, guidelines and generally accepted standards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requirements regarding the treatment of human laboratory samples from Clinical Trials, including the relevant principles from GCP and the EMA’s reflection paper for laboratories that perform the analysis or evaluation of clinical trial samples,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00"/>
          </w:cols>
          <w:pgMar w:left="1120" w:top="1440" w:right="680" w:bottom="1440" w:gutter="0" w:footer="0" w:header="0"/>
        </w:sectPr>
      </w:pPr>
    </w:p>
    <w:bookmarkStart w:id="705" w:name="page706"/>
    <w:bookmarkEnd w:id="705"/>
    <w:p>
      <w:pPr>
        <w:spacing w:after="0" w:line="255"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1.80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GCP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ethical conduct of Clinical Trials, including without limitation the U.S. Code of Federal Regulations (CFR) Title 21, ICH GCP Guidelines E6(R2) as amended from time to time, national legislation implementing European Community Directive 2001/20/EC (if and as still applicable), European Community Directive 2005/28/EC, and, following the applicable transition periods, the Clinical Trial Regulation (EU) No. 536/2014 (the “CTR”) and the rules, regulations and guidelines applying in the context of the CTR, and the equivalent in other countries or regions.</w:t>
      </w:r>
    </w:p>
    <w:p>
      <w:pPr>
        <w:spacing w:after="0" w:line="132"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1.81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Global Trial </w:t>
      </w:r>
      <w:r>
        <w:rPr>
          <w:rFonts w:ascii="Times New Roman" w:cs="Times New Roman" w:eastAsia="Times New Roman" w:hAnsi="Times New Roman"/>
          <w:sz w:val="19"/>
          <w:szCs w:val="19"/>
          <w:color w:val="auto"/>
        </w:rPr>
        <w:t>” shall mean a Clinical Trial designed to obtain Regulatory Approvals for a Licensed Product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countries through the conduct of a Clinical Trial in multiple countries, regions and/or medical institutions and conducted as part of one (1) unified Clinical Trial or separately but concurrently in accordance with a common Clinical Trial protocol.</w:t>
      </w:r>
    </w:p>
    <w:p>
      <w:pPr>
        <w:spacing w:after="0" w:line="132"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1.82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quality control for laboratories to ensure the consistency and reliability of results, including without limitation the CFR Title 21, national legislation implementing European Community Directives 2004/9/EC and 2004/10/EC as amended, and the OECD Series on Principles of Good Laboratory Practice and Compliance Monitoring, and the equivalent in other countries or regions. For the purposes of this Agreement, GLP also includes the principles of Good Clinical Laboratory Practice and applicable guidelines promulgated under the ICH guidelines.</w:t>
      </w:r>
    </w:p>
    <w:p>
      <w:pPr>
        <w:spacing w:after="0" w:line="132"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1.83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shall mean any and all applicable laws, rules, regulations, guidelines and generally accepted standards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regarding the quality control and manufacturing of pharmaceutical products, including without limitation the CFR Title 21, Parts 11, 210, 211, 600 and 610, applicable ICH Guidelines including without limitation Q7 for “Active Pharmaceuticals Ingredients”, national legislation implementing European Community Directive 2001/83/EC and Commission Directive 2003/94/EC as amended, EudraLex – Volume 4 of the Rules Governing Medicinal Products in the European Union including annexes, the CTR, Commission Delegated Regulation 2017/1569, the Detailed Commission Guideline (2017) 8179, and the equivalent in other countries or regions.</w:t>
      </w:r>
    </w:p>
    <w:p>
      <w:pPr>
        <w:spacing w:after="0" w:line="135"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Governmental Authority </w:t>
      </w:r>
      <w:r>
        <w:rPr>
          <w:rFonts w:ascii="Times New Roman" w:cs="Times New Roman" w:eastAsia="Times New Roman" w:hAnsi="Times New Roman"/>
          <w:sz w:val="19"/>
          <w:szCs w:val="19"/>
          <w:color w:val="auto"/>
        </w:rPr>
        <w:t>” is to be broadly interpreted and includes any multi -national or public international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organization or authority, national, federal, state, local, municipal, provincial, foreign government or other governmental authority of any nature (including any governmental division, prefecture, branch, subdivision, department, agency, bureau, branch, office, commission, council, court or other tribunal, or body entitled to exercise any administrative, executive, judicial, legislative, police, regulatory, or taxing authority or power, and any Regulatory Authority).</w:t>
      </w:r>
    </w:p>
    <w:p>
      <w:pPr>
        <w:spacing w:after="0" w:line="133"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1.85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GXP” </w:t>
      </w:r>
      <w:r>
        <w:rPr>
          <w:rFonts w:ascii="Times New Roman" w:cs="Times New Roman" w:eastAsia="Times New Roman" w:hAnsi="Times New Roman"/>
          <w:sz w:val="19"/>
          <w:szCs w:val="19"/>
          <w:color w:val="auto"/>
        </w:rPr>
        <w:t>shall mean collectively, all relevant and applicable good practice quality guidelines and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encompassing such internationally recognized standards as GMP, GCP, GLP and GCLP, Good Distribution Practice (GDP), Good Pharmacovigilance Practice, Good Pharmacoepidemiology Practice and Good Review Practice.</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1.86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shall have the meaning given in Section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6" w:name="page707"/>
    <w:bookmarkEnd w:id="706"/>
    <w:p>
      <w:pPr>
        <w:spacing w:after="0" w:line="255"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1.88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ICH</w:t>
      </w:r>
      <w:r>
        <w:rPr>
          <w:rFonts w:ascii="Times New Roman" w:cs="Times New Roman" w:eastAsia="Times New Roman" w:hAnsi="Times New Roman"/>
          <w:sz w:val="19"/>
          <w:szCs w:val="19"/>
          <w:color w:val="auto"/>
        </w:rPr>
        <w:t>” shall mean the International Council for Harmonization of Technical Requirements for Pharmaceuticals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Human Use.</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Immune Agonist ADC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1.90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w:t>
      </w:r>
      <w:r>
        <w:rPr>
          <w:rFonts w:ascii="Times New Roman" w:cs="Times New Roman" w:eastAsia="Times New Roman" w:hAnsi="Times New Roman"/>
          <w:sz w:val="19"/>
          <w:szCs w:val="19"/>
          <w:color w:val="auto"/>
        </w:rPr>
        <w:t>” shall mean an investigational new drug application, clinical study application, Clinical Trial exemption,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similar application or submission for approval to conduct human clinical investigations filed with or submitted to a Regulatory Authority in conformance with the requirements of such Regulatory Authority.</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 Data Package</w:t>
      </w:r>
      <w:r>
        <w:rPr>
          <w:rFonts w:ascii="Times New Roman" w:cs="Times New Roman" w:eastAsia="Times New Roman" w:hAnsi="Times New Roman"/>
          <w:sz w:val="19"/>
          <w:szCs w:val="19"/>
          <w:color w:val="auto"/>
        </w:rPr>
        <w:t>” shall have the meaning provided in Section 2.8.</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shall have the meaning provided in Section 14.3.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Indication</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shall have the meaning provided in Section 3.3(b).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shall have the meaning provided in Section 3.3(a).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12.1(d).</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1.99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JSC</w:t>
      </w:r>
      <w:r>
        <w:rPr>
          <w:rFonts w:ascii="Times New Roman" w:cs="Times New Roman" w:eastAsia="Times New Roman" w:hAnsi="Times New Roman"/>
          <w:sz w:val="19"/>
          <w:szCs w:val="19"/>
          <w:color w:val="auto"/>
        </w:rPr>
        <w:t>” shall mean the joint steering committee to be established by the Parties pursuant to Section 3.1.</w:t>
      </w:r>
    </w:p>
    <w:p>
      <w:pPr>
        <w:spacing w:after="0" w:line="16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1.100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Know -How</w:t>
      </w:r>
      <w:r>
        <w:rPr>
          <w:rFonts w:ascii="Times New Roman" w:cs="Times New Roman" w:eastAsia="Times New Roman" w:hAnsi="Times New Roman"/>
          <w:sz w:val="19"/>
          <w:szCs w:val="19"/>
          <w:color w:val="auto"/>
        </w:rPr>
        <w:t>” shall mean any and all technical, scientific, regulatory and other information, trade secrets,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knowledge, techniques, materials (including cell lines) and data, in whatever form and whether or not confidential, proprietary, whether or not patentable, invention disclosures, plans, inventions, assays, designs, protocols, and formulas, processes, practices, methods, knowledge, know how, skill, experience, ideas, concepts, test data (including pharmacological, toxicological and clinical test data), analytical and quality control data, formulae, specifications, marketing, pricing, distribution, cost, sales, and manufacturing data or descriptions. “Know- How” includes any rights including copyright, database or design rights protecting such Know-How. For clarity, Know-How does not include issued Patents, published patent application or the inventions claimed thereby.</w:t>
      </w:r>
    </w:p>
    <w:p>
      <w:pPr>
        <w:spacing w:after="0" w:line="199"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shall have the meaning provided in Section 9.4(b).</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1.102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Compound</w:t>
      </w:r>
      <w:r>
        <w:rPr>
          <w:rFonts w:ascii="Times New Roman" w:cs="Times New Roman" w:eastAsia="Times New Roman" w:hAnsi="Times New Roman"/>
          <w:sz w:val="19"/>
          <w:szCs w:val="19"/>
          <w:color w:val="auto"/>
        </w:rPr>
        <w:t>” shall mean the ADC developed by or on behalf of Duality and known as DB-1305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comprising [***] (as described in Schedule 1.102) and the Duality linker-payload known as L10P1021, the structures of which has been provided to Licensee in writing.</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1.103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Product</w:t>
      </w:r>
      <w:r>
        <w:rPr>
          <w:rFonts w:ascii="Times New Roman" w:cs="Times New Roman" w:eastAsia="Times New Roman" w:hAnsi="Times New Roman"/>
          <w:sz w:val="19"/>
          <w:szCs w:val="19"/>
          <w:color w:val="auto"/>
        </w:rPr>
        <w:t>” shall mean any pharmaceutical product, in any dosage form, formulation, presentation, route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administration or package configuration containing the Licensed Compound and/or, upon Licensee’s option exercise, the Next Generation Licensed Compound as an active pharmaceutical ingredient, including but not be limited to (i) the Original ADC Licensed Product, (ii) after Next Generation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7" w:name="page708"/>
    <w:bookmarkEnd w:id="707"/>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Exercise, the Next Generation ADC Licensed Product, (iii) [***], and (iv) [***]. The Licensed Product shall further include Combination Products.</w:t>
      </w:r>
    </w:p>
    <w:p>
      <w:pPr>
        <w:spacing w:after="0" w:line="12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Background IP</w:t>
      </w:r>
      <w:r>
        <w:rPr>
          <w:rFonts w:ascii="Times New Roman" w:cs="Times New Roman" w:eastAsia="Times New Roman" w:hAnsi="Times New Roman"/>
          <w:sz w:val="19"/>
          <w:szCs w:val="19"/>
          <w:color w:val="auto"/>
        </w:rPr>
        <w:t>” shall have the meaning provided in Section 12.1(a).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Competing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1.106</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Indemnitees</w:t>
      </w:r>
      <w:r>
        <w:rPr>
          <w:rFonts w:ascii="Times New Roman" w:cs="Times New Roman" w:eastAsia="Times New Roman" w:hAnsi="Times New Roman"/>
          <w:sz w:val="19"/>
          <w:szCs w:val="19"/>
          <w:color w:val="auto"/>
        </w:rPr>
        <w:t>” shall have the meaning provided in Section 14.2.</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1.108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Licensee Know-How </w:t>
      </w:r>
      <w:r>
        <w:rPr>
          <w:rFonts w:ascii="Times New Roman" w:cs="Times New Roman" w:eastAsia="Times New Roman" w:hAnsi="Times New Roman"/>
          <w:sz w:val="19"/>
          <w:szCs w:val="19"/>
          <w:color w:val="auto"/>
        </w:rPr>
        <w:t>” shall mean any and all Know- How that is Controlled by Licensee or any of its Affiliates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that is comprised by the Licensee’s Solely Owned Collaboration IP. Notwithstanding the foregoing, Licensee Know-How shall not include (i) any Know-How Controlled by any Third Party that becomes an Affiliate of Licensee after the Effective Date as a result of a merger, acquisition or other similar transaction, unless such Know-How is used by Licensee in the Development, Manufacture or Commercialization of the Licensed Compound or Original ADC Licensed Products or after Next Generation Option Exercise, the Next Generation ADC Licensed Product, and (ii) any Know-How that is related to any Additional Active or other proprietary compound or product Controlled by Licensee.</w:t>
      </w:r>
    </w:p>
    <w:p>
      <w:pPr>
        <w:spacing w:after="0" w:line="13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1.109</w:t>
        <w:tab/>
        <w:t>“Licensee Licensed IP</w:t>
      </w:r>
      <w:r>
        <w:rPr>
          <w:rFonts w:ascii="Times New Roman" w:cs="Times New Roman" w:eastAsia="Times New Roman" w:hAnsi="Times New Roman"/>
          <w:sz w:val="19"/>
          <w:szCs w:val="19"/>
          <w:color w:val="auto"/>
        </w:rPr>
        <w:t>” shall mean the Licensee Know-How and Licensee Patents.</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1.110</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Patents</w:t>
      </w:r>
      <w:r>
        <w:rPr>
          <w:rFonts w:ascii="Times New Roman" w:cs="Times New Roman" w:eastAsia="Times New Roman" w:hAnsi="Times New Roman"/>
          <w:sz w:val="19"/>
          <w:szCs w:val="19"/>
          <w:color w:val="auto"/>
        </w:rPr>
        <w:t>” shall mean any and all Patents that are Controlled by Licensee or any of its Affiliates and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comprised by the Licensee Solely Owned Collaboration Patents. Notwithstanding the foregoing, Licensee Patents shall not include (i) any Patent Controlled by any Third Party that becomes an Affiliate of Licensee after the Effective Date as a result of a merger, acquisition or other similar transaction, and (ii) any Patent that Covers any Additional Active or other proprietary compound or product Controlled by Licensee provided that such Patent does not Cover the Licensed Compound or Original ADC Licensed Product, or after Next Generation Option Exercise, the Next Generation ADC Licensed Product.</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 Development</w:t>
      </w:r>
      <w:r>
        <w:rPr>
          <w:rFonts w:ascii="Times New Roman" w:cs="Times New Roman" w:eastAsia="Times New Roman" w:hAnsi="Times New Roman"/>
          <w:sz w:val="19"/>
          <w:szCs w:val="19"/>
          <w:color w:val="auto"/>
        </w:rPr>
        <w:t>” shall have the meaning provided in Section 4.3(c)(v).</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 Development Data</w:t>
      </w:r>
      <w:r>
        <w:rPr>
          <w:rFonts w:ascii="Times New Roman" w:cs="Times New Roman" w:eastAsia="Times New Roman" w:hAnsi="Times New Roman"/>
          <w:sz w:val="19"/>
          <w:szCs w:val="19"/>
          <w:color w:val="auto"/>
        </w:rPr>
        <w:t>” shall have the meaning provided in Section 4.3(c)(v).</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IP</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Licensee Solely Owned Collaboration Patents</w:t>
      </w:r>
      <w:r>
        <w:rPr>
          <w:rFonts w:ascii="Times New Roman" w:cs="Times New Roman" w:eastAsia="Times New Roman" w:hAnsi="Times New Roman"/>
          <w:sz w:val="19"/>
          <w:szCs w:val="19"/>
          <w:color w:val="auto"/>
        </w:rPr>
        <w:t>” shall have the meaning provided in Section 12.1(b).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shall have the meaning provided in Section 14.1.</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MAA</w:t>
      </w:r>
      <w:r>
        <w:rPr>
          <w:rFonts w:ascii="Times New Roman" w:cs="Times New Roman" w:eastAsia="Times New Roman" w:hAnsi="Times New Roman"/>
          <w:sz w:val="19"/>
          <w:szCs w:val="19"/>
          <w:color w:val="auto"/>
        </w:rPr>
        <w:t>” shall mean an application to a Regulatory Authority for the authorization to place a product on the market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applicable country, region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92</w:t>
      </w:r>
    </w:p>
    <w:p>
      <w:pPr>
        <w:sectPr>
          <w:pgSz w:w="11900" w:h="16840" w:orient="portrait"/>
          <w:cols w:equalWidth="0" w:num="1">
            <w:col w:w="10100"/>
          </w:cols>
          <w:pgMar w:left="1120" w:top="1440" w:right="680" w:bottom="1440" w:gutter="0" w:footer="0" w:header="0"/>
        </w:sectPr>
      </w:pPr>
    </w:p>
    <w:bookmarkStart w:id="708" w:name="page709"/>
    <w:bookmarkEnd w:id="708"/>
    <w:p>
      <w:pPr>
        <w:spacing w:after="0" w:line="2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regulatory jurisdiction, including New Drug Application and Biologics License Application, and shall include all amendments and supplements thereto, filed with the applicable Regulatory Authority to gain authorization to place such product on the market in the applicable jurisdiction.</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MAH</w:t>
      </w:r>
      <w:r>
        <w:rPr>
          <w:rFonts w:ascii="Times New Roman" w:cs="Times New Roman" w:eastAsia="Times New Roman" w:hAnsi="Times New Roman"/>
          <w:sz w:val="19"/>
          <w:szCs w:val="19"/>
          <w:color w:val="auto"/>
        </w:rPr>
        <w:t>” shall mean the holder of the Marketing Authorization.</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Mainland China</w:t>
      </w:r>
      <w:r>
        <w:rPr>
          <w:rFonts w:ascii="Times New Roman" w:cs="Times New Roman" w:eastAsia="Times New Roman" w:hAnsi="Times New Roman"/>
          <w:sz w:val="19"/>
          <w:szCs w:val="19"/>
          <w:color w:val="auto"/>
        </w:rPr>
        <w:t>” shall mean the mainland of the People’s Republic of China.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 [***] Market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1.121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Manufacture</w:t>
      </w:r>
      <w:r>
        <w:rPr>
          <w:rFonts w:ascii="Times New Roman" w:cs="Times New Roman" w:eastAsia="Times New Roman" w:hAnsi="Times New Roman"/>
          <w:sz w:val="19"/>
          <w:szCs w:val="19"/>
          <w:color w:val="auto"/>
        </w:rPr>
        <w:t>” shall mean, with respect to a Licensed Product, activities related to the manufacture and supply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such Licensed Product, including manufacturing supplies for Development or Commercialization, packaging, labeling, in-process and finished product testing, release of product or any component or ingredient thereof, quality assurance and quality control activities related to manufacturing and release of product, ongoing stability tests, storage, and shipment and regulatory activities directly related to any of the foregoing, but not including any Development or Commercialization activities. “ </w:t>
      </w:r>
      <w:r>
        <w:rPr>
          <w:rFonts w:ascii="Times New Roman" w:cs="Times New Roman" w:eastAsia="Times New Roman" w:hAnsi="Times New Roman"/>
          <w:sz w:val="19"/>
          <w:szCs w:val="19"/>
          <w:b w:val="1"/>
          <w:bCs w:val="1"/>
          <w:color w:val="auto"/>
        </w:rPr>
        <w:t>Manufactured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Manufacturing</w:t>
      </w:r>
      <w:r>
        <w:rPr>
          <w:rFonts w:ascii="Times New Roman" w:cs="Times New Roman" w:eastAsia="Times New Roman" w:hAnsi="Times New Roman"/>
          <w:sz w:val="19"/>
          <w:szCs w:val="19"/>
          <w:color w:val="auto"/>
        </w:rPr>
        <w:t>” shall have the correlative meanings.</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IP</w:t>
      </w:r>
      <w:r>
        <w:rPr>
          <w:rFonts w:ascii="Times New Roman" w:cs="Times New Roman" w:eastAsia="Times New Roman" w:hAnsi="Times New Roman"/>
          <w:sz w:val="19"/>
          <w:szCs w:val="19"/>
          <w:color w:val="auto"/>
        </w:rPr>
        <w:t>” shall mean any Patents and Know-How that (i) are generated, developed or conceived during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course of performing activities under this Agreement depending on Duality Licensed IP, and (ii) specifically related to, and (iii) are necessary for the Manufacture of the Duality Linker-Payload; notwithstanding the foregoing, Manufacturing IP shall exclude Licensee Background IP.</w:t>
      </w:r>
    </w:p>
    <w:p>
      <w:pPr>
        <w:spacing w:after="0" w:line="134"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Marketing Authorization</w:t>
      </w:r>
      <w:r>
        <w:rPr>
          <w:rFonts w:ascii="Times New Roman" w:cs="Times New Roman" w:eastAsia="Times New Roman" w:hAnsi="Times New Roman"/>
          <w:sz w:val="19"/>
          <w:szCs w:val="19"/>
          <w:color w:val="auto"/>
        </w:rPr>
        <w:t>” shall mean the authorization by all relevant Regulatory Authorities of an MAA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given country or regulatory region/jurisdiction and the granting of the required authorization for the sale of a product which will include any Pricing and Reimbursement Approvals if required by Applicable Law of the respective country to initiate marketing and selling of a product in such particular country.</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MCB</w:t>
      </w:r>
      <w:r>
        <w:rPr>
          <w:rFonts w:ascii="Times New Roman" w:cs="Times New Roman" w:eastAsia="Times New Roman" w:hAnsi="Times New Roman"/>
          <w:sz w:val="19"/>
          <w:szCs w:val="19"/>
          <w:color w:val="auto"/>
        </w:rPr>
        <w:t>” shall mean the master cell bank.</w:t>
      </w:r>
    </w:p>
    <w:p>
      <w:pPr>
        <w:spacing w:after="0" w:line="166"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1. 125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Medical Affairs Activities</w:t>
      </w:r>
      <w:r>
        <w:rPr>
          <w:rFonts w:ascii="Times New Roman" w:cs="Times New Roman" w:eastAsia="Times New Roman" w:hAnsi="Times New Roman"/>
          <w:sz w:val="19"/>
          <w:szCs w:val="19"/>
          <w:color w:val="auto"/>
        </w:rPr>
        <w:t>” shall mean the coordination of medical information requests and field based medical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scientific liaisons with respect to an Original ADC Licensed Product or after Next Generation Option Exercise, Next Generation ADC Licensed Product, including activities of medical scientific liaisons, activities involving key opinion leaders, and the provision of medical information services with respect to an Original ADC Licensed Product or after Next Generation Option Exercise, Next Generation ADC Licensed Product.</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Multi-Specific ADC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Negotiation Period</w:t>
      </w:r>
      <w:r>
        <w:rPr>
          <w:rFonts w:ascii="Times New Roman" w:cs="Times New Roman" w:eastAsia="Times New Roman" w:hAnsi="Times New Roman"/>
          <w:sz w:val="19"/>
          <w:szCs w:val="19"/>
          <w:color w:val="auto"/>
        </w:rPr>
        <w:t>” shall have the meaning set forth in Section 2.13.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color w:val="auto"/>
        </w:rPr>
        <w:t>” shall mean, [***]</w:t>
      </w:r>
    </w:p>
    <w:p>
      <w:pPr>
        <w:spacing w:after="0" w:line="168" w:lineRule="exact"/>
        <w:rPr>
          <w:sz w:val="20"/>
          <w:szCs w:val="20"/>
          <w:color w:val="auto"/>
        </w:rPr>
      </w:pPr>
    </w:p>
    <w:p>
      <w:pPr>
        <w:ind w:left="1280" w:hanging="726"/>
        <w:spacing w:after="0"/>
        <w:tabs>
          <w:tab w:leader="none" w:pos="128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280" w:hanging="726"/>
        <w:spacing w:after="0"/>
        <w:tabs>
          <w:tab w:leader="none" w:pos="128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280" w:hanging="726"/>
        <w:spacing w:after="0"/>
        <w:tabs>
          <w:tab w:leader="none" w:pos="128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09" w:name="page710"/>
    <w:bookmarkEnd w:id="709"/>
    <w:p>
      <w:pPr>
        <w:spacing w:after="0" w:line="257" w:lineRule="exact"/>
        <w:rPr>
          <w:sz w:val="20"/>
          <w:szCs w:val="20"/>
          <w:color w:val="auto"/>
        </w:rPr>
      </w:pPr>
    </w:p>
    <w:p>
      <w:pPr>
        <w:ind w:left="1280" w:hanging="726"/>
        <w:spacing w:after="0"/>
        <w:tabs>
          <w:tab w:leader="none" w:pos="128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280" w:hanging="726"/>
        <w:spacing w:after="0"/>
        <w:tabs>
          <w:tab w:leader="none" w:pos="128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ADC Licensed Product</w:t>
      </w:r>
      <w:r>
        <w:rPr>
          <w:rFonts w:ascii="Times New Roman" w:cs="Times New Roman" w:eastAsia="Times New Roman" w:hAnsi="Times New Roman"/>
          <w:sz w:val="19"/>
          <w:szCs w:val="19"/>
          <w:color w:val="auto"/>
        </w:rPr>
        <w:t>” shall mean any pharmaceutical product, in any dosage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formulation, presentation, route of administration or package configuration containing the Next Generation Licensed Compound as an active pharmaceutical ingredient, but excluding any Additional Actives.</w:t>
      </w:r>
    </w:p>
    <w:p>
      <w:pPr>
        <w:spacing w:after="0" w:line="13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1.130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Data Package</w:t>
      </w:r>
      <w:r>
        <w:rPr>
          <w:rFonts w:ascii="Times New Roman" w:cs="Times New Roman" w:eastAsia="Times New Roman" w:hAnsi="Times New Roman"/>
          <w:sz w:val="19"/>
          <w:szCs w:val="19"/>
          <w:color w:val="auto"/>
        </w:rPr>
        <w:t>” shall mean the package of data and information that shall be provided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Duality to the Licensee in order to assess the Pre-Clinical Proof -of-Concept of the Next Generation Licensed Compound and the Next Generation ADC Licensed Product.</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Development Budget</w:t>
      </w:r>
      <w:r>
        <w:rPr>
          <w:rFonts w:ascii="Times New Roman" w:cs="Times New Roman" w:eastAsia="Times New Roman" w:hAnsi="Times New Roman"/>
          <w:sz w:val="19"/>
          <w:szCs w:val="19"/>
          <w:color w:val="auto"/>
        </w:rPr>
        <w:t>” shall have the meaning as set out in Section 1.132.</w:t>
      </w:r>
    </w:p>
    <w:p>
      <w:pPr>
        <w:spacing w:after="0" w:line="166"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 xml:space="preserve">1.132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Development Plan</w:t>
      </w:r>
      <w:r>
        <w:rPr>
          <w:rFonts w:ascii="Times New Roman" w:cs="Times New Roman" w:eastAsia="Times New Roman" w:hAnsi="Times New Roman"/>
          <w:sz w:val="19"/>
          <w:szCs w:val="19"/>
          <w:color w:val="auto"/>
        </w:rPr>
        <w:t>” shall mean a written plan approved by the JSC, and amended from time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time in accordance with the terms of this Agreement, describing (i) the Development strategy for the Next Generation Licensed Compound and Next Generation ADC Licensed Product in the Territory and (ii) the material pre- clinical studies, Clinical Trials and regulatory activities proposed to be performed with respect to the Next Generation ADC Licensed Product as well as (iii) the associated budget regarding the Development activities, including but not limited to the Development Costs, such as the costs for the Development activities performed by Licensee, its Affiliates or its subcontractors as well as the Duality Costs (“</w:t>
      </w:r>
      <w:r>
        <w:rPr>
          <w:rFonts w:ascii="Times New Roman" w:cs="Times New Roman" w:eastAsia="Times New Roman" w:hAnsi="Times New Roman"/>
          <w:sz w:val="19"/>
          <w:szCs w:val="19"/>
          <w:b w:val="1"/>
          <w:bCs w:val="1"/>
          <w:color w:val="auto"/>
        </w:rPr>
        <w:t>Next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Generation Development Budget</w:t>
      </w:r>
      <w:r>
        <w:rPr>
          <w:rFonts w:ascii="Times New Roman" w:cs="Times New Roman" w:eastAsia="Times New Roman" w:hAnsi="Times New Roman"/>
          <w:sz w:val="19"/>
          <w:szCs w:val="19"/>
          <w:color w:val="auto"/>
        </w:rPr>
        <w:t>”). The initial Next Generation Development Plan, unless otherwise agreed on by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be agreed by the Parties no later than [***] months after Next Generation Option Exercise.</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Licensed Compound</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Next Generation Option</w:t>
      </w:r>
      <w:r>
        <w:rPr>
          <w:rFonts w:ascii="Times New Roman" w:cs="Times New Roman" w:eastAsia="Times New Roman" w:hAnsi="Times New Roman"/>
          <w:sz w:val="19"/>
          <w:szCs w:val="19"/>
          <w:color w:val="auto"/>
        </w:rPr>
        <w:t>” shall have the meaning given in Section 2.9.</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1.135</w:t>
        <w:tab/>
        <w:t xml:space="preserve">"Next Generation Option Exercise” </w:t>
      </w:r>
      <w:r>
        <w:rPr>
          <w:rFonts w:ascii="Times New Roman" w:cs="Times New Roman" w:eastAsia="Times New Roman" w:hAnsi="Times New Roman"/>
          <w:sz w:val="19"/>
          <w:szCs w:val="19"/>
          <w:color w:val="auto"/>
        </w:rPr>
        <w:t>shall have the meaning given in Section 2.9.</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1.136</w:t>
        <w:tab/>
        <w:t>“Non-Arbitral Subject Matter</w:t>
      </w:r>
      <w:r>
        <w:rPr>
          <w:rFonts w:ascii="Times New Roman" w:cs="Times New Roman" w:eastAsia="Times New Roman" w:hAnsi="Times New Roman"/>
          <w:sz w:val="19"/>
          <w:szCs w:val="19"/>
          <w:color w:val="auto"/>
        </w:rPr>
        <w:t>” shall have the meaning given in Section 15.3.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Offer Notice</w:t>
      </w:r>
      <w:r>
        <w:rPr>
          <w:rFonts w:ascii="Times New Roman" w:cs="Times New Roman" w:eastAsia="Times New Roman" w:hAnsi="Times New Roman"/>
          <w:sz w:val="19"/>
          <w:szCs w:val="19"/>
          <w:color w:val="auto"/>
        </w:rPr>
        <w:t>” shall have the meaning given in Section 2.13.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Added Trials</w:t>
      </w:r>
      <w:r>
        <w:rPr>
          <w:rFonts w:ascii="Times New Roman" w:cs="Times New Roman" w:eastAsia="Times New Roman" w:hAnsi="Times New Roman"/>
          <w:sz w:val="19"/>
          <w:szCs w:val="19"/>
          <w:color w:val="auto"/>
        </w:rPr>
        <w:t>” shall have the meaning provided in Section 4.2(b).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Licensed Product</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Licensed Product Development Budget</w:t>
      </w:r>
      <w:r>
        <w:rPr>
          <w:rFonts w:ascii="Times New Roman" w:cs="Times New Roman" w:eastAsia="Times New Roman" w:hAnsi="Times New Roman"/>
          <w:sz w:val="19"/>
          <w:szCs w:val="19"/>
          <w:color w:val="auto"/>
        </w:rPr>
        <w:t>” shall have the meaning as set out in Section 1.141.</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1.141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ADC Licensed Product Development Plan</w:t>
      </w:r>
      <w:r>
        <w:rPr>
          <w:rFonts w:ascii="Times New Roman" w:cs="Times New Roman" w:eastAsia="Times New Roman" w:hAnsi="Times New Roman"/>
          <w:sz w:val="19"/>
          <w:szCs w:val="19"/>
          <w:color w:val="auto"/>
        </w:rPr>
        <w:t>” shall mean the written plan, as amended from time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time in accordance with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10" w:name="page711"/>
    <w:bookmarkEnd w:id="710"/>
    <w:p>
      <w:pPr>
        <w:spacing w:after="0" w:line="257"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9"/>
          <w:szCs w:val="19"/>
          <w:color w:val="auto"/>
        </w:rPr>
        <w:t>Agreement, describing (i) the Development strategy for the Licensed Compound and Original ADC Licensed Products in the Territory and (ii) the material pre-clinical studies, Clinical Trials and regulatory activities proposed to be performed with respect to the Original ADC Licensed Products (iii) the planned Third Party contract research organisations for the Development activities; as well as (iv) the associated budget regarding the Development activities, including but not limited to the Development Costs, such as the costs for the Development activities performed by Licensee, its Affiliates or its subcontractors as well as the Duality Costs (“</w:t>
      </w:r>
      <w:r>
        <w:rPr>
          <w:rFonts w:ascii="Times New Roman" w:cs="Times New Roman" w:eastAsia="Times New Roman" w:hAnsi="Times New Roman"/>
          <w:sz w:val="19"/>
          <w:szCs w:val="19"/>
          <w:b w:val="1"/>
          <w:bCs w:val="1"/>
          <w:color w:val="auto"/>
        </w:rPr>
        <w:t>Original ADC Licensed Product Development Budget</w:t>
      </w:r>
      <w:r>
        <w:rPr>
          <w:rFonts w:ascii="Times New Roman" w:cs="Times New Roman" w:eastAsia="Times New Roman" w:hAnsi="Times New Roman"/>
          <w:sz w:val="19"/>
          <w:szCs w:val="19"/>
          <w:color w:val="auto"/>
        </w:rPr>
        <w:t xml:space="preserve">”). The preliminary Original ADC Licensed Product Development Plan together with the preliminary Original ADC Licensed Product Development Budget is attached hereto as </w:t>
      </w:r>
      <w:r>
        <w:rPr>
          <w:rFonts w:ascii="Times New Roman" w:cs="Times New Roman" w:eastAsia="Times New Roman" w:hAnsi="Times New Roman"/>
          <w:sz w:val="19"/>
          <w:szCs w:val="19"/>
          <w:b w:val="1"/>
          <w:bCs w:val="1"/>
          <w:color w:val="auto"/>
        </w:rPr>
        <w:t>Schedule 1.141</w:t>
      </w:r>
      <w:r>
        <w:rPr>
          <w:rFonts w:ascii="Times New Roman" w:cs="Times New Roman" w:eastAsia="Times New Roman" w:hAnsi="Times New Roman"/>
          <w:sz w:val="19"/>
          <w:szCs w:val="19"/>
          <w:color w:val="auto"/>
        </w:rPr>
        <w:t>.</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shall mean Licensee or Duality individually, and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shall mean Licensee and Duality collectively.</w:t>
      </w:r>
    </w:p>
    <w:p>
      <w:pPr>
        <w:spacing w:after="0" w:line="166"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shall mean (a) patent applications filed in the applicable jurisdiction; (b) all patents,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supplemental protection certificates, that have issued or in the future issue from any of the foregoing, including utility models, design patents and certificates of invention; and (c) all divisionals, continuations, continuations-in-part, reissues, re-examination certificates, renewals, extensions or additions to any such patents and patent applications (as applicable).</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shall have the meaning provided in Section 5.6(c).</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 Clinical Trial</w:t>
      </w:r>
      <w:r>
        <w:rPr>
          <w:rFonts w:ascii="Times New Roman" w:cs="Times New Roman" w:eastAsia="Times New Roman" w:hAnsi="Times New Roman"/>
          <w:sz w:val="19"/>
          <w:szCs w:val="19"/>
          <w:color w:val="auto"/>
        </w:rPr>
        <w:t>” shall mean a human clinical trial of a product, the principal purpose of which explores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optimal dose and is a determination of initial tolerance or safety of such product in healthy volunteers or the target patient population, as described in 21 CFR 312.21(a) (as amended or any replacement thereof), or a similar clinical trial prescribed by the Regulatory Authority in a country other than the United States.</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 Clinical Trial</w:t>
      </w:r>
      <w:r>
        <w:rPr>
          <w:rFonts w:ascii="Times New Roman" w:cs="Times New Roman" w:eastAsia="Times New Roman" w:hAnsi="Times New Roman"/>
          <w:sz w:val="19"/>
          <w:szCs w:val="19"/>
          <w:color w:val="auto"/>
        </w:rPr>
        <w:t>” shall mean a human clinical trial of a product, the principal purpose of which is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determination of safety and efficacy in the target patient population, (i.e. “proof of concept”), as described in 21 C.F.R. 312.21(b) (as amended or any replacement thereof), or a similar clinical trial prescribed by the Regulatory Authority in a country other than the United States.</w:t>
      </w:r>
    </w:p>
    <w:p>
      <w:pPr>
        <w:spacing w:after="0" w:line="134"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III Clinical Trial</w:t>
      </w:r>
      <w:r>
        <w:rPr>
          <w:rFonts w:ascii="Times New Roman" w:cs="Times New Roman" w:eastAsia="Times New Roman" w:hAnsi="Times New Roman"/>
          <w:sz w:val="19"/>
          <w:szCs w:val="19"/>
          <w:color w:val="auto"/>
        </w:rPr>
        <w:t>” shall mean a human clinical trial of a product, the design of which is acknowledged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Planned Trials</w:t>
      </w:r>
      <w:r>
        <w:rPr>
          <w:rFonts w:ascii="Times New Roman" w:cs="Times New Roman" w:eastAsia="Times New Roman" w:hAnsi="Times New Roman"/>
          <w:sz w:val="19"/>
          <w:szCs w:val="19"/>
          <w:color w:val="auto"/>
        </w:rPr>
        <w:t>” shall have the meaning given in Section 4.2(b).</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Pre-clinical Proof-of- Concept” </w:t>
      </w:r>
      <w:r>
        <w:rPr>
          <w:rFonts w:ascii="Times New Roman" w:cs="Times New Roman" w:eastAsia="Times New Roman" w:hAnsi="Times New Roman"/>
          <w:sz w:val="19"/>
          <w:szCs w:val="19"/>
          <w:color w:val="auto"/>
        </w:rPr>
        <w:t>shall mean that the Next Generation Licensed Compound has successfully met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criteria as set out in </w:t>
      </w:r>
      <w:r>
        <w:rPr>
          <w:rFonts w:ascii="Times New Roman" w:cs="Times New Roman" w:eastAsia="Times New Roman" w:hAnsi="Times New Roman"/>
          <w:sz w:val="19"/>
          <w:szCs w:val="19"/>
          <w:b w:val="1"/>
          <w:bCs w:val="1"/>
          <w:color w:val="auto"/>
        </w:rPr>
        <w:t>Schedule 1.149</w:t>
      </w:r>
      <w:r>
        <w:rPr>
          <w:rFonts w:ascii="Times New Roman" w:cs="Times New Roman" w:eastAsia="Times New Roman" w:hAnsi="Times New Roman"/>
          <w:sz w:val="19"/>
          <w:szCs w:val="19"/>
          <w:color w:val="auto"/>
        </w:rPr>
        <w:t>, or as amended by mutual agreement of the Parties.</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Pricing and Reimbursement Approval</w:t>
      </w:r>
      <w:r>
        <w:rPr>
          <w:rFonts w:ascii="Times New Roman" w:cs="Times New Roman" w:eastAsia="Times New Roman" w:hAnsi="Times New Roman"/>
          <w:sz w:val="19"/>
          <w:szCs w:val="19"/>
          <w:color w:val="auto"/>
        </w:rPr>
        <w:t>” shall mean, in any country where a Regulatory Authority authorizes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reimbursement for, or approves or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11" w:name="page712"/>
    <w:bookmarkEnd w:id="711"/>
    <w:p>
      <w:pPr>
        <w:spacing w:after="0" w:line="25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pricing or level of reimbursement for, pharmaceutical products, receipt (or, if required to make such authorization, approval or determination effective, publication) of such reimbursement authorization and/or pricing approval or determination (as the case may be).</w:t>
      </w:r>
    </w:p>
    <w:p>
      <w:pPr>
        <w:spacing w:after="0" w:line="13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shall have the meaning provided in Section 7.5.</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shall have the meaning provided in Section 3.10.</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shall have the meaning provided in Section 10.5(a).</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Publication</w:t>
      </w:r>
      <w:r>
        <w:rPr>
          <w:rFonts w:ascii="Times New Roman" w:cs="Times New Roman" w:eastAsia="Times New Roman" w:hAnsi="Times New Roman"/>
          <w:sz w:val="19"/>
          <w:szCs w:val="19"/>
          <w:color w:val="auto"/>
        </w:rPr>
        <w:t>” shall have the meaning provided in Section 10.5.</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shall have the meaning provided in Section 10.1.</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Reduced Royalty Rates</w:t>
      </w:r>
      <w:r>
        <w:rPr>
          <w:rFonts w:ascii="Times New Roman" w:cs="Times New Roman" w:eastAsia="Times New Roman" w:hAnsi="Times New Roman"/>
          <w:sz w:val="19"/>
          <w:szCs w:val="19"/>
          <w:color w:val="auto"/>
        </w:rPr>
        <w:t>” shall mean the reduced royalty rates for the [***] and [***] specified in tables 3 and 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Section 8.6.</w:t>
      </w:r>
    </w:p>
    <w:p>
      <w:pPr>
        <w:spacing w:after="0" w:line="123"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1.157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Registrational Trial</w:t>
      </w:r>
      <w:r>
        <w:rPr>
          <w:rFonts w:ascii="Times New Roman" w:cs="Times New Roman" w:eastAsia="Times New Roman" w:hAnsi="Times New Roman"/>
          <w:sz w:val="19"/>
          <w:szCs w:val="19"/>
          <w:color w:val="auto"/>
        </w:rPr>
        <w:t>” shall mean, with respect to a product, a human clinical trial (regardless of whether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trial is referred to as a “Phase II Clinical Trial”, “Phase IIb Clinical Trial”, “Phase II/III Clinical Trial”, “Phase IIb/III Clinical Trial” or “Phase III Clinical Trial”) for such product, the results of which, together with prior information concerning such product, are determined by the sponsor to be intended to be sufficient to establish that such product is safe and effective for its intended Indication to support the filing of an MAA. [***]</w:t>
      </w:r>
    </w:p>
    <w:p>
      <w:pPr>
        <w:spacing w:after="0" w:line="133"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1. 158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shall mean any and all approvals, licenses, permits, registrations or authorizations of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any Regulatory Authority that are necessary to market (including Marketing Authorization) and sell a pharmaceutical product in any country, region or other jurisdiction. For clarity, unless it is required by the Applicable Law to initiate marketing and selling of a product in a particular country, Regulatory Approval shall not include Pricing and Reimbursement Approval.</w:t>
      </w:r>
    </w:p>
    <w:p>
      <w:pPr>
        <w:spacing w:after="0" w:line="134"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shall mean with respect to a country, any national, federal, supranational, state or local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agency, council, department, bureau or other governmental or regulatory authority having the administrative authority to regulate the development or marketing of pharmaceutical products in any country, region or jurisdiction. including the Regulatory Approvals.</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1.160</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1.161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Materials</w:t>
      </w:r>
      <w:r>
        <w:rPr>
          <w:rFonts w:ascii="Times New Roman" w:cs="Times New Roman" w:eastAsia="Times New Roman" w:hAnsi="Times New Roman"/>
          <w:sz w:val="19"/>
          <w:szCs w:val="19"/>
          <w:color w:val="auto"/>
        </w:rPr>
        <w:t>” shall mean, with respect to a product, regulatory applications (including MAA)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applications, filings, submissions, notifications, materials, communications, registrations, Regulatory Approvals and/or other filings made to, received from or otherwise conducted with a Regulatory Authority in order to Develop, Manufacture, market, sell or otherwise Commercialize such product in a particular country, region or jurisdiction.</w:t>
      </w:r>
    </w:p>
    <w:p>
      <w:pPr>
        <w:spacing w:after="0" w:line="134"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shall have the meaning provided in Section 5.7.</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1.163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Retained Territory</w:t>
      </w:r>
      <w:r>
        <w:rPr>
          <w:rFonts w:ascii="Times New Roman" w:cs="Times New Roman" w:eastAsia="Times New Roman" w:hAnsi="Times New Roman"/>
          <w:sz w:val="19"/>
          <w:szCs w:val="19"/>
          <w:color w:val="auto"/>
        </w:rPr>
        <w:t>” shall mean Mainland China, Hong Kong Special Administrative Region, and Macau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Special Administrative Region.</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shall have the meaning provided in Section 10.5(a).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12" w:name="page713"/>
    <w:bookmarkEnd w:id="712"/>
    <w:p>
      <w:pPr>
        <w:spacing w:after="0" w:line="25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2.13.</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shall have the meaning provided in Section 8.8(d).</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 shall have the meaning provided in Section 8.7.</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shall have the meaning provided in Section 15.1.</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shall have the meaning provided in Section 10.4(a)(i).</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Selling Party</w:t>
      </w:r>
      <w:r>
        <w:rPr>
          <w:rFonts w:ascii="Times New Roman" w:cs="Times New Roman" w:eastAsia="Times New Roman" w:hAnsi="Times New Roman"/>
          <w:sz w:val="19"/>
          <w:szCs w:val="19"/>
          <w:color w:val="auto"/>
        </w:rPr>
        <w:t>” shall have the meaning as provided in Section 1.128.</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Separate</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1.172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IP</w:t>
      </w:r>
      <w:r>
        <w:rPr>
          <w:rFonts w:ascii="Times New Roman" w:cs="Times New Roman" w:eastAsia="Times New Roman" w:hAnsi="Times New Roman"/>
          <w:sz w:val="19"/>
          <w:szCs w:val="19"/>
          <w:color w:val="auto"/>
        </w:rPr>
        <w:t>” shall mean Duality Solely Owned Collaboration IP and Licensee Solely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Owned Collaboration IP, as applicable.</w:t>
      </w:r>
    </w:p>
    <w:p>
      <w:pPr>
        <w:spacing w:after="0" w:line="12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1.173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Solely Owned Collaboration Patents</w:t>
      </w:r>
      <w:r>
        <w:rPr>
          <w:rFonts w:ascii="Times New Roman" w:cs="Times New Roman" w:eastAsia="Times New Roman" w:hAnsi="Times New Roman"/>
          <w:sz w:val="19"/>
          <w:szCs w:val="19"/>
          <w:color w:val="auto"/>
        </w:rPr>
        <w:t>” shall mean Duality Solely Owned Collaboration Patents and Licensee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Solely Owned Collaboration Patents, as applicable.</w:t>
      </w:r>
    </w:p>
    <w:p>
      <w:pPr>
        <w:spacing w:after="0" w:line="123"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 xml:space="preserve">1.174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w:t>
      </w:r>
      <w:r>
        <w:rPr>
          <w:rFonts w:ascii="Times New Roman" w:cs="Times New Roman" w:eastAsia="Times New Roman" w:hAnsi="Times New Roman"/>
          <w:sz w:val="19"/>
          <w:szCs w:val="19"/>
          <w:color w:val="auto"/>
        </w:rPr>
        <w:t>” shall mean a license, sublicense, covenant not to sue or other rights granted by Licensee to a Third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under the rights it receives from Duality in accordance with Section 2.2, to Develop, Manufacture, Commercialize or otherwise exploit a Licensed Compound or a Licensed Product, and/or after Next Generation Option Exercise, the Next Generation Licensed Compound or Next Generation ADC Licensed Products, but excluding any grant of rights to or agreement with (a) any Third Party acting as a service provider or subcontractor for such Party or its Affiliates, or (b) any Third Party wholesaler, distributor, or the like.</w:t>
      </w:r>
    </w:p>
    <w:p>
      <w:pPr>
        <w:spacing w:after="0" w:line="25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Sublicensee</w:t>
      </w:r>
      <w:r>
        <w:rPr>
          <w:rFonts w:ascii="Times New Roman" w:cs="Times New Roman" w:eastAsia="Times New Roman" w:hAnsi="Times New Roman"/>
          <w:sz w:val="19"/>
          <w:szCs w:val="19"/>
          <w:color w:val="auto"/>
        </w:rPr>
        <w:t>” shall mean a Third Party that is receiving rights under a Sublicense.</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Successful Completion</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jc w:val="both"/>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1.177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Target</w:t>
      </w:r>
      <w:r>
        <w:rPr>
          <w:rFonts w:ascii="Times New Roman" w:cs="Times New Roman" w:eastAsia="Times New Roman" w:hAnsi="Times New Roman"/>
          <w:sz w:val="19"/>
          <w:szCs w:val="19"/>
          <w:color w:val="auto"/>
        </w:rPr>
        <w:t>” shall mean, with regard to an Antibody or ADC and a biological target in question, that such Antibody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ADC demonstrates meaningful binding activity to such biological target and “</w:t>
      </w:r>
      <w:r>
        <w:rPr>
          <w:rFonts w:ascii="Times New Roman" w:cs="Times New Roman" w:eastAsia="Times New Roman" w:hAnsi="Times New Roman"/>
          <w:sz w:val="19"/>
          <w:szCs w:val="19"/>
          <w:b w:val="1"/>
          <w:bCs w:val="1"/>
          <w:color w:val="auto"/>
        </w:rPr>
        <w:t>Targeting</w:t>
      </w:r>
      <w:r>
        <w:rPr>
          <w:rFonts w:ascii="Times New Roman" w:cs="Times New Roman" w:eastAsia="Times New Roman" w:hAnsi="Times New Roman"/>
          <w:sz w:val="19"/>
          <w:szCs w:val="19"/>
          <w:color w:val="auto"/>
        </w:rPr>
        <w:t>” shall be construed accordingly.</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shall have the meaning provided in Section 9.4(b).</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1.179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have the meaning provided in Section 13.1.</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shall mean worldwide except the Retained Territory. For clarity, Territory shall include Taiwan.</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shall mean any entity other than Licensee and its Affiliates and Duality and its Affiliates.</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Agreements</w:t>
      </w:r>
      <w:r>
        <w:rPr>
          <w:rFonts w:ascii="Times New Roman" w:cs="Times New Roman" w:eastAsia="Times New Roman" w:hAnsi="Times New Roman"/>
          <w:sz w:val="19"/>
          <w:szCs w:val="19"/>
          <w:color w:val="auto"/>
        </w:rPr>
        <w:t>” shall have the meaning provided in Section 4.4(c).</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shall have the meaning provided in Section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13" w:name="page714"/>
    <w:bookmarkEnd w:id="713"/>
    <w:p>
      <w:pPr>
        <w:spacing w:after="0" w:line="255"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1.184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Trop2</w:t>
      </w:r>
      <w:r>
        <w:rPr>
          <w:rFonts w:ascii="Times New Roman" w:cs="Times New Roman" w:eastAsia="Times New Roman" w:hAnsi="Times New Roman"/>
          <w:sz w:val="19"/>
          <w:szCs w:val="19"/>
          <w:color w:val="auto"/>
        </w:rPr>
        <w:t>” shall mean (a) Trophoblast cell-surface antigen 2, and (b) any naturally occurring variants thereof,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case including any isoforms, polymorphisms, variants, and truncated forms, and in each case to the extent such variant, isoform, polymorphism, variant and truncated form are produced from an allele of the same TACSTD2 gene.</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shall have the meaning given in Section 15.2.</w:t>
      </w:r>
    </w:p>
    <w:p>
      <w:pPr>
        <w:spacing w:after="0" w:line="166"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1.186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shall mean the United States of America, including its territories and possessions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recognized by the United Nations from time to time, but in all cases including, for clarity, Puerto Rico.</w:t>
      </w:r>
    </w:p>
    <w:p>
      <w:pPr>
        <w:spacing w:after="0" w:line="12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Updated Disclosure Schedule</w:t>
      </w:r>
      <w:r>
        <w:rPr>
          <w:rFonts w:ascii="Times New Roman" w:cs="Times New Roman" w:eastAsia="Times New Roman" w:hAnsi="Times New Roman"/>
          <w:sz w:val="19"/>
          <w:szCs w:val="19"/>
          <w:color w:val="auto"/>
        </w:rPr>
        <w:t>” shall have the meaning provided in Section 11.8.</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 Dollars</w:t>
      </w:r>
      <w:r>
        <w:rPr>
          <w:rFonts w:ascii="Times New Roman" w:cs="Times New Roman" w:eastAsia="Times New Roman" w:hAnsi="Times New Roman"/>
          <w:sz w:val="19"/>
          <w:szCs w:val="19"/>
          <w:color w:val="auto"/>
        </w:rPr>
        <w:t>” shall mean U.S. dollars, the lawful currency of the U.S.</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shall have the meaning provided in Section 8.1.</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Valid Claim</w:t>
      </w:r>
      <w:r>
        <w:rPr>
          <w:rFonts w:ascii="Times New Roman" w:cs="Times New Roman" w:eastAsia="Times New Roman" w:hAnsi="Times New Roman"/>
          <w:sz w:val="19"/>
          <w:szCs w:val="19"/>
          <w:color w:val="auto"/>
        </w:rPr>
        <w:t>” shall mean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WCB</w:t>
      </w:r>
      <w:r>
        <w:rPr>
          <w:rFonts w:ascii="Times New Roman" w:cs="Times New Roman" w:eastAsia="Times New Roman" w:hAnsi="Times New Roman"/>
          <w:sz w:val="19"/>
          <w:szCs w:val="19"/>
          <w:color w:val="auto"/>
        </w:rPr>
        <w:t>” shall mean the working cell bank.</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1.192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Wind-Down or Transfer Plan</w:t>
      </w:r>
      <w:r>
        <w:rPr>
          <w:rFonts w:ascii="Times New Roman" w:cs="Times New Roman" w:eastAsia="Times New Roman" w:hAnsi="Times New Roman"/>
          <w:sz w:val="19"/>
          <w:szCs w:val="19"/>
          <w:color w:val="auto"/>
        </w:rPr>
        <w:t>” shall mean a plan for the wind -down or transfer of any ongoing Development,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 and Commercialization (if any) activities of Licensee with respect to the Licensed Products for which the license grant in Section 2.1 has been terminated and the transfer of relevant Licensed Products, as applicable.</w:t>
      </w:r>
    </w:p>
    <w:p>
      <w:pPr>
        <w:spacing w:after="0" w:line="13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Agreements</w:t>
      </w:r>
      <w:r>
        <w:rPr>
          <w:rFonts w:ascii="Times New Roman" w:cs="Times New Roman" w:eastAsia="Times New Roman" w:hAnsi="Times New Roman"/>
          <w:sz w:val="19"/>
          <w:szCs w:val="19"/>
          <w:color w:val="auto"/>
        </w:rPr>
        <w:t>” shall mean the [***] Cell Line Agreement as well as the following agreements: [***].</w:t>
      </w:r>
    </w:p>
    <w:p>
      <w:pPr>
        <w:spacing w:after="0" w:line="166"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Cell Line Agreement</w:t>
      </w:r>
      <w:r>
        <w:rPr>
          <w:rFonts w:ascii="Times New Roman" w:cs="Times New Roman" w:eastAsia="Times New Roman" w:hAnsi="Times New Roman"/>
          <w:sz w:val="19"/>
          <w:szCs w:val="19"/>
          <w:color w:val="auto"/>
        </w:rPr>
        <w:t>” shall mean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Article 2</w:t>
      </w:r>
    </w:p>
    <w:p>
      <w:pPr>
        <w:ind w:left="4400"/>
        <w:spacing w:after="0"/>
        <w:rPr>
          <w:sz w:val="20"/>
          <w:szCs w:val="20"/>
          <w:color w:val="auto"/>
        </w:rPr>
      </w:pPr>
      <w:r>
        <w:rPr>
          <w:rFonts w:ascii="Times New Roman" w:cs="Times New Roman" w:eastAsia="Times New Roman" w:hAnsi="Times New Roman"/>
          <w:sz w:val="19"/>
          <w:szCs w:val="19"/>
          <w:b w:val="1"/>
          <w:bCs w:val="1"/>
          <w:color w:val="auto"/>
        </w:rPr>
        <w:t>LICENSE</w:t>
      </w:r>
    </w:p>
    <w:p>
      <w:pPr>
        <w:spacing w:after="0" w:line="142" w:lineRule="exact"/>
        <w:rPr>
          <w:sz w:val="20"/>
          <w:szCs w:val="20"/>
          <w:color w:val="auto"/>
        </w:rPr>
      </w:pPr>
    </w:p>
    <w:p>
      <w:pPr>
        <w:ind w:left="70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2.1</w:t>
        <w:tab/>
        <w:t>License Grant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20" w:right="20" w:firstLine="574"/>
        <w:spacing w:after="0" w:line="222" w:lineRule="auto"/>
        <w:tabs>
          <w:tab w:leader="none" w:pos="1276" w:val="left"/>
        </w:tabs>
        <w:numPr>
          <w:ilvl w:val="0"/>
          <w:numId w:val="7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Territory License Grant </w:t>
      </w:r>
      <w:r>
        <w:rPr>
          <w:rFonts w:ascii="Times New Roman" w:cs="Times New Roman" w:eastAsia="Times New Roman" w:hAnsi="Times New Roman"/>
          <w:sz w:val="19"/>
          <w:szCs w:val="19"/>
          <w:color w:val="auto"/>
        </w:rPr>
        <w:t>. Subject to the terms and conditions of this Agreement (including Duality’s retained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rights in Section 2.4), Duality hereby grants and shall procure its Affiliates grant to Licensee and its Affiliates, during the Term, an exclusive (even as to Duality and its Affiliates), royalty-bearing license, with the right to sublicense through multiple tiers (in accordance with Section 2.2), under Duality Licensed IP to Develop, have Developed, Manufacture, have Manufactured, use, sell, offer for sale, import and otherwise Commercialize or have Commercialized or exploit the Licensed Compound or after Next Generation Option Exercise, the Next Generation Licensed Compound, and the Licensed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20"/>
          </w:cols>
          <w:pgMar w:left="1120" w:top="1440" w:right="660" w:bottom="1440" w:gutter="0" w:footer="0" w:header="0"/>
        </w:sectPr>
      </w:pPr>
    </w:p>
    <w:bookmarkStart w:id="714" w:name="page715"/>
    <w:bookmarkEnd w:id="714"/>
    <w:p>
      <w:pPr>
        <w:spacing w:after="0" w:line="255" w:lineRule="exact"/>
        <w:rPr>
          <w:sz w:val="20"/>
          <w:szCs w:val="20"/>
          <w:color w:val="auto"/>
        </w:rPr>
      </w:pPr>
    </w:p>
    <w:p>
      <w:pPr>
        <w:jc w:val="both"/>
        <w:ind w:left="-140" w:firstLine="574"/>
        <w:spacing w:after="0" w:line="224" w:lineRule="auto"/>
        <w:tabs>
          <w:tab w:leader="none" w:pos="1156"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Retained Territory License Grant</w:t>
      </w:r>
      <w:r>
        <w:rPr>
          <w:rFonts w:ascii="Times New Roman" w:cs="Times New Roman" w:eastAsia="Times New Roman" w:hAnsi="Times New Roman"/>
          <w:sz w:val="19"/>
          <w:szCs w:val="19"/>
          <w:color w:val="auto"/>
        </w:rPr>
        <w:t>. Subject to the terms and conditions of this Agreement (including Duality’s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retained rights in Section 2.4), Duality hereby grants to Licensee a sole license under Duality Licensed IP to Develop, have Developed, Manufacture or have Manufactured the Licensed Compound or after Next Generation Option Exercise, the Next Generation Licensed Compound, and the Licensed Products in the Retained Territory solely for the purpose of Developing, Manufacturing and Commercializing the Licensed Products in the Field in the Territory.</w:t>
      </w:r>
    </w:p>
    <w:p>
      <w:pPr>
        <w:spacing w:after="0" w:line="133" w:lineRule="exact"/>
        <w:rPr>
          <w:sz w:val="20"/>
          <w:szCs w:val="20"/>
          <w:color w:val="auto"/>
        </w:rPr>
      </w:pPr>
    </w:p>
    <w:p>
      <w:pPr>
        <w:ind w:left="58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2.2.</w:t>
        <w:tab/>
        <w:t>Sublicense Rights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right="20" w:firstLine="574"/>
        <w:spacing w:after="0" w:line="233" w:lineRule="auto"/>
        <w:tabs>
          <w:tab w:leader="none" w:pos="1156" w:val="left"/>
        </w:tabs>
        <w:numPr>
          <w:ilvl w:val="0"/>
          <w:numId w:val="7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Right to Sublicense</w:t>
      </w:r>
      <w:r>
        <w:rPr>
          <w:rFonts w:ascii="Times New Roman" w:cs="Times New Roman" w:eastAsia="Times New Roman" w:hAnsi="Times New Roman"/>
          <w:sz w:val="19"/>
          <w:szCs w:val="19"/>
          <w:color w:val="auto"/>
        </w:rPr>
        <w:t>. Subject to the terms and conditions of this Agreement, Licensee and its Affiliates shall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right to grant Sublicenses through multiple tiers under Duality Licensed IP (including Duality In-Licensed IP), in each respect to (i) any Affiliate, or (ii) to any Third Party.</w:t>
      </w:r>
    </w:p>
    <w:p>
      <w:pPr>
        <w:spacing w:after="0" w:line="131"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Sublicense Terms</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jc w:val="both"/>
        <w:ind w:left="-140" w:firstLine="574"/>
        <w:spacing w:after="0" w:line="224" w:lineRule="auto"/>
        <w:tabs>
          <w:tab w:leader="none" w:pos="1156" w:val="left"/>
        </w:tabs>
        <w:numPr>
          <w:ilvl w:val="0"/>
          <w:numId w:val="7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Licensee’s Responsibility</w:t>
      </w:r>
      <w:r>
        <w:rPr>
          <w:rFonts w:ascii="Times New Roman" w:cs="Times New Roman" w:eastAsia="Times New Roman" w:hAnsi="Times New Roman"/>
          <w:sz w:val="19"/>
          <w:szCs w:val="19"/>
          <w:color w:val="auto"/>
        </w:rPr>
        <w:t>. Licensee shall use Commercially Reasonable Efforts to ensure that the performance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of its Affiliates, Sublicensees and subcontractors hereunder is in accordance with the applicable terms of this Agreement. With respect to a patent challenge by the Sublicensee against any Duality Patents, if Licensee fails to cause such Sublicensee to cease such violation within a reasonable period of time, Licensee shall, in so far as it is not prohibited under the Applicable Laws, terminate the sublicense agreement.</w:t>
      </w:r>
    </w:p>
    <w:p>
      <w:pPr>
        <w:spacing w:after="0" w:line="133"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2.3 Negative Covenants</w:t>
      </w:r>
      <w:r>
        <w:rPr>
          <w:rFonts w:ascii="Times New Roman" w:cs="Times New Roman" w:eastAsia="Times New Roman" w:hAnsi="Times New Roman"/>
          <w:sz w:val="19"/>
          <w:szCs w:val="19"/>
          <w:color w:val="auto"/>
        </w:rPr>
        <w:t>. In so far as it is not prohibited under the Applicable Laws, Licensee hereby covenants 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country- by- country basis not to, and not to permit or cause any Affiliate [***]. Notwithstanding the foregoing, this Section 2.3 shall in no way restrict [***], its Affiliates, its Sublicensees or their CMOs and other authorized Third Party under this Agreement from undertaking any research, Development, Manufacturing, Commercialization, or other exploitation or engaging in any activities involving [***] that anyone not subject to this Agreement may legally undertake before the Effective Date and during the Term in the Territory and elsewhere, [***]. [***]</w:t>
      </w:r>
    </w:p>
    <w:p>
      <w:pPr>
        <w:spacing w:after="0" w:line="132" w:lineRule="exact"/>
        <w:rPr>
          <w:sz w:val="20"/>
          <w:szCs w:val="20"/>
          <w:color w:val="auto"/>
        </w:rPr>
      </w:pPr>
    </w:p>
    <w:p>
      <w:pPr>
        <w:jc w:val="both"/>
        <w:ind w:right="20"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2.4 No Implied Licenses; Retained Rights</w:t>
      </w:r>
      <w:r>
        <w:rPr>
          <w:rFonts w:ascii="Times New Roman" w:cs="Times New Roman" w:eastAsia="Times New Roman" w:hAnsi="Times New Roman"/>
          <w:sz w:val="19"/>
          <w:szCs w:val="19"/>
          <w:color w:val="auto"/>
        </w:rPr>
        <w:t>. No right or license under any Patents or Know-How of either Party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or shall be granted by implication. All such rights or licenses are or shall be granted only as expressly provided in the terms of this Agreement. Duality hereby expressly reserves all rights not expressly licensed to Licensee in Section 2.1, including</w:t>
      </w:r>
    </w:p>
    <w:p>
      <w:pPr>
        <w:spacing w:after="0" w:line="2" w:lineRule="exact"/>
        <w:rPr>
          <w:sz w:val="20"/>
          <w:szCs w:val="20"/>
          <w:color w:val="auto"/>
        </w:rPr>
      </w:pPr>
    </w:p>
    <w:p>
      <w:pPr>
        <w:jc w:val="both"/>
        <w:ind w:firstLine="2"/>
        <w:spacing w:after="0" w:line="215" w:lineRule="auto"/>
        <w:tabs>
          <w:tab w:leader="none" w:pos="231" w:val="left"/>
        </w:tabs>
        <w:numPr>
          <w:ilvl w:val="0"/>
          <w:numId w:val="7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rights under the Duality Licensed IP with respect to the Licensed Compound and Original ADC Licensed Products, or after Next Generation Option Exercise, the Next Generation Licensed Compound and Next Generation ADC Licensed Product in the Retained Territory, subject to Licensee’s co-exclusive license as set forth in Section 2.1(b), (ii) all rights under the Duality Licensed IP to exercise its rights or perform its obligations under this Agreement, and (iii) all rights under the Duality Licensed IP to conduct Development activities in the Territory for the sole purpose of Developing or Commercializing the Original ADC Licensed Products or Next Generation ADC Licensed Product in the Field in the Retained Territory;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such Development activities in the Territory in relation to the Original ADC Licensed Product, or Next Generation ADC Licensed Product and Licensed Compound or Next Generation Licensed Compound shall be undertaken for Duality by Licensee or its Affiliates, or Sublicensees or Licensee’s designated subcontractors.</w:t>
      </w:r>
    </w:p>
    <w:p>
      <w:pPr>
        <w:spacing w:after="0" w:line="135" w:lineRule="exact"/>
        <w:rPr>
          <w:sz w:val="20"/>
          <w:szCs w:val="20"/>
          <w:color w:val="auto"/>
        </w:rPr>
      </w:pPr>
    </w:p>
    <w:p>
      <w:pPr>
        <w:ind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2.5 License to Duality</w:t>
      </w:r>
      <w:r>
        <w:rPr>
          <w:rFonts w:ascii="Times New Roman" w:cs="Times New Roman" w:eastAsia="Times New Roman" w:hAnsi="Times New Roman"/>
          <w:sz w:val="19"/>
          <w:szCs w:val="19"/>
          <w:color w:val="auto"/>
        </w:rPr>
        <w:t>. Licensee hereby grants to Duality a non-exclusive, non-transferrable, non-sublicensable (unless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sublicense was consented to by Licensee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000"/>
          </w:cols>
          <w:pgMar w:left="1240" w:top="1440" w:right="660" w:bottom="1440" w:gutter="0" w:footer="0" w:header="0"/>
        </w:sectPr>
      </w:pPr>
    </w:p>
    <w:bookmarkStart w:id="715" w:name="page716"/>
    <w:bookmarkEnd w:id="715"/>
    <w:p>
      <w:pPr>
        <w:spacing w:after="0" w:line="255" w:lineRule="exact"/>
        <w:rPr>
          <w:sz w:val="20"/>
          <w:szCs w:val="20"/>
          <w:color w:val="auto"/>
        </w:rPr>
      </w:pPr>
    </w:p>
    <w:p>
      <w:pPr>
        <w:jc w:val="both"/>
        <w:ind w:left="580"/>
        <w:spacing w:after="0" w:line="215" w:lineRule="auto"/>
        <w:rPr>
          <w:sz w:val="20"/>
          <w:szCs w:val="20"/>
          <w:color w:val="auto"/>
        </w:rPr>
      </w:pPr>
      <w:r>
        <w:rPr>
          <w:rFonts w:ascii="Times New Roman" w:cs="Times New Roman" w:eastAsia="Times New Roman" w:hAnsi="Times New Roman"/>
          <w:sz w:val="19"/>
          <w:szCs w:val="19"/>
          <w:color w:val="auto"/>
        </w:rPr>
        <w:t xml:space="preserve">writing and is in compliance with the license terms set out in Section 2.2(b), which would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royalty- free license under the Licensee Licensed IP, during the Term of this Agreement, solely to (i) perform, either itself, through its Affiliates, or through subcontractors, its obligations under this Agreement, including its Manufacturing and supply obligations under Sections 6.1, 6.4 and 6.5, and (ii) limited to the Field and the Retained Territory, to Develop, Manufacture or have Manufactured, or Commercialize the Licensed Compound or Original ADC Licensed Products or after Next Generation Option Exercise, the Next Generation Licensed Compound and Next Generation ADC Licensed Product. Duality shall use Commercially Reasonable Efforts to ensure that the performance by any of its Affiliates, sublicensees or subcontractors hereunder is in accordance with the applicable terms of this Agreement. With respect to a patent challenge by a (sub)licensee against any Licensee Patents, if Duality fails to cause such (sub)licensee to cease such violation within a reasonable period of time, Duality shall, in so far as it is not prohibited under the Applicable Laws, terminate such (sub)license agreement. Duality shall be responsible for any actions of its Affiliates, sublicensees and subcontractors who act on behalf of Duality to perform activities assigned to Duality (for or on behalf of Licensee) pursuant to this Agreement, to the same extent as if such actions had been taken by Duality itself, and Licensee shall have the right to proceed directly against Duality without any obligation to first proceed against such Affiliate, sublicensee and subcontractor.</w:t>
      </w:r>
    </w:p>
    <w:p>
      <w:pPr>
        <w:spacing w:after="0" w:line="141"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9"/>
          <w:szCs w:val="19"/>
          <w:b w:val="1"/>
          <w:bCs w:val="1"/>
          <w:color w:val="auto"/>
        </w:rPr>
        <w:t>2.6</w:t>
        <w:tab/>
        <w:t>Know-How and Technology Transfer</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576"/>
        <w:spacing w:after="0" w:line="221" w:lineRule="auto"/>
        <w:rPr>
          <w:sz w:val="20"/>
          <w:szCs w:val="20"/>
          <w:color w:val="auto"/>
        </w:rPr>
      </w:pPr>
      <w:r>
        <w:rPr>
          <w:rFonts w:ascii="Times New Roman" w:cs="Times New Roman" w:eastAsia="Times New Roman" w:hAnsi="Times New Roman"/>
          <w:sz w:val="19"/>
          <w:szCs w:val="19"/>
          <w:color w:val="auto"/>
        </w:rPr>
        <w:t xml:space="preserve">Within [***] days of the Effective Date, Duality shall, at its cost and expense, provide to Licensee [***] the documents embodying all Duality Know -How, in original form and English language certified translations, (including but not limited to CMC documentation to the extent available to Duality or any of its Affiliates as of the Effective Date) Controlled by Duality or any of its Affiliates as of the Effective Date, including but not limited all Know-How that has been obtained by Duality under the [***] Agreement and the [***] Agreements as of the Effective Date, [***]. A description of such documents for the initial Know-How Transfer as of the Effective Date is attached as </w:t>
      </w:r>
      <w:r>
        <w:rPr>
          <w:rFonts w:ascii="Times New Roman" w:cs="Times New Roman" w:eastAsia="Times New Roman" w:hAnsi="Times New Roman"/>
          <w:sz w:val="19"/>
          <w:szCs w:val="19"/>
          <w:b w:val="1"/>
          <w:bCs w:val="1"/>
          <w:color w:val="auto"/>
        </w:rPr>
        <w:t>Schedule 2.6</w:t>
      </w:r>
      <w:r>
        <w:rPr>
          <w:rFonts w:ascii="Times New Roman" w:cs="Times New Roman" w:eastAsia="Times New Roman" w:hAnsi="Times New Roman"/>
          <w:sz w:val="19"/>
          <w:szCs w:val="19"/>
          <w:color w:val="auto"/>
        </w:rPr>
        <w:t xml:space="preserve"> hereto.</w:t>
      </w:r>
    </w:p>
    <w:p>
      <w:pPr>
        <w:spacing w:after="0" w:line="137"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color w:val="auto"/>
        </w:rPr>
        <w:t>Thereafter, Duality shall promptly (and in any event no later than [***] from the existence of such Know-How) inform Licensee of the existence of any additional Duality Know-How that becomes Controlled by Duality after the Effective Date and during the Term, including Know -How agreed to be provided under or obtained under the [***] Agreement and the [***] Agreements. The Parties shall discuss the timing and means of the transfer of additional Duality Know-How.</w:t>
      </w:r>
    </w:p>
    <w:p>
      <w:pPr>
        <w:spacing w:after="0" w:line="134" w:lineRule="exact"/>
        <w:rPr>
          <w:sz w:val="20"/>
          <w:szCs w:val="20"/>
          <w:color w:val="auto"/>
        </w:rPr>
      </w:pPr>
    </w:p>
    <w:p>
      <w:pPr>
        <w:jc w:val="both"/>
        <w:ind w:firstLine="576"/>
        <w:spacing w:after="0" w:line="223" w:lineRule="auto"/>
        <w:rPr>
          <w:sz w:val="20"/>
          <w:szCs w:val="20"/>
          <w:color w:val="auto"/>
        </w:rPr>
      </w:pPr>
      <w:r>
        <w:rPr>
          <w:rFonts w:ascii="Times New Roman" w:cs="Times New Roman" w:eastAsia="Times New Roman" w:hAnsi="Times New Roman"/>
          <w:sz w:val="19"/>
          <w:szCs w:val="19"/>
          <w:color w:val="auto"/>
        </w:rPr>
        <w:t>Upon Licensee’s request, Duality shall provide, and shall cause Third Parties (including but not limited to the [***] and [***] entities that are party to the [***] Agreement or the [***] Agreements, as applicable) to provide (as applicable), electronic copies of such additional Duality Know-How (including CMC-Materials) and disclose, make available and support the onsite implementation of the Manufacturing process technology transfer to Licensee or Licensee’s Third Party manufacturer in accordance with Section 6.2 below, and at no additional cost to Licensee beyond the costs set out in Section 6.2.</w:t>
      </w:r>
    </w:p>
    <w:p>
      <w:pPr>
        <w:spacing w:after="0" w:line="135"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9"/>
          <w:szCs w:val="19"/>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Non-Competition</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9"/>
          <w:szCs w:val="19"/>
          <w:b w:val="1"/>
          <w:bCs w:val="1"/>
          <w:color w:val="auto"/>
        </w:rPr>
        <w:t>2.8</w:t>
        <w:tab/>
        <w:t>Duality Immune Agonist ADC Product</w:t>
      </w: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60"/>
          </w:cols>
          <w:pgMar w:left="660" w:top="1440" w:right="680" w:bottom="1440" w:gutter="0" w:footer="0" w:header="0"/>
        </w:sectPr>
      </w:pPr>
    </w:p>
    <w:bookmarkStart w:id="716" w:name="page717"/>
    <w:bookmarkEnd w:id="716"/>
    <w:p>
      <w:pPr>
        <w:spacing w:after="0" w:line="255"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9"/>
          <w:szCs w:val="19"/>
          <w:b w:val="1"/>
          <w:bCs w:val="1"/>
          <w:color w:val="auto"/>
        </w:rPr>
        <w:t>2.9</w:t>
        <w:tab/>
        <w:t>Next Generation Licensed Compound or Next Generation ADC Licensed Product.</w:t>
      </w:r>
    </w:p>
    <w:p>
      <w:pPr>
        <w:spacing w:after="0" w:line="168" w:lineRule="exact"/>
        <w:rPr>
          <w:sz w:val="20"/>
          <w:szCs w:val="20"/>
          <w:color w:val="auto"/>
        </w:rPr>
      </w:pPr>
    </w:p>
    <w:p>
      <w:pPr>
        <w:jc w:val="both"/>
        <w:ind w:left="580" w:right="20" w:firstLine="578"/>
        <w:spacing w:after="0" w:line="221" w:lineRule="auto"/>
        <w:tabs>
          <w:tab w:leader="none" w:pos="1732" w:val="left"/>
        </w:tabs>
        <w:numPr>
          <w:ilvl w:val="0"/>
          <w:numId w:val="7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of this Agreement, Duality hereby grants to Licensee an exclusive option (for clarity, this option grant is fully paid-up by the payments made under this Agreement, no additional consideration is needed for this exclusive option) to obtain an exclusive license to Develop, have Developed, Manufacture, have Manufactured, Commercialize, have Commercialized or otherwise exploit in the Territory, any Next Generation Licensed Compound and/or Next Generation ADC Licensed Product, which may be exercised by Licensee in accordance with Section 2.9(b) (“</w:t>
      </w:r>
      <w:r>
        <w:rPr>
          <w:rFonts w:ascii="Times New Roman" w:cs="Times New Roman" w:eastAsia="Times New Roman" w:hAnsi="Times New Roman"/>
          <w:sz w:val="19"/>
          <w:szCs w:val="19"/>
          <w:b w:val="1"/>
          <w:bCs w:val="1"/>
          <w:color w:val="auto"/>
        </w:rPr>
        <w:t>Next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Generation Option</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580" w:firstLine="578"/>
        <w:spacing w:after="0" w:line="220" w:lineRule="auto"/>
        <w:tabs>
          <w:tab w:leader="none" w:pos="1732" w:val="left"/>
        </w:tabs>
        <w:numPr>
          <w:ilvl w:val="0"/>
          <w:numId w:val="7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Next Generation Option may be exercised by Licensee upon written notice to Duality at any time until [***] months after successful Pre-clinical Proof-of-Concept and full disclosure by Duality of the complete Next Generation Data Package (“</w:t>
      </w:r>
      <w:r>
        <w:rPr>
          <w:rFonts w:ascii="Times New Roman" w:cs="Times New Roman" w:eastAsia="Times New Roman" w:hAnsi="Times New Roman"/>
          <w:sz w:val="19"/>
          <w:szCs w:val="19"/>
          <w:b w:val="1"/>
          <w:bCs w:val="1"/>
          <w:color w:val="auto"/>
        </w:rPr>
        <w:t>Next Generation Option Exercise</w:t>
      </w:r>
      <w:r>
        <w:rPr>
          <w:rFonts w:ascii="Times New Roman" w:cs="Times New Roman" w:eastAsia="Times New Roman" w:hAnsi="Times New Roman"/>
          <w:sz w:val="19"/>
          <w:szCs w:val="19"/>
          <w:color w:val="auto"/>
        </w:rPr>
        <w:t>”). Licensee shall be entitled to request additional data and information required for due diligence to make an informed decision in relation to the exercise of this Next Generation Option. Licensee shall complete its due diligence on the Next Generation Licensed Compound and Next Generation ADC Licensed Product within [***] months after delivery of the complete Next Generation Data Package by Duality to Licensee. For clarity, the Next Generation Option shall expire if the Next Generation Option Exercise does not occur within such [***] month period.</w:t>
      </w:r>
    </w:p>
    <w:p>
      <w:pPr>
        <w:spacing w:after="0" w:line="134" w:lineRule="exact"/>
        <w:rPr>
          <w:rFonts w:ascii="Times New Roman" w:cs="Times New Roman" w:eastAsia="Times New Roman" w:hAnsi="Times New Roman"/>
          <w:sz w:val="19"/>
          <w:szCs w:val="19"/>
          <w:color w:val="auto"/>
        </w:rPr>
      </w:pPr>
    </w:p>
    <w:p>
      <w:pPr>
        <w:jc w:val="both"/>
        <w:ind w:left="580" w:firstLine="578"/>
        <w:spacing w:after="0" w:line="221" w:lineRule="auto"/>
        <w:tabs>
          <w:tab w:leader="none" w:pos="1732" w:val="left"/>
        </w:tabs>
        <w:numPr>
          <w:ilvl w:val="0"/>
          <w:numId w:val="7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Next Generation Option Exercise with respect to a Next Generation Licensed Compound, any other Next Generation Licensed Compound (other than the one with respect to which Licensee exercised the Next Generation Option) would automatically qualify as Duality Competing Product and fall under the non-compete obligation of Duality in Section 2.7. If Licensee chooses not to exercise the Next Generation Option, any Next Generation Licensed Compound or Next Generation ADC Licensed Product (including the one with respect to which Licensee declined to exercise the Next Generation Option) would automatically become a Duality Competing Product and fall under the non-compete obligation of Duality in Section 2.7.</w:t>
      </w:r>
    </w:p>
    <w:p>
      <w:pPr>
        <w:spacing w:after="0" w:line="137" w:lineRule="exact"/>
        <w:rPr>
          <w:rFonts w:ascii="Times New Roman" w:cs="Times New Roman" w:eastAsia="Times New Roman" w:hAnsi="Times New Roman"/>
          <w:sz w:val="19"/>
          <w:szCs w:val="19"/>
          <w:color w:val="auto"/>
        </w:rPr>
      </w:pPr>
    </w:p>
    <w:p>
      <w:pPr>
        <w:ind w:left="580" w:firstLine="578"/>
        <w:spacing w:after="0" w:line="246" w:lineRule="auto"/>
        <w:tabs>
          <w:tab w:leader="none" w:pos="1732" w:val="left"/>
        </w:tabs>
        <w:numPr>
          <w:ilvl w:val="0"/>
          <w:numId w:val="7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the Next Generation Option Exercise will not trigger any additional payments, such as upfront or milestone payments, other than those set forth in Section 8.3, 8.5 and 8.6 (ii).</w:t>
      </w:r>
    </w:p>
    <w:p>
      <w:pPr>
        <w:spacing w:after="0" w:line="126"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4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w w:val="96"/>
              </w:rPr>
              <w:t>2.10</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w:t>
            </w:r>
          </w:p>
        </w:tc>
      </w:tr>
      <w:tr>
        <w:trPr>
          <w:trHeight w:val="384"/>
        </w:trPr>
        <w:tc>
          <w:tcPr>
            <w:tcW w:w="4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w w:val="96"/>
              </w:rPr>
              <w:t>2.11</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w:t>
            </w:r>
          </w:p>
        </w:tc>
      </w:tr>
      <w:tr>
        <w:trPr>
          <w:trHeight w:val="384"/>
        </w:trPr>
        <w:tc>
          <w:tcPr>
            <w:tcW w:w="4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w w:val="96"/>
              </w:rPr>
              <w:t>2.12</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Third Party Licenses</w:t>
            </w:r>
            <w:r>
              <w:rPr>
                <w:rFonts w:ascii="Times New Roman" w:cs="Times New Roman" w:eastAsia="Times New Roman" w:hAnsi="Times New Roman"/>
                <w:sz w:val="19"/>
                <w:szCs w:val="19"/>
                <w:color w:val="auto"/>
              </w:rPr>
              <w:t>. [***]</w:t>
            </w:r>
          </w:p>
        </w:tc>
      </w:tr>
      <w:tr>
        <w:trPr>
          <w:trHeight w:val="384"/>
        </w:trPr>
        <w:tc>
          <w:tcPr>
            <w:tcW w:w="44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w w:val="96"/>
              </w:rPr>
              <w:t>2.13</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w:t>
            </w:r>
          </w:p>
        </w:tc>
      </w:tr>
    </w:tbl>
    <w:p>
      <w:pPr>
        <w:spacing w:after="0" w:line="200" w:lineRule="exact"/>
        <w:rPr>
          <w:sz w:val="20"/>
          <w:szCs w:val="20"/>
          <w:color w:val="auto"/>
        </w:rPr>
      </w:pPr>
    </w:p>
    <w:p>
      <w:pPr>
        <w:spacing w:after="0" w:line="3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3</w:t>
      </w:r>
    </w:p>
    <w:p>
      <w:pPr>
        <w:ind w:left="4600"/>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42"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3.1 General</w:t>
      </w:r>
      <w:r>
        <w:rPr>
          <w:rFonts w:ascii="Times New Roman" w:cs="Times New Roman" w:eastAsia="Times New Roman" w:hAnsi="Times New Roman"/>
          <w:sz w:val="19"/>
          <w:szCs w:val="19"/>
          <w:color w:val="auto"/>
        </w:rPr>
        <w:t>. The Parties have already created a governance structure and committees for the implementation of the HER2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License and Collaboration Agreement dated March 31, 2023 (“ </w:t>
      </w:r>
      <w:r>
        <w:rPr>
          <w:rFonts w:ascii="Times New Roman" w:cs="Times New Roman" w:eastAsia="Times New Roman" w:hAnsi="Times New Roman"/>
          <w:sz w:val="19"/>
          <w:szCs w:val="19"/>
          <w:b w:val="1"/>
          <w:bCs w:val="1"/>
          <w:color w:val="auto"/>
        </w:rPr>
        <w:t>HER2 Agreement</w:t>
      </w:r>
      <w:r>
        <w:rPr>
          <w:rFonts w:ascii="Times New Roman" w:cs="Times New Roman" w:eastAsia="Times New Roman" w:hAnsi="Times New Roman"/>
          <w:sz w:val="19"/>
          <w:szCs w:val="19"/>
          <w:color w:val="auto"/>
        </w:rPr>
        <w:t>”, such governance structure the “</w:t>
      </w:r>
      <w:r>
        <w:rPr>
          <w:rFonts w:ascii="Times New Roman" w:cs="Times New Roman" w:eastAsia="Times New Roman" w:hAnsi="Times New Roman"/>
          <w:sz w:val="19"/>
          <w:szCs w:val="19"/>
          <w:b w:val="1"/>
          <w:bCs w:val="1"/>
          <w:color w:val="auto"/>
        </w:rPr>
        <w:t>HER2 Governance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Structure</w:t>
      </w:r>
      <w:r>
        <w:rPr>
          <w:rFonts w:ascii="Times New Roman" w:cs="Times New Roman" w:eastAsia="Times New Roman" w:hAnsi="Times New Roman"/>
          <w:sz w:val="19"/>
          <w:szCs w:val="19"/>
          <w:color w:val="auto"/>
        </w:rPr>
        <w:t>”) . Unless otherwise agreed by the Parties in writing, the Parties agree that the HER2 Governance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19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17" w:name="page718"/>
    <w:bookmarkEnd w:id="717"/>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apply to this Agreement, unless the HER2 Agreement is terminated by the Parties, or unless otherwise agreed by the Parties.</w:t>
      </w:r>
    </w:p>
    <w:p>
      <w:pPr>
        <w:spacing w:after="0" w:line="164"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3.2 Joint Steering Committee</w:t>
      </w:r>
      <w:r>
        <w:rPr>
          <w:rFonts w:ascii="Times New Roman" w:cs="Times New Roman" w:eastAsia="Times New Roman" w:hAnsi="Times New Roman"/>
          <w:sz w:val="19"/>
          <w:szCs w:val="19"/>
          <w:color w:val="auto"/>
        </w:rPr>
        <w:t>. The Parties have established a JSC comprised of an equal number of representatives from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to approve, plan, coordinate, integrate monitor and oversee the Development, Manufacture and regulatory activities of the Parties’ in the Territory with respect to the Original ADC Licensed Product and/or, after Next Generation Option Exercise, the Next Generation Licensed Compound and Next Generation ADC Licensed Product and facilitate information exchange between the Parties under this Agreement. The JSC, as may be conducted through the applicable Subcommittee, shall in particular:</w:t>
      </w:r>
    </w:p>
    <w:p>
      <w:pPr>
        <w:spacing w:after="0" w:line="135" w:lineRule="exact"/>
        <w:rPr>
          <w:sz w:val="20"/>
          <w:szCs w:val="20"/>
          <w:color w:val="auto"/>
        </w:rPr>
      </w:pPr>
    </w:p>
    <w:p>
      <w:pPr>
        <w:jc w:val="both"/>
        <w:ind w:left="440" w:right="20" w:firstLine="574"/>
        <w:spacing w:after="0" w:line="232"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coordinate the overall strategy for the Development of the Original ADC Licensed Products and/or, after Next Generation Option Exercise, the Next Generation Licensed Compound and Next Generation ADC Licensed Product in the Territory;</w:t>
      </w:r>
    </w:p>
    <w:p>
      <w:pPr>
        <w:spacing w:after="0" w:line="134" w:lineRule="exact"/>
        <w:rPr>
          <w:rFonts w:ascii="Times New Roman" w:cs="Times New Roman" w:eastAsia="Times New Roman" w:hAnsi="Times New Roman"/>
          <w:sz w:val="19"/>
          <w:szCs w:val="19"/>
          <w:color w:val="auto"/>
        </w:rPr>
      </w:pPr>
    </w:p>
    <w:p>
      <w:pPr>
        <w:ind w:left="440" w:firstLine="574"/>
        <w:spacing w:after="0" w:line="246"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discuss the status of the Development of the Next Generation Licensed Compound (before and after Next Generation Option Exercise);</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proposed amendments or revisions to the Development Plan(s) of the Original ADC Licensed Products and/or, after Next Generation Option Exercise, the Next Generation Licensed Compound and Next Generation ADC Licensed Product including all related budgets of the Development activities;</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approve any study protocols relating to the Development Plan(s) (and any amendments thereto) of the Original ADC Licensed Products and/or, after Next Generation Option Exercise, the Next Generation Licensed Compound and Next Generation ADC Licensed Product;</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discuss and serve as a forum for the sharing of information between the Parties regarding the operation of any Development activities of the Original ADC Licensed Products in the Territory and in the Retained Territory and/or, after Next Generation Option Exercise, the Next Generation Licensed Compound and Next Generation ADC Licensed Product;</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oversee and coordinate the on-going disclosure, sharing and/or transfer of new Collaboration IP generated in or related to the Development of the Original ADC Licensed Products and/or, after Next Generation Option Exercise, the Next Generation Licensed Compound and the Next Generation ADC Licensed Product in the Territory;</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23"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any matters relating to the Regulatory Approvals and Regulatory Materials to be submitted to any Regulatory Authority in respect of the Original ADC Licensed Products in the Territory and matters relating to attending regulatory meetings or consultations with Regulatory Authorities in respect of the Original ADC Licensed Products and/or, after Next Generation Option Exercise, the Next Generation Licensed Compound and the Next Generation ADC Licensed Product in the Territory;</w:t>
      </w:r>
    </w:p>
    <w:p>
      <w:pPr>
        <w:spacing w:after="0" w:line="137"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coordinate supply of Original ADC Licensed Products and/or, after Next Generation Option Exercise, the Next Generation Licensed Compound and Next Generation ADC Licensed Product in accordance with Article 6;</w:t>
      </w:r>
    </w:p>
    <w:p>
      <w:pPr>
        <w:spacing w:after="0" w:line="128"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24" w:val="left"/>
        </w:tabs>
        <w:numPr>
          <w:ilvl w:val="0"/>
          <w:numId w:val="7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 and discuss the clinical protocol of and Duality’s potential participation in any Global Trial sponsored by Licensee or any of its Affiliates and Sublicensees, or Original ADC Added Trials;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60"/>
          </w:cols>
          <w:pgMar w:left="660" w:top="1440" w:right="680" w:bottom="1440" w:gutter="0" w:footer="0" w:header="0"/>
        </w:sectPr>
      </w:pPr>
    </w:p>
    <w:bookmarkStart w:id="718" w:name="page719"/>
    <w:bookmarkEnd w:id="718"/>
    <w:p>
      <w:pPr>
        <w:spacing w:after="0" w:line="257" w:lineRule="exact"/>
        <w:rPr>
          <w:sz w:val="20"/>
          <w:szCs w:val="20"/>
          <w:color w:val="auto"/>
        </w:rPr>
      </w:pPr>
    </w:p>
    <w:p>
      <w:pPr>
        <w:ind w:left="440" w:right="20" w:firstLine="574"/>
        <w:spacing w:after="0" w:line="246" w:lineRule="auto"/>
        <w:tabs>
          <w:tab w:leader="none" w:pos="1724" w:val="left"/>
        </w:tabs>
        <w:numPr>
          <w:ilvl w:val="0"/>
          <w:numId w:val="7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such other functions as appropriate to further the purposes of this Agreement, as expressly set forth in this Agreement or as determined by the Parties in writing.</w:t>
      </w:r>
    </w:p>
    <w:p>
      <w:pPr>
        <w:spacing w:after="0" w:line="126"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3.3</w:t>
        <w:tab/>
        <w:t>Subcommittees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color w:val="auto"/>
        </w:rPr>
        <w:t xml:space="preserve">From time to time during the Term, the JSC may establish and disband one or more subcommittee(s) (each, a “ </w:t>
      </w:r>
      <w:r>
        <w:rPr>
          <w:rFonts w:ascii="Times New Roman" w:cs="Times New Roman" w:eastAsia="Times New Roman" w:hAnsi="Times New Roman"/>
          <w:sz w:val="19"/>
          <w:szCs w:val="19"/>
          <w:b w:val="1"/>
          <w:bCs w:val="1"/>
          <w:color w:val="auto"/>
        </w:rPr>
        <w:t>Subcommittee</w:t>
      </w:r>
      <w:r>
        <w:rPr>
          <w:rFonts w:ascii="Times New Roman" w:cs="Times New Roman" w:eastAsia="Times New Roman" w:hAnsi="Times New Roman"/>
          <w:sz w:val="19"/>
          <w:szCs w:val="19"/>
          <w:color w:val="auto"/>
        </w:rPr>
        <w:t>”) to oversee particular activities of the Parties, and the JSC may assign to such subcommittee(s) duties or tasks independent of the duties of the JSC, or delegate part of such duties of the JSC to such subcommittee(s) as it deems necessary and appropriate.</w:t>
      </w:r>
    </w:p>
    <w:p>
      <w:pPr>
        <w:spacing w:after="0" w:line="132" w:lineRule="exact"/>
        <w:rPr>
          <w:sz w:val="20"/>
          <w:szCs w:val="20"/>
          <w:color w:val="auto"/>
        </w:rPr>
      </w:pPr>
    </w:p>
    <w:p>
      <w:pPr>
        <w:jc w:val="both"/>
        <w:ind w:left="440" w:right="20" w:firstLine="574"/>
        <w:spacing w:after="0"/>
        <w:tabs>
          <w:tab w:leader="none" w:pos="1736" w:val="left"/>
        </w:tabs>
        <w:numPr>
          <w:ilvl w:val="1"/>
          <w:numId w:val="7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IP Committee</w:t>
      </w:r>
      <w:r>
        <w:rPr>
          <w:rFonts w:ascii="Times New Roman" w:cs="Times New Roman" w:eastAsia="Times New Roman" w:hAnsi="Times New Roman"/>
          <w:sz w:val="19"/>
          <w:szCs w:val="19"/>
          <w:color w:val="auto"/>
        </w:rPr>
        <w:t>. Unless already existing under the HER2 Governance Structure, no later than [***] 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the Effective Date (unless otherwise agreed by the Parties), the JSC shall establish an intellectual property committee (the “</w:t>
      </w:r>
      <w:r>
        <w:rPr>
          <w:rFonts w:ascii="Times New Roman" w:cs="Times New Roman" w:eastAsia="Times New Roman" w:hAnsi="Times New Roman"/>
          <w:sz w:val="19"/>
          <w:szCs w:val="19"/>
          <w:b w:val="1"/>
          <w:bCs w:val="1"/>
          <w:color w:val="auto"/>
        </w:rPr>
        <w:t>Joint IP 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JIPC</w:t>
      </w:r>
      <w:r>
        <w:rPr>
          <w:rFonts w:ascii="Times New Roman" w:cs="Times New Roman" w:eastAsia="Times New Roman" w:hAnsi="Times New Roman"/>
          <w:sz w:val="19"/>
          <w:szCs w:val="19"/>
          <w:color w:val="auto"/>
        </w:rPr>
        <w:t>”) led by Licensee and comprised of an equal number of representatives from each Party. The JIPC shall provide a forum for discussion of the patenting strategies of the Licensed Compound, the Original ADC Licensed Products and/or, after Next Generation Option Exercise, the Next Generation Licensed Compound and Next Generation ADC Licensed Product, and coordinate the Parties’ efforts in accordance with the provisions set forth in Article 12 and other matters related to the prosecution and maintenance of intellectual property rights hereunder, including submissions to and addressing notices from Regulatory Authorities that relate to regulatory-patent linkage procedures and proceedings. The JSC shall determine the desired membership of the JIPC and once formed, Licensee’s committee members shall determine the time, place and procedure of meetings. [***]</w:t>
      </w:r>
    </w:p>
    <w:p>
      <w:pPr>
        <w:spacing w:after="0" w:line="143"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1"/>
          <w:numId w:val="7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Unless already existing under the HER2 Governance Structure, no later than</w:t>
      </w:r>
    </w:p>
    <w:p>
      <w:pPr>
        <w:jc w:val="both"/>
        <w:ind w:left="440" w:right="20" w:hanging="2"/>
        <w:spacing w:after="0" w:line="221" w:lineRule="auto"/>
        <w:tabs>
          <w:tab w:leader="none" w:pos="914" w:val="left"/>
        </w:tabs>
        <w:numPr>
          <w:ilvl w:val="0"/>
          <w:numId w:val="7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Effective Date, the JSC shall establish a joint development committee (the “</w:t>
      </w:r>
      <w:r>
        <w:rPr>
          <w:rFonts w:ascii="Times New Roman" w:cs="Times New Roman" w:eastAsia="Times New Roman" w:hAnsi="Times New Roman"/>
          <w:sz w:val="19"/>
          <w:szCs w:val="19"/>
          <w:b w:val="1"/>
          <w:bCs w:val="1"/>
          <w:color w:val="auto"/>
        </w:rPr>
        <w:t>Joint Development Committee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led by Licensee and comprised of an equal number of representatives from each Party. The JDC shall (i) oversee the implementation and progress of the Development Plan in the Territory, (ii) discuss and propose to the JSC for approval any amendments to the Development Plan, (iii) oversee any Global Trials.</w:t>
      </w:r>
    </w:p>
    <w:p>
      <w:pPr>
        <w:spacing w:after="0" w:line="132"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3.4 Composition; Meetings</w:t>
      </w:r>
      <w:r>
        <w:rPr>
          <w:rFonts w:ascii="Times New Roman" w:cs="Times New Roman" w:eastAsia="Times New Roman" w:hAnsi="Times New Roman"/>
          <w:sz w:val="19"/>
          <w:szCs w:val="19"/>
          <w:color w:val="auto"/>
        </w:rPr>
        <w:t>. If not otherwise agreed for the HER2 Governance Structure, the JSC and each Subcommittee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a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be composed of [***] representatives from each Party (or such other equal number of representatives of each of Licensee and Duality as the JSC may determine), and each Party shall notify the other Party of its initial JSC representatives within [***] days after the Effective Date. Each Party shall designate a representative to be the co -chairperson of the JSC and Licensee shall designate a representative to chair each Subcommittee led by it, in each case, who shall schedule meetings, prepare meeting agendas and meeting minutes and follow up on action items. Each Party may request and convene a Committee meeting and propose agenda therefor at any time. With respect to the JSC, these responsibilities will alternate between the Parties or each co-chairperson, as applicable, with Licensee’s co-chairperson taking the responsibility for the first meeting of the JSC. Each Party may change its representatives to the JSC (or any Subcommittee) from time to time in its sole discretion, effective upon notice to the other Party of such change. Each Party’s representatives in each Committee shall possess appropriate experience with respect to the issues falling within the functions of such Committee and requisite seniority within such Party’s organization, and shall have the authority to make decisions on behalf of the Party they represent.</w:t>
      </w:r>
    </w:p>
    <w:p>
      <w:pPr>
        <w:spacing w:after="0" w:line="137"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3.5 Non- Member Attendance</w:t>
      </w:r>
      <w:r>
        <w:rPr>
          <w:rFonts w:ascii="Times New Roman" w:cs="Times New Roman" w:eastAsia="Times New Roman" w:hAnsi="Times New Roman"/>
          <w:sz w:val="19"/>
          <w:szCs w:val="19"/>
          <w:color w:val="auto"/>
        </w:rPr>
        <w:t>. Each Party may from time to time invite a reasonable number of participants, in addition to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representatives, to attend a meeting of any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19" w:name="page720"/>
    <w:bookmarkEnd w:id="719"/>
    <w:p>
      <w:pPr>
        <w:spacing w:after="0" w:line="25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(in a non -voting capacity) in the event that the planned agenda for such Committee meeting would require such participants’ expertise; provided that if either Party intends to have any Third Party (including any consultant or counsel) attend such a meeting, such Party shall provide prior written notice to the other Party, shall obtain approval from such other Party for such Third Party to attend (which shall not be unreasonably withheld, conditioned or delayed by the notified Party), and shall ensure that such Third Party is bound by confidentiality and non-use obligations consistent with the terms of this Agreement.</w:t>
      </w:r>
    </w:p>
    <w:p>
      <w:pPr>
        <w:spacing w:after="0" w:line="135"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3.6 Decision-Making</w:t>
      </w:r>
      <w:r>
        <w:rPr>
          <w:rFonts w:ascii="Times New Roman" w:cs="Times New Roman" w:eastAsia="Times New Roman" w:hAnsi="Times New Roman"/>
          <w:sz w:val="19"/>
          <w:szCs w:val="19"/>
          <w:color w:val="auto"/>
        </w:rPr>
        <w:t>. The representatives of each Party will have [***] vote at each Committee on all matters brought before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Committee. The Committees may not take any action or decide any matter except at a meeting attended by [***] representing each Party and with unanimous consent.</w:t>
      </w:r>
    </w:p>
    <w:p>
      <w:pPr>
        <w:spacing w:after="0" w:line="132" w:lineRule="exact"/>
        <w:rPr>
          <w:sz w:val="20"/>
          <w:szCs w:val="20"/>
          <w:color w:val="auto"/>
        </w:rPr>
      </w:pPr>
    </w:p>
    <w:p>
      <w:pPr>
        <w:jc w:val="both"/>
        <w:ind w:left="580" w:firstLine="578"/>
        <w:spacing w:after="0" w:line="219" w:lineRule="auto"/>
        <w:tabs>
          <w:tab w:leader="none" w:pos="1732" w:val="left"/>
        </w:tabs>
        <w:numPr>
          <w:ilvl w:val="0"/>
          <w:numId w:val="7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JSC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JSC (including those matters referred to the JSC by any Subcommittee), the representatives of the Parties on the JSC cannot reach an agreement as to such matter within [***] Days after such matter was brought to the JSC for resolution or after such matter has been referred to the JSC, such disagreement shall be referred to the Chief Executive Officer of Duality and Chief Executive Officer of Licensee (collectively, the “</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for resolution. If the Executive Officers cannot resolve such matter within [***] days (or such other timeframe as the JSC may request in consideration of the urgency of such referred matter) after such matter has been referred to them, then:</w:t>
      </w:r>
    </w:p>
    <w:p>
      <w:pPr>
        <w:spacing w:after="0" w:line="136" w:lineRule="exact"/>
        <w:rPr>
          <w:sz w:val="20"/>
          <w:szCs w:val="20"/>
          <w:color w:val="auto"/>
        </w:rPr>
      </w:pPr>
    </w:p>
    <w:p>
      <w:pPr>
        <w:ind w:left="1720" w:hanging="562"/>
        <w:spacing w:after="0"/>
        <w:tabs>
          <w:tab w:leader="none" w:pos="1720" w:val="left"/>
        </w:tabs>
        <w:numPr>
          <w:ilvl w:val="0"/>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be entitled to make final decisions with respect to:</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and</w:t>
      </w:r>
    </w:p>
    <w:p>
      <w:pPr>
        <w:spacing w:after="0" w:line="165" w:lineRule="exact"/>
        <w:rPr>
          <w:rFonts w:ascii="Times New Roman" w:cs="Times New Roman" w:eastAsia="Times New Roman" w:hAnsi="Times New Roman"/>
          <w:sz w:val="19"/>
          <w:szCs w:val="19"/>
          <w:color w:val="auto"/>
        </w:rPr>
      </w:pPr>
    </w:p>
    <w:p>
      <w:pPr>
        <w:ind w:left="1740" w:right="4300" w:hanging="582"/>
        <w:spacing w:after="0" w:line="421" w:lineRule="auto"/>
        <w:tabs>
          <w:tab w:leader="none" w:pos="1740" w:val="left"/>
        </w:tabs>
        <w:numPr>
          <w:ilvl w:val="0"/>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shall be entitled to make final decisions on the [***]: [***]; and</w:t>
      </w:r>
    </w:p>
    <w:p>
      <w:pPr>
        <w:spacing w:after="0" w:line="1"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will have final decision-making authority with respect to matters relating to [***]; and</w:t>
      </w:r>
    </w:p>
    <w:p>
      <w:pPr>
        <w:spacing w:after="0" w:line="165" w:lineRule="exact"/>
        <w:rPr>
          <w:rFonts w:ascii="Times New Roman" w:cs="Times New Roman" w:eastAsia="Times New Roman" w:hAnsi="Times New Roman"/>
          <w:sz w:val="19"/>
          <w:szCs w:val="19"/>
          <w:color w:val="auto"/>
        </w:rPr>
      </w:pPr>
    </w:p>
    <w:p>
      <w:pPr>
        <w:ind w:left="2880" w:hanging="569"/>
        <w:spacing w:after="0"/>
        <w:tabs>
          <w:tab w:leader="none" w:pos="2880" w:val="left"/>
        </w:tabs>
        <w:numPr>
          <w:ilvl w:val="1"/>
          <w:numId w:val="7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will have final decision-making authority with respect to matters relating to [***].</w:t>
      </w:r>
    </w:p>
    <w:p>
      <w:pPr>
        <w:spacing w:after="0" w:line="164" w:lineRule="exact"/>
        <w:rPr>
          <w:sz w:val="20"/>
          <w:szCs w:val="20"/>
          <w:color w:val="auto"/>
        </w:rPr>
      </w:pPr>
    </w:p>
    <w:p>
      <w:pPr>
        <w:jc w:val="both"/>
        <w:ind w:left="580" w:right="20" w:firstLine="578"/>
        <w:spacing w:after="0"/>
        <w:tabs>
          <w:tab w:leader="none" w:pos="1732" w:val="left"/>
        </w:tabs>
        <w:numPr>
          <w:ilvl w:val="0"/>
          <w:numId w:val="7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JIPC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JIPC, together with the assistance of each Party’s outside intellectual property counsel, the representatives of the Parties on the JIPC cannot reach an agreement as to such matter within [***] Days after such matter was brought to the JIPC for resolution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0" w:name="page721"/>
    <w:bookmarkEnd w:id="720"/>
    <w:p>
      <w:pPr>
        <w:spacing w:after="0" w:line="2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after such matter has been referred to the JIPC, such matter shall be escalated to the JSC by either Party.</w:t>
      </w:r>
    </w:p>
    <w:p>
      <w:pPr>
        <w:spacing w:after="0" w:line="164" w:lineRule="exact"/>
        <w:rPr>
          <w:sz w:val="20"/>
          <w:szCs w:val="20"/>
          <w:color w:val="auto"/>
        </w:rPr>
      </w:pPr>
    </w:p>
    <w:p>
      <w:pPr>
        <w:jc w:val="both"/>
        <w:ind w:left="580" w:firstLine="578"/>
        <w:spacing w:after="0" w:line="224" w:lineRule="auto"/>
        <w:tabs>
          <w:tab w:leader="none" w:pos="1732" w:val="left"/>
        </w:tabs>
        <w:numPr>
          <w:ilvl w:val="0"/>
          <w:numId w:val="7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JDC Decisions</w:t>
      </w:r>
      <w:r>
        <w:rPr>
          <w:rFonts w:ascii="Times New Roman" w:cs="Times New Roman" w:eastAsia="Times New Roman" w:hAnsi="Times New Roman"/>
          <w:sz w:val="19"/>
          <w:szCs w:val="19"/>
          <w:color w:val="auto"/>
        </w:rPr>
        <w:t>. Except where consent or approval on any matter by a Party is expressly required herein, if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discussion and good faith consideration of each Party’s view on any matter within the decision-making authority of the JDC, the representatives of the Parties on the JDC cannot reach an agreement as to such matter within [***] Days after such matter was brought to the JDC for resolution or after such matter has been referred to the JDC, such disagreement shall be escalated to the JSC by either Party.</w:t>
      </w:r>
    </w:p>
    <w:p>
      <w:pPr>
        <w:spacing w:after="0" w:line="130" w:lineRule="exact"/>
        <w:rPr>
          <w:rFonts w:ascii="Times New Roman" w:cs="Times New Roman" w:eastAsia="Times New Roman" w:hAnsi="Times New Roman"/>
          <w:sz w:val="19"/>
          <w:szCs w:val="19"/>
          <w:color w:val="auto"/>
        </w:rPr>
      </w:pPr>
    </w:p>
    <w:p>
      <w:pPr>
        <w:ind w:left="1740" w:hanging="582"/>
        <w:spacing w:after="0"/>
        <w:tabs>
          <w:tab w:leader="none" w:pos="1740" w:val="left"/>
        </w:tabs>
        <w:numPr>
          <w:ilvl w:val="0"/>
          <w:numId w:val="7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Deadlock Resolution. </w:t>
      </w:r>
      <w:r>
        <w:rPr>
          <w:rFonts w:ascii="Times New Roman" w:cs="Times New Roman" w:eastAsia="Times New Roman" w:hAnsi="Times New Roman"/>
          <w:sz w:val="19"/>
          <w:szCs w:val="19"/>
          <w:color w:val="auto"/>
        </w:rPr>
        <w:t>In case of a deadlock with respect to the decision-making process of the JSC, Section 15.1</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apply.</w:t>
      </w:r>
    </w:p>
    <w:p>
      <w:pPr>
        <w:spacing w:after="0" w:line="142"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3.7 Limitations on Authority</w:t>
      </w:r>
      <w:r>
        <w:rPr>
          <w:rFonts w:ascii="Times New Roman" w:cs="Times New Roman" w:eastAsia="Times New Roman" w:hAnsi="Times New Roman"/>
          <w:sz w:val="19"/>
          <w:szCs w:val="19"/>
          <w:color w:val="auto"/>
        </w:rPr>
        <w:t>. The JSC shall have only such powers as are expressly assigned to it in this Agreement, and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powers shall be subject to the terms and conditions of this Agreement. Without limiting the generality of the foregoing, the JSC shall not have the power to amend this Agreement, shall not have power in relation to [***] or the [***], and no decision of the JSC may be in contravention of any terms and conditions of this Agreement. For clarity, the JSC shall have no decision-making authority regarding any Development, Manufacturing, Commercialization or other activity in the Retained Territory save as contemplated by Section 3.6(a) or otherwise expressly provided in this Agreement.</w:t>
      </w:r>
    </w:p>
    <w:p>
      <w:pPr>
        <w:spacing w:after="0" w:line="132" w:lineRule="exact"/>
        <w:rPr>
          <w:sz w:val="20"/>
          <w:szCs w:val="20"/>
          <w:color w:val="auto"/>
        </w:rPr>
      </w:pPr>
    </w:p>
    <w:p>
      <w:pPr>
        <w:jc w:val="both"/>
        <w:ind w:right="20"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3.8 Meetings</w:t>
      </w:r>
      <w:r>
        <w:rPr>
          <w:rFonts w:ascii="Times New Roman" w:cs="Times New Roman" w:eastAsia="Times New Roman" w:hAnsi="Times New Roman"/>
          <w:sz w:val="19"/>
          <w:szCs w:val="19"/>
          <w:color w:val="auto"/>
        </w:rPr>
        <w:t>. The JSC will hold a meeting every [***] months until the Development Phase ends, and afterwards every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months, or as otherwise determined by the JSC. Such meetings may be in person, via videoconference, or via teleconference. The location of in- person meetings will be determined by the Parties. At least [***] Days prior to each JSC meeting, each Party shall provide written notice to the other Party of agenda items proposed by such Party for discussion at such meeting, together with appropriate information related thereto. Reasonably detailed written minutes will be kept for all JSC meetings. Meeting minutes will be prepared</w:t>
      </w:r>
    </w:p>
    <w:p>
      <w:pPr>
        <w:spacing w:after="0" w:line="1" w:lineRule="exact"/>
        <w:rPr>
          <w:sz w:val="20"/>
          <w:szCs w:val="20"/>
          <w:color w:val="auto"/>
        </w:rPr>
      </w:pPr>
    </w:p>
    <w:p>
      <w:pPr>
        <w:jc w:val="both"/>
        <w:ind w:firstLine="6"/>
        <w:spacing w:after="0" w:line="224" w:lineRule="auto"/>
        <w:tabs>
          <w:tab w:leader="none" w:pos="497" w:val="left"/>
        </w:tabs>
        <w:numPr>
          <w:ilvl w:val="0"/>
          <w:numId w:val="7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sent to each member of the JSC for review and approval within [***] Days after the meeting. Minutes will be deemed approved unless a member of the JSC objects to the accuracy of such minutes within [***] Days of receipt. In the event of any such objection that is not resolved by mutual agreement of the Parties, such minutes will be amended to reflect such unresolved dispute.</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3.9 Discontinuation of JSC</w:t>
      </w:r>
      <w:r>
        <w:rPr>
          <w:rFonts w:ascii="Times New Roman" w:cs="Times New Roman" w:eastAsia="Times New Roman" w:hAnsi="Times New Roman"/>
          <w:sz w:val="19"/>
          <w:szCs w:val="19"/>
          <w:color w:val="auto"/>
        </w:rPr>
        <w:t>. The JSC shall continue to exist until the Parties mutually agree to disband the JSC. Once the JSC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disbanded, the JSC shall have no further obligations under this Agreement and, thereafter, the Alliance Managers shall be the points of contact for the exchange of information under this Agreement, and the Parties shall reach decision directly on matters that are subject to the decision of the JSC as set forth in Section 3.1.</w:t>
      </w:r>
    </w:p>
    <w:p>
      <w:pPr>
        <w:spacing w:after="0" w:line="134"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3.10 Project and Alliance Managers</w:t>
      </w:r>
      <w:r>
        <w:rPr>
          <w:rFonts w:ascii="Times New Roman" w:cs="Times New Roman" w:eastAsia="Times New Roman" w:hAnsi="Times New Roman"/>
          <w:sz w:val="19"/>
          <w:szCs w:val="19"/>
          <w:color w:val="auto"/>
        </w:rPr>
        <w:t>. Each Party shall appoint an individual, who is an employee of such Party, to act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project manager (the </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who shall be responsible for implementing and coordinating activities and facilitating the exchange of information between the Parties. Each Party shall appoint an individual, who is an employee of such Party, to act as its alliance manager under this Agreement within [***] Days after the Effective Date (the “</w:t>
      </w:r>
      <w:r>
        <w:rPr>
          <w:rFonts w:ascii="Times New Roman" w:cs="Times New Roman" w:eastAsia="Times New Roman" w:hAnsi="Times New Roman"/>
          <w:sz w:val="19"/>
          <w:szCs w:val="19"/>
          <w:b w:val="1"/>
          <w:bCs w:val="1"/>
          <w:color w:val="auto"/>
        </w:rPr>
        <w:t>Alliance Manager</w:t>
      </w:r>
      <w:r>
        <w:rPr>
          <w:rFonts w:ascii="Times New Roman" w:cs="Times New Roman" w:eastAsia="Times New Roman" w:hAnsi="Times New Roman"/>
          <w:sz w:val="19"/>
          <w:szCs w:val="19"/>
          <w:color w:val="auto"/>
        </w:rPr>
        <w:t>” ) . [***] The Project Managers shall: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The Alliance Managers shall: (a) serve as the primary points of contact between the Parties for any issues arising under this Agreement; (b) facilitate the prompt resolution of any disputes; and (c) attend JSC and Subcommittee meetings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1" w:name="page722"/>
    <w:bookmarkEnd w:id="721"/>
    <w:p>
      <w:pPr>
        <w:spacing w:after="0" w:line="257"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9"/>
          <w:szCs w:val="19"/>
          <w:color w:val="auto"/>
        </w:rPr>
        <w:t>as a non-voting participant); provided that the Alliance Managers shall not count toward the number of representatives that each Party may have on each such Committee. An Alliance Manager may also bring any matter to the attention of the JSC, if such Alliance Manager reasonably believes that such matter warrants such attention. Each Party may replace its Project Manager and Alliance Manager at any time upon written notice to the other Party.</w:t>
      </w:r>
    </w:p>
    <w:p>
      <w:pPr>
        <w:spacing w:after="0" w:line="200" w:lineRule="exact"/>
        <w:rPr>
          <w:sz w:val="20"/>
          <w:szCs w:val="20"/>
          <w:color w:val="auto"/>
        </w:rPr>
      </w:pPr>
    </w:p>
    <w:p>
      <w:pPr>
        <w:spacing w:after="0" w:line="34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4</w:t>
      </w:r>
    </w:p>
    <w:p>
      <w:pPr>
        <w:ind w:left="4540"/>
        <w:spacing w:after="0"/>
        <w:rPr>
          <w:sz w:val="20"/>
          <w:szCs w:val="20"/>
          <w:color w:val="auto"/>
        </w:rPr>
      </w:pPr>
      <w:r>
        <w:rPr>
          <w:rFonts w:ascii="Times New Roman" w:cs="Times New Roman" w:eastAsia="Times New Roman" w:hAnsi="Times New Roman"/>
          <w:sz w:val="19"/>
          <w:szCs w:val="19"/>
          <w:b w:val="1"/>
          <w:bCs w:val="1"/>
          <w:color w:val="auto"/>
        </w:rPr>
        <w:t>DEVELOPMENT</w:t>
      </w:r>
    </w:p>
    <w:p>
      <w:pPr>
        <w:spacing w:after="0" w:line="142"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4.1</w:t>
        <w:tab/>
        <w:t>Overview; Diligence</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1158"/>
        <w:spacing w:after="0" w:line="230" w:lineRule="auto"/>
        <w:tabs>
          <w:tab w:leader="none" w:pos="1729" w:val="left"/>
        </w:tabs>
        <w:numPr>
          <w:ilvl w:val="0"/>
          <w:numId w:val="7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provided herein with respect to the Planned Trials, Original ADC Added Trials (as applicable) or after Next Generation Option Exercise, the Next Generation Added Trials, Licensee (itself and through its Affiliates and their respective Sublicensees) shall be responsible, at its own expense, for the Development of the Original ADC Licensed Products or after the Next Generation Option Exercise, Next Generation ADC Licensed Product in the Field in the Territory under the oversight of JSC. Without limiting the generality of the foregoing, Licensee shall, in accordance with the Development Plan (i) use Commercially Reasonable Efforts to Develop and seek Regulatory Approval for [***] in the Field in [***], and (ii) perform the Development activities assigned to it under the Development Plan(s) in compliance with Applicable Laws (including GXPs), with reasonable due care and in conformity with current generally accepted industry standards and procedures. Licensee shall use Commercially Reasonable Efforts to adhere to the timelines set forth in the Development Plan. For the avoidance of doubt, Licensee shall have fulfilled its diligence obligation under Section 4.1(a) (i) if it has used Commercially Reasonable Efforts to develop and seek Regulatory Approval for either the Original ADC Licensed Products or a Next Generation ADC Licensed Product in [***]. Licensee is not obliged to develop and/or seek Regulatory Approval for both the Original ADC Licensed Products and the Next Generation ADC Licensed Product. For the avoidance of doubt, as regards the Clinical Trials in the Retained Territory, unless otherwise agreed under this Agreement, Duality shall be solely responsible at is own expenses, for the Development of the Original ADC Licensed Products and the Next Generation ADC Licensed Product in the Retained Territory.</w:t>
      </w:r>
    </w:p>
    <w:p>
      <w:pPr>
        <w:spacing w:after="0" w:line="141" w:lineRule="exact"/>
        <w:rPr>
          <w:rFonts w:ascii="Times New Roman" w:cs="Times New Roman" w:eastAsia="Times New Roman" w:hAnsi="Times New Roman"/>
          <w:sz w:val="19"/>
          <w:szCs w:val="19"/>
          <w:color w:val="auto"/>
        </w:rPr>
      </w:pPr>
    </w:p>
    <w:p>
      <w:pPr>
        <w:jc w:val="both"/>
        <w:ind w:right="20" w:firstLine="1158"/>
        <w:spacing w:after="0" w:line="223" w:lineRule="auto"/>
        <w:tabs>
          <w:tab w:leader="none" w:pos="1729" w:val="left"/>
        </w:tabs>
        <w:numPr>
          <w:ilvl w:val="0"/>
          <w:numId w:val="7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Licensee shall use Commercially Reasonable Efforts to (i) make all regulatory submissions to the applicable Regulatory Authorities within the Territory in respect of the Original ADC Licensed Product, or after Next Generation Option Exercise, the Next Generation ADC Licensed Product; and (ii) obtain Regulatory Approval for Original ADC Licensed Products, or after Next Generation Option Exercise, the Next Generation ADC Licensed Product; in the Territory, in each case of (i) and (ii) in accordance with the Development Plan.</w:t>
      </w:r>
    </w:p>
    <w:p>
      <w:pPr>
        <w:spacing w:after="0" w:line="13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4.2</w:t>
        <w:tab/>
        <w:t>Development of Original ADC Licensed Product.</w:t>
      </w:r>
    </w:p>
    <w:p>
      <w:pPr>
        <w:spacing w:after="0" w:line="166" w:lineRule="exact"/>
        <w:rPr>
          <w:sz w:val="20"/>
          <w:szCs w:val="20"/>
          <w:color w:val="auto"/>
        </w:rPr>
      </w:pPr>
    </w:p>
    <w:p>
      <w:pPr>
        <w:jc w:val="both"/>
        <w:ind w:left="440" w:right="20" w:firstLine="574"/>
        <w:spacing w:after="0" w:line="220" w:lineRule="auto"/>
        <w:tabs>
          <w:tab w:leader="none" w:pos="1736" w:val="left"/>
        </w:tabs>
        <w:numPr>
          <w:ilvl w:val="0"/>
          <w:numId w:val="7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Development Plan</w:t>
      </w:r>
      <w:r>
        <w:rPr>
          <w:rFonts w:ascii="Times New Roman" w:cs="Times New Roman" w:eastAsia="Times New Roman" w:hAnsi="Times New Roman"/>
          <w:sz w:val="19"/>
          <w:szCs w:val="19"/>
          <w:color w:val="auto"/>
        </w:rPr>
        <w:t>. The initial Original ADC Licensed Product Development Plan, which sets forth the scope,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timelines and responsibilities of each Party of the Development activities to be conducted by or on behalf of Licensee in order to obtain Regulatory Approvals for the Original ADC Licensed Products in the Territory is attached hereto as Schedule 1.141. The Original ADC Licensed Product Development Plan shall in particular set out the Original ADC Licensed Product Development Budget allocated to these Development activities. From time to time during the Term, either Party may propose written amendments and updates to the then-current Original ADC Licensed Product Development Plan, and shall submit such amendments and updates to the JSC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2" w:name="page723"/>
    <w:bookmarkEnd w:id="722"/>
    <w:p>
      <w:pPr>
        <w:spacing w:after="0" w:line="25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and approval. Any amendment of the Original ADC Licensed Product Development Plan and the Original ADC Licensed Product Development Budget shall become effective only upon the approval of the JSC.</w:t>
      </w:r>
    </w:p>
    <w:p>
      <w:pPr>
        <w:spacing w:after="0" w:line="126" w:lineRule="exact"/>
        <w:rPr>
          <w:sz w:val="20"/>
          <w:szCs w:val="20"/>
          <w:color w:val="auto"/>
        </w:rPr>
      </w:pPr>
    </w:p>
    <w:p>
      <w:pPr>
        <w:jc w:val="both"/>
        <w:ind w:right="20" w:firstLine="574"/>
        <w:spacing w:after="0" w:line="227" w:lineRule="auto"/>
        <w:tabs>
          <w:tab w:leader="none" w:pos="1296" w:val="left"/>
        </w:tabs>
        <w:numPr>
          <w:ilvl w:val="0"/>
          <w:numId w:val="7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Clinical Trials to Be Conducted by Duality in the Territory </w:t>
      </w:r>
      <w:r>
        <w:rPr>
          <w:rFonts w:ascii="Times New Roman" w:cs="Times New Roman" w:eastAsia="Times New Roman" w:hAnsi="Times New Roman"/>
          <w:sz w:val="19"/>
          <w:szCs w:val="19"/>
          <w:color w:val="auto"/>
        </w:rPr>
        <w:t>. As of the Effective Date and as set forth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ADC Licensed Product Development Plan, the Parties have agreed that Duality will conduct, at its own cost and expense, the Clinical Trials in the Territory until the [***] in accordance with the Development Plan and in compliance with all Applicable Laws (together, “</w:t>
      </w:r>
      <w:r>
        <w:rPr>
          <w:rFonts w:ascii="Times New Roman" w:cs="Times New Roman" w:eastAsia="Times New Roman" w:hAnsi="Times New Roman"/>
          <w:sz w:val="19"/>
          <w:szCs w:val="19"/>
          <w:b w:val="1"/>
          <w:bCs w:val="1"/>
          <w:color w:val="auto"/>
        </w:rPr>
        <w:t>Planned Trials</w:t>
      </w:r>
      <w:r>
        <w:rPr>
          <w:rFonts w:ascii="Times New Roman" w:cs="Times New Roman" w:eastAsia="Times New Roman" w:hAnsi="Times New Roman"/>
          <w:sz w:val="19"/>
          <w:szCs w:val="19"/>
          <w:color w:val="auto"/>
        </w:rPr>
        <w:t>”); [***].</w:t>
      </w:r>
    </w:p>
    <w:p>
      <w:pPr>
        <w:spacing w:after="0" w:line="133"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Global Trials</w:t>
      </w:r>
      <w:r>
        <w:rPr>
          <w:rFonts w:ascii="Times New Roman" w:cs="Times New Roman" w:eastAsia="Times New Roman" w:hAnsi="Times New Roman"/>
          <w:sz w:val="19"/>
          <w:szCs w:val="19"/>
          <w:color w:val="auto"/>
        </w:rPr>
        <w:t>. [***]</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300" w:hanging="726"/>
        <w:spacing w:after="0"/>
        <w:tabs>
          <w:tab w:leader="none" w:pos="1300" w:val="left"/>
        </w:tabs>
        <w:numPr>
          <w:ilvl w:val="0"/>
          <w:numId w:val="7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Phase [***] Clinical Trial</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4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4.3</w:t>
        <w:tab/>
        <w:t>Development of Next Generation ADC Licensed Product.</w:t>
      </w:r>
    </w:p>
    <w:p>
      <w:pPr>
        <w:spacing w:after="0" w:line="166" w:lineRule="exact"/>
        <w:rPr>
          <w:sz w:val="20"/>
          <w:szCs w:val="20"/>
          <w:color w:val="auto"/>
        </w:rPr>
      </w:pPr>
    </w:p>
    <w:p>
      <w:pPr>
        <w:ind w:left="1300" w:hanging="726"/>
        <w:spacing w:after="0"/>
        <w:tabs>
          <w:tab w:leader="none" w:pos="1300" w:val="left"/>
        </w:tabs>
        <w:numPr>
          <w:ilvl w:val="0"/>
          <w:numId w:val="7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w:t>
      </w:r>
      <w:r>
        <w:rPr>
          <w:rFonts w:ascii="Times New Roman" w:cs="Times New Roman" w:eastAsia="Times New Roman" w:hAnsi="Times New Roman"/>
          <w:sz w:val="19"/>
          <w:szCs w:val="19"/>
          <w:color w:val="auto"/>
        </w:rPr>
        <w:t>. [***]</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 Next Generation Option Exercise. </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After Next Generation Option Exercise.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40"/>
        <w:spacing w:after="0"/>
        <w:tabs>
          <w:tab w:leader="none" w:pos="560" w:val="left"/>
        </w:tabs>
        <w:rPr>
          <w:sz w:val="20"/>
          <w:szCs w:val="20"/>
          <w:color w:val="auto"/>
        </w:rPr>
      </w:pPr>
      <w:r>
        <w:rPr>
          <w:rFonts w:ascii="Times New Roman" w:cs="Times New Roman" w:eastAsia="Times New Roman" w:hAnsi="Times New Roman"/>
          <w:sz w:val="19"/>
          <w:szCs w:val="19"/>
          <w:b w:val="1"/>
          <w:bCs w:val="1"/>
          <w:color w:val="auto"/>
        </w:rPr>
        <w:t>4.4</w:t>
        <w:tab/>
        <w:t>Duality Development Activities.</w:t>
      </w:r>
    </w:p>
    <w:p>
      <w:pPr>
        <w:spacing w:after="0" w:line="168" w:lineRule="exact"/>
        <w:rPr>
          <w:sz w:val="20"/>
          <w:szCs w:val="20"/>
          <w:color w:val="auto"/>
        </w:rPr>
      </w:pPr>
    </w:p>
    <w:p>
      <w:pPr>
        <w:jc w:val="both"/>
        <w:ind w:firstLine="574"/>
        <w:spacing w:after="0" w:line="223" w:lineRule="auto"/>
        <w:tabs>
          <w:tab w:leader="none" w:pos="1296" w:val="left"/>
        </w:tabs>
        <w:numPr>
          <w:ilvl w:val="0"/>
          <w:numId w:val="7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 Duality is responsible for conducting Development activities under this Agreement in the Territory, including but not limited to conducting the Planned Trials, and if applicable, the Original ADC Added Trials and, after the Next Generation Option Exercise the Development of the Next Generation Licensed Compound and Next Generation ADC Licensed Product in accordance with Section 4.3, and, if applicable the Next Generation Added Trials (“ </w:t>
      </w:r>
      <w:r>
        <w:rPr>
          <w:rFonts w:ascii="Times New Roman" w:cs="Times New Roman" w:eastAsia="Times New Roman" w:hAnsi="Times New Roman"/>
          <w:sz w:val="19"/>
          <w:szCs w:val="19"/>
          <w:b w:val="1"/>
          <w:bCs w:val="1"/>
          <w:color w:val="auto"/>
        </w:rPr>
        <w:t>Duality Development Activities</w:t>
      </w:r>
      <w:r>
        <w:rPr>
          <w:rFonts w:ascii="Times New Roman" w:cs="Times New Roman" w:eastAsia="Times New Roman" w:hAnsi="Times New Roman"/>
          <w:sz w:val="19"/>
          <w:szCs w:val="19"/>
          <w:color w:val="auto"/>
        </w:rPr>
        <w:t xml:space="preserve"> ”), [***]</w:t>
      </w:r>
    </w:p>
    <w:p>
      <w:pPr>
        <w:spacing w:after="0" w:line="137" w:lineRule="exact"/>
        <w:rPr>
          <w:rFonts w:ascii="Times New Roman" w:cs="Times New Roman" w:eastAsia="Times New Roman" w:hAnsi="Times New Roman"/>
          <w:sz w:val="19"/>
          <w:szCs w:val="19"/>
          <w:color w:val="auto"/>
        </w:rPr>
      </w:pPr>
    </w:p>
    <w:p>
      <w:pPr>
        <w:jc w:val="both"/>
        <w:ind w:firstLine="574"/>
        <w:spacing w:after="0" w:line="219" w:lineRule="auto"/>
        <w:tabs>
          <w:tab w:leader="none" w:pos="1296" w:val="left"/>
        </w:tabs>
        <w:numPr>
          <w:ilvl w:val="0"/>
          <w:numId w:val="7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intended delegation of the Duality Development Activities or any part thereof to a subcontractor shall be communicated to Licensee via the JDC in advance and shall be reflected in the initial (and updated) Development Plan, already listing the subcontractors that Duality intends to involve. The delegation to any such subcontractor requires Licensee’s prior written consent which shall not be unreasonably withheld, conditioned or delayed; provided that Licensee shall be deemed to have given its consent if Licensee’s Project Manager and Licensee’s Alliance Manager, who were informed about the identity of the subcontractor via the JDC, do not respond within [***] Days after both Licensee’s Project Manager’s and Licensee’s Alliance Manager’s receipt of written notice from Duality; provided further that such notice contains sufficient information for Licensee to make an informed decision. . A response by Licensee can also be a request for further information or comments.</w:t>
      </w:r>
    </w:p>
    <w:p>
      <w:pPr>
        <w:spacing w:after="0" w:line="133" w:lineRule="exact"/>
        <w:rPr>
          <w:rFonts w:ascii="Times New Roman" w:cs="Times New Roman" w:eastAsia="Times New Roman" w:hAnsi="Times New Roman"/>
          <w:sz w:val="19"/>
          <w:szCs w:val="19"/>
          <w:color w:val="auto"/>
        </w:rPr>
      </w:pPr>
    </w:p>
    <w:p>
      <w:pPr>
        <w:jc w:val="both"/>
        <w:ind w:firstLine="574"/>
        <w:spacing w:after="0" w:line="232" w:lineRule="auto"/>
        <w:tabs>
          <w:tab w:leader="none" w:pos="1371" w:val="left"/>
        </w:tabs>
        <w:numPr>
          <w:ilvl w:val="0"/>
          <w:numId w:val="7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Duality shall, upon request by Licensee, (i) keep Licensee copied on the main communications regarding the contract negotiations with the subcontractor and Licensee may decide, in its own discretion, to participate in the contract negotiations with the subcontractor; provided that Duality does not need to reschedule negotiations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40"/>
          </w:cols>
          <w:pgMar w:left="1100" w:top="1440" w:right="660" w:bottom="1440" w:gutter="0" w:footer="0" w:header="0"/>
        </w:sectPr>
      </w:pPr>
    </w:p>
    <w:bookmarkStart w:id="723" w:name="page724"/>
    <w:bookmarkEnd w:id="723"/>
    <w:p>
      <w:pPr>
        <w:spacing w:after="0" w:line="257" w:lineRule="exact"/>
        <w:rPr>
          <w:sz w:val="20"/>
          <w:szCs w:val="20"/>
          <w:color w:val="auto"/>
        </w:rPr>
      </w:pPr>
    </w:p>
    <w:p>
      <w:pPr>
        <w:jc w:val="both"/>
        <w:ind w:left="440"/>
        <w:spacing w:after="0" w:line="217" w:lineRule="auto"/>
        <w:rPr>
          <w:sz w:val="20"/>
          <w:szCs w:val="20"/>
          <w:color w:val="auto"/>
        </w:rPr>
      </w:pPr>
      <w:r>
        <w:rPr>
          <w:rFonts w:ascii="Times New Roman" w:cs="Times New Roman" w:eastAsia="Times New Roman" w:hAnsi="Times New Roman"/>
          <w:sz w:val="19"/>
          <w:szCs w:val="19"/>
          <w:color w:val="auto"/>
        </w:rPr>
        <w:t>of Licensee’s unavailability, and (ii) provide Licensee with a copy of any draft subcontractor agreement proposed to it with respect to the Duality Development Activities or Manufacture activities (such subcontractor agreements the “</w:t>
      </w:r>
      <w:r>
        <w:rPr>
          <w:rFonts w:ascii="Times New Roman" w:cs="Times New Roman" w:eastAsia="Times New Roman" w:hAnsi="Times New Roman"/>
          <w:sz w:val="19"/>
          <w:szCs w:val="19"/>
          <w:b w:val="1"/>
          <w:bCs w:val="1"/>
          <w:color w:val="auto"/>
        </w:rPr>
        <w:t>Third Party Agreements</w:t>
      </w:r>
      <w:r>
        <w:rPr>
          <w:rFonts w:ascii="Times New Roman" w:cs="Times New Roman" w:eastAsia="Times New Roman" w:hAnsi="Times New Roman"/>
          <w:sz w:val="19"/>
          <w:szCs w:val="19"/>
          <w:color w:val="auto"/>
        </w:rPr>
        <w:t>”), including but not limited to agreements with CROs. Such Third Party Agreements shall be in the English language. Any such Third Party Agreement will only be signed after obtaining a written consent of Licensee which shall not be unreasonably withheld, conditioned or delayed; provided that Licensee shall be deemed to have given its consent if Licensee’s Project Manager and Licensee’s Alliance Manager were copied on the main communications regarding the contract negotiations, given the opportunity to participate in the contract negotiation, and regularly updated on the progress of the negotiations (together with the draft Third Party Agreement) and do not respond within [***] Days after both Licensee’s Project Manager’s and Licensee’s Alliance Manager’s receipt of a full copy of such draft Third Party Agreements and the written notice from Duality. A response by Licensee can also be a request for further information (i.e. not information that has been provided) or comments.</w:t>
      </w:r>
    </w:p>
    <w:p>
      <w:pPr>
        <w:spacing w:after="0" w:line="135"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4. 5 Development Records</w:t>
      </w:r>
      <w:r>
        <w:rPr>
          <w:rFonts w:ascii="Times New Roman" w:cs="Times New Roman" w:eastAsia="Times New Roman" w:hAnsi="Times New Roman"/>
          <w:sz w:val="19"/>
          <w:szCs w:val="19"/>
          <w:color w:val="auto"/>
        </w:rPr>
        <w:t>. Each Party shall maintain or cause to be maintained complete, current and accurate records of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activities conducted by or on behalf of it pursuant to the Development Plan(s), and all Know- How and other information resulting from such activities. For Duality this shall also apply to any Development activities with respect to the Next Generation Licensed Compound or Next Generation ADC Licensed Product. Such records shall fully and properly reflect all work done and results achieved in the performance of the Development activities in good scientific manner appropriate for regulatory and patent purposes. Each Party shall, and shall ensure that its Affiliates, their Sublicensees and subcontractors will, document all non-clinical studies and Clinical Trials in formal written study records in accordance with all Applicable Laws, including applicable national and international guidelines such as ICH, GCLP, GCP and GLP. To the extent permitted by the Applicable Laws, each Party shall have the right to review and copy such records of the other Party at reasonable times and to obtain access to review the original to the extent necessary or useful for regulatory, patent or other reasonable purposes for the purpose of fulfilling its obligations under this Agreement upon reasonable notice to such other Party and at a time and location mutually acceptable to the Parties.</w:t>
      </w:r>
    </w:p>
    <w:p>
      <w:pPr>
        <w:spacing w:after="0" w:line="132" w:lineRule="exact"/>
        <w:rPr>
          <w:sz w:val="20"/>
          <w:szCs w:val="20"/>
          <w:color w:val="auto"/>
        </w:rPr>
      </w:pPr>
    </w:p>
    <w:p>
      <w:pPr>
        <w:jc w:val="both"/>
        <w:ind w:firstLine="576"/>
        <w:spacing w:after="0" w:line="216" w:lineRule="auto"/>
        <w:rPr>
          <w:sz w:val="20"/>
          <w:szCs w:val="20"/>
          <w:color w:val="auto"/>
        </w:rPr>
      </w:pPr>
      <w:r>
        <w:rPr>
          <w:rFonts w:ascii="Times New Roman" w:cs="Times New Roman" w:eastAsia="Times New Roman" w:hAnsi="Times New Roman"/>
          <w:sz w:val="19"/>
          <w:szCs w:val="19"/>
          <w:b w:val="1"/>
          <w:bCs w:val="1"/>
          <w:color w:val="auto"/>
        </w:rPr>
        <w:t>4.6 Development Reports</w:t>
      </w:r>
      <w:r>
        <w:rPr>
          <w:rFonts w:ascii="Times New Roman" w:cs="Times New Roman" w:eastAsia="Times New Roman" w:hAnsi="Times New Roman"/>
          <w:sz w:val="19"/>
          <w:szCs w:val="19"/>
          <w:color w:val="auto"/>
        </w:rPr>
        <w:t>. Each Party shall keep the other Party reasonably and timely informed of the progress and results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and its Affiliates’, subcontractors’ and Sublicensees’/(sub)licensees’ work under the Development Plan(s) (including prompt reporting of available pre-clinical and clinical data). For Duality this shall also apply to any Development activities of Duality with respect to the Next Generation Licensed Compound or Next Generation ADC Licensed Product. Without limiting the generality of the foregoing, each Party shall provide the other Party with a written report no later than [***] days after the end of each Calendar Year setting forth in details the Development activities performed during such Calendar Year and the results thereof, and comparing such activities with the Development Plan(s) for such time period. Such reports prepared by each Party shall be provided at a level of detail reasonably sufficient to enable the other Party to determine the other Party’s compliance with its obligations under this Agreement. At each JSC meeting, the Parties shall discuss the status, progress and results of the Development activities conducted by the Parties pursuant to this Agreement. Each Party shall promptly respond to the other Party’s reasonable questions or requests for additional information relating to such Development activities. In the event that Duality is engaged by Licensee to conduct Duality Development Activities in the Territory, Duality shall send the Development report [***], setting forth in more detail the Duality Development Activities performed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4" w:name="page725"/>
    <w:bookmarkEnd w:id="724"/>
    <w:p>
      <w:pPr>
        <w:spacing w:after="0" w:line="25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Article 5</w:t>
      </w:r>
    </w:p>
    <w:p>
      <w:pPr>
        <w:ind w:left="4020"/>
        <w:spacing w:after="0"/>
        <w:rPr>
          <w:sz w:val="20"/>
          <w:szCs w:val="20"/>
          <w:color w:val="auto"/>
        </w:rPr>
      </w:pPr>
      <w:r>
        <w:rPr>
          <w:rFonts w:ascii="Times New Roman" w:cs="Times New Roman" w:eastAsia="Times New Roman" w:hAnsi="Times New Roman"/>
          <w:sz w:val="19"/>
          <w:szCs w:val="19"/>
          <w:b w:val="1"/>
          <w:bCs w:val="1"/>
          <w:color w:val="auto"/>
        </w:rPr>
        <w:t>REGULATORY</w:t>
      </w:r>
    </w:p>
    <w:p>
      <w:pPr>
        <w:spacing w:after="0" w:line="1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5.1</w:t>
        <w:tab/>
        <w:t>Overview of Conduct of Regulatory Activities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140" w:firstLine="574"/>
        <w:spacing w:after="0" w:line="221" w:lineRule="auto"/>
        <w:tabs>
          <w:tab w:leader="none" w:pos="1156" w:val="left"/>
        </w:tabs>
        <w:numPr>
          <w:ilvl w:val="0"/>
          <w:numId w:val="7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(itself and through its Affiliates and Sublicensees, as applicable) shall be responsible for all of the costs for all regulatory activities with respect to the Licensed Products in the Territory after the Effective Date. [***], Licensee (or its Affiliate or Sublicensees) shall be the sponsor and holder of all Regulatory Approvals for the Licensed Products in the Territory. For clarity, Licensee (or one of its Affiliates or their Sublicensees) shall always be the MAH of the Original ADC Licensed Products and/or, after Next Generation Option Exercise, the Next Generation Licensed Compound and Next Generation ADC Licensed Product in the Territory.</w:t>
      </w:r>
    </w:p>
    <w:p>
      <w:pPr>
        <w:spacing w:after="0" w:line="137" w:lineRule="exact"/>
        <w:rPr>
          <w:rFonts w:ascii="Times New Roman" w:cs="Times New Roman" w:eastAsia="Times New Roman" w:hAnsi="Times New Roman"/>
          <w:sz w:val="19"/>
          <w:szCs w:val="19"/>
          <w:color w:val="auto"/>
        </w:rPr>
      </w:pPr>
    </w:p>
    <w:p>
      <w:pPr>
        <w:jc w:val="both"/>
        <w:ind w:left="-140" w:firstLine="574"/>
        <w:spacing w:after="0" w:line="220" w:lineRule="auto"/>
        <w:tabs>
          <w:tab w:leader="none" w:pos="1156" w:val="left"/>
        </w:tabs>
        <w:numPr>
          <w:ilvl w:val="0"/>
          <w:numId w:val="7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 days after the Effective Date, Duality shall provide Licensee with one (1) electronic copy of the Regulatory Materials related to the Licensed Compound and Original ADC Licensed Products in the Territory existing and possessed by Duality as of the Effective Date. At any time during the Term, if Duality is the sponsor or holder of the Regulatory Materials and upon Licensees’ written request, Duality shall provide Licensee with electronic copies of the Regulatory Materials related to the Licensed Compound or Original ADC Licensed Products and/or, after Next Generation Option Exercise, the Next Generation Licensed Compound and Next Generation ADC Licensed Products in the Territory received and possessed by Duality after the Effective Date promptly and in any event no later than [***] Days after such Regulatory Materials become available.</w:t>
      </w:r>
    </w:p>
    <w:p>
      <w:pPr>
        <w:spacing w:after="0" w:line="1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5.2</w:t>
        <w:tab/>
        <w:t>Regulatory Filing; 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right="20" w:firstLine="574"/>
        <w:spacing w:after="0" w:line="218" w:lineRule="auto"/>
        <w:tabs>
          <w:tab w:leader="none" w:pos="1156" w:val="left"/>
        </w:tabs>
        <w:numPr>
          <w:ilvl w:val="0"/>
          <w:numId w:val="7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Regulatory Filings</w:t>
      </w:r>
      <w:r>
        <w:rPr>
          <w:rFonts w:ascii="Times New Roman" w:cs="Times New Roman" w:eastAsia="Times New Roman" w:hAnsi="Times New Roman"/>
          <w:sz w:val="19"/>
          <w:szCs w:val="19"/>
          <w:color w:val="auto"/>
        </w:rPr>
        <w:t>. Except with respect to regulatory filings related to the Planned Trials and Original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Added Trials (if any), for which Duality shall be responsible unless the Parties agree otherwise, (i) Licensee (and its Affiliates or Sublicensee, as applicable) shall lead and have sole control over preparing and submitting all regulatory filings related to the Licensed Compound and Original ADC Licensed Products and/or, after Next Generation Option Exercise, the Next Generation Licensed Compound and Next Generation ADC Licensed Product, including all applications for Regulatory Approval, in the Territory at Licensee’s sole cost and expense, and (ii) Duality shall be responsible for the preparation and submission of any regulatory filings in the Retained Territory at Duality’s sole cost and expense. With respect to regulatory filings for the Planned Trials or and the Original ADC Added Trials (if any) that are prepared by Duality, Duality shall submit all such regulatory filings to the JSC for its review and approval.</w:t>
      </w:r>
    </w:p>
    <w:p>
      <w:pPr>
        <w:spacing w:after="0" w:line="134" w:lineRule="exact"/>
        <w:rPr>
          <w:rFonts w:ascii="Times New Roman" w:cs="Times New Roman" w:eastAsia="Times New Roman" w:hAnsi="Times New Roman"/>
          <w:sz w:val="19"/>
          <w:szCs w:val="19"/>
          <w:color w:val="auto"/>
        </w:rPr>
      </w:pPr>
    </w:p>
    <w:p>
      <w:pPr>
        <w:jc w:val="both"/>
        <w:ind w:left="-140" w:right="20" w:firstLine="574"/>
        <w:spacing w:after="0" w:line="220" w:lineRule="auto"/>
        <w:tabs>
          <w:tab w:leader="none" w:pos="1156" w:val="left"/>
        </w:tabs>
        <w:numPr>
          <w:ilvl w:val="0"/>
          <w:numId w:val="7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Ownership. </w:t>
      </w:r>
      <w:r>
        <w:rPr>
          <w:rFonts w:ascii="Times New Roman" w:cs="Times New Roman" w:eastAsia="Times New Roman" w:hAnsi="Times New Roman"/>
          <w:sz w:val="19"/>
          <w:szCs w:val="19"/>
          <w:color w:val="auto"/>
        </w:rPr>
        <w:t>Other than any Regulatory Approvals or applications therefor that are related to the Planned Trials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ADC Added Trials (if any), for which Licensee has designated Duality to be the sponsor and with respect to which Section 5.4 applies, Licensee (or its Affiliates or Sublicensees, as applicable) shall own any and all Regulatory Approvals (and applications for Regulatory Approvals), and any other regulatory filings related to the Licensed Compound and Original ADC Licensed Products and/or, after Next Generation Option Exercise, the Next Generation Licensed Compound and Next Generation ADC Licensed Product in the Territory, including Data and data in the regulatory filings and Regulatory Materials, which shall be held in the name of Licensee or its designees.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000"/>
          </w:cols>
          <w:pgMar w:left="1240" w:top="1440" w:right="660" w:bottom="1440" w:gutter="0" w:footer="0" w:header="0"/>
        </w:sectPr>
      </w:pPr>
    </w:p>
    <w:bookmarkStart w:id="725" w:name="page726"/>
    <w:bookmarkEnd w:id="725"/>
    <w:p>
      <w:pPr>
        <w:spacing w:after="0" w:line="255" w:lineRule="exact"/>
        <w:rPr>
          <w:sz w:val="20"/>
          <w:szCs w:val="20"/>
          <w:color w:val="auto"/>
        </w:rPr>
      </w:pPr>
    </w:p>
    <w:p>
      <w:pPr>
        <w:ind w:left="440" w:right="40" w:firstLine="574"/>
        <w:spacing w:after="0" w:line="249" w:lineRule="auto"/>
        <w:tabs>
          <w:tab w:leader="none" w:pos="1736" w:val="left"/>
        </w:tabs>
        <w:numPr>
          <w:ilvl w:val="0"/>
          <w:numId w:val="7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English Translation</w:t>
      </w:r>
      <w:r>
        <w:rPr>
          <w:rFonts w:ascii="Times New Roman" w:cs="Times New Roman" w:eastAsia="Times New Roman" w:hAnsi="Times New Roman"/>
          <w:sz w:val="19"/>
          <w:szCs w:val="19"/>
          <w:color w:val="auto"/>
        </w:rPr>
        <w:t>. To the extent that the original language is not English, Duality shall provide Licensee with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certified full English translation of all Regulatory Materials.</w:t>
      </w:r>
    </w:p>
    <w:p>
      <w:pPr>
        <w:spacing w:after="0" w:line="123" w:lineRule="exact"/>
        <w:rPr>
          <w:sz w:val="20"/>
          <w:szCs w:val="20"/>
          <w:color w:val="auto"/>
        </w:rPr>
      </w:pPr>
    </w:p>
    <w:p>
      <w:pPr>
        <w:jc w:val="both"/>
        <w:ind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5.3 Interactions with Regulatory Authorities</w:t>
      </w:r>
      <w:r>
        <w:rPr>
          <w:rFonts w:ascii="Times New Roman" w:cs="Times New Roman" w:eastAsia="Times New Roman" w:hAnsi="Times New Roman"/>
          <w:sz w:val="19"/>
          <w:szCs w:val="19"/>
          <w:color w:val="auto"/>
        </w:rPr>
        <w:t>. Insofar as it relates to the Planned Trials and Original ADC Added Trials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where Licensee has confirmed and consented in writing that Duality is the sponsor, Duality shall lead interactions with Regulatory Authorities in the Territory; provided that JSC shall have final decision making authority in relation to such interactions with Regulatory Authorities and Duality shall follow all instructions provided to it by the JSC in this regard and Duality shall provide Licensee with (i) access to or copies of all material written or electronic communication received by Duality or its Affiliates from any Regulatory Authorities in the Territory and in the Retained Territory (if applicable), and (ii) copies of all meeting minutes with any Regulatory Authorities in the Territory and in the Retained Territory (if applicable). In addition, Duality shall provide Licensee with written notice of any scheduled material meeting, conference, or discussion with a Regulatory Authority related to Regulatory Approvals related to the Planned Trials and Original ADC Added Trials (if any). Licensee (or its designee) shall have the right to (i) attend and participate in all such meetings with Regulatory Authorities related to the Planned Trials, Original ADC Added Trials (if any) and Next Generation Added Trials (if any), and all telephone conferences and preparation meetings of Duality or its Affiliates related to any such meeting, (ii) provide input on the regulatory filings in the Territory and in the Retained Territory (to the extent this impacts the position of Licensee in the Territory), and (iii) have final decision making authority in relation to any unsettled matter between the Parties with respect to regulatory filings in the Territory. Subject to the foregoing, Licensee (and/or its Affiliates, or Sublicensees as applicable) shall have the sole right to conduct all communications with Regulatory Authorities, including all meetings, conferences and discussions (including advisory committee meetings), with regard to the Licensed Compound and Original ADC Licensed Products and, after Next Generation Option Exercise, all Next Generation Licensed Compound and Next Generation ADC Licensed Products, in the Territory, including in respect of the Original ADC Added Trials where Licensee (or its Affiliates or Sublicensees, as applicable) is the sponsor (if any). Without limiting the forgoing, the Parties agree that they will collaborate with each other as necessary to ensure the successful progression of interactions with Regulatory Authorities with respect to all trials relating to the Licensed Compound and Original ADC Licensed Products, and/or after Next Generation Option Exercise, all Next Generation Licensed Compound and Next Generation ADC Licensed Product, in the Territory and in the Retained Territory (to the extent this impacts the position of Licensee in the Territory).</w:t>
      </w:r>
    </w:p>
    <w:p>
      <w:pPr>
        <w:spacing w:after="0" w:line="131" w:lineRule="exact"/>
        <w:rPr>
          <w:sz w:val="20"/>
          <w:szCs w:val="20"/>
          <w:color w:val="auto"/>
        </w:rPr>
      </w:pPr>
    </w:p>
    <w:p>
      <w:pPr>
        <w:jc w:val="both"/>
        <w:ind w:right="4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5. 4 [***]</w:t>
      </w:r>
      <w:r>
        <w:rPr>
          <w:rFonts w:ascii="Times New Roman" w:cs="Times New Roman" w:eastAsia="Times New Roman" w:hAnsi="Times New Roman"/>
          <w:sz w:val="19"/>
          <w:szCs w:val="19"/>
          <w:color w:val="auto"/>
        </w:rPr>
        <w:t>. [***], Duality shall transfer and assign, or shall cause the transfer or assignment, to Licensee or its designee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Duality’s cost and expense for Planned Trials and at Licensee’s cost and expense for Original ADC Added Trials), Duality’s, or any of its Affiliates’, entire right, title, and interest in and to all IND and other Regulatory Approvals in the Territory, if any, and transfer all Regulatory Materials with respect to the Licensed Compound and Original ADC Licensed Products, and/or, after Next Generation Option Exercise, all Next Generation Licensed Compound and Next Generation ADC Licensed Product, in the Territory that are owned, controlled or possessed by Duality or any of its Affiliates, unless the Parties agree otherwise.</w:t>
      </w:r>
    </w:p>
    <w:p>
      <w:pPr>
        <w:spacing w:after="0" w:line="132" w:lineRule="exact"/>
        <w:rPr>
          <w:sz w:val="20"/>
          <w:szCs w:val="20"/>
          <w:color w:val="auto"/>
        </w:rPr>
      </w:pPr>
    </w:p>
    <w:p>
      <w:pPr>
        <w:jc w:val="both"/>
        <w:ind w:right="4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5.5 Replacement</w:t>
      </w:r>
      <w:r>
        <w:rPr>
          <w:rFonts w:ascii="Times New Roman" w:cs="Times New Roman" w:eastAsia="Times New Roman" w:hAnsi="Times New Roman"/>
          <w:sz w:val="19"/>
          <w:szCs w:val="19"/>
          <w:color w:val="auto"/>
        </w:rPr>
        <w:t>. At any time during the Term, Licensee may decide to replace Duality to be the sponsor of any Planned Trials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Original ADC Added Trials or Next Generation Added Trials (if any) in the Territory. Once Licensee informs Duality by written notice of its decision to replace Duality as the sponsor of any such Clinical Trials in the Territory, Duality shall within [***] days after receipt of such written notice from Licensee (a) transfer to Licensee all Regulatory Materials (including but not limited to the applicable IND, protocol and investigator’s brochure) in connection with each of its ongoing Clinical Trials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600"/>
          </w:cols>
          <w:pgMar w:left="660" w:top="1440" w:right="640" w:bottom="1440" w:gutter="0" w:footer="0" w:header="0"/>
        </w:sectPr>
      </w:pPr>
    </w:p>
    <w:bookmarkStart w:id="726" w:name="page727"/>
    <w:bookmarkEnd w:id="726"/>
    <w:p>
      <w:pPr>
        <w:spacing w:after="0" w:line="25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the date of such notice and (b) use commercially reasonable efforts to facilitate Licensee’s introduction to applicable CROs, study site(s) and investigator(s) in connection with each such Clinical Trial in order to assist Licensee in transferring such Clinical Trial to Licensee, in each case ((a) and (b)) in accordance with Applicable Law and accepted pharmaceutical industry norms and ethical practices. To the extent that the original language of the Regulatory Materials is not English, Duality shall provide a certified full English translation of all documents to Licensee. Licensee shall be responsible for all costs and expenses reasonably incurred by Duality in relation to or as a result of such replacement; provided that if the replacement was caused by a breach of the applicable terms of this Agreement, Applicable Laws or the GXP by Duality, the costs and expenses reasonably incurred by Licensee in relation or as a result of such replacement shall be borne by Duality.</w:t>
      </w:r>
    </w:p>
    <w:p>
      <w:pPr>
        <w:spacing w:after="0" w:line="132"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5.6</w:t>
        <w:tab/>
        <w:t>Data Access; Right of Reference; Access to Regulatory Materials; pharmacovigilance; audit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7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left="440" w:right="20" w:firstLine="574"/>
        <w:spacing w:after="0" w:line="215" w:lineRule="auto"/>
        <w:tabs>
          <w:tab w:leader="none" w:pos="1736" w:val="left"/>
        </w:tabs>
        <w:numPr>
          <w:ilvl w:val="0"/>
          <w:numId w:val="7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 days of the Effective Date, the Parties shall enter into a pharmacovigilance agreement (the “</w:t>
      </w:r>
      <w:r>
        <w:rPr>
          <w:rFonts w:ascii="Times New Roman" w:cs="Times New Roman" w:eastAsia="Times New Roman" w:hAnsi="Times New Roman"/>
          <w:sz w:val="19"/>
          <w:szCs w:val="19"/>
          <w:b w:val="1"/>
          <w:bCs w:val="1"/>
          <w:color w:val="auto"/>
        </w:rPr>
        <w:t>Pharmacovigilance Agreement</w:t>
      </w:r>
      <w:r>
        <w:rPr>
          <w:rFonts w:ascii="Times New Roman" w:cs="Times New Roman" w:eastAsia="Times New Roman" w:hAnsi="Times New Roman"/>
          <w:sz w:val="19"/>
          <w:szCs w:val="19"/>
          <w:color w:val="auto"/>
        </w:rPr>
        <w:t>”) regarding the Licensed Compound and Original ADC Licensed Products which shall set forth standard operating procedures governing the collection, investigation, reporting, and exchange of safety information sufficient to permit each Party to comply with its regulatory and other legal obligations within the applicable timeframes. After Next Generation Option Exercise, the Parties shall enter into a Pharmacovigilance Agreement regarding the Next Generation Licensed Compound and Next Generation ADC Licensed Product. In the event of any inconsistency between the terms of this Agreement and the Pharmacovigilance Agreement(s), the terms of this Agreement shall prevail and govern, except to the extent such conflicting terms relate directly to the pharmacovigilance/safety responsibilities of the Parties (including the exchange of safety data), in which case the terms of the Pharmacovigilance Agreement(s) shall prevail and govern. Prior to the Parties entering into the Pharmacovigilance Agreement, Duality is and shall continue to be the owner of the global safety database for the Original ADC Licensed Products. Unless otherwise agreed by the Parties in the Pharmacovigilance Agreement, the Pharmacovigilance Agreement can be amended at Licensee’s request during the Term and as a preparation to the Commercialization, at least [***] months’ ahead of the first MAA submission.</w:t>
      </w:r>
    </w:p>
    <w:p>
      <w:pPr>
        <w:spacing w:after="0" w:line="144" w:lineRule="exact"/>
        <w:rPr>
          <w:rFonts w:ascii="Times New Roman" w:cs="Times New Roman" w:eastAsia="Times New Roman" w:hAnsi="Times New Roman"/>
          <w:sz w:val="19"/>
          <w:szCs w:val="19"/>
          <w:color w:val="auto"/>
        </w:rPr>
      </w:pPr>
    </w:p>
    <w:p>
      <w:pPr>
        <w:jc w:val="both"/>
        <w:ind w:left="440" w:right="20" w:firstLine="574"/>
        <w:spacing w:after="0" w:line="218" w:lineRule="auto"/>
        <w:tabs>
          <w:tab w:leader="none" w:pos="1736" w:val="left"/>
        </w:tabs>
        <w:numPr>
          <w:ilvl w:val="0"/>
          <w:numId w:val="7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Term, upon reasonable prior notice, during regular business hours and under obligations of confidentiality, Licensee (or its designees) shall be entitled to audit (i) any of Duality’s or its Affiliates’, or any of their respective CROs’ or CMOs’ manufacturing sites; and (ii) any of Duality’s, its Affiliates’ clinical sites, as selected by Licensee in its sole discretion, to assess Duality’s compliance with all GXPs and all matters arising under the Pharmacovigilance Agreement, in each case of the foregoing (i) and (ii), only in respect of any Clinical Trials run by Duality for Licensee in the Territory; provided that such audit shall not be conducted more than once in any given Calendar Year, unless it is a for-cause audit. If (a) such audit by Licensee identifies any material non-compliance by Duality (via its subcontractors) or its Affiliates (via its subcontractors) of the GXPs or the Pharmacovigilance Agreement in the Territory, and (b) such material non-compliance is confirmed to be an uncured material breach on the part of Duality pursuant to Section 13.3, then the provisions of Section 13.8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29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7" w:name="page728"/>
    <w:bookmarkEnd w:id="727"/>
    <w:p>
      <w:pPr>
        <w:spacing w:after="0" w:line="255" w:lineRule="exact"/>
        <w:rPr>
          <w:sz w:val="20"/>
          <w:szCs w:val="20"/>
          <w:color w:val="auto"/>
        </w:rPr>
      </w:pPr>
    </w:p>
    <w:p>
      <w:pPr>
        <w:jc w:val="both"/>
        <w:ind w:right="20"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5.7 Remedial Actions</w:t>
      </w:r>
      <w:r>
        <w:rPr>
          <w:rFonts w:ascii="Times New Roman" w:cs="Times New Roman" w:eastAsia="Times New Roman" w:hAnsi="Times New Roman"/>
          <w:sz w:val="19"/>
          <w:szCs w:val="19"/>
          <w:color w:val="auto"/>
        </w:rPr>
        <w:t>. Each Party shall notify the other immediately, and promptly confirm such notice in writing, if it obtains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indicating that any Original ADC Licensed Product or Next Generation ADC Licensed Product may be subject to any recall, corrective action, patent regulatory procedures or other regulatory action in the Territory or the Retained Territory by any Governmental Authority or Regulatory Authority (a “</w:t>
      </w:r>
      <w:r>
        <w:rPr>
          <w:rFonts w:ascii="Times New Roman" w:cs="Times New Roman" w:eastAsia="Times New Roman" w:hAnsi="Times New Roman"/>
          <w:sz w:val="19"/>
          <w:szCs w:val="19"/>
          <w:b w:val="1"/>
          <w:bCs w:val="1"/>
          <w:color w:val="auto"/>
        </w:rPr>
        <w:t>Remedial Action</w:t>
      </w:r>
      <w:r>
        <w:rPr>
          <w:rFonts w:ascii="Times New Roman" w:cs="Times New Roman" w:eastAsia="Times New Roman" w:hAnsi="Times New Roman"/>
          <w:sz w:val="19"/>
          <w:szCs w:val="19"/>
          <w:color w:val="auto"/>
        </w:rPr>
        <w:t>” ) . The Parties shall assist each other in gathering and evaluating such information as is necessary to determine the necessity of conducting a Remedial Action. The Parties shall collaborate in good faith and endeavor to reach an agreement on Remedial Action related decisions save that were there is any unsettled issues in relation to any Remedial Action related matters (i) with respect to the Territory, Licensee shall have the final decision making authority and Duality shall take all actions reasonably requested by Licensee in relation to such Remedial Action, save that where such Remedial Action is reasonably likely to impact Duality’s position in respect of the Original ADC Licensed Product, the Next Generation ADC Licensed Product or any Regulatory Authorities in the Retained Territory, no action will be taken by Licensee (unless immediate action is required to comply with Applicable Laws and mitigate further damage arising from the Remedial Action) without Duality’s prior written consent, and (ii) with respect to the Retained Territory, Duality shall have the final decision making authority and Licensee shall take all actions reasonably requested by Duality in relation to such Remedial Action, save that where such Remedial Action is reasonably likely to impact Licensee’s position in respect of the Original ADC Licensed Product, the Next Generation ADC Licensed Product or any Regulatory Authorities in the Territory, no action will be taken by Duality without Licensee’s prior written consent. The cost and expenses of any Remedial Action shall be borne by the Party whose action or inaction caused the Remedial Action of the Original ADC Licensed Product or the Next Generation ADC Licensed Product.</w:t>
      </w:r>
    </w:p>
    <w:p>
      <w:pPr>
        <w:spacing w:after="0" w:line="200" w:lineRule="exact"/>
        <w:rPr>
          <w:sz w:val="20"/>
          <w:szCs w:val="20"/>
          <w:color w:val="auto"/>
        </w:rPr>
      </w:pPr>
    </w:p>
    <w:p>
      <w:pPr>
        <w:spacing w:after="0" w:line="3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6</w:t>
      </w:r>
    </w:p>
    <w:p>
      <w:pPr>
        <w:ind w:left="4020"/>
        <w:spacing w:after="0"/>
        <w:rPr>
          <w:sz w:val="20"/>
          <w:szCs w:val="20"/>
          <w:color w:val="auto"/>
        </w:rPr>
      </w:pPr>
      <w:r>
        <w:rPr>
          <w:rFonts w:ascii="Times New Roman" w:cs="Times New Roman" w:eastAsia="Times New Roman" w:hAnsi="Times New Roman"/>
          <w:sz w:val="19"/>
          <w:szCs w:val="19"/>
          <w:b w:val="1"/>
          <w:bCs w:val="1"/>
          <w:color w:val="auto"/>
        </w:rPr>
        <w:t>MANUFACTURE &amp; SUPPLY</w:t>
      </w:r>
    </w:p>
    <w:p>
      <w:pPr>
        <w:spacing w:after="0" w:line="142"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6.1 Costs of CMC Activities </w:t>
      </w:r>
      <w:r>
        <w:rPr>
          <w:rFonts w:ascii="Times New Roman" w:cs="Times New Roman" w:eastAsia="Times New Roman" w:hAnsi="Times New Roman"/>
          <w:sz w:val="19"/>
          <w:szCs w:val="19"/>
          <w:color w:val="auto"/>
        </w:rPr>
        <w:t>. Duality will conduct CMC activities for the Original ADC Licensed Products and/or, after Next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Generation Option Exercise, the Next Generation ADC Licensed Product according to the scope as agreed upon by the Parties in the Development Plan. [***]</w:t>
      </w:r>
    </w:p>
    <w:p>
      <w:pPr>
        <w:spacing w:after="0" w:line="132"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9"/>
          <w:szCs w:val="19"/>
          <w:b w:val="1"/>
          <w:bCs w:val="1"/>
          <w:color w:val="auto"/>
        </w:rPr>
        <w:t>6.2 Transfer of CMC Materials from Duality to Licensee, and transfer of Manufacturing process</w:t>
      </w:r>
      <w:r>
        <w:rPr>
          <w:rFonts w:ascii="Times New Roman" w:cs="Times New Roman" w:eastAsia="Times New Roman" w:hAnsi="Times New Roman"/>
          <w:sz w:val="19"/>
          <w:szCs w:val="19"/>
          <w:color w:val="auto"/>
        </w:rPr>
        <w:t>. In addition to the CMC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documentation in the Know-How transfer under Section 2.6 above, within [***] following Licensee’s request (such request is at any time during the Term at Licensee’s discretion), and thereafter from time to time during the Term upon Licensee’s reasonable advance request and to the extent not previously provided, Duality shall provide to Licensee (or its designees) the updated CMC- related technical documents and CMC -related technology (and any associated manufacturing process technology with regards to manufacturing of antibody, the linker-payload and the DS, DP (drug substance, drug product) of the Licensed Compound), in original form and English language certified translations, that are necessary or reasonably useful for the Manufacture of the Licensed Compound and Original ADC Licensed Product, and/or, after Next Generation Option Exercise, for the Manufacture of the Next Generation Licensed Compound and the Next Generation ADC Licensed Product and are Controlled by Duality or any of its Affiliates as of the Effective Date and which become Controlled by Duality or any of its Affiliates during the Term (“ </w:t>
      </w:r>
      <w:r>
        <w:rPr>
          <w:rFonts w:ascii="Times New Roman" w:cs="Times New Roman" w:eastAsia="Times New Roman" w:hAnsi="Times New Roman"/>
          <w:sz w:val="19"/>
          <w:szCs w:val="19"/>
          <w:b w:val="1"/>
          <w:bCs w:val="1"/>
          <w:color w:val="auto"/>
        </w:rPr>
        <w:t>CMC Materials</w:t>
      </w:r>
      <w:r>
        <w:rPr>
          <w:rFonts w:ascii="Times New Roman" w:cs="Times New Roman" w:eastAsia="Times New Roman" w:hAnsi="Times New Roman"/>
          <w:sz w:val="19"/>
          <w:szCs w:val="19"/>
          <w:color w:val="auto"/>
        </w:rPr>
        <w:t>”), and all customs and technology export licenses required by Applicable Law for such transfer(s), if any. Within [***] of Licensee’s request, Duality or a Duality CMO shall provide Licensee (or its designee) with reasonable consultation and on-site support in respect of the CMC-related technology and associated manufacturing process technology transferred to Licensee pursuant to this Section 6.2. Any assistance required from Duality or Duality’s CMO, the [***] will be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8" w:name="page729"/>
    <w:bookmarkEnd w:id="728"/>
    <w:p>
      <w:pPr>
        <w:spacing w:after="0" w:line="257"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9"/>
          <w:szCs w:val="19"/>
          <w:color w:val="auto"/>
        </w:rPr>
        <w:t>of charge to Licensee. Any additional assistance in excess of [***] will be at the Licensee’s cost and expense, provided that Licensee will in this case pay the reasonable and market standard FTE rate incurred by Duality’s or Duality CMO’s employees involved in such consultation and/or on-site support. For clarity, Licensee will not pay any manufacturing technology transfer fee owed by Duality to a Duality CMO or another Third Party. The conclusion of new Third Party agreements regarding the CMC activities contemplated under Section 6.1 or the amendment of existing Third Party agreements regarding the same shall be subject to Licensee’s prior written approval.</w:t>
      </w:r>
    </w:p>
    <w:p>
      <w:pPr>
        <w:spacing w:after="0" w:line="250"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6.3 Transfer of Cell Banks</w:t>
      </w:r>
      <w:r>
        <w:rPr>
          <w:rFonts w:ascii="Times New Roman" w:cs="Times New Roman" w:eastAsia="Times New Roman" w:hAnsi="Times New Roman"/>
          <w:sz w:val="19"/>
          <w:szCs w:val="19"/>
          <w:color w:val="auto"/>
        </w:rPr>
        <w:t>. The Parties will enter into a separate quality agreement and thereafter a supply agreement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manage the logistics and shipping of the transfer of the MCB and WCB (collectively, including cell banks that are developed in future, “</w:t>
      </w:r>
      <w:r>
        <w:rPr>
          <w:rFonts w:ascii="Times New Roman" w:cs="Times New Roman" w:eastAsia="Times New Roman" w:hAnsi="Times New Roman"/>
          <w:sz w:val="19"/>
          <w:szCs w:val="19"/>
          <w:b w:val="1"/>
          <w:bCs w:val="1"/>
          <w:color w:val="auto"/>
        </w:rPr>
        <w:t>Cell Banks</w:t>
      </w:r>
      <w:r>
        <w:rPr>
          <w:rFonts w:ascii="Times New Roman" w:cs="Times New Roman" w:eastAsia="Times New Roman" w:hAnsi="Times New Roman"/>
          <w:sz w:val="19"/>
          <w:szCs w:val="19"/>
          <w:color w:val="auto"/>
        </w:rPr>
        <w:t>”) used for the Manufacturing of the Antibody incorporated into the Licensed Products, with the respective negotiations to be commenced within [***] days after the Effective Date. [***]</w:t>
      </w:r>
    </w:p>
    <w:p>
      <w:pPr>
        <w:spacing w:after="0" w:line="134" w:lineRule="exact"/>
        <w:rPr>
          <w:sz w:val="20"/>
          <w:szCs w:val="20"/>
          <w:color w:val="auto"/>
        </w:rPr>
      </w:pPr>
    </w:p>
    <w:p>
      <w:pPr>
        <w:jc w:val="both"/>
        <w:ind w:right="20"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6.4 Initial Clinical Supply</w:t>
      </w:r>
      <w:r>
        <w:rPr>
          <w:rFonts w:ascii="Times New Roman" w:cs="Times New Roman" w:eastAsia="Times New Roman" w:hAnsi="Times New Roman"/>
          <w:sz w:val="19"/>
          <w:szCs w:val="19"/>
          <w:color w:val="auto"/>
        </w:rPr>
        <w:t>. Except for [***] and Licensee’s agents, which supply shall be provided by Licensee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Section 4.2(c) and 4.2(d), Duality shall, by itself or through one or more Duality CMO(s) in the Retained Territory, supply to Licensee [***] to Licensee’s designated location [***] and in accordance with a separate clinical supply agreement as contemplated below; provided that Licensee shall be [***]. Unless otherwise agreed by the Parties, the Parties shall negotiate in good faith a clinical supply agreement and related quality agreement with such negotiation to be commenced within [***] days after the Effective Date and, unless otherwise agreed between the Parties, completed no later than [***] days after the Effective Date, which clinical supply agreement shall contain customary language regarding supply of the Licensed Compound or Original ADC Licensed Products, or, after Next Generation Option Exercise, the Next Generation ADC Licensed Products to Licensee (including equitable allocation in the event of disruption to or shortage of product supply, and Licensee’s right to audit any of Duality’s or its Affiliates’, or any of their respective CROs’ or CMOs’ manufacturing sites) . [***]</w:t>
      </w:r>
    </w:p>
    <w:p>
      <w:pPr>
        <w:spacing w:after="0" w:line="137"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6.5 Ongoing Supply</w:t>
      </w:r>
      <w:r>
        <w:rPr>
          <w:rFonts w:ascii="Times New Roman" w:cs="Times New Roman" w:eastAsia="Times New Roman" w:hAnsi="Times New Roman"/>
          <w:sz w:val="19"/>
          <w:szCs w:val="19"/>
          <w:color w:val="auto"/>
        </w:rPr>
        <w:t>. Except as may otherwise be provided under the clinical supply agreement entered into by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Section 6.4 and until the Licensee has qualified a new manufacturing site to Manufacture the Licensed Compound and the Original ADC Licensed Products, or after Next Generation Option Exercise the Next Generation Licensed Compound and the Next Generation ADC Licensed Product in the Territory, Duality shall be solely responsible for Manufacturing the Licensed Compound and Original ADC Licensed Products and/or after Next Generation Option Exercise, the Next Generation Licensed Compound and the Next Generation ADC Licensed Product intended for use (either Clinical Trial use or commercial use) in the Territory, and Licensee shall be solely responsible for the associated costs and expenses of such Manufacturing activities. Once the Original ADC Licensed Product or Next Generation ADC Licensed Product is approved, [***].</w:t>
      </w:r>
    </w:p>
    <w:p>
      <w:pPr>
        <w:spacing w:after="0" w:line="200" w:lineRule="exact"/>
        <w:rPr>
          <w:sz w:val="20"/>
          <w:szCs w:val="20"/>
          <w:color w:val="auto"/>
        </w:rPr>
      </w:pPr>
    </w:p>
    <w:p>
      <w:pPr>
        <w:spacing w:after="0" w:line="3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7</w:t>
      </w:r>
    </w:p>
    <w:p>
      <w:pPr>
        <w:ind w:left="3680"/>
        <w:spacing w:after="0"/>
        <w:rPr>
          <w:sz w:val="20"/>
          <w:szCs w:val="20"/>
          <w:color w:val="auto"/>
        </w:rPr>
      </w:pPr>
      <w:r>
        <w:rPr>
          <w:rFonts w:ascii="Times New Roman" w:cs="Times New Roman" w:eastAsia="Times New Roman" w:hAnsi="Times New Roman"/>
          <w:sz w:val="19"/>
          <w:szCs w:val="19"/>
          <w:b w:val="1"/>
          <w:bCs w:val="1"/>
          <w:color w:val="auto"/>
        </w:rPr>
        <w:t>COMMERCIALIZATION MATTERS</w:t>
      </w:r>
    </w:p>
    <w:p>
      <w:pPr>
        <w:spacing w:after="0" w:line="142"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7.1 Overview; Diligence</w:t>
      </w:r>
      <w:r>
        <w:rPr>
          <w:rFonts w:ascii="Times New Roman" w:cs="Times New Roman" w:eastAsia="Times New Roman" w:hAnsi="Times New Roman"/>
          <w:sz w:val="19"/>
          <w:szCs w:val="19"/>
          <w:color w:val="auto"/>
        </w:rPr>
        <w:t>. Subject to the terms and conditions of this Agreement (including the diligence obligations set forth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Licensee (itself or through its Affiliates or Sublicensees, as applicable) shall be solely responsible for Commercialization of the Original ADC Licensed Products or after Next Generation Option Exercise, the Next Generation ADC Licensed Product in the Field in the Territory, including: (i) developing and executing a commercial launch and pre-launch plan, (ii) developing the global pricing strategy and negotiating with applicable Governmental Authorities regarding price and reimbursement of such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29" w:name="page730"/>
    <w:bookmarkEnd w:id="729"/>
    <w:p>
      <w:pPr>
        <w:spacing w:after="0" w:line="25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ADC Licensed Products or Next Generation ADC Licensed Products; (iii) marketing, advertising and promotion; (iv) booking sales; (v) distribution and handling all aspects of order processing, invoicing and collection, inventory and receivables; (vi) providing customer support, and performing other related functions; (vii) conforming its practices and procedures to Applicable Laws relating to the marketing, detailing and promotion of the Original ADC Licensed Products or Next Generation ADC Licensed Products in the Field; and</w:t>
      </w:r>
    </w:p>
    <w:p>
      <w:pPr>
        <w:jc w:val="both"/>
        <w:ind w:firstLine="6"/>
        <w:spacing w:after="0" w:line="219" w:lineRule="auto"/>
        <w:tabs>
          <w:tab w:leader="none" w:pos="434" w:val="left"/>
        </w:tabs>
        <w:numPr>
          <w:ilvl w:val="0"/>
          <w:numId w:val="7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developing and implementing the global and local Medical Affairs Activities and medical information infrastructure required in the Field in the Territory. Licensee shall bear all of the costs and expenses incurred in connection with such Commercialization activities in the Territory. Licensee shall use Commercially Reasonable Efforts to launch [***] in [***]. For the avoidance of doubt, Licensee shall have fulfilled its diligence obligation under this Section 7.1 if it has used Commercially Reasonable Efforts to launch either the Original ADC Licensed Products or the Next Generation ADC Licensed Product in [***].</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7.2 Commercialization Plan</w:t>
      </w:r>
      <w:r>
        <w:rPr>
          <w:rFonts w:ascii="Times New Roman" w:cs="Times New Roman" w:eastAsia="Times New Roman" w:hAnsi="Times New Roman"/>
          <w:sz w:val="19"/>
          <w:szCs w:val="19"/>
          <w:color w:val="auto"/>
        </w:rPr>
        <w:t>. No later than [***] months before the anticipated date of the submission of the first MAA for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Original ADC Licensed Product or, after Next Generation Option Exercise, the Next Generation ADC Licensed Product in the Territory, Licensee shall prepare a written Commercialization plan that sets forth the timeline and details of all major Commercialization activities planned for such Original ADC Licensed Product or such Next Generation ADC Licensed Product in the Territory (the “</w:t>
      </w:r>
      <w:r>
        <w:rPr>
          <w:rFonts w:ascii="Times New Roman" w:cs="Times New Roman" w:eastAsia="Times New Roman" w:hAnsi="Times New Roman"/>
          <w:sz w:val="19"/>
          <w:szCs w:val="19"/>
          <w:b w:val="1"/>
          <w:bCs w:val="1"/>
          <w:color w:val="auto"/>
        </w:rPr>
        <w:t>Commercialization Plan</w:t>
      </w:r>
      <w:r>
        <w:rPr>
          <w:rFonts w:ascii="Times New Roman" w:cs="Times New Roman" w:eastAsia="Times New Roman" w:hAnsi="Times New Roman"/>
          <w:sz w:val="19"/>
          <w:szCs w:val="19"/>
          <w:color w:val="auto"/>
        </w:rPr>
        <w:t>”) . The Commercialization Plan shall be updated [***].</w:t>
      </w:r>
    </w:p>
    <w:p>
      <w:pPr>
        <w:spacing w:after="0" w:line="133"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7.3 Coordination of Commercialization Activities</w:t>
      </w:r>
      <w:r>
        <w:rPr>
          <w:rFonts w:ascii="Times New Roman" w:cs="Times New Roman" w:eastAsia="Times New Roman" w:hAnsi="Times New Roman"/>
          <w:sz w:val="19"/>
          <w:szCs w:val="19"/>
          <w:color w:val="auto"/>
        </w:rPr>
        <w:t>. The Parties recognize that they may benefit from the coordination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certain activities in support of the Commercialization of an Original ADC Licensed Product or Next Generation ADC Licensed Product across their territories. As such, the Parties may coordinate such activities where appropriate, including scientific and medical communication and Original ADC Licensed Product or Next Generation ADC Licensed Product positioning. For clarity, Licensee shall not conduct any Commercialization of any Original ADC Licensed Product or Next Generation ADC Licensed Product outside the Territory without Duality’s express prior written consent and Duality shall not conduct any Commercialization of Original ADC Licensed Products or Next Generation ADC Licensed Product outside of the Retained Territory without Licensee’s express prior written consent.</w:t>
      </w:r>
    </w:p>
    <w:p>
      <w:pPr>
        <w:spacing w:after="0" w:line="199"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7.4</w:t>
        <w:tab/>
        <w:t>Commercialization Reports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440" w:right="20" w:firstLine="574"/>
        <w:spacing w:after="0" w:line="223" w:lineRule="auto"/>
        <w:tabs>
          <w:tab w:leader="none" w:pos="1736" w:val="left"/>
        </w:tabs>
        <w:numPr>
          <w:ilvl w:val="0"/>
          <w:numId w:val="7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shall keep Duality informed of its, its Affiliates’ and Sublicensees’ Commercialization activities in the Territory with respect to each Original ADC Licensed Product or Next Generation ADC Licensed Product and Duality shall keep Licensee informed of Duality’s, its Affiliates’ and sublicensees’ Commercialization activities in the Retained Territory with respect to each Original ADC Licensed Product or Next Generation ADC Licensed Product. All information and reports provided to the other Party in such report shall be treated as Confidential Information of the disclosing Party.</w:t>
      </w:r>
    </w:p>
    <w:p>
      <w:pPr>
        <w:spacing w:after="0" w:line="137"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Licensee shall, [***], provide Duality with [***].</w:t>
      </w:r>
    </w:p>
    <w:p>
      <w:pPr>
        <w:spacing w:after="0" w:line="165" w:lineRule="exact"/>
        <w:rPr>
          <w:rFonts w:ascii="Times New Roman" w:cs="Times New Roman" w:eastAsia="Times New Roman" w:hAnsi="Times New Roman"/>
          <w:sz w:val="19"/>
          <w:szCs w:val="19"/>
          <w:color w:val="auto"/>
        </w:rPr>
      </w:pPr>
    </w:p>
    <w:p>
      <w:pPr>
        <w:jc w:val="both"/>
        <w:ind w:left="440" w:firstLine="574"/>
        <w:spacing w:after="0"/>
        <w:tabs>
          <w:tab w:leader="none" w:pos="1736" w:val="left"/>
        </w:tabs>
        <w:numPr>
          <w:ilvl w:val="0"/>
          <w:numId w:val="7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other provisions of this Section, each Party shall make available to the other Party such additional information about its Commercialization activities with respect to an Original ADC Licensed Product or after Next Generation Option Exercise, Next Generation ADC Licensed Product as may be reasonably requested by the other Party from time to time.</w:t>
      </w:r>
    </w:p>
    <w:p>
      <w:pPr>
        <w:spacing w:after="0" w:line="303"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7.5 Trademarks </w:t>
      </w:r>
      <w:r>
        <w:rPr>
          <w:rFonts w:ascii="Times New Roman" w:cs="Times New Roman" w:eastAsia="Times New Roman" w:hAnsi="Times New Roman"/>
          <w:sz w:val="19"/>
          <w:szCs w:val="19"/>
          <w:color w:val="auto"/>
        </w:rPr>
        <w:t>. Licensee shall be responsible for the registration, filing, maintenance and enforcement of any trademarks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domain names) developed for the Original ADC Licensed Products or, after Next Generation Option Exercise, the Next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60"/>
          </w:cols>
          <w:pgMar w:left="660" w:top="1440" w:right="680" w:bottom="1440" w:gutter="0" w:footer="0" w:header="0"/>
        </w:sectPr>
      </w:pPr>
    </w:p>
    <w:bookmarkStart w:id="730" w:name="page731"/>
    <w:bookmarkEnd w:id="730"/>
    <w:p>
      <w:pPr>
        <w:spacing w:after="0" w:line="255"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9"/>
          <w:szCs w:val="19"/>
          <w:color w:val="auto"/>
        </w:rPr>
        <w:t xml:space="preserve">ADC Licensed Product, in the Field in the Territory (the “ </w:t>
      </w:r>
      <w:r>
        <w:rPr>
          <w:rFonts w:ascii="Times New Roman" w:cs="Times New Roman" w:eastAsia="Times New Roman" w:hAnsi="Times New Roman"/>
          <w:sz w:val="19"/>
          <w:szCs w:val="19"/>
          <w:b w:val="1"/>
          <w:bCs w:val="1"/>
          <w:color w:val="auto"/>
        </w:rPr>
        <w:t>Product Marks</w:t>
      </w:r>
      <w:r>
        <w:rPr>
          <w:rFonts w:ascii="Times New Roman" w:cs="Times New Roman" w:eastAsia="Times New Roman" w:hAnsi="Times New Roman"/>
          <w:sz w:val="19"/>
          <w:szCs w:val="19"/>
          <w:color w:val="auto"/>
        </w:rPr>
        <w:t>”). The Parties will discuss in good faith and enter into a separate branding agreement outlining terms for ownership, use, management and enforcement of trademarks (including domain names) adopted to identify the Original ADC Licensed Products or Next Generation ADC Licensed Products in the Field in the Retained Territory.</w:t>
      </w:r>
    </w:p>
    <w:p>
      <w:pPr>
        <w:spacing w:after="0" w:line="134"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7.6 Original ADC Licensed Products Tracking in the Territory and Retained Territory </w:t>
      </w:r>
      <w:r>
        <w:rPr>
          <w:rFonts w:ascii="Times New Roman" w:cs="Times New Roman" w:eastAsia="Times New Roman" w:hAnsi="Times New Roman"/>
          <w:sz w:val="19"/>
          <w:szCs w:val="19"/>
          <w:color w:val="auto"/>
        </w:rPr>
        <w:t>. Licensee shall, and shall ensure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its Affiliates and Sublicensees, maintain adequate records to permit the Parties to trace the distribution, sale, and use of all Original ADC Licensed Products or, after Next Generation Option Exercise, the Next Generation ADC Licensed Product, through all relevant channels (e.g. wholesalers, hospitals and pharmacies) in the Territory. Duality shall, and shall ensure that its Affiliates and sublicensees, maintain adequate records to permit the Parties to trace the distribution, sale, and use of all Original ADC Licensed Products or, after Next Generation Option Exercise, all Next Generation ADC Licensed Product, through all relevant channels (e.g. wholesalers, hospitals and pharmacies) in the Retained Territory.</w:t>
      </w:r>
    </w:p>
    <w:p>
      <w:pPr>
        <w:spacing w:after="0" w:line="135" w:lineRule="exact"/>
        <w:rPr>
          <w:sz w:val="20"/>
          <w:szCs w:val="20"/>
          <w:color w:val="auto"/>
        </w:rPr>
      </w:pPr>
    </w:p>
    <w:p>
      <w:pPr>
        <w:jc w:val="both"/>
        <w:ind w:firstLine="576"/>
        <w:spacing w:after="0" w:line="226" w:lineRule="auto"/>
        <w:rPr>
          <w:sz w:val="20"/>
          <w:szCs w:val="20"/>
          <w:color w:val="auto"/>
        </w:rPr>
      </w:pPr>
      <w:r>
        <w:rPr>
          <w:rFonts w:ascii="Times New Roman" w:cs="Times New Roman" w:eastAsia="Times New Roman" w:hAnsi="Times New Roman"/>
          <w:sz w:val="19"/>
          <w:szCs w:val="19"/>
          <w:b w:val="1"/>
          <w:bCs w:val="1"/>
          <w:color w:val="auto"/>
        </w:rPr>
        <w:t>7.7 No Diversion</w:t>
      </w:r>
      <w:r>
        <w:rPr>
          <w:rFonts w:ascii="Times New Roman" w:cs="Times New Roman" w:eastAsia="Times New Roman" w:hAnsi="Times New Roman"/>
          <w:sz w:val="19"/>
          <w:szCs w:val="19"/>
          <w:color w:val="auto"/>
        </w:rPr>
        <w:t>. Each Party hereby covenants and agrees that during the Term, and except as expressly permitted by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it shall not (and shall cause its Affiliates and Sublicensees (with respect to Licensee), sublicensees (with respect to Duality) and subcontractors not to), either itself or through a Third Party, develop, use, market, promote, import, export, sell or actively offer for sale (online or otherwise) the Original ADC Licensed Products or, after Next Generation Option Exercise, the Next Generation ADC Licensed Products, in the other Party’s territory. Without limiting the generality of the foregoing, except as mutually agreed by the Parties, each Party shall not (a) engage in any advertising activities relating to the Original ADC Licensed Products or Next Generation ADC Licensed Products, directed primarily to customers in the other Party’s territory, or (b) actively or intentionally solicit orders from any prospective purchaser located in the other Party’s territory or prospective purchasers whose delivery address is located in the other Party’s territory. To the extent permitted by Applicable Laws, including applicable antitrust laws, if a Party receives any order for Original ADC Licensed Products or Next Generation ADC Licensed Products from a prospective purchaser located in or with a nominated delivery address in a country or jurisdiction in the other Party’s territory, such Party shall immediately refer that order to the other Party and shall not accept any such order or deliver or tender (or cause to be delivered or tendered) the for Original ADC Licensed Products or Next Generation ADC Licensed Products under such order. If a Party should reasonably know that a customer or distributor is actively engaged itself or through a Third Party in the sale or distribution of the for Original ADC Licensed Products or Next Generation ADC Licensed Products in the other Party’s territory, then such Party shall (i) within [***] Days of gaining knowledge of such activities, notify the other Party regarding such activities and provide all information available to such Party that the other Party may reasonably request concerning such activities and (ii) use Commercially Reasonable Efforts (including cessation of sales or delivery to such customer) necessary to limit such sale or distribution in the other Party’s territory, unless otherwise agreed in writing by the Parties prior to such sale or delivery.</w:t>
      </w:r>
    </w:p>
    <w:p>
      <w:pPr>
        <w:spacing w:after="0" w:line="200" w:lineRule="exact"/>
        <w:rPr>
          <w:sz w:val="20"/>
          <w:szCs w:val="20"/>
          <w:color w:val="auto"/>
        </w:rPr>
      </w:pPr>
    </w:p>
    <w:p>
      <w:pPr>
        <w:spacing w:after="0" w:line="358" w:lineRule="exact"/>
        <w:rPr>
          <w:sz w:val="20"/>
          <w:szCs w:val="20"/>
          <w:color w:val="auto"/>
        </w:rPr>
      </w:pPr>
    </w:p>
    <w:p>
      <w:pPr>
        <w:ind w:left="3780"/>
        <w:spacing w:after="0"/>
        <w:tabs>
          <w:tab w:leader="none" w:pos="4940" w:val="left"/>
        </w:tabs>
        <w:rPr>
          <w:sz w:val="20"/>
          <w:szCs w:val="20"/>
          <w:color w:val="auto"/>
        </w:rPr>
      </w:pPr>
      <w:r>
        <w:rPr>
          <w:rFonts w:ascii="Times New Roman" w:cs="Times New Roman" w:eastAsia="Times New Roman" w:hAnsi="Times New Roman"/>
          <w:sz w:val="19"/>
          <w:szCs w:val="19"/>
          <w:b w:val="1"/>
          <w:bCs w:val="1"/>
          <w:color w:val="auto"/>
        </w:rPr>
        <w:t>Article 8</w:t>
      </w:r>
      <w:r>
        <w:rPr>
          <w:sz w:val="20"/>
          <w:szCs w:val="20"/>
          <w:color w:val="auto"/>
        </w:rPr>
        <w:tab/>
      </w:r>
      <w:r>
        <w:rPr>
          <w:rFonts w:ascii="Times New Roman" w:cs="Times New Roman" w:eastAsia="Times New Roman" w:hAnsi="Times New Roman"/>
          <w:sz w:val="19"/>
          <w:szCs w:val="19"/>
          <w:b w:val="1"/>
          <w:bCs w:val="1"/>
          <w:color w:val="auto"/>
        </w:rPr>
        <w:t>FINANCIAL TERMS</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8.1 Upfront Payment</w:t>
      </w:r>
      <w:r>
        <w:rPr>
          <w:rFonts w:ascii="Times New Roman" w:cs="Times New Roman" w:eastAsia="Times New Roman" w:hAnsi="Times New Roman"/>
          <w:sz w:val="19"/>
          <w:szCs w:val="19"/>
          <w:color w:val="auto"/>
        </w:rPr>
        <w:t>. In partial consideration of Duality’s granting of the licenses and rights to Licensee hereunder, Licensee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make a one-time, non-refundable, non-creditable payment to Duality of [***] (the “</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within [***] days after receipt of an invoice issued by Duality to the Licensee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1" w:name="page732"/>
    <w:bookmarkEnd w:id="731"/>
    <w:p>
      <w:pPr>
        <w:spacing w:after="0" w:line="25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8.2</w:t>
        <w:tab/>
        <w: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740" w:hanging="726"/>
        <w:spacing w:after="0"/>
        <w:tabs>
          <w:tab w:leader="none" w:pos="1740" w:val="left"/>
        </w:tabs>
        <w:numPr>
          <w:ilvl w:val="0"/>
          <w:numId w:val="7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440" w:right="40" w:firstLine="574"/>
        <w:spacing w:after="0" w:line="222" w:lineRule="auto"/>
        <w:tabs>
          <w:tab w:leader="none" w:pos="1736" w:val="left"/>
        </w:tabs>
        <w:numPr>
          <w:ilvl w:val="0"/>
          <w:numId w:val="7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Invoicing</w:t>
      </w:r>
      <w:r>
        <w:rPr>
          <w:rFonts w:ascii="Times New Roman" w:cs="Times New Roman" w:eastAsia="Times New Roman" w:hAnsi="Times New Roman"/>
          <w:sz w:val="19"/>
          <w:szCs w:val="19"/>
          <w:color w:val="auto"/>
        </w:rPr>
        <w:t>. No later than [***] setting forth the amount of actual Duality Costs for the Planned Trials and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ADC Added Trials (if any) incurred during such Calendar Quarter in the Territory which shall be reimbursed by Licensee pursuant to this Section 8.2, along with supporting documentation itemizing the breakdown of the costs and expenses that were incurred and are reimbursable hereunder. Each invoice issued by Duality shall list Duality Costs [***] in the Territory actually incurred in U.S. Dollars (and if any item was originally in another currency, the exchange rate used for converting the original currency to U.S. Dollar in accordance with Section 9.3). [***]</w:t>
      </w:r>
    </w:p>
    <w:p>
      <w:pPr>
        <w:spacing w:after="0" w:line="131" w:lineRule="exact"/>
        <w:rPr>
          <w:rFonts w:ascii="Times New Roman" w:cs="Times New Roman" w:eastAsia="Times New Roman" w:hAnsi="Times New Roman"/>
          <w:sz w:val="19"/>
          <w:szCs w:val="19"/>
          <w:color w:val="auto"/>
        </w:rPr>
      </w:pPr>
    </w:p>
    <w:p>
      <w:pPr>
        <w:jc w:val="both"/>
        <w:ind w:left="440" w:right="80" w:firstLine="574"/>
        <w:spacing w:after="0" w:line="233" w:lineRule="auto"/>
        <w:tabs>
          <w:tab w:leader="none" w:pos="1736" w:val="left"/>
        </w:tabs>
        <w:numPr>
          <w:ilvl w:val="0"/>
          <w:numId w:val="7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Other Clinical Trials</w:t>
      </w:r>
      <w:r>
        <w:rPr>
          <w:rFonts w:ascii="Times New Roman" w:cs="Times New Roman" w:eastAsia="Times New Roman" w:hAnsi="Times New Roman"/>
          <w:sz w:val="19"/>
          <w:szCs w:val="19"/>
          <w:color w:val="auto"/>
        </w:rPr>
        <w:t>. At Licensee’s request, Duality shall perform any other Clinical Trial of an Original ADC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Licensed Product (other than the Planned Trials or Original ADC Added Trials) or of an Next Generation ADC Licensed Product (other than the Next Generation Added Trials). The Parties shall discuss (through the JSC) Licensee’s funding [***].</w:t>
      </w:r>
    </w:p>
    <w:p>
      <w:pPr>
        <w:spacing w:after="0" w:line="132"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8.3 Development and Regulatory Milestone Payments of the Original ADC Licensed Product or Next Generation ADC Licensed Product</w:t>
      </w:r>
      <w:r>
        <w:rPr>
          <w:rFonts w:ascii="Times New Roman" w:cs="Times New Roman" w:eastAsia="Times New Roman" w:hAnsi="Times New Roman"/>
          <w:sz w:val="19"/>
          <w:szCs w:val="19"/>
          <w:color w:val="auto"/>
        </w:rPr>
        <w:t>. With respect to the milestone events set forth in the tables below, promptly following the first achievement, whether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Duality or any of Duality’s Affiliates (when designated by Licensee) or by Licensee or any of Licensee’s Affiliates or Sublicensees, of the corresponding milestone event by the first Original ADC Licensed Product, or after the Next Generation Option Exercise, the Next Generation ADC Licensed Product, whichever first reaches the respective milestone event for the first time, up to [***] Indications only. Licensee or Duality, as the case may be, shall notify the other Party within [***] Days of such achievement, and Licensee shall pay to Duality the corresponding non -refundable, non-creditable milestone payment within [***] days after the receipt of an invoice issued by Duality to Licensee on or after the achievement of the applicable milestone event: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8.4 Sales Milestone Payments of the Original ADC Licensed Products</w:t>
      </w:r>
      <w:r>
        <w:rPr>
          <w:rFonts w:ascii="Times New Roman" w:cs="Times New Roman" w:eastAsia="Times New Roman" w:hAnsi="Times New Roman"/>
          <w:sz w:val="19"/>
          <w:szCs w:val="19"/>
          <w:color w:val="auto"/>
        </w:rPr>
        <w:t>. Licensee shall pay to Duality the additional one-time, non-refundable, non-creditable payments set forth in the table below within [***] days after receipt of an invoice issued by Duality to Licensee on or after the first achievement of each milestone event described below.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9"/>
          <w:szCs w:val="19"/>
          <w:color w:val="auto"/>
        </w:rPr>
        <w:t>Within [***] days after the end of the Calendar Quarter in which any milestone event set forth above in this Section 8.4 for which a milestone payment is payable is achieved, Licensee shall deliver a written notice to Duality of such achievement, and Licensee shall pay to Duality the corresponding milestone payment within [***] days after the receipt of an invoice issued by Duality to Licensee. For clarity, each of the milestone payments set forth above in this Section 8.4 shall be additive such that if multiple milestone events specified above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600"/>
          </w:cols>
          <w:pgMar w:left="660" w:top="1440" w:right="640" w:bottom="1440" w:gutter="0" w:footer="0" w:header="0"/>
        </w:sectPr>
      </w:pPr>
    </w:p>
    <w:bookmarkStart w:id="732" w:name="page733"/>
    <w:bookmarkEnd w:id="732"/>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same Calendar Quarter, then the milestone payments for all such milestone events shall be payable by Licensee.</w:t>
      </w:r>
    </w:p>
    <w:p>
      <w:pPr>
        <w:spacing w:after="0" w:line="164"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8.5 Sales Milestone Payments of the Next Generation ADC Licensed Product</w:t>
      </w:r>
      <w:r>
        <w:rPr>
          <w:rFonts w:ascii="Times New Roman" w:cs="Times New Roman" w:eastAsia="Times New Roman" w:hAnsi="Times New Roman"/>
          <w:sz w:val="19"/>
          <w:szCs w:val="19"/>
          <w:color w:val="auto"/>
        </w:rPr>
        <w:t>. After Next Generation Option Exercise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First Commercial Sale of the Next Generation ADC Licensed Product, Licensee shall pay to Duality the additional one-time, non-refundable, non-creditable payments set forth in the table below within [***] days after receipt of an invoice issued by Duality to Licensee on or after the first achievement of each sales milestone event described below.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60" w:right="20"/>
        <w:spacing w:after="0" w:line="221" w:lineRule="auto"/>
        <w:rPr>
          <w:sz w:val="20"/>
          <w:szCs w:val="20"/>
          <w:color w:val="auto"/>
        </w:rPr>
      </w:pPr>
      <w:r>
        <w:rPr>
          <w:rFonts w:ascii="Times New Roman" w:cs="Times New Roman" w:eastAsia="Times New Roman" w:hAnsi="Times New Roman"/>
          <w:sz w:val="19"/>
          <w:szCs w:val="19"/>
          <w:color w:val="auto"/>
        </w:rPr>
        <w:t>Within [***] days after the end of the Calendar Quarter in which any milestone event set forth above in this Section 8.5 for which a milestone payment is payable is achieved, Licensee shall deliver a written notice to Duality of such achievement, and Licensee shall pay to Duality the corresponding milestone payment within [***] days after the receipt of an invoice issued by Duality to Licensee. For clarity, each of the milestone payments set forth above in this Section 8.5 shall be additive such that if multiple milestone events specified above are achieved in the same Calendar Quarter, then the milestone payments for all such milestone events shall be payable by Licensee.</w:t>
      </w:r>
    </w:p>
    <w:p>
      <w:pPr>
        <w:spacing w:after="0" w:line="13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8.6</w:t>
        <w:tab/>
        <w:t>Royalties</w:t>
      </w:r>
      <w:r>
        <w:rPr>
          <w:rFonts w:ascii="Times New Roman" w:cs="Times New Roman" w:eastAsia="Times New Roman" w:hAnsi="Times New Roman"/>
          <w:sz w:val="19"/>
          <w:szCs w:val="19"/>
          <w:color w:val="auto"/>
        </w:rPr>
        <w:t>. Licensee shall pay tiered royalties to Duality on Annual Net Sales of:</w:t>
      </w:r>
    </w:p>
    <w:p>
      <w:pPr>
        <w:spacing w:after="0" w:line="168" w:lineRule="exact"/>
        <w:rPr>
          <w:sz w:val="20"/>
          <w:szCs w:val="20"/>
          <w:color w:val="auto"/>
        </w:rPr>
      </w:pPr>
    </w:p>
    <w:p>
      <w:pPr>
        <w:ind w:left="460" w:right="40" w:hanging="10"/>
        <w:spacing w:after="0" w:line="246" w:lineRule="auto"/>
        <w:tabs>
          <w:tab w:leader="none" w:pos="694" w:val="left"/>
        </w:tabs>
        <w:numPr>
          <w:ilvl w:val="0"/>
          <w:numId w:val="7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Original ADC Licensed Products in the Territory [***] in each Calendar Quarter as set forth below in table 1 in this Section 8.6, calculated by [***];</w:t>
      </w:r>
    </w:p>
    <w:p>
      <w:pPr>
        <w:spacing w:after="0" w:line="128" w:lineRule="exact"/>
        <w:rPr>
          <w:rFonts w:ascii="Times New Roman" w:cs="Times New Roman" w:eastAsia="Times New Roman" w:hAnsi="Times New Roman"/>
          <w:sz w:val="19"/>
          <w:szCs w:val="19"/>
          <w:color w:val="auto"/>
        </w:rPr>
      </w:pPr>
    </w:p>
    <w:p>
      <w:pPr>
        <w:ind w:left="460" w:right="40" w:hanging="10"/>
        <w:spacing w:after="0" w:line="246" w:lineRule="auto"/>
        <w:tabs>
          <w:tab w:leader="none" w:pos="745" w:val="left"/>
        </w:tabs>
        <w:numPr>
          <w:ilvl w:val="0"/>
          <w:numId w:val="7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Next Generation ADC Licensed Products in the Territory [***] in each Calendar Quarter as set forth below in table 2 in this Section 8.6, calculated by [***];</w:t>
      </w:r>
    </w:p>
    <w:p>
      <w:pPr>
        <w:spacing w:after="0" w:line="128" w:lineRule="exact"/>
        <w:rPr>
          <w:rFonts w:ascii="Times New Roman" w:cs="Times New Roman" w:eastAsia="Times New Roman" w:hAnsi="Times New Roman"/>
          <w:sz w:val="19"/>
          <w:szCs w:val="19"/>
          <w:color w:val="auto"/>
        </w:rPr>
      </w:pPr>
    </w:p>
    <w:p>
      <w:pPr>
        <w:ind w:left="460" w:right="20" w:hanging="10"/>
        <w:spacing w:after="0" w:line="246" w:lineRule="auto"/>
        <w:tabs>
          <w:tab w:leader="none" w:pos="811" w:val="left"/>
        </w:tabs>
        <w:numPr>
          <w:ilvl w:val="0"/>
          <w:numId w:val="7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 and/or [***] at the Reduced Royalty Rates for each respective Annual Net Sales threshold as set forth in tables 3 and 4 in this Section 8.6 respectively, calculated by [***]:</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Table 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Table 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Table 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Table 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8"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8.7 Royalty Term</w:t>
      </w:r>
      <w:r>
        <w:rPr>
          <w:rFonts w:ascii="Times New Roman" w:cs="Times New Roman" w:eastAsia="Times New Roman" w:hAnsi="Times New Roman"/>
          <w:sz w:val="19"/>
          <w:szCs w:val="19"/>
          <w:color w:val="auto"/>
        </w:rPr>
        <w:t>. Royalties under Section 8.6 shall be payable, on [***] basis, during the period beginning on the date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and continuing until the latest of: [***] (the “</w:t>
      </w:r>
      <w:r>
        <w:rPr>
          <w:rFonts w:ascii="Times New Roman" w:cs="Times New Roman" w:eastAsia="Times New Roman" w:hAnsi="Times New Roman"/>
          <w:sz w:val="19"/>
          <w:szCs w:val="19"/>
          <w:b w:val="1"/>
          <w:bCs w:val="1"/>
          <w:color w:val="auto"/>
        </w:rPr>
        <w:t>Royalty Term</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3" w:name="page734"/>
    <w:bookmarkEnd w:id="733"/>
    <w:p>
      <w:pPr>
        <w:spacing w:after="0" w:line="25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8.8</w:t>
        <w:tab/>
        <w:t>Royalty Payment Reduction of Licensed Products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3260"/>
        <w:spacing w:after="0"/>
        <w:tabs>
          <w:tab w:leader="none" w:pos="4440" w:val="left"/>
        </w:tabs>
        <w:rPr>
          <w:sz w:val="20"/>
          <w:szCs w:val="20"/>
          <w:color w:val="auto"/>
        </w:rPr>
      </w:pPr>
      <w:r>
        <w:rPr>
          <w:rFonts w:ascii="Times New Roman" w:cs="Times New Roman" w:eastAsia="Times New Roman" w:hAnsi="Times New Roman"/>
          <w:sz w:val="19"/>
          <w:szCs w:val="19"/>
          <w:b w:val="1"/>
          <w:bCs w:val="1"/>
          <w:color w:val="auto"/>
        </w:rPr>
        <w:t>Article 9</w:t>
      </w:r>
      <w:r>
        <w:rPr>
          <w:sz w:val="20"/>
          <w:szCs w:val="20"/>
          <w:color w:val="auto"/>
        </w:rPr>
        <w:tab/>
      </w:r>
      <w:r>
        <w:rPr>
          <w:rFonts w:ascii="Times New Roman" w:cs="Times New Roman" w:eastAsia="Times New Roman" w:hAnsi="Times New Roman"/>
          <w:sz w:val="19"/>
          <w:szCs w:val="19"/>
          <w:b w:val="1"/>
          <w:bCs w:val="1"/>
          <w:color w:val="auto"/>
        </w:rPr>
        <w:t>PAYMENT; RECORDS; AUDITS</w:t>
      </w:r>
    </w:p>
    <w:p>
      <w:pPr>
        <w:spacing w:after="0" w:line="166" w:lineRule="exact"/>
        <w:rPr>
          <w:sz w:val="20"/>
          <w:szCs w:val="20"/>
          <w:color w:val="auto"/>
        </w:rPr>
      </w:pPr>
    </w:p>
    <w:p>
      <w:pPr>
        <w:jc w:val="both"/>
        <w:ind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9.1 Payment; Reports</w:t>
      </w:r>
      <w:r>
        <w:rPr>
          <w:rFonts w:ascii="Times New Roman" w:cs="Times New Roman" w:eastAsia="Times New Roman" w:hAnsi="Times New Roman"/>
          <w:sz w:val="19"/>
          <w:szCs w:val="19"/>
          <w:color w:val="auto"/>
        </w:rPr>
        <w:t>. Royalties shall be calculated and reported for each Calendar Quarter within [***] days after the end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Calendar Quarter. Each payment shall be accompanied by a report of [***]. Except as may otherwise be expressly provided herein, Licensee shall not have the right to set off, withhold or make any deduction from any payment of royalties or other payments due to Duality hereunder for any reason whatsoever.</w:t>
      </w:r>
    </w:p>
    <w:p>
      <w:pPr>
        <w:spacing w:after="0" w:line="134"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9.2</w:t>
        <w:tab/>
        <w:t xml:space="preserve">Invoices. </w:t>
      </w:r>
      <w:r>
        <w:rPr>
          <w:rFonts w:ascii="Times New Roman" w:cs="Times New Roman" w:eastAsia="Times New Roman" w:hAnsi="Times New Roman"/>
          <w:sz w:val="19"/>
          <w:szCs w:val="19"/>
          <w:color w:val="auto"/>
        </w:rPr>
        <w:t>Duality will ensure that all invoices:</w:t>
      </w:r>
    </w:p>
    <w:p>
      <w:pPr>
        <w:spacing w:after="0" w:line="166" w:lineRule="exact"/>
        <w:rPr>
          <w:sz w:val="20"/>
          <w:szCs w:val="20"/>
          <w:color w:val="auto"/>
        </w:rPr>
      </w:pPr>
    </w:p>
    <w:p>
      <w:pPr>
        <w:ind w:left="860" w:hanging="410"/>
        <w:spacing w:after="0"/>
        <w:tabs>
          <w:tab w:leader="none" w:pos="860" w:val="left"/>
        </w:tabs>
        <w:numPr>
          <w:ilvl w:val="0"/>
          <w:numId w:val="7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are delivered in accordance with the procedures set out in </w:t>
      </w:r>
      <w:r>
        <w:rPr>
          <w:rFonts w:ascii="Times New Roman" w:cs="Times New Roman" w:eastAsia="Times New Roman" w:hAnsi="Times New Roman"/>
          <w:sz w:val="19"/>
          <w:szCs w:val="19"/>
          <w:b w:val="1"/>
          <w:bCs w:val="1"/>
          <w:color w:val="auto"/>
        </w:rPr>
        <w:t>Schedule 9.2</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860" w:hanging="410"/>
        <w:spacing w:after="0"/>
        <w:tabs>
          <w:tab w:leader="none" w:pos="860" w:val="left"/>
        </w:tabs>
        <w:numPr>
          <w:ilvl w:val="0"/>
          <w:numId w:val="7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in such form as Licensee reasonably requires; and</w:t>
      </w:r>
    </w:p>
    <w:p>
      <w:pPr>
        <w:spacing w:after="0" w:line="163" w:lineRule="exact"/>
        <w:rPr>
          <w:rFonts w:ascii="Times New Roman" w:cs="Times New Roman" w:eastAsia="Times New Roman" w:hAnsi="Times New Roman"/>
          <w:sz w:val="19"/>
          <w:szCs w:val="19"/>
          <w:color w:val="auto"/>
        </w:rPr>
      </w:pPr>
    </w:p>
    <w:p>
      <w:pPr>
        <w:ind w:left="860" w:hanging="410"/>
        <w:spacing w:after="0"/>
        <w:tabs>
          <w:tab w:leader="none" w:pos="860" w:val="left"/>
        </w:tabs>
        <w:numPr>
          <w:ilvl w:val="0"/>
          <w:numId w:val="7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incorporate all information required by Licensee, as set out in </w:t>
      </w:r>
      <w:r>
        <w:rPr>
          <w:rFonts w:ascii="Times New Roman" w:cs="Times New Roman" w:eastAsia="Times New Roman" w:hAnsi="Times New Roman"/>
          <w:sz w:val="19"/>
          <w:szCs w:val="19"/>
          <w:b w:val="1"/>
          <w:bCs w:val="1"/>
          <w:color w:val="auto"/>
        </w:rPr>
        <w:t>Schedule 9.2</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9.3 Exchange Rate; Manner and Place of Payment</w:t>
      </w:r>
      <w:r>
        <w:rPr>
          <w:rFonts w:ascii="Times New Roman" w:cs="Times New Roman" w:eastAsia="Times New Roman" w:hAnsi="Times New Roman"/>
          <w:sz w:val="19"/>
          <w:szCs w:val="19"/>
          <w:color w:val="auto"/>
        </w:rPr>
        <w:t>. All payments hereunder shall be payable in U.S. dollars within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days after receipt of an invoice from Duality. With respect to sales of Licensed Products invoiced in a currency other than U.S. dollars, sales milestones and royalties shall be converted into U.S. dollar using the exchange rate mechanism generally applied by Licensee or its Affiliates or Sublicensees for consolidation purposes, in accordance with the Accounting Standards, for the Calendar Quarter for which a payment is due. All payments owed under this Agreement shall be made by wire transfer in immediately available funds to a bank and account designated in writing by Duality, unless otherwise specified in writing by Duality.</w:t>
      </w:r>
    </w:p>
    <w:p>
      <w:pPr>
        <w:spacing w:after="0" w:line="132"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9"/>
          <w:szCs w:val="19"/>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440" w:firstLine="574"/>
        <w:spacing w:after="0" w:line="224" w:lineRule="auto"/>
        <w:tabs>
          <w:tab w:leader="none" w:pos="1736" w:val="left"/>
        </w:tabs>
        <w:numPr>
          <w:ilvl w:val="0"/>
          <w:numId w:val="7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Taxes on Income</w:t>
      </w:r>
      <w:r>
        <w:rPr>
          <w:rFonts w:ascii="Times New Roman" w:cs="Times New Roman" w:eastAsia="Times New Roman" w:hAnsi="Times New Roman"/>
          <w:sz w:val="19"/>
          <w:szCs w:val="19"/>
          <w:color w:val="auto"/>
        </w:rPr>
        <w:t>. Except as otherwise provided in this Section 9.4, Licensee shall be solely responsible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payment of all value added taxes, fees, duties, surcharges, and other deductions or withholding taxes imposed by or on any entity in the Territory in connection with the payments and activities contemplated hereunder. Except as otherwise set forth in this Section, each Party shall be solely responsible for the payment of all taxes imposed on such Party’s income arising directly or indirectly from the activities of the Parties under this Agreement.</w:t>
      </w:r>
    </w:p>
    <w:p>
      <w:pPr>
        <w:spacing w:after="0" w:line="132" w:lineRule="exact"/>
        <w:rPr>
          <w:rFonts w:ascii="Times New Roman" w:cs="Times New Roman" w:eastAsia="Times New Roman" w:hAnsi="Times New Roman"/>
          <w:sz w:val="19"/>
          <w:szCs w:val="19"/>
          <w:color w:val="auto"/>
        </w:rPr>
      </w:pPr>
    </w:p>
    <w:p>
      <w:pPr>
        <w:jc w:val="both"/>
        <w:ind w:left="440" w:firstLine="574"/>
        <w:spacing w:after="0" w:line="218" w:lineRule="auto"/>
        <w:tabs>
          <w:tab w:leader="none" w:pos="1736" w:val="left"/>
        </w:tabs>
        <w:numPr>
          <w:ilvl w:val="0"/>
          <w:numId w:val="7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In the event that any withholding tax, fee, duty or surcharge applicable to or assessable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 of any of the Upfront Payment, development, regulatory or sales milestone payments, or royalty payments to be made by Licensee to Duality under this Agreement (collectively, the “ </w:t>
      </w:r>
      <w:r>
        <w:rPr>
          <w:rFonts w:ascii="Times New Roman" w:cs="Times New Roman" w:eastAsia="Times New Roman" w:hAnsi="Times New Roman"/>
          <w:sz w:val="19"/>
          <w:szCs w:val="19"/>
          <w:b w:val="1"/>
          <w:bCs w:val="1"/>
          <w:color w:val="auto"/>
        </w:rPr>
        <w:t>License Payments</w:t>
      </w:r>
      <w:r>
        <w:rPr>
          <w:rFonts w:ascii="Times New Roman" w:cs="Times New Roman" w:eastAsia="Times New Roman" w:hAnsi="Times New Roman"/>
          <w:sz w:val="19"/>
          <w:szCs w:val="19"/>
          <w:color w:val="auto"/>
        </w:rPr>
        <w:t>”) is required to be withheld and deducted under Applicable Laws (“</w:t>
      </w:r>
      <w:r>
        <w:rPr>
          <w:rFonts w:ascii="Times New Roman" w:cs="Times New Roman" w:eastAsia="Times New Roman" w:hAnsi="Times New Roman"/>
          <w:sz w:val="19"/>
          <w:szCs w:val="19"/>
          <w:b w:val="1"/>
          <w:bCs w:val="1"/>
          <w:color w:val="auto"/>
        </w:rPr>
        <w:t>Tax Withholdings</w:t>
      </w:r>
      <w:r>
        <w:rPr>
          <w:rFonts w:ascii="Times New Roman" w:cs="Times New Roman" w:eastAsia="Times New Roman" w:hAnsi="Times New Roman"/>
          <w:sz w:val="19"/>
          <w:szCs w:val="19"/>
          <w:color w:val="auto"/>
        </w:rPr>
        <w:t>”), Licensee (or its Affiliate paying on behalf of Licensee) shall make such deduction and withholding and will pay the remaining License Payments to Duality. For clarity, Licensee’s reimbursement of Duality Costs in the Territory shall not be deemed to be License Payments or subject to any Tax Withholdings. If Licensee did not conduct the Tax Withholding when making its payment(s) to Duality, but is later determined by Applicable Law to pay an amount of tax on account of Duality to the tax authorities, Duality will promptly refund that amount of Tax Withholdings to Licensee, provided that Duality shall not be liable for any interest or other penalty on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4" w:name="page735"/>
    <w:bookmarkEnd w:id="734"/>
    <w:p>
      <w:pPr>
        <w:spacing w:after="0" w:line="255" w:lineRule="exact"/>
        <w:rPr>
          <w:sz w:val="20"/>
          <w:szCs w:val="20"/>
          <w:color w:val="auto"/>
        </w:rPr>
      </w:pPr>
    </w:p>
    <w:p>
      <w:pPr>
        <w:jc w:val="both"/>
        <w:ind w:left="440" w:firstLine="574"/>
        <w:spacing w:after="0" w:line="216" w:lineRule="auto"/>
        <w:tabs>
          <w:tab w:leader="none" w:pos="1736" w:val="left"/>
        </w:tabs>
        <w:numPr>
          <w:ilvl w:val="0"/>
          <w:numId w:val="7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Cooperation</w:t>
      </w:r>
      <w:r>
        <w:rPr>
          <w:rFonts w:ascii="Times New Roman" w:cs="Times New Roman" w:eastAsia="Times New Roman" w:hAnsi="Times New Roman"/>
          <w:sz w:val="19"/>
          <w:szCs w:val="19"/>
          <w:color w:val="auto"/>
        </w:rPr>
        <w:t>. Licensee shall make such deduction of taxes and withholding tax payments to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taxing authority(ies) in a timely manner and shall promptly provide Duality with the appropriate proof of payment and relevant receipt(s) with respect to such deduction or withholding. To the extent permitted by Applicable Laws, Licensee shall provide Duality reasonable assistance in order to allow Duality to obtain the benefit of any present or future treaty against double taxation or refund or reduction in taxes which may apply to the License Payments. Each Party agrees to use commercially reasonable efforts to cooperate with the other Party in claiming refunds, reductions, or exemptions from such deductions or withholdings under any relevant agreement or treaty that is in effect. Duality will provide Licensee with any tax forms or other documentation reasonably necessary in order for Licensee not to withhold or to withhold tax at a reduced rate under an applicable bilateral income tax treaty. If the taxes originally paid or otherwise borne by a Party are in whole or in part subsequently determined not to have been chargeable, all reasonably necessary steps will be taken by each Party to obtain a refund of these undue taxes from the applicable Governmental Authority or other fiscal authority and any amount of undue taxes repaid by such authority to the receiving Party will be transferred to the paying Party within [***] days of receipt.</w:t>
      </w:r>
    </w:p>
    <w:p>
      <w:pPr>
        <w:spacing w:after="0" w:line="137"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9.5 Blocked Currency</w:t>
      </w:r>
      <w:r>
        <w:rPr>
          <w:rFonts w:ascii="Times New Roman" w:cs="Times New Roman" w:eastAsia="Times New Roman" w:hAnsi="Times New Roman"/>
          <w:sz w:val="19"/>
          <w:szCs w:val="19"/>
          <w:color w:val="auto"/>
        </w:rPr>
        <w:t>. In the event that, by reason of Applicable Law in any country or region, it becomes impossible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illegal, after reasonable efforts by Licensee to do so, for Licensee or its Affiliate to transfer, or have transferred on its behalf, payments owed Duality hereunder, Licensee shall promptly notify Duality of the conditions preventing such transfer and such payments will be deposited in local currency in the relevant country or region to the credit of Duality in a recognized banking institution designated by Duality provided such arrangements are legal under all Applicable Laws.</w:t>
      </w:r>
    </w:p>
    <w:p>
      <w:pPr>
        <w:spacing w:after="0" w:line="133" w:lineRule="exact"/>
        <w:rPr>
          <w:sz w:val="20"/>
          <w:szCs w:val="20"/>
          <w:color w:val="auto"/>
        </w:rPr>
      </w:pPr>
    </w:p>
    <w:p>
      <w:pPr>
        <w:jc w:val="both"/>
        <w:ind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9.6 Records; Audits</w:t>
      </w:r>
      <w:r>
        <w:rPr>
          <w:rFonts w:ascii="Times New Roman" w:cs="Times New Roman" w:eastAsia="Times New Roman" w:hAnsi="Times New Roman"/>
          <w:sz w:val="19"/>
          <w:szCs w:val="19"/>
          <w:color w:val="auto"/>
        </w:rPr>
        <w:t>. Licensee shall keep, and require its Affiliates and Sublicensees to keep, complete, fair and true books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accounts and records for the purpose of determining the amounts payable to Duality pursuant to this Agreement. Such books and records shall be kept for at least [***] Years following the end of the Calendar Year to which they pertain. Duality shall have the right to cause an independent, certified public accountant reasonably acceptable to Licensee to audit such records to confirm Net Sales, royalties and other payments for a period covering not more than the preceding [***] Years; provided that (a) such audit shall not be more frequent than once in any [***] month period, and (b) once such accountant has conducted a review and audit of any records pursuant to this Section 9.6 in respect of any given period, it may not subsequently re-inspect such records with respect to such period, unless, in each case of (a) and (b), for cause. Prior to engagement by an independent, certified public accountant, such accountant must have executed and delivered to Licensee and its Affiliates a confidentiality agreement as reasonably requested by Licensee, which will include provisions limiting such accountant’s disclosure to Duality to only the results and basis for such results of such inspection. Such audits may be exercised during normal business hours upon reasonable prior written notice to Licensee. Prompt adjustments shall be made by the Parties to reflect the results of such audit. Duality shall bear the full cost of such audit unless such audit discloses an underpayment by Licensee of more than [***] of the amount of royalties or other payments due under this Agreement for any applicable Calendar Quarter, in which case, Licensee shall bear the cost of such audit and shall promptly remit to Duality the amount of any underpayment. Any overpayment by Licensee revealed by an audit shall be fully -creditable against future payment owed by Licensee to Duality (and if no further payments are due, shall be refunded by Duality at the request of Licensee). Any underpayment by Licensee identified by an audit shall not be subject to Section 9.7.</w:t>
      </w:r>
    </w:p>
    <w:p>
      <w:pPr>
        <w:spacing w:after="0" w:line="145"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9.7 Late Payments</w:t>
      </w:r>
      <w:r>
        <w:rPr>
          <w:rFonts w:ascii="Times New Roman" w:cs="Times New Roman" w:eastAsia="Times New Roman" w:hAnsi="Times New Roman"/>
          <w:sz w:val="19"/>
          <w:szCs w:val="19"/>
          <w:color w:val="auto"/>
        </w:rPr>
        <w:t>. In the event that either Party fails to make any payment due under this Agreement (save as set out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9.6), simple interest shall thereafter accrue on the sum due from the due date until the date of payment 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5" w:name="page736"/>
    <w:bookmarkEnd w:id="735"/>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Article 10</w:t>
      </w:r>
    </w:p>
    <w:p>
      <w:pPr>
        <w:ind w:left="4360"/>
        <w:spacing w:after="0"/>
        <w:rPr>
          <w:sz w:val="20"/>
          <w:szCs w:val="20"/>
          <w:color w:val="auto"/>
        </w:rPr>
      </w:pPr>
      <w:r>
        <w:rPr>
          <w:rFonts w:ascii="Times New Roman" w:cs="Times New Roman" w:eastAsia="Times New Roman" w:hAnsi="Times New Roman"/>
          <w:sz w:val="19"/>
          <w:szCs w:val="19"/>
          <w:b w:val="1"/>
          <w:bCs w:val="1"/>
          <w:color w:val="auto"/>
        </w:rPr>
        <w:t>CONFIDENTIALITY</w:t>
      </w:r>
    </w:p>
    <w:p>
      <w:pPr>
        <w:spacing w:after="0" w:line="142" w:lineRule="exact"/>
        <w:rPr>
          <w:sz w:val="20"/>
          <w:szCs w:val="20"/>
          <w:color w:val="auto"/>
        </w:rPr>
      </w:pPr>
    </w:p>
    <w:p>
      <w:pPr>
        <w:jc w:val="both"/>
        <w:ind w:firstLine="576"/>
        <w:spacing w:after="0" w:line="218" w:lineRule="auto"/>
        <w:rPr>
          <w:sz w:val="20"/>
          <w:szCs w:val="20"/>
          <w:color w:val="auto"/>
        </w:rPr>
      </w:pPr>
      <w:r>
        <w:rPr>
          <w:rFonts w:ascii="Times New Roman" w:cs="Times New Roman" w:eastAsia="Times New Roman" w:hAnsi="Times New Roman"/>
          <w:sz w:val="19"/>
          <w:szCs w:val="19"/>
          <w:b w:val="1"/>
          <w:bCs w:val="1"/>
          <w:color w:val="auto"/>
        </w:rPr>
        <w:t>10.1 Confidential Information</w:t>
      </w:r>
      <w:r>
        <w:rPr>
          <w:rFonts w:ascii="Times New Roman" w:cs="Times New Roman" w:eastAsia="Times New Roman" w:hAnsi="Times New Roman"/>
          <w:sz w:val="19"/>
          <w:szCs w:val="19"/>
          <w:color w:val="auto"/>
        </w:rPr>
        <w:t>. Except to the extent expressly authorized by this Agreement or otherwise agreed in writing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each Party (in such capacity, the “</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xml:space="preserve"> ”) agrees that, during the Term and for [***] years thereafter, it shall keep confidential and shall not publish or otherwise disclose to any Third Party, and shall not use for any purpose other than as expressly provided for in this Agreement or any other written agreement between the Parties, any Confidential Information, including any Know-How, furnished or made available to it by or on behalf of the other Party (in such capacity, the “ </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 The Receiving Party shall use at least the same standard of care as it uses to protect proprietary or confidential information of its own (but in no event less than reasonable care) to ensure that its, and its Affiliates’, employees, agents, contractors, consultants and other representatives do not disclose or make any unauthorized use of the Confidential Information. The Receiving Party shall promptly notify the Disclosing Party upon discovery of any unauthorized use or disclosure of the Disclosing Party’s Confidential Information.</w:t>
      </w:r>
    </w:p>
    <w:p>
      <w:pPr>
        <w:spacing w:after="0" w:line="134"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10. 2 Exceptions</w:t>
      </w:r>
      <w:r>
        <w:rPr>
          <w:rFonts w:ascii="Times New Roman" w:cs="Times New Roman" w:eastAsia="Times New Roman" w:hAnsi="Times New Roman"/>
          <w:sz w:val="19"/>
          <w:szCs w:val="19"/>
          <w:color w:val="auto"/>
        </w:rPr>
        <w:t>. Confidential Information shall not include any information which the Receiving Party can prove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evidence: (a) is at the time of disclosure, or thereafter becomes, through no act or failure to act on the part of the Receiving Party, generally known or available to the public or part of the public domain; (b) is known by the Receiving Party and/or any of its Affiliates at the time of receiving such information, as evidenced by its records; (c) is hereafter furnished to the Receiving Party and/or any of its Affiliates by a Third Party, as a matter of right and without restriction on disclosure; or (d) is independently discovered or developed by the Receiving Party and/or any of its Affiliates, without the use of or reference to Confidential Information of the Disclosing Party.</w:t>
      </w:r>
    </w:p>
    <w:p>
      <w:pPr>
        <w:spacing w:after="0" w:line="22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10.3 Authorized Disclosure</w:t>
      </w:r>
      <w:r>
        <w:rPr>
          <w:rFonts w:ascii="Times New Roman" w:cs="Times New Roman" w:eastAsia="Times New Roman" w:hAnsi="Times New Roman"/>
          <w:sz w:val="19"/>
          <w:szCs w:val="19"/>
          <w:color w:val="auto"/>
        </w:rPr>
        <w:t>. Notwithstanding the provisions of Section 10.1, the Receiving Party may disclose Confidential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of the Disclosing Party as expressly permitted by this Agreement, or if and to the extent such disclosure is reasonably necessary in the following instances:</w:t>
      </w:r>
    </w:p>
    <w:p>
      <w:pPr>
        <w:spacing w:after="0" w:line="134" w:lineRule="exact"/>
        <w:rPr>
          <w:sz w:val="20"/>
          <w:szCs w:val="20"/>
          <w:color w:val="auto"/>
        </w:rPr>
      </w:pPr>
    </w:p>
    <w:p>
      <w:pPr>
        <w:ind w:left="1740" w:hanging="726"/>
        <w:spacing w:after="0"/>
        <w:tabs>
          <w:tab w:leader="none" w:pos="1740" w:val="left"/>
        </w:tabs>
        <w:numPr>
          <w:ilvl w:val="0"/>
          <w:numId w:val="7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filing or prosecuting or defending Patents as permitted by this Agreement;</w:t>
      </w:r>
    </w:p>
    <w:p>
      <w:pPr>
        <w:spacing w:after="0" w:line="165"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7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required in connection with any judicial, regulatory or administrative process relating to or arising from this Agreement (including any enforcement hereof) or to comply with applicable court orders;</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7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Affiliates, employees, contractors, consultants or agents of the Receiving Party who have a need to know such information in order for the Receiving Party to exercise its rights or fulfill its obligations under this Agreement; provided, in each case, that any such Affiliate, actual or potential licensee or Sublicensee, employee, contractor, consultant or agent agrees to be bound by terms of confidentiality and non-use comparable in scope to those set forth in this Article 10;</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23" w:lineRule="auto"/>
        <w:tabs>
          <w:tab w:leader="none" w:pos="1736" w:val="left"/>
        </w:tabs>
        <w:numPr>
          <w:ilvl w:val="0"/>
          <w:numId w:val="7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disclosure is made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are bound by confidentiality and non-use obligations consistent with the confidentiality provisions of this Agreement as they apply to the Receiving Party (provided, however, that in the case of financial advisers, including investment bankers, the term of confidentiality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6" w:name="page737"/>
    <w:bookmarkEnd w:id="736"/>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shortened to [***] years from the date of disclosure and in the case of attorneys, no written agreement shall be required);</w:t>
      </w:r>
    </w:p>
    <w:p>
      <w:pPr>
        <w:spacing w:after="0" w:line="166" w:lineRule="exact"/>
        <w:rPr>
          <w:sz w:val="20"/>
          <w:szCs w:val="20"/>
          <w:color w:val="auto"/>
        </w:rPr>
      </w:pPr>
    </w:p>
    <w:p>
      <w:pPr>
        <w:jc w:val="both"/>
        <w:ind w:left="440" w:right="20" w:firstLine="574"/>
        <w:spacing w:after="0" w:line="223" w:lineRule="auto"/>
        <w:tabs>
          <w:tab w:leader="none" w:pos="1736" w:val="left"/>
        </w:tabs>
        <w:numPr>
          <w:ilvl w:val="0"/>
          <w:numId w:val="7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existing investors, acquirors or collaborators or potential bona fide investors, acquirors, licensees, Sublicensees or collaborators in connection with due diligence or similar investigations by such Third Parties; provided, in each case, that any such existing or potential investor, acquiror, licensees, Sublicensees or collaborator agrees to be bound by confidentiality and non-use obligations consistent with those contained in this Agreement as they apply to the Receiving Party (but of duration customary in confidentiality agreements entered into for similar purpose);</w:t>
      </w:r>
    </w:p>
    <w:p>
      <w:pPr>
        <w:spacing w:after="0" w:line="137" w:lineRule="exact"/>
        <w:rPr>
          <w:rFonts w:ascii="Times New Roman" w:cs="Times New Roman" w:eastAsia="Times New Roman" w:hAnsi="Times New Roman"/>
          <w:sz w:val="19"/>
          <w:szCs w:val="19"/>
          <w:color w:val="auto"/>
        </w:rPr>
      </w:pPr>
    </w:p>
    <w:p>
      <w:pPr>
        <w:ind w:left="440" w:right="40" w:firstLine="574"/>
        <w:spacing w:after="0" w:line="246" w:lineRule="auto"/>
        <w:tabs>
          <w:tab w:leader="none" w:pos="1736" w:val="left"/>
        </w:tabs>
        <w:numPr>
          <w:ilvl w:val="0"/>
          <w:numId w:val="7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Regulatory Authorities as required by Applicable Laws in relation to Regulatory Approvals and regulatory procedures, proceedings and other filings;</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21" w:lineRule="auto"/>
        <w:tabs>
          <w:tab w:leader="none" w:pos="1736" w:val="left"/>
        </w:tabs>
        <w:numPr>
          <w:ilvl w:val="0"/>
          <w:numId w:val="7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(i) Governmental Authorities to the extent useful or necessary to make regulatory filings and obtain or maintain Regulatory Approvals (including fulfilling post-approval regulatory obligations) for any Licensed Product; (ii) Governmental Authorities, technical committees or similar public health or scientific bodies for purposes of securing product use recommendations, tenders, direct procurement contracts or responding to relevant requests for information; (iii) comply with Applicable Laws with respect to performance under this Agreement; and (iv) to Governmental Authorities in order to respond to inquiries, requests or investigations relating to Licensed Products or this Agreement; and</w:t>
      </w:r>
    </w:p>
    <w:p>
      <w:pPr>
        <w:spacing w:after="0" w:line="137"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mutually agreed to by the Parties in writing.</w:t>
      </w:r>
    </w:p>
    <w:p>
      <w:pPr>
        <w:spacing w:after="0" w:line="166" w:lineRule="exact"/>
        <w:rPr>
          <w:sz w:val="20"/>
          <w:szCs w:val="20"/>
          <w:color w:val="auto"/>
        </w:rPr>
      </w:pPr>
    </w:p>
    <w:p>
      <w:pPr>
        <w:jc w:val="both"/>
        <w:ind w:firstLine="576"/>
        <w:spacing w:after="0" w:line="220" w:lineRule="auto"/>
        <w:rPr>
          <w:sz w:val="20"/>
          <w:szCs w:val="20"/>
          <w:color w:val="auto"/>
        </w:rPr>
      </w:pPr>
      <w:r>
        <w:rPr>
          <w:rFonts w:ascii="Times New Roman" w:cs="Times New Roman" w:eastAsia="Times New Roman" w:hAnsi="Times New Roman"/>
          <w:sz w:val="19"/>
          <w:szCs w:val="19"/>
          <w:color w:val="auto"/>
        </w:rPr>
        <w:t>Notwithstanding the foregoing, in the event a Party is required to make a disclosure of the other Party’s Confidential Information pursuant to Section 10.3(a) or Section 10.3(b), it will, except where impracticable for necessary disclosures, give reasonable advance notice to the other Party of such disclosure requirement and will use its reasonable efforts to secure and cooperate with the other Party, as necessary, to seek and obtain confidential treatment of such Confidential Information required to be disclosed to the extent legally permissible and will limit the disclosure of that Confidential Information required to be disclosure to (i) to advisors (including lawyers and accountants) or Governmental Authorities on a need to know basis, in each case under appropriate confidentiality provisions or professional standards of confidentiality substantially equivalent to those of this Agreement, or (ii) to the extent agreed to by the Parties.</w:t>
      </w:r>
    </w:p>
    <w:p>
      <w:pPr>
        <w:spacing w:after="0" w:line="133"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10.4</w:t>
        <w:tab/>
        <w:t>Pubic Announcements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726"/>
        <w:spacing w:after="0"/>
        <w:tabs>
          <w:tab w:leader="none" w:pos="1740" w:val="left"/>
        </w:tabs>
        <w:numPr>
          <w:ilvl w:val="0"/>
          <w:numId w:val="7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Press Releases and Publicity</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580" w:firstLine="578"/>
        <w:spacing w:after="0"/>
        <w:tabs>
          <w:tab w:leader="none" w:pos="1720" w:val="left"/>
        </w:tabs>
        <w:numPr>
          <w:ilvl w:val="1"/>
          <w:numId w:val="7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following the Effective Date and on a date mutually agreed by the Parties, Duality shall issue a press release announcing the execution of this Agreement in substantially the form attached hereto as </w:t>
      </w:r>
      <w:r>
        <w:rPr>
          <w:rFonts w:ascii="Times New Roman" w:cs="Times New Roman" w:eastAsia="Times New Roman" w:hAnsi="Times New Roman"/>
          <w:sz w:val="19"/>
          <w:szCs w:val="19"/>
          <w:b w:val="1"/>
          <w:bCs w:val="1"/>
          <w:color w:val="auto"/>
        </w:rPr>
        <w:t>Schedule 10.4</w:t>
      </w:r>
      <w:r>
        <w:rPr>
          <w:rFonts w:ascii="Times New Roman" w:cs="Times New Roman" w:eastAsia="Times New Roman" w:hAnsi="Times New Roman"/>
          <w:sz w:val="19"/>
          <w:szCs w:val="19"/>
          <w:color w:val="auto"/>
        </w:rPr>
        <w:t>. Except as required by applicable securities laws (including disclosure requirements of the U.S.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or any stock exchange on which securities issued by a Party or its Affiliates are traded), neither Party shall make any other public announcement or statement, whether oral or written, concerning this Agreement or the subject matter hereof without the prior written consent of the other Party, which shall not be unreasonably withheld, conditioned or delayed; provided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other Party pursuant to this Section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39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37" w:name="page738"/>
    <w:bookmarkEnd w:id="737"/>
    <w:p>
      <w:pPr>
        <w:spacing w:after="0" w:line="25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and which do not reveal non-public information about the other Party.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Licensee shall have final decision making authority in respect of the proposed text of any required public announcement relating to the Licensed Product in the Territory and Retained Territory.</w:t>
      </w:r>
    </w:p>
    <w:p>
      <w:pPr>
        <w:spacing w:after="0" w:line="137" w:lineRule="exact"/>
        <w:rPr>
          <w:sz w:val="20"/>
          <w:szCs w:val="20"/>
          <w:color w:val="auto"/>
        </w:rPr>
      </w:pPr>
    </w:p>
    <w:p>
      <w:pPr>
        <w:jc w:val="both"/>
        <w:ind w:firstLine="578"/>
        <w:spacing w:after="0" w:line="218" w:lineRule="auto"/>
        <w:tabs>
          <w:tab w:leader="none" w:pos="1152" w:val="left"/>
        </w:tabs>
        <w:numPr>
          <w:ilvl w:val="1"/>
          <w:numId w:val="7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termination of this Agreement for any reason, if in the reasonable opinion of the either Party’s legal counsel, public disclosure of such termination is required under the Applicable Law or the rules of a stock exchange on which the securities of either Party (or any controlling Affiliate of such Party) are listed (or to which an application for listing has been submitted), the Parties shall cooperate in good faith to coordinate public disclosure, if any, of such termination and the reasons therefor. The principles to be observed in such disclosures shall be accuracy, compliance with Applicable Law, the rules of the applicable stock exchange and regulatory guidance documents, and reasonable sensitivity to potential negative investor reaction to such news and neither Party shall make any other public announcement or statement, whether oral or written, concerning the termination of this Agreement without the prior written consent of the other Party, which shall not be unreasonably withheld, conditioned or delayed.</w:t>
      </w:r>
    </w:p>
    <w:p>
      <w:pPr>
        <w:spacing w:after="0" w:line="134" w:lineRule="exact"/>
        <w:rPr>
          <w:rFonts w:ascii="Times New Roman" w:cs="Times New Roman" w:eastAsia="Times New Roman" w:hAnsi="Times New Roman"/>
          <w:sz w:val="19"/>
          <w:szCs w:val="19"/>
          <w:color w:val="auto"/>
        </w:rPr>
      </w:pPr>
    </w:p>
    <w:p>
      <w:pPr>
        <w:jc w:val="both"/>
        <w:ind w:firstLine="578"/>
        <w:spacing w:after="0"/>
        <w:tabs>
          <w:tab w:leader="none" w:pos="1152" w:val="left"/>
        </w:tabs>
        <w:numPr>
          <w:ilvl w:val="1"/>
          <w:numId w:val="7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10.4, and subject to Section 10.5, the Parties have the right to publicly disclose (A) the achievement of milestones under this Agreement; and (B) the commencement, completion, material data and key results of Clinical Trials conducted under this Agreement. After a publication has been made available to the public, each Party may post such publication or a link to it on its corporate web site without the prior written consent of the other Party.</w:t>
      </w:r>
    </w:p>
    <w:p>
      <w:pPr>
        <w:spacing w:after="0" w:line="276" w:lineRule="exact"/>
        <w:rPr>
          <w:rFonts w:ascii="Times New Roman" w:cs="Times New Roman" w:eastAsia="Times New Roman" w:hAnsi="Times New Roman"/>
          <w:sz w:val="19"/>
          <w:szCs w:val="19"/>
          <w:color w:val="auto"/>
        </w:rPr>
      </w:pPr>
    </w:p>
    <w:p>
      <w:pPr>
        <w:jc w:val="both"/>
        <w:ind w:left="-140" w:firstLine="574"/>
        <w:spacing w:after="0" w:line="218" w:lineRule="auto"/>
        <w:tabs>
          <w:tab w:leader="none" w:pos="1156" w:val="left"/>
        </w:tabs>
        <w:numPr>
          <w:ilvl w:val="0"/>
          <w:numId w:val="7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Filing of this Agreement</w:t>
      </w:r>
      <w:r>
        <w:rPr>
          <w:rFonts w:ascii="Times New Roman" w:cs="Times New Roman" w:eastAsia="Times New Roman" w:hAnsi="Times New Roman"/>
          <w:sz w:val="19"/>
          <w:szCs w:val="19"/>
          <w:color w:val="auto"/>
        </w:rPr>
        <w:t>. The Parties shall coordinate in advance with each other in connection with the filing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(including redaction of certain provisions of this Agreement) with the SEC or any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or any stock exchange or other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or any stock exchange or other governmental agency.</w:t>
      </w:r>
    </w:p>
    <w:p>
      <w:pPr>
        <w:spacing w:after="0" w:line="1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b w:val="1"/>
          <w:bCs w:val="1"/>
          <w:color w:val="auto"/>
        </w:rPr>
        <w:t>10.5</w:t>
        <w:tab/>
        <w:t>Publication</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140" w:right="20" w:firstLine="574"/>
        <w:spacing w:after="0" w:line="220" w:lineRule="auto"/>
        <w:tabs>
          <w:tab w:leader="none" w:pos="1156" w:val="left"/>
        </w:tabs>
        <w:numPr>
          <w:ilvl w:val="0"/>
          <w:numId w:val="7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either Party proposes to publicly present or publish, in any publication or venue, in their respective Territories, any Clinical Trial data, non-clinical data or any associated results or conclusions generated by or on behalf of Licensee pursuant to Clinical Trials (each such proposed presentation or publication, a “</w:t>
      </w:r>
      <w:r>
        <w:rPr>
          <w:rFonts w:ascii="Times New Roman" w:cs="Times New Roman" w:eastAsia="Times New Roman" w:hAnsi="Times New Roman"/>
          <w:sz w:val="19"/>
          <w:szCs w:val="19"/>
          <w:b w:val="1"/>
          <w:bCs w:val="1"/>
          <w:color w:val="auto"/>
        </w:rPr>
        <w:t>Proposed Publication</w:t>
      </w:r>
      <w:r>
        <w:rPr>
          <w:rFonts w:ascii="Times New Roman" w:cs="Times New Roman" w:eastAsia="Times New Roman" w:hAnsi="Times New Roman"/>
          <w:sz w:val="19"/>
          <w:szCs w:val="19"/>
          <w:color w:val="auto"/>
        </w:rPr>
        <w:t>”), it shall obtain the other Party’s prior written consent and otherwise comply with this Section 10.5. The proposing Party shall provide the other Party with a copy of such Proposed Publication at least [***] days prior to the earlier of its presentation or intended submission for publication; provided that in the case of abstracts, this period shall be at least [***] Days (such applicable period, the “</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The proposing Party agrees that it will not submit or present any Proposed Publication (i) until the other Party has provided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000"/>
          </w:cols>
          <w:pgMar w:left="1240" w:top="1440" w:right="660" w:bottom="1440" w:gutter="0" w:footer="0" w:header="0"/>
        </w:sectPr>
      </w:pPr>
    </w:p>
    <w:bookmarkStart w:id="738" w:name="page739"/>
    <w:bookmarkEnd w:id="738"/>
    <w:p>
      <w:pPr>
        <w:spacing w:after="0" w:line="257" w:lineRule="exact"/>
        <w:rPr>
          <w:sz w:val="20"/>
          <w:szCs w:val="20"/>
          <w:color w:val="auto"/>
        </w:rPr>
      </w:pPr>
    </w:p>
    <w:p>
      <w:pPr>
        <w:jc w:val="both"/>
        <w:ind w:left="440" w:right="20"/>
        <w:spacing w:after="0" w:line="215" w:lineRule="auto"/>
        <w:rPr>
          <w:sz w:val="20"/>
          <w:szCs w:val="20"/>
          <w:color w:val="auto"/>
        </w:rPr>
      </w:pPr>
      <w:r>
        <w:rPr>
          <w:rFonts w:ascii="Times New Roman" w:cs="Times New Roman" w:eastAsia="Times New Roman" w:hAnsi="Times New Roman"/>
          <w:sz w:val="19"/>
          <w:szCs w:val="19"/>
          <w:color w:val="auto"/>
        </w:rPr>
        <w:t>comments during such Review Period on the material in such Proposed Publication or (ii) until the applicable Review Period (as may be extended by subsection (C) below) has elapsed without written comments from the other Party, in which case the proposing Party may proceed and the Proposed Publication will be considered approved in its entirety. If the proposing Party receives written comments from the other Party during the applicable Review Period, it shall consider the comments of the other Party in good faith, but will retain the sole authority to submit the manuscript for such Proposed Publication; provided that the proposing Party agrees to (A) delete any Confidential Information of the other Party that the other Party identifies for deletion in the other Party’s written comments, (B) delete any Clinical Trial data, non-clinical data, results, conclusions or other related information that is not specific to or resulting from any Clinical Trial conducted in the proposing Party’s territory, and (C) delay such Proposed Publication for a period of up to an additional [***] days after the end of the applicable Review Period to enable the other Party to draft and file patents with respect to any subject matter to be made public in such Proposed Publication and to which the other Party has the applicable intellectual property rights to file such patents. The proposing Party shall provide the other Party a copy of the Proposed Publication at the time of the submission or presentation. The proposing Party shall require its Affiliates, (sub)licensees (in case that Duality is the proposing Party), Sublicensees (in case that Licensee is the proposing Party) and contractors to comply with the obligations of this Section 10.5 as if they were the proposing Party, and shall be liable for their non-compliance.</w:t>
      </w:r>
    </w:p>
    <w:p>
      <w:pPr>
        <w:spacing w:after="0" w:line="139" w:lineRule="exact"/>
        <w:rPr>
          <w:sz w:val="20"/>
          <w:szCs w:val="20"/>
          <w:color w:val="auto"/>
        </w:rPr>
      </w:pPr>
    </w:p>
    <w:p>
      <w:pPr>
        <w:jc w:val="both"/>
        <w:ind w:right="4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10.6 Publication and Listing of Clinical Trials</w:t>
      </w:r>
      <w:r>
        <w:rPr>
          <w:rFonts w:ascii="Times New Roman" w:cs="Times New Roman" w:eastAsia="Times New Roman" w:hAnsi="Times New Roman"/>
          <w:sz w:val="19"/>
          <w:szCs w:val="19"/>
          <w:color w:val="auto"/>
        </w:rPr>
        <w:t>. Each Party agrees to comply, with respect to the listing of Clinical Trials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publication of Clinical Trial information and results with respect to Licensed Products and to the extent applicable to its activities conducted under this Agreement, with any Applicable Law or applicable court order, stipulations, consent agreements and settlements entered into by such Party; provided that any listings or publications made pursuant to this Section 10.6 shall be considered a publication hereunder and shall be subject to Section 10.5.</w:t>
      </w:r>
    </w:p>
    <w:p>
      <w:pPr>
        <w:spacing w:after="0" w:line="133" w:lineRule="exact"/>
        <w:rPr>
          <w:sz w:val="20"/>
          <w:szCs w:val="20"/>
          <w:color w:val="auto"/>
        </w:rPr>
      </w:pPr>
    </w:p>
    <w:p>
      <w:pPr>
        <w:jc w:val="both"/>
        <w:ind w:right="4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10.7 Prior Non-Disclosure Agreement</w:t>
      </w:r>
      <w:r>
        <w:rPr>
          <w:rFonts w:ascii="Times New Roman" w:cs="Times New Roman" w:eastAsia="Times New Roman" w:hAnsi="Times New Roman"/>
          <w:sz w:val="19"/>
          <w:szCs w:val="19"/>
          <w:color w:val="auto"/>
        </w:rPr>
        <w:t>. As of the Effective Date, the terms of this Article 10 shall supersede any prior non-disclosure, secrecy or confidentiality agreement between the Parties (or their Affiliates) to the extent dealing with the subject of this Agreement. Any information disclosed pursuant to any such prior agreement relating to the subject to this Agreement shall be deemed Confidential Information for purposes of this Agreement.</w:t>
      </w:r>
    </w:p>
    <w:p>
      <w:pPr>
        <w:spacing w:after="0" w:line="134" w:lineRule="exact"/>
        <w:rPr>
          <w:sz w:val="20"/>
          <w:szCs w:val="20"/>
          <w:color w:val="auto"/>
        </w:rPr>
      </w:pPr>
    </w:p>
    <w:p>
      <w:pPr>
        <w:jc w:val="both"/>
        <w:ind w:right="4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10.8 Equitable Relief</w:t>
      </w:r>
      <w:r>
        <w:rPr>
          <w:rFonts w:ascii="Times New Roman" w:cs="Times New Roman" w:eastAsia="Times New Roman" w:hAnsi="Times New Roman"/>
          <w:sz w:val="19"/>
          <w:szCs w:val="19"/>
          <w:color w:val="auto"/>
        </w:rPr>
        <w:t>. Given the nature of the Confidential Information and the competitive damage that would result 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upon unauthorized disclosure, use or transfer of its Confidential Information to any Third Party, the Parties agree that monetary damages would not be a sufficient remedy for any breach of this Article 10. In addition to all other remedies, a Party shall be entitled to seek specific performance and injunctive and other equitable relief as a remedy for any breach or threatened breach of this Article 10.</w:t>
      </w:r>
    </w:p>
    <w:p>
      <w:pPr>
        <w:spacing w:after="0" w:line="200" w:lineRule="exact"/>
        <w:rPr>
          <w:sz w:val="20"/>
          <w:szCs w:val="20"/>
          <w:color w:val="auto"/>
        </w:rPr>
      </w:pPr>
    </w:p>
    <w:p>
      <w:pPr>
        <w:spacing w:after="0" w:line="3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11</w:t>
      </w:r>
    </w:p>
    <w:p>
      <w:pPr>
        <w:ind w:left="2080"/>
        <w:spacing w:after="0"/>
        <w:rPr>
          <w:sz w:val="20"/>
          <w:szCs w:val="20"/>
          <w:color w:val="auto"/>
        </w:rPr>
      </w:pPr>
      <w:r>
        <w:rPr>
          <w:rFonts w:ascii="Times New Roman" w:cs="Times New Roman" w:eastAsia="Times New Roman" w:hAnsi="Times New Roman"/>
          <w:sz w:val="19"/>
          <w:szCs w:val="19"/>
          <w:b w:val="1"/>
          <w:bCs w:val="1"/>
          <w:color w:val="auto"/>
        </w:rPr>
        <w:t>REPRESENTATIONS AND WARRANTIES; LIMITATION OF LIABILITY</w:t>
      </w:r>
    </w:p>
    <w:p>
      <w:pPr>
        <w:spacing w:after="0" w:line="142"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11.1</w:t>
        <w:tab/>
        <w:t>Mutual Representations and Warranties</w:t>
      </w:r>
      <w:r>
        <w:rPr>
          <w:rFonts w:ascii="Times New Roman" w:cs="Times New Roman" w:eastAsia="Times New Roman" w:hAnsi="Times New Roman"/>
          <w:sz w:val="19"/>
          <w:szCs w:val="19"/>
          <w:color w:val="auto"/>
        </w:rPr>
        <w:t>. Each Party represents and warrants to the other that, as of the Effective Date:</w:t>
      </w:r>
    </w:p>
    <w:p>
      <w:pPr>
        <w:spacing w:after="0" w:line="168" w:lineRule="exact"/>
        <w:rPr>
          <w:sz w:val="20"/>
          <w:szCs w:val="20"/>
          <w:color w:val="auto"/>
        </w:rPr>
      </w:pPr>
    </w:p>
    <w:p>
      <w:pPr>
        <w:ind w:left="440" w:firstLine="574"/>
        <w:spacing w:after="0" w:line="246" w:lineRule="auto"/>
        <w:tabs>
          <w:tab w:leader="none" w:pos="1736" w:val="left"/>
        </w:tabs>
        <w:numPr>
          <w:ilvl w:val="0"/>
          <w:numId w:val="7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600"/>
          </w:cols>
          <w:pgMar w:left="660" w:top="1440" w:right="640" w:bottom="1440" w:gutter="0" w:footer="0" w:header="0"/>
        </w:sectPr>
      </w:pPr>
    </w:p>
    <w:bookmarkStart w:id="739" w:name="page740"/>
    <w:bookmarkEnd w:id="739"/>
    <w:p>
      <w:pPr>
        <w:spacing w:after="0" w:line="257" w:lineRule="exact"/>
        <w:rPr>
          <w:sz w:val="20"/>
          <w:szCs w:val="20"/>
          <w:color w:val="auto"/>
        </w:rPr>
      </w:pPr>
    </w:p>
    <w:p>
      <w:pPr>
        <w:jc w:val="both"/>
        <w:ind w:left="440" w:firstLine="574"/>
        <w:spacing w:after="0" w:line="246" w:lineRule="auto"/>
        <w:tabs>
          <w:tab w:leader="none" w:pos="1736" w:val="left"/>
        </w:tabs>
        <w:numPr>
          <w:ilvl w:val="0"/>
          <w:numId w:val="7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duly authorized to execute and deliver this Agreement and to perform its obligations hereunder, and the person or persons executing this Agreement on its behalf has been duly authorized to do so by all requisite corporate or partnership action;</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27" w:lineRule="auto"/>
        <w:tabs>
          <w:tab w:leader="none" w:pos="1736" w:val="left"/>
        </w:tabs>
        <w:numPr>
          <w:ilvl w:val="0"/>
          <w:numId w:val="7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legally binding upon it, enforceable in accordance with its terms, and does not (i) conflict with any agreement, instrument or understanding, oral or written, to which it is a party or by which it may be bound, (ii) conflict with or result in a breach of any provision of its organizational documents, or (iii) violate any material law or regulation of any court, governmental body or administrative or other agency having jurisdiction over it; and</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7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shall conduct, and shall cause its Affiliates and Sublicensees (in the case of Licensee) and sublicensees (in the case of Duality) to conduct all activities under this Agreement in compliance with all Applicable Laws, all applicable national and international guidelines and any Regulatory Authority and Governmental Authority health care programs having jurisdiction, each as may be amended from time to time.</w:t>
      </w:r>
    </w:p>
    <w:p>
      <w:pPr>
        <w:spacing w:after="0" w:line="132"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11.2</w:t>
        <w:tab/>
        <w:t>Additional Duality Representations and Warranties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9"/>
          <w:szCs w:val="19"/>
          <w:color w:val="auto"/>
        </w:rPr>
        <w:t xml:space="preserve">11.2.1 Duality represents and warrants to Licensee, as of the Effective Date and/or such any other date(s) expressly stated, subject to a Disclosure Schedule (attached here to as Schedule 11.2) (the “ </w:t>
      </w:r>
      <w:r>
        <w:rPr>
          <w:rFonts w:ascii="Times New Roman" w:cs="Times New Roman" w:eastAsia="Times New Roman" w:hAnsi="Times New Roman"/>
          <w:sz w:val="19"/>
          <w:szCs w:val="19"/>
          <w:b w:val="1"/>
          <w:bCs w:val="1"/>
          <w:color w:val="auto"/>
        </w:rPr>
        <w:t>Disclosure Schedule</w:t>
      </w:r>
      <w:r>
        <w:rPr>
          <w:rFonts w:ascii="Times New Roman" w:cs="Times New Roman" w:eastAsia="Times New Roman" w:hAnsi="Times New Roman"/>
          <w:sz w:val="19"/>
          <w:szCs w:val="19"/>
          <w:color w:val="auto"/>
        </w:rPr>
        <w:t>”), as may be updated as further described in Section</w:t>
      </w:r>
    </w:p>
    <w:p>
      <w:pPr>
        <w:spacing w:after="0"/>
        <w:rPr>
          <w:sz w:val="20"/>
          <w:szCs w:val="20"/>
          <w:color w:val="auto"/>
        </w:rPr>
      </w:pPr>
      <w:r>
        <w:rPr>
          <w:rFonts w:ascii="Times New Roman" w:cs="Times New Roman" w:eastAsia="Times New Roman" w:hAnsi="Times New Roman"/>
          <w:sz w:val="19"/>
          <w:szCs w:val="19"/>
          <w:color w:val="auto"/>
        </w:rPr>
        <w:t>11.8 below as follows: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9"/>
          <w:szCs w:val="19"/>
          <w:color w:val="auto"/>
        </w:rPr>
        <w:t>11.2.2</w:t>
        <w:tab/>
        <w:t>[***]</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9"/>
          <w:szCs w:val="19"/>
          <w:color w:val="auto"/>
        </w:rPr>
        <w:t>11.2.3</w:t>
        <w:tab/>
        <w:t>[***]</w:t>
      </w:r>
    </w:p>
    <w:p>
      <w:pPr>
        <w:spacing w:after="0" w:line="161"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11.3</w:t>
        <w:tab/>
        <w:t xml:space="preserve">Additional Licensee Representations and Warranties </w:t>
      </w:r>
      <w:r>
        <w:rPr>
          <w:rFonts w:ascii="Times New Roman" w:cs="Times New Roman" w:eastAsia="Times New Roman" w:hAnsi="Times New Roman"/>
          <w:sz w:val="19"/>
          <w:szCs w:val="19"/>
          <w:color w:val="auto"/>
        </w:rPr>
        <w:t>. Licensee represents and warrants to Duality, as of the Effective</w:t>
      </w: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11. 4 Mutual Covenants</w:t>
      </w:r>
      <w:r>
        <w:rPr>
          <w:rFonts w:ascii="Times New Roman" w:cs="Times New Roman" w:eastAsia="Times New Roman" w:hAnsi="Times New Roman"/>
          <w:sz w:val="19"/>
          <w:szCs w:val="19"/>
          <w:color w:val="auto"/>
        </w:rPr>
        <w:t>. In addition to any covenants made by the Parties elsewhere in this Agreement, each Party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to the other that:</w:t>
      </w:r>
    </w:p>
    <w:p>
      <w:pPr>
        <w:spacing w:after="0" w:line="125" w:lineRule="exact"/>
        <w:rPr>
          <w:sz w:val="20"/>
          <w:szCs w:val="20"/>
          <w:color w:val="auto"/>
        </w:rPr>
      </w:pPr>
    </w:p>
    <w:p>
      <w:pPr>
        <w:jc w:val="both"/>
        <w:ind w:left="440" w:firstLine="574"/>
        <w:spacing w:after="0" w:line="219" w:lineRule="auto"/>
        <w:tabs>
          <w:tab w:leader="none" w:pos="1736" w:val="left"/>
        </w:tabs>
        <w:numPr>
          <w:ilvl w:val="0"/>
          <w:numId w:val="7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all patient authorizations and consents required under Applicable Laws (in connection with any applicable clinical study) permit the granting of access of Data that such Party is required to provide to the other Party pursuant to Section 5.6, and (ii) it will comply with Applicable Laws in transferring personal and other Data in connection with the granting of access of Data that such Party is required to provide to the other Party pursuant to Section 5.6. Each Party will obtain all the necessary authorizations, consents and approvals in order for such Party to grant access to its Data with the other Party, including obtaining the necessary patient authorizations and consents, and obtaining the necessary approvals from and completing all necessary filing procedures with the applicable Governmental Authorities in the Territory and within the Retained Territory (to the extent required to preserve Licensee’s position in the Territory);</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32" w:lineRule="auto"/>
        <w:tabs>
          <w:tab w:leader="none" w:pos="1736" w:val="left"/>
        </w:tabs>
        <w:numPr>
          <w:ilvl w:val="0"/>
          <w:numId w:val="7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will not knowingly, during the Term, employ or use the services of any person who is debarred or disqualified in connection with activities relating to the Licensed Compound or Licensed Products; and in the event that it becomes aware of the debarment or disqualification or threatened debarment or disqualification of any person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40" w:name="page741"/>
    <w:bookmarkEnd w:id="740"/>
    <w:p>
      <w:pPr>
        <w:spacing w:after="0" w:line="257" w:lineRule="exact"/>
        <w:rPr>
          <w:sz w:val="20"/>
          <w:szCs w:val="20"/>
          <w:color w:val="auto"/>
        </w:rPr>
      </w:pPr>
    </w:p>
    <w:p>
      <w:pPr>
        <w:jc w:val="both"/>
        <w:ind w:left="440"/>
        <w:spacing w:after="0" w:line="232" w:lineRule="auto"/>
        <w:rPr>
          <w:sz w:val="20"/>
          <w:szCs w:val="20"/>
          <w:color w:val="auto"/>
        </w:rPr>
      </w:pPr>
      <w:r>
        <w:rPr>
          <w:rFonts w:ascii="Times New Roman" w:cs="Times New Roman" w:eastAsia="Times New Roman" w:hAnsi="Times New Roman"/>
          <w:sz w:val="19"/>
          <w:szCs w:val="19"/>
          <w:color w:val="auto"/>
        </w:rPr>
        <w:t>services to it with respect to any activities relating to the Licensed Compound or Licensed Products, it will immediately notify the other Party in writing and it will cease employing, contracting with, or retaining any such person to perform any services relating to the Licensed Compound or Licensed Products;</w:t>
      </w:r>
    </w:p>
    <w:p>
      <w:pPr>
        <w:spacing w:after="0" w:line="135" w:lineRule="exact"/>
        <w:rPr>
          <w:sz w:val="20"/>
          <w:szCs w:val="20"/>
          <w:color w:val="auto"/>
        </w:rPr>
      </w:pPr>
    </w:p>
    <w:p>
      <w:pPr>
        <w:jc w:val="both"/>
        <w:ind w:left="440" w:right="20" w:firstLine="574"/>
        <w:spacing w:after="0" w:line="223" w:lineRule="auto"/>
        <w:tabs>
          <w:tab w:leader="none" w:pos="1736" w:val="left"/>
        </w:tabs>
        <w:numPr>
          <w:ilvl w:val="0"/>
          <w:numId w:val="7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and shall cause its Affiliates, subcontractors, Sublicensees (in the case of Licensee) or sublicensees (in the case of Duality) to conduct all activities under this Agreement (including, as set forth in the Development Plan(s) and Commercialization Plan(s) (as may apply) with respect to the Licensed Products in the Field in the Territory) in compliance with all Applicable Laws, and any Regulatory Authority and Governmental Authority health care programs having jurisdiction, each as may be amended from time to time;</w:t>
      </w:r>
    </w:p>
    <w:p>
      <w:pPr>
        <w:spacing w:after="0" w:line="137" w:lineRule="exact"/>
        <w:rPr>
          <w:rFonts w:ascii="Times New Roman" w:cs="Times New Roman" w:eastAsia="Times New Roman" w:hAnsi="Times New Roman"/>
          <w:sz w:val="19"/>
          <w:szCs w:val="19"/>
          <w:color w:val="auto"/>
        </w:rPr>
      </w:pPr>
    </w:p>
    <w:p>
      <w:pPr>
        <w:ind w:left="440" w:right="20" w:firstLine="574"/>
        <w:spacing w:after="0" w:line="246" w:lineRule="auto"/>
        <w:tabs>
          <w:tab w:leader="none" w:pos="1736" w:val="left"/>
        </w:tabs>
        <w:numPr>
          <w:ilvl w:val="0"/>
          <w:numId w:val="7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conduct its obligations with respect to Development of the Licensed Products in the Territory in adherence with the Development Plan (including the Development Budget) as may be amended from time to time;</w:t>
      </w:r>
    </w:p>
    <w:p>
      <w:pPr>
        <w:spacing w:after="0" w:line="128"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comply, and ensure that shall use commercially reasonable efforts to cause its Affiliates, subcontractors and Sublicensees (in case of Licensee) or sublicensees (in case of Duality) to comply with and commit to uphold the ABC Terms in the performance of activities under this Agreement;</w:t>
      </w:r>
    </w:p>
    <w:p>
      <w:pPr>
        <w:spacing w:after="0" w:line="134" w:lineRule="exact"/>
        <w:rPr>
          <w:rFonts w:ascii="Times New Roman" w:cs="Times New Roman" w:eastAsia="Times New Roman" w:hAnsi="Times New Roman"/>
          <w:sz w:val="19"/>
          <w:szCs w:val="19"/>
          <w:color w:val="auto"/>
        </w:rPr>
      </w:pPr>
    </w:p>
    <w:p>
      <w:pPr>
        <w:jc w:val="both"/>
        <w:ind w:left="440" w:firstLine="574"/>
        <w:spacing w:after="0" w:line="221" w:lineRule="auto"/>
        <w:tabs>
          <w:tab w:leader="none" w:pos="1736" w:val="left"/>
        </w:tabs>
        <w:numPr>
          <w:ilvl w:val="0"/>
          <w:numId w:val="7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have (and shall ensure its Affiliates, Sublicensees (in the case of Licensee) or sublicensees (in the case of Duality) and subcontractors as applicable, have), at all times, a reasonably sufficient number of suitably qualified personnel to allow the Party (or its Affiliates or Sublicensees (in the case of Licensee) or sublicensees (in the case of Duality) or subcontractors, as applicable) to conduct, in compliance with all Development timeframes set out in the applicable Development Plans and GXPs, any Clinical Trials that the Party is required to conduct with respect to the Licensed Products in its territory, or in the other Party’s territory as permitted under this Agreement; and</w:t>
      </w:r>
    </w:p>
    <w:p>
      <w:pPr>
        <w:spacing w:after="0" w:line="137" w:lineRule="exact"/>
        <w:rPr>
          <w:rFonts w:ascii="Times New Roman" w:cs="Times New Roman" w:eastAsia="Times New Roman" w:hAnsi="Times New Roman"/>
          <w:sz w:val="19"/>
          <w:szCs w:val="19"/>
          <w:color w:val="auto"/>
        </w:rPr>
      </w:pPr>
    </w:p>
    <w:p>
      <w:pPr>
        <w:jc w:val="both"/>
        <w:ind w:left="440" w:firstLine="574"/>
        <w:spacing w:after="0" w:line="232" w:lineRule="auto"/>
        <w:tabs>
          <w:tab w:leader="none" w:pos="1736" w:val="left"/>
        </w:tabs>
        <w:numPr>
          <w:ilvl w:val="0"/>
          <w:numId w:val="7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not induce or solicit, or attempt to induce or solicit, any employees of the other Party or any of its Affiliates to leave the employment of, or to terminate his/her employment, services or engagement with, the other Party or its applicable Affiliate, or enter into any employment or services agreement or arrangement with such Party or any of its Affiliates.</w:t>
      </w:r>
    </w:p>
    <w:p>
      <w:pPr>
        <w:spacing w:after="0" w:line="133"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11.5 Duality Covenants. </w:t>
      </w:r>
      <w:r>
        <w:rPr>
          <w:rFonts w:ascii="Times New Roman" w:cs="Times New Roman" w:eastAsia="Times New Roman" w:hAnsi="Times New Roman"/>
          <w:sz w:val="19"/>
          <w:szCs w:val="19"/>
          <w:color w:val="auto"/>
        </w:rPr>
        <w:t>In addition to any covenants made by Duality elsewhere in this Agreement, Duality hereby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Licensee as follows:</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11.6 Performance by Affiliates, Sublicensees and Subcontractors </w:t>
      </w:r>
      <w:r>
        <w:rPr>
          <w:rFonts w:ascii="Times New Roman" w:cs="Times New Roman" w:eastAsia="Times New Roman" w:hAnsi="Times New Roman"/>
          <w:sz w:val="19"/>
          <w:szCs w:val="19"/>
          <w:color w:val="auto"/>
        </w:rPr>
        <w:t>. (a) Subject to Licensee’s prior written consent or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explicitly stated in the respective Development Plan or this Agreement, Duality may perform some or all of its respective obligations under this Agreement through one or more Affiliates, subcontractors or sublicensees, and (b) Licensee may perform some or all of its respective obligations under this Agreement through one or more Affiliates, subcontractors or Sublicensees; provided that with respect to the foregoing clauses (a) and (b), the Party involving its Affiliates, subcontractors or Sublicensees (in case of Licensee) or sublicensees (in case of Duality) shall at all times be fully responsible for the performance and payment of such Affiliate, subcontractor or Sublicensees (in case of Licensee) or sublicensees (in case of Duality).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41" w:name="page742"/>
    <w:bookmarkEnd w:id="741"/>
    <w:p>
      <w:pPr>
        <w:spacing w:after="0" w:line="255" w:lineRule="exact"/>
        <w:rPr>
          <w:sz w:val="20"/>
          <w:szCs w:val="20"/>
          <w:color w:val="auto"/>
        </w:rPr>
      </w:pPr>
    </w:p>
    <w:p>
      <w:pPr>
        <w:jc w:val="both"/>
        <w:ind w:right="8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11.7 Disclaimer</w:t>
      </w:r>
      <w:r>
        <w:rPr>
          <w:rFonts w:ascii="Times New Roman" w:cs="Times New Roman" w:eastAsia="Times New Roman" w:hAnsi="Times New Roman"/>
          <w:sz w:val="19"/>
          <w:szCs w:val="19"/>
          <w:color w:val="auto"/>
        </w:rPr>
        <w:t>. EXCEPT AS EXPRESSLY SET FORTH IN THIS AGREEMENT, THE TECHNOLOGY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INTELLECTUAL PROPERTY RIGHTS PROVIDED BY DUALITY TO LICENSEE HEREUNDER ARE PROVIDED “AS IS,” AND DUALITY EXPRESSLY DISCLAIMS ANY AND ALL WARRANTIES OF ANY KIND, EXPRESS OR IMPLIED, INCLUDING THE WARRANTIES OF DESIGN, MERCHANTABILITY, FITNESS FOR A PARTICULAR PURPOSE, OBTAINING SUCCESSFUL RESULTS, NON- INFRINGEMENT OF THE INTELLECTUAL PROPERTY RIGHTS OF THIRD PARTIES, OR ARISING FROM A COURSE OF DEALING, USAGE OR TRADE PRACTICES.</w:t>
      </w:r>
    </w:p>
    <w:p>
      <w:pPr>
        <w:spacing w:after="0" w:line="132"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11.8</w:t>
        <w:tab/>
        <w:t>Updated Disclosure Schedule</w:t>
      </w:r>
    </w:p>
    <w:p>
      <w:pPr>
        <w:spacing w:after="0" w:line="168" w:lineRule="exact"/>
        <w:rPr>
          <w:sz w:val="20"/>
          <w:szCs w:val="20"/>
          <w:color w:val="auto"/>
        </w:rPr>
      </w:pPr>
    </w:p>
    <w:p>
      <w:pPr>
        <w:jc w:val="both"/>
        <w:ind w:left="440" w:firstLine="574"/>
        <w:spacing w:after="0" w:line="223" w:lineRule="auto"/>
        <w:tabs>
          <w:tab w:leader="none" w:pos="1736" w:val="left"/>
        </w:tabs>
        <w:numPr>
          <w:ilvl w:val="0"/>
          <w:numId w:val="7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Next Generation Licensed Compound, Next Generation ADC Licensed Product and the Duality Immune Agonist ADC Product that are subject to an option right, and subject to the occurrence of any change or event having a material adverse effect on it or which it believes would or would be reasonably likely to cause or constitute a material breach of any of its representations, warranties or covenants set forth herein, Duality shall be entitled to update the Disclosure Schedule (“</w:t>
      </w:r>
      <w:r>
        <w:rPr>
          <w:rFonts w:ascii="Times New Roman" w:cs="Times New Roman" w:eastAsia="Times New Roman" w:hAnsi="Times New Roman"/>
          <w:sz w:val="19"/>
          <w:szCs w:val="19"/>
          <w:b w:val="1"/>
          <w:bCs w:val="1"/>
          <w:color w:val="auto"/>
        </w:rPr>
        <w:t>Updated Disclosure Schedule</w:t>
      </w:r>
      <w:r>
        <w:rPr>
          <w:rFonts w:ascii="Times New Roman" w:cs="Times New Roman" w:eastAsia="Times New Roman" w:hAnsi="Times New Roman"/>
          <w:sz w:val="19"/>
          <w:szCs w:val="19"/>
          <w:color w:val="auto"/>
        </w:rPr>
        <w:t>”) in accordance with this Section 11.8.</w:t>
      </w:r>
    </w:p>
    <w:p>
      <w:pPr>
        <w:spacing w:after="0" w:line="137" w:lineRule="exact"/>
        <w:rPr>
          <w:rFonts w:ascii="Times New Roman" w:cs="Times New Roman" w:eastAsia="Times New Roman" w:hAnsi="Times New Roman"/>
          <w:sz w:val="19"/>
          <w:szCs w:val="19"/>
          <w:color w:val="auto"/>
        </w:rPr>
      </w:pPr>
    </w:p>
    <w:p>
      <w:pPr>
        <w:ind w:left="440" w:firstLine="574"/>
        <w:spacing w:after="0" w:line="246" w:lineRule="auto"/>
        <w:tabs>
          <w:tab w:leader="none" w:pos="1736" w:val="left"/>
        </w:tabs>
        <w:numPr>
          <w:ilvl w:val="0"/>
          <w:numId w:val="7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to update the Disclosure Schedule shall be limited to the respective option exercise period as set forth in Section 2.8 and 2.9 respectively and ends [***] Days before the option exercise period ends.</w:t>
      </w:r>
    </w:p>
    <w:p>
      <w:pPr>
        <w:spacing w:after="0" w:line="128" w:lineRule="exact"/>
        <w:rPr>
          <w:rFonts w:ascii="Times New Roman" w:cs="Times New Roman" w:eastAsia="Times New Roman" w:hAnsi="Times New Roman"/>
          <w:sz w:val="19"/>
          <w:szCs w:val="19"/>
          <w:color w:val="auto"/>
        </w:rPr>
      </w:pPr>
    </w:p>
    <w:p>
      <w:pPr>
        <w:jc w:val="both"/>
        <w:ind w:left="440" w:right="20" w:firstLine="574"/>
        <w:spacing w:after="0" w:line="232" w:lineRule="auto"/>
        <w:tabs>
          <w:tab w:leader="none" w:pos="1736" w:val="left"/>
        </w:tabs>
        <w:numPr>
          <w:ilvl w:val="0"/>
          <w:numId w:val="7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no update to the Disclosure Schedule pursuant to this Section 11.8 shall cure any breach of a representation or warranty of Duality contained in this Agreement with respect to the Original ADC Licensed Product and shall not affect any of the Licensee’s remedies with respect thereto.</w:t>
      </w:r>
    </w:p>
    <w:p>
      <w:pPr>
        <w:spacing w:after="0" w:line="200" w:lineRule="exact"/>
        <w:rPr>
          <w:sz w:val="20"/>
          <w:szCs w:val="20"/>
          <w:color w:val="auto"/>
        </w:rPr>
      </w:pPr>
    </w:p>
    <w:p>
      <w:pPr>
        <w:spacing w:after="0" w:line="3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12</w:t>
      </w:r>
    </w:p>
    <w:p>
      <w:pPr>
        <w:ind w:left="398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42"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12.1</w:t>
        <w:tab/>
        <w:t>Ownership</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firstLine="574"/>
        <w:spacing w:after="0" w:line="222" w:lineRule="auto"/>
        <w:tabs>
          <w:tab w:leader="none" w:pos="1736" w:val="left"/>
        </w:tabs>
        <w:numPr>
          <w:ilvl w:val="0"/>
          <w:numId w:val="7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Background IP</w:t>
      </w:r>
      <w:r>
        <w:rPr>
          <w:rFonts w:ascii="Times New Roman" w:cs="Times New Roman" w:eastAsia="Times New Roman" w:hAnsi="Times New Roman"/>
          <w:sz w:val="19"/>
          <w:szCs w:val="19"/>
          <w:color w:val="auto"/>
        </w:rPr>
        <w:t>. (i) Duality shall retain all right, title and interest in and to any Patents, Know-How, and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intellectual property rights Controlled by Duality or any of its Affiliates on or prior to the Effective Date or during the Term independent of the activities hereunder (the “</w:t>
      </w:r>
      <w:r>
        <w:rPr>
          <w:rFonts w:ascii="Times New Roman" w:cs="Times New Roman" w:eastAsia="Times New Roman" w:hAnsi="Times New Roman"/>
          <w:sz w:val="19"/>
          <w:szCs w:val="19"/>
          <w:b w:val="1"/>
          <w:bCs w:val="1"/>
          <w:color w:val="auto"/>
        </w:rPr>
        <w:t>Duality Background IP</w:t>
      </w:r>
      <w:r>
        <w:rPr>
          <w:rFonts w:ascii="Times New Roman" w:cs="Times New Roman" w:eastAsia="Times New Roman" w:hAnsi="Times New Roman"/>
          <w:sz w:val="19"/>
          <w:szCs w:val="19"/>
          <w:color w:val="auto"/>
        </w:rPr>
        <w:t>”), and (ii) Licensee shall retain all right, title and interest in and to any Patents, Know-How, and other intellectual property rights Controlled (other than pursuant to this Agreement) by Licensee or any of its Affiliates on or prior to the Effective Date or during the Term independent of the activities hereunder (the “</w:t>
      </w:r>
      <w:r>
        <w:rPr>
          <w:rFonts w:ascii="Times New Roman" w:cs="Times New Roman" w:eastAsia="Times New Roman" w:hAnsi="Times New Roman"/>
          <w:sz w:val="19"/>
          <w:szCs w:val="19"/>
          <w:b w:val="1"/>
          <w:bCs w:val="1"/>
          <w:color w:val="auto"/>
        </w:rPr>
        <w:t>Licensee Background IP</w:t>
      </w:r>
      <w:r>
        <w:rPr>
          <w:rFonts w:ascii="Times New Roman" w:cs="Times New Roman" w:eastAsia="Times New Roman" w:hAnsi="Times New Roman"/>
          <w:sz w:val="19"/>
          <w:szCs w:val="19"/>
          <w:color w:val="auto"/>
        </w:rPr>
        <w:t>”).</w:t>
      </w:r>
    </w:p>
    <w:p>
      <w:pPr>
        <w:spacing w:after="0" w:line="131" w:lineRule="exact"/>
        <w:rPr>
          <w:rFonts w:ascii="Times New Roman" w:cs="Times New Roman" w:eastAsia="Times New Roman" w:hAnsi="Times New Roman"/>
          <w:sz w:val="19"/>
          <w:szCs w:val="19"/>
          <w:color w:val="auto"/>
        </w:rPr>
      </w:pPr>
    </w:p>
    <w:p>
      <w:pPr>
        <w:ind w:left="1740" w:right="2840" w:hanging="726"/>
        <w:spacing w:after="0" w:line="423" w:lineRule="auto"/>
        <w:tabs>
          <w:tab w:leader="none" w:pos="1740" w:val="left"/>
        </w:tabs>
        <w:numPr>
          <w:ilvl w:val="0"/>
          <w:numId w:val="7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Solely Owned Collaboration IP and Solely Owned Collaboration Patents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p>
    <w:p>
      <w:pPr>
        <w:ind w:left="1740" w:hanging="726"/>
        <w:spacing w:after="0"/>
        <w:tabs>
          <w:tab w:leader="none" w:pos="1740" w:val="left"/>
        </w:tabs>
        <w:numPr>
          <w:ilvl w:val="0"/>
          <w:numId w:val="7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740" w:hanging="726"/>
        <w:spacing w:after="0"/>
        <w:tabs>
          <w:tab w:leader="none" w:pos="1740" w:val="left"/>
        </w:tabs>
        <w:numPr>
          <w:ilvl w:val="0"/>
          <w:numId w:val="7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92</w:t>
      </w:r>
    </w:p>
    <w:p>
      <w:pPr>
        <w:sectPr>
          <w:pgSz w:w="11900" w:h="16840" w:orient="portrait"/>
          <w:cols w:equalWidth="0" w:num="1">
            <w:col w:w="10560"/>
          </w:cols>
          <w:pgMar w:left="660" w:top="1440" w:right="680" w:bottom="1440" w:gutter="0" w:footer="0" w:header="0"/>
        </w:sectPr>
      </w:pPr>
    </w:p>
    <w:bookmarkStart w:id="742" w:name="page743"/>
    <w:bookmarkEnd w:id="742"/>
    <w:p>
      <w:pPr>
        <w:spacing w:after="0" w:line="257" w:lineRule="exact"/>
        <w:rPr>
          <w:sz w:val="20"/>
          <w:szCs w:val="20"/>
          <w:color w:val="auto"/>
        </w:rPr>
      </w:pPr>
    </w:p>
    <w:p>
      <w:pPr>
        <w:ind w:left="1160" w:hanging="726"/>
        <w:spacing w:after="0"/>
        <w:tabs>
          <w:tab w:leader="none" w:pos="1160"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140" w:firstLine="574"/>
        <w:spacing w:after="0" w:line="233" w:lineRule="auto"/>
        <w:tabs>
          <w:tab w:leader="none" w:pos="1156"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Data and Regulatory Materials. </w:t>
      </w:r>
      <w:r>
        <w:rPr>
          <w:rFonts w:ascii="Times New Roman" w:cs="Times New Roman" w:eastAsia="Times New Roman" w:hAnsi="Times New Roman"/>
          <w:sz w:val="19"/>
          <w:szCs w:val="19"/>
          <w:color w:val="auto"/>
        </w:rPr>
        <w:t>Notwithstanding anything contrary in this Section 12.1, the ownership rights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Materials are allocated in accordance with Sections 5.2(b) and 5.4. The ownership rights to Data are allocated in accordance with Section 5.6.</w:t>
      </w:r>
    </w:p>
    <w:p>
      <w:pPr>
        <w:spacing w:after="0" w:line="133"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140" w:right="20" w:firstLine="574"/>
        <w:spacing w:after="0" w:line="222" w:lineRule="auto"/>
        <w:tabs>
          <w:tab w:leader="none" w:pos="1144"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Disclosures; Cooperation</w:t>
      </w:r>
      <w:r>
        <w:rPr>
          <w:rFonts w:ascii="Times New Roman" w:cs="Times New Roman" w:eastAsia="Times New Roman" w:hAnsi="Times New Roman"/>
          <w:sz w:val="19"/>
          <w:szCs w:val="19"/>
          <w:color w:val="auto"/>
        </w:rPr>
        <w:t>. Each Party shall, and shall ensure that each of its Affiliates, (sub)licensees (in the case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Duality), Sublicensees (in the case of Licensee) and subcontractors under this Agreement has a contractual obligation to disclose to such Party all Collaboration IP, Data and other Know-How generated, invented, discovered, developed, made or otherwise created by or for them or their employees, agents or independent contractors, and to provide sufficient documentary proof to evidence ownership, rights and interest with respect thereto, so that such Party can comply with its obligations under this Section 12.1.</w:t>
      </w:r>
    </w:p>
    <w:p>
      <w:pPr>
        <w:spacing w:after="0" w:line="131" w:lineRule="exact"/>
        <w:rPr>
          <w:rFonts w:ascii="Times New Roman" w:cs="Times New Roman" w:eastAsia="Times New Roman" w:hAnsi="Times New Roman"/>
          <w:sz w:val="19"/>
          <w:szCs w:val="19"/>
          <w:color w:val="auto"/>
        </w:rPr>
      </w:pPr>
    </w:p>
    <w:p>
      <w:pPr>
        <w:ind w:left="1140" w:hanging="706"/>
        <w:spacing w:after="0"/>
        <w:tabs>
          <w:tab w:leader="none" w:pos="1140" w:val="left"/>
        </w:tabs>
        <w:numPr>
          <w:ilvl w:val="0"/>
          <w:numId w:val="7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Inventorship Determination</w:t>
      </w:r>
      <w:r>
        <w:rPr>
          <w:rFonts w:ascii="Times New Roman" w:cs="Times New Roman" w:eastAsia="Times New Roman" w:hAnsi="Times New Roman"/>
          <w:sz w:val="19"/>
          <w:szCs w:val="19"/>
          <w:color w:val="auto"/>
        </w:rPr>
        <w:t>. [***]</w:t>
      </w:r>
    </w:p>
    <w:p>
      <w:pPr>
        <w:spacing w:after="0" w:line="1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b w:val="1"/>
          <w:bCs w:val="1"/>
          <w:color w:val="auto"/>
        </w:rPr>
        <w:t>12.2</w:t>
        <w:tab/>
        <w:t>Patent Prosecution and Maintenance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right="20" w:firstLine="574"/>
        <w:spacing w:after="0" w:line="233" w:lineRule="auto"/>
        <w:tabs>
          <w:tab w:leader="none" w:pos="1156" w:val="left"/>
        </w:tabs>
        <w:numPr>
          <w:ilvl w:val="0"/>
          <w:numId w:val="7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Definition</w:t>
      </w:r>
      <w:r>
        <w:rPr>
          <w:rFonts w:ascii="Times New Roman" w:cs="Times New Roman" w:eastAsia="Times New Roman" w:hAnsi="Times New Roman"/>
          <w:sz w:val="19"/>
          <w:szCs w:val="19"/>
          <w:color w:val="auto"/>
        </w:rPr>
        <w:t>. For purposes of this Section 12.2 and Sections 12.1(e), the terms “prosecute,” “prosecuting”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“prosecution,” when used in reference to any Patent, shall be deemed to include, without limitation, control of [***] with respect to such Patent.</w:t>
      </w:r>
    </w:p>
    <w:p>
      <w:pPr>
        <w:spacing w:after="0" w:line="133"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b w:val="1"/>
          <w:bCs w:val="1"/>
          <w:color w:val="auto"/>
        </w:rPr>
        <w:t>12.3</w:t>
        <w:tab/>
        <w:t>Infringement by Third Parties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140" w:firstLine="574"/>
        <w:spacing w:after="0" w:line="224" w:lineRule="auto"/>
        <w:tabs>
          <w:tab w:leader="none" w:pos="1156" w:val="left"/>
        </w:tabs>
        <w:numPr>
          <w:ilvl w:val="0"/>
          <w:numId w:val="7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In the event that either Duality or Licensee becomes aware of any infringement or threatened infringement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 Third Party of any Solely Owned Collaboration Patent, Duality Product Patent, Duality Linker-Payload Patent, [***] and any related declaratory judgment or equivalent action, including administrative proceedings, alleging the invalidity, unenforceability or non-infringement of any such Patent, it shall notify the other Party in writing to that effect within [***] Days after becoming aware of such matter.</w:t>
      </w:r>
    </w:p>
    <w:p>
      <w:pPr>
        <w:spacing w:after="0" w:line="134"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60" w:hanging="726"/>
        <w:spacing w:after="0"/>
        <w:tabs>
          <w:tab w:leader="none" w:pos="1160" w:val="left"/>
        </w:tabs>
        <w:numPr>
          <w:ilvl w:val="0"/>
          <w:numId w:val="7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000"/>
          </w:cols>
          <w:pgMar w:left="1240" w:top="1440" w:right="660" w:bottom="1440" w:gutter="0" w:footer="0" w:header="0"/>
        </w:sectPr>
      </w:pPr>
    </w:p>
    <w:bookmarkStart w:id="743" w:name="page744"/>
    <w:bookmarkEnd w:id="743"/>
    <w:p>
      <w:pPr>
        <w:spacing w:after="0" w:line="257" w:lineRule="exact"/>
        <w:rPr>
          <w:sz w:val="20"/>
          <w:szCs w:val="20"/>
          <w:color w:val="auto"/>
        </w:rPr>
      </w:pPr>
    </w:p>
    <w:p>
      <w:pPr>
        <w:ind w:left="1740" w:hanging="726"/>
        <w:spacing w:after="0"/>
        <w:tabs>
          <w:tab w:leader="none" w:pos="1740" w:val="left"/>
        </w:tabs>
        <w:numPr>
          <w:ilvl w:val="0"/>
          <w:numId w:val="7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12.4</w:t>
        <w:tab/>
        <w:t>Infringement of Third Party Rights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Marking</w:t>
      </w:r>
      <w:r>
        <w:rPr>
          <w:rFonts w:ascii="Times New Roman" w:cs="Times New Roman" w:eastAsia="Times New Roman" w:hAnsi="Times New Roman"/>
          <w:sz w:val="18"/>
          <w:szCs w:val="18"/>
          <w:color w:val="auto"/>
        </w:rPr>
        <w:t>. [***]</w:t>
      </w:r>
    </w:p>
    <w:p>
      <w:pPr>
        <w:spacing w:after="0" w:line="16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9"/>
          <w:szCs w:val="19"/>
          <w:b w:val="1"/>
          <w:bCs w:val="1"/>
          <w:color w:val="auto"/>
        </w:rPr>
        <w:t>12. 6 Patent Listings</w:t>
      </w:r>
      <w:r>
        <w:rPr>
          <w:rFonts w:ascii="Times New Roman" w:cs="Times New Roman" w:eastAsia="Times New Roman" w:hAnsi="Times New Roman"/>
          <w:sz w:val="19"/>
          <w:szCs w:val="19"/>
          <w:color w:val="auto"/>
        </w:rPr>
        <w:t>. On a Licensed Product-by-Licensed Product basis, as between the Parties, [***] to make all patent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listings of Duality Product Patents, Solely Owned Collaboration Patents, [***] or other patent -related submissions with Regulatory Authorities with respect to such Licensed Product, except for Duality Linker-Payload Patents [***], [***] to make all patent listings </w:t>
      </w:r>
      <w:r>
        <w:rPr>
          <w:rFonts w:ascii="Times New Roman" w:cs="Times New Roman" w:eastAsia="Times New Roman" w:hAnsi="Times New Roman"/>
          <w:sz w:val="19"/>
          <w:szCs w:val="19"/>
          <w:i w:val="1"/>
          <w:iCs w:val="1"/>
          <w:color w:val="auto"/>
        </w:rPr>
        <w:t xml:space="preserve">provided that </w:t>
      </w:r>
      <w:r>
        <w:rPr>
          <w:rFonts w:ascii="Times New Roman" w:cs="Times New Roman" w:eastAsia="Times New Roman" w:hAnsi="Times New Roman"/>
          <w:sz w:val="19"/>
          <w:szCs w:val="19"/>
          <w:color w:val="auto"/>
        </w:rPr>
        <w:t>[***] will be obliged to make all patent listings or other patent-related submissions with Regulatory Authorities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 reasonable requests in connection therewith, including meeting any submission deadlines, to the extent required or permitted by Applicable Laws.</w:t>
      </w:r>
    </w:p>
    <w:p>
      <w:pPr>
        <w:spacing w:after="0" w:line="252"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12.7</w:t>
        <w:tab/>
        <w:t>Patent Right Term Extension</w:t>
      </w:r>
      <w:r>
        <w:rPr>
          <w:rFonts w:ascii="Times New Roman" w:cs="Times New Roman" w:eastAsia="Times New Roman" w:hAnsi="Times New Roman"/>
          <w:sz w:val="19"/>
          <w:szCs w:val="19"/>
          <w:color w:val="auto"/>
        </w:rPr>
        <w:t>. [***]</w:t>
      </w:r>
    </w:p>
    <w:p>
      <w:pPr>
        <w:spacing w:after="0" w:line="200" w:lineRule="exact"/>
        <w:rPr>
          <w:sz w:val="20"/>
          <w:szCs w:val="20"/>
          <w:color w:val="auto"/>
        </w:rPr>
      </w:pPr>
    </w:p>
    <w:p>
      <w:pPr>
        <w:spacing w:after="0" w:line="3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13</w:t>
      </w:r>
    </w:p>
    <w:p>
      <w:pPr>
        <w:ind w:left="4240"/>
        <w:spacing w:after="0"/>
        <w:rPr>
          <w:sz w:val="20"/>
          <w:szCs w:val="20"/>
          <w:color w:val="auto"/>
        </w:rPr>
      </w:pPr>
      <w:r>
        <w:rPr>
          <w:rFonts w:ascii="Times New Roman" w:cs="Times New Roman" w:eastAsia="Times New Roman" w:hAnsi="Times New Roman"/>
          <w:sz w:val="19"/>
          <w:szCs w:val="19"/>
          <w:b w:val="1"/>
          <w:bCs w:val="1"/>
          <w:color w:val="auto"/>
        </w:rPr>
        <w:t>TERM; TERMINATION</w:t>
      </w:r>
    </w:p>
    <w:p>
      <w:pPr>
        <w:spacing w:after="0" w:line="142" w:lineRule="exact"/>
        <w:rPr>
          <w:sz w:val="20"/>
          <w:szCs w:val="20"/>
          <w:color w:val="auto"/>
        </w:rPr>
      </w:pPr>
    </w:p>
    <w:p>
      <w:pPr>
        <w:jc w:val="both"/>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13.1 Term</w:t>
      </w:r>
      <w:r>
        <w:rPr>
          <w:rFonts w:ascii="Times New Roman" w:cs="Times New Roman" w:eastAsia="Times New Roman" w:hAnsi="Times New Roman"/>
          <w:sz w:val="19"/>
          <w:szCs w:val="19"/>
          <w:color w:val="auto"/>
        </w:rPr>
        <w:t>. The term of this Agreement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shall commence on the Effective Date, and unless terminated earlier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in this Article 13, shall continue in full force and effect, on a [***] except as provided otherwise in this Article 13.</w:t>
      </w:r>
    </w:p>
    <w:p>
      <w:pPr>
        <w:spacing w:after="0" w:line="123"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13.2</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13.3</w:t>
        <w:tab/>
        <w:t>Termination for Material Breach by Either Party</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firstLine="586"/>
        <w:spacing w:after="0" w:line="232" w:lineRule="auto"/>
        <w:tabs>
          <w:tab w:leader="none" w:pos="1736" w:val="left"/>
        </w:tabs>
        <w:numPr>
          <w:ilvl w:val="0"/>
          <w:numId w:val="7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Termination Right. </w:t>
      </w:r>
      <w:r>
        <w:rPr>
          <w:rFonts w:ascii="Times New Roman" w:cs="Times New Roman" w:eastAsia="Times New Roman" w:hAnsi="Times New Roman"/>
          <w:sz w:val="19"/>
          <w:szCs w:val="19"/>
          <w:color w:val="auto"/>
        </w:rPr>
        <w:t>A Party shall have the right to terminate this Agreement (in its entirety or on a 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Product-by-Licensed Product and country-by-country basis) upon written notice to the other Party if such other Party is in material breach of this Agreement and has not cured such breach within [***] days after written notice from the terminating Party requesting cure of the breach. In case the alleged material breach is a material breach of Licensee’s diligence obligations set forth in Sections 4.1 and/or 7.1 of this Agreement, Duality shall only be entitled to terminate the Agreement with effect to the country or countries with respect to which Licensee has in fact materially breached the diligence obligations with respect to the Original ADC Licensed Product and not cured such breach. If at the end of the cure period the breaching Party has failed to perform the activities of the cure plan to cure the breach, the non-breaching Party shall be entitled to terminate the Agreement with [***] prior notice. If the existence of material breach or the failure to cure such material breach is not disputed by the breaching Party and the Agreement is terminated by the non-breaching Party, the consequences of termination set forth in Section 13.7 or Section 13.8 (as the case may be) shall apply. If the existence of material breach or the failure to cure such material breach is disputed by the breaching Party, Section 13.7 or Section 13.8 (as the case may be) shall apply if the existence of material breach or the failure to cure such material breach is determined pursuant to Section 15.2 and the Agreement is thereafter terminated by the breaching Party.</w:t>
      </w:r>
    </w:p>
    <w:p>
      <w:pPr>
        <w:spacing w:after="0" w:line="135" w:lineRule="exact"/>
        <w:rPr>
          <w:rFonts w:ascii="Times New Roman" w:cs="Times New Roman" w:eastAsia="Times New Roman" w:hAnsi="Times New Roman"/>
          <w:sz w:val="19"/>
          <w:szCs w:val="19"/>
          <w:color w:val="auto"/>
        </w:rPr>
      </w:pPr>
    </w:p>
    <w:p>
      <w:pPr>
        <w:ind w:left="440" w:right="20" w:firstLine="574"/>
        <w:spacing w:after="0" w:line="249" w:lineRule="auto"/>
        <w:tabs>
          <w:tab w:leader="none" w:pos="1736" w:val="left"/>
        </w:tabs>
        <w:numPr>
          <w:ilvl w:val="0"/>
          <w:numId w:val="7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Dispute as to Material Breach</w:t>
      </w:r>
      <w:r>
        <w:rPr>
          <w:rFonts w:ascii="Times New Roman" w:cs="Times New Roman" w:eastAsia="Times New Roman" w:hAnsi="Times New Roman"/>
          <w:sz w:val="19"/>
          <w:szCs w:val="19"/>
          <w:color w:val="auto"/>
        </w:rPr>
        <w:t>. In the event that the breaching Party disputes the existence of material breach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failure to cure such material breach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44" w:name="page745"/>
    <w:bookmarkEnd w:id="744"/>
    <w:p>
      <w:pPr>
        <w:spacing w:after="0" w:line="2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initiating arbitration proceedings pursuant to Section 15.2 within the cure period, the non- breaching Party shall not have the right to terminate in accordance with Section 13.3(a) unless and until the relevant dispute has been resolved pursuant to Section 15.2. During the pendency of such dispute, the applicable cure period shall be tolled, all the terms of this Agreement shall remain in effect, and the Parties shall continue to perform all of their respective obligations hereunder.</w:t>
      </w:r>
    </w:p>
    <w:p>
      <w:pPr>
        <w:spacing w:after="0" w:line="132" w:lineRule="exact"/>
        <w:rPr>
          <w:sz w:val="20"/>
          <w:szCs w:val="20"/>
          <w:color w:val="auto"/>
        </w:rPr>
      </w:pPr>
    </w:p>
    <w:p>
      <w:pPr>
        <w:ind w:left="140"/>
        <w:spacing w:after="0"/>
        <w:tabs>
          <w:tab w:leader="none" w:pos="660" w:val="left"/>
        </w:tabs>
        <w:rPr>
          <w:sz w:val="20"/>
          <w:szCs w:val="20"/>
          <w:color w:val="auto"/>
        </w:rPr>
      </w:pPr>
      <w:r>
        <w:rPr>
          <w:rFonts w:ascii="Times New Roman" w:cs="Times New Roman" w:eastAsia="Times New Roman" w:hAnsi="Times New Roman"/>
          <w:sz w:val="19"/>
          <w:szCs w:val="19"/>
          <w:b w:val="1"/>
          <w:bCs w:val="1"/>
          <w:color w:val="auto"/>
        </w:rPr>
        <w:t>13.4</w:t>
        <w:tab/>
        <w:t>Termination for Other Causes.</w:t>
      </w:r>
    </w:p>
    <w:p>
      <w:pPr>
        <w:spacing w:after="0" w:line="166" w:lineRule="exact"/>
        <w:rPr>
          <w:sz w:val="20"/>
          <w:szCs w:val="20"/>
          <w:color w:val="auto"/>
        </w:rPr>
      </w:pPr>
    </w:p>
    <w:p>
      <w:pPr>
        <w:ind w:left="1300" w:hanging="714"/>
        <w:spacing w:after="0"/>
        <w:tabs>
          <w:tab w:leader="none" w:pos="1300" w:val="left"/>
        </w:tabs>
        <w:numPr>
          <w:ilvl w:val="0"/>
          <w:numId w:val="7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t>
      </w:r>
    </w:p>
    <w:p>
      <w:pPr>
        <w:spacing w:after="0" w:line="165" w:lineRule="exact"/>
        <w:rPr>
          <w:rFonts w:ascii="Times New Roman" w:cs="Times New Roman" w:eastAsia="Times New Roman" w:hAnsi="Times New Roman"/>
          <w:sz w:val="19"/>
          <w:szCs w:val="19"/>
          <w:color w:val="auto"/>
        </w:rPr>
      </w:pPr>
    </w:p>
    <w:p>
      <w:pPr>
        <w:jc w:val="both"/>
        <w:ind w:right="20" w:firstLine="586"/>
        <w:spacing w:after="0" w:line="229" w:lineRule="auto"/>
        <w:tabs>
          <w:tab w:leader="none" w:pos="1296" w:val="left"/>
        </w:tabs>
        <w:numPr>
          <w:ilvl w:val="0"/>
          <w:numId w:val="7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Bankruptcy</w:t>
      </w:r>
      <w:r>
        <w:rPr>
          <w:rFonts w:ascii="Times New Roman" w:cs="Times New Roman" w:eastAsia="Times New Roman" w:hAnsi="Times New Roman"/>
          <w:sz w:val="19"/>
          <w:szCs w:val="19"/>
          <w:color w:val="auto"/>
        </w:rPr>
        <w:t>. A Party shall have the right to terminate this Agreement upon written notice to the other Party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filing or institution of bankruptcy, reorganization, dissolution, liquidation or winding up of such other Party, or the making or seeking to make or arrange an assignment of a substantial portion of such other Party’s assets for the benefit of creditors of such other Party, or the initiation of proceedings in voluntary or involuntary bankruptcy against such other Party, or is adjudged bankrupt, or the appointment of a receiver or trustee of such other Party’s property, in each case that is not discharged within [***] days, or immediately upon written notice to the Party, if such Party otherwise admits in writing to the other Party its inability generally to meet its obligations as and when they fall due in the general course of business. In the event a Party is bankrupted or a bankruptcy proceedings is commenced by or against such Party or its Affiliates or any country or jurisdiction, all rights under this Agreement will be fully exercisable and the bankrupt Party (in any capacity, including debtor-in-possession) and its successors and assigns (including a trustee) shall continue to perform all of the obligations provided in this Agreement to be performed by such Party. If the bankrupt Party and its successors and assigns are restricted by Applicable Laws from performing its obligations hereunder and the other Party elects to retain its rights hereunder, then the bankrupt Party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w:t>
      </w:r>
    </w:p>
    <w:p>
      <w:pPr>
        <w:spacing w:after="0" w:line="139" w:lineRule="exact"/>
        <w:rPr>
          <w:rFonts w:ascii="Times New Roman" w:cs="Times New Roman" w:eastAsia="Times New Roman" w:hAnsi="Times New Roman"/>
          <w:sz w:val="19"/>
          <w:szCs w:val="19"/>
          <w:color w:val="auto"/>
        </w:rPr>
      </w:pPr>
    </w:p>
    <w:p>
      <w:pPr>
        <w:ind w:left="1300" w:hanging="714"/>
        <w:spacing w:after="0"/>
        <w:tabs>
          <w:tab w:leader="none" w:pos="1300" w:val="left"/>
        </w:tabs>
        <w:numPr>
          <w:ilvl w:val="0"/>
          <w:numId w:val="7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right="20" w:firstLine="586"/>
        <w:spacing w:after="0" w:line="249" w:lineRule="auto"/>
        <w:tabs>
          <w:tab w:leader="none" w:pos="1296" w:val="left"/>
        </w:tabs>
        <w:numPr>
          <w:ilvl w:val="0"/>
          <w:numId w:val="7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Mutual Agreement. </w:t>
      </w:r>
      <w:r>
        <w:rPr>
          <w:rFonts w:ascii="Times New Roman" w:cs="Times New Roman" w:eastAsia="Times New Roman" w:hAnsi="Times New Roman"/>
          <w:sz w:val="19"/>
          <w:szCs w:val="19"/>
          <w:color w:val="auto"/>
        </w:rPr>
        <w:t>The Parties may terminate this Agreement in full or on a Licensed Product-by-Licensed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or a country-by-country basis, at any time during the Term upon mutual agreement in writing.</w:t>
      </w:r>
    </w:p>
    <w:p>
      <w:pPr>
        <w:spacing w:after="0" w:line="123" w:lineRule="exact"/>
        <w:rPr>
          <w:sz w:val="20"/>
          <w:szCs w:val="20"/>
          <w:color w:val="auto"/>
        </w:rPr>
      </w:pPr>
    </w:p>
    <w:p>
      <w:pPr>
        <w:ind w:left="140"/>
        <w:spacing w:after="0"/>
        <w:tabs>
          <w:tab w:leader="none" w:pos="660" w:val="left"/>
        </w:tabs>
        <w:rPr>
          <w:sz w:val="20"/>
          <w:szCs w:val="20"/>
          <w:color w:val="auto"/>
        </w:rPr>
      </w:pPr>
      <w:r>
        <w:rPr>
          <w:rFonts w:ascii="Times New Roman" w:cs="Times New Roman" w:eastAsia="Times New Roman" w:hAnsi="Times New Roman"/>
          <w:sz w:val="19"/>
          <w:szCs w:val="19"/>
          <w:b w:val="1"/>
          <w:bCs w:val="1"/>
          <w:color w:val="auto"/>
        </w:rPr>
        <w:t>13.5</w:t>
        <w:tab/>
        <w:t>General Effects of Expiration or Termination.</w:t>
      </w:r>
    </w:p>
    <w:p>
      <w:pPr>
        <w:spacing w:after="0" w:line="166" w:lineRule="exact"/>
        <w:rPr>
          <w:sz w:val="20"/>
          <w:szCs w:val="20"/>
          <w:color w:val="auto"/>
        </w:rPr>
      </w:pPr>
    </w:p>
    <w:p>
      <w:pPr>
        <w:jc w:val="both"/>
        <w:ind w:right="20" w:firstLine="586"/>
        <w:spacing w:after="0" w:line="224" w:lineRule="auto"/>
        <w:tabs>
          <w:tab w:leader="none" w:pos="1296" w:val="left"/>
        </w:tabs>
        <w:numPr>
          <w:ilvl w:val="0"/>
          <w:numId w:val="7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Accrued Rights and Obligations</w:t>
      </w:r>
      <w:r>
        <w:rPr>
          <w:rFonts w:ascii="Times New Roman" w:cs="Times New Roman" w:eastAsia="Times New Roman" w:hAnsi="Times New Roman"/>
          <w:sz w:val="19"/>
          <w:szCs w:val="19"/>
          <w:color w:val="auto"/>
        </w:rPr>
        <w:t>. Neither expiration nor any termination of this Agreement for whatsoever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 shall relieve either Party of any obligation or liability (including but not limited to any payment obligation under Article 8) accruing prior to such expiration or termination, nor shall expiration or any termination of this Agreement for whatsoever reason preclude either Party from pursuing all rights and remedies it may have under this Agreement, at law or in equity, with respect to breach of this Agreement. Such obligations and rights shall survive termination and expiration of this Agreement.</w:t>
      </w:r>
    </w:p>
    <w:p>
      <w:pPr>
        <w:spacing w:after="0" w:line="132" w:lineRule="exact"/>
        <w:rPr>
          <w:rFonts w:ascii="Times New Roman" w:cs="Times New Roman" w:eastAsia="Times New Roman" w:hAnsi="Times New Roman"/>
          <w:sz w:val="19"/>
          <w:szCs w:val="19"/>
          <w:color w:val="auto"/>
        </w:rPr>
      </w:pPr>
    </w:p>
    <w:p>
      <w:pPr>
        <w:ind w:right="20" w:firstLine="586"/>
        <w:spacing w:after="0" w:line="249" w:lineRule="auto"/>
        <w:tabs>
          <w:tab w:leader="none" w:pos="1296" w:val="left"/>
        </w:tabs>
        <w:numPr>
          <w:ilvl w:val="0"/>
          <w:numId w:val="7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Non-Expired Options</w:t>
      </w:r>
      <w:r>
        <w:rPr>
          <w:rFonts w:ascii="Times New Roman" w:cs="Times New Roman" w:eastAsia="Times New Roman" w:hAnsi="Times New Roman"/>
          <w:sz w:val="19"/>
          <w:szCs w:val="19"/>
          <w:color w:val="auto"/>
        </w:rPr>
        <w:t>. In case of termination of the entire Agreement, all non-expired option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periods under the Agreement shall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40"/>
          </w:cols>
          <w:pgMar w:left="1100" w:top="1440" w:right="660" w:bottom="1440" w:gutter="0" w:footer="0" w:header="0"/>
        </w:sectPr>
      </w:pPr>
    </w:p>
    <w:bookmarkStart w:id="745" w:name="page746"/>
    <w:bookmarkEnd w:id="745"/>
    <w:p>
      <w:pPr>
        <w:spacing w:after="0" w:line="25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terminate. Upon termination of one or more Licensed Products, the option period shall only terminate with respect to the terminated Licensed Product(s).</w:t>
      </w:r>
    </w:p>
    <w:p>
      <w:pPr>
        <w:spacing w:after="0" w:line="126" w:lineRule="exact"/>
        <w:rPr>
          <w:sz w:val="20"/>
          <w:szCs w:val="20"/>
          <w:color w:val="auto"/>
        </w:rPr>
      </w:pPr>
    </w:p>
    <w:p>
      <w:pPr>
        <w:jc w:val="both"/>
        <w:ind w:firstLine="586"/>
        <w:spacing w:after="0" w:line="224" w:lineRule="auto"/>
        <w:tabs>
          <w:tab w:leader="none" w:pos="1296" w:val="left"/>
        </w:tabs>
        <w:numPr>
          <w:ilvl w:val="0"/>
          <w:numId w:val="7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Surviving Terms. </w:t>
      </w:r>
      <w:r>
        <w:rPr>
          <w:rFonts w:ascii="Times New Roman" w:cs="Times New Roman" w:eastAsia="Times New Roman" w:hAnsi="Times New Roman"/>
          <w:sz w:val="19"/>
          <w:szCs w:val="19"/>
          <w:color w:val="auto"/>
        </w:rPr>
        <w:t>The Parties’ rights and obligations under Article 1 (Definitions), Article 8 (Financial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otherwise set out in this Article 13, the Financial Terms only survive with respect to Licensee’s sell-off right in Sections 13.6(e), 13.7(b)(iv) and 13.8(b)(iii)); Article 9 (Payment); Article 10 (Confidentiality), Section 12.1 and with respect to [***] only Sections 12.2 and 12.4; Sections 13.5 to 13.10; Article 14 (Indemnification) other than Section 14.4 (Insurance); Article 15 (Dispute Resolution); Article 16 (Miscellaneous) of this Agreement shall survive expiration or any termination of this Agreement.</w:t>
      </w:r>
    </w:p>
    <w:p>
      <w:pPr>
        <w:spacing w:after="0" w:line="133" w:lineRule="exact"/>
        <w:rPr>
          <w:sz w:val="20"/>
          <w:szCs w:val="20"/>
          <w:color w:val="auto"/>
        </w:rPr>
      </w:pPr>
    </w:p>
    <w:p>
      <w:pPr>
        <w:ind w:left="140"/>
        <w:spacing w:after="0"/>
        <w:tabs>
          <w:tab w:leader="none" w:pos="660" w:val="left"/>
        </w:tabs>
        <w:rPr>
          <w:sz w:val="20"/>
          <w:szCs w:val="20"/>
          <w:color w:val="auto"/>
        </w:rPr>
      </w:pPr>
      <w:r>
        <w:rPr>
          <w:rFonts w:ascii="Times New Roman" w:cs="Times New Roman" w:eastAsia="Times New Roman" w:hAnsi="Times New Roman"/>
          <w:sz w:val="19"/>
          <w:szCs w:val="19"/>
          <w:b w:val="1"/>
          <w:bCs w:val="1"/>
          <w:color w:val="auto"/>
        </w:rPr>
        <w:t>13.6</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Licenses Granted to Licensee. </w:t>
      </w:r>
      <w:r>
        <w:rPr>
          <w:rFonts w:ascii="Times New Roman" w:cs="Times New Roman" w:eastAsia="Times New Roman" w:hAnsi="Times New Roman"/>
          <w:sz w:val="19"/>
          <w:szCs w:val="19"/>
          <w:color w:val="auto"/>
        </w:rPr>
        <w:t>Upon termination of the entire Agreement, [***].</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Licenses Granted to Duality</w:t>
      </w:r>
      <w:r>
        <w:rPr>
          <w:rFonts w:ascii="Times New Roman" w:cs="Times New Roman" w:eastAsia="Times New Roman" w:hAnsi="Times New Roman"/>
          <w:sz w:val="19"/>
          <w:szCs w:val="19"/>
          <w:color w:val="auto"/>
        </w:rPr>
        <w:t>. In case of termination of the entire Agreement, [***].</w:t>
      </w:r>
    </w:p>
    <w:p>
      <w:pPr>
        <w:spacing w:after="0" w:line="167"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140"/>
        <w:spacing w:after="0"/>
        <w:tabs>
          <w:tab w:leader="none" w:pos="660" w:val="left"/>
        </w:tabs>
        <w:rPr>
          <w:sz w:val="20"/>
          <w:szCs w:val="20"/>
          <w:color w:val="auto"/>
        </w:rPr>
      </w:pPr>
      <w:r>
        <w:rPr>
          <w:rFonts w:ascii="Times New Roman" w:cs="Times New Roman" w:eastAsia="Times New Roman" w:hAnsi="Times New Roman"/>
          <w:sz w:val="19"/>
          <w:szCs w:val="19"/>
          <w:b w:val="1"/>
          <w:bCs w:val="1"/>
          <w:color w:val="auto"/>
        </w:rPr>
        <w:t>13.7</w:t>
      </w:r>
      <w:r>
        <w:rPr>
          <w:sz w:val="20"/>
          <w:szCs w:val="20"/>
          <w:color w:val="auto"/>
        </w:rPr>
        <w:tab/>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1300" w:hanging="726"/>
        <w:spacing w:after="0"/>
        <w:tabs>
          <w:tab w:leader="none" w:pos="1300" w:val="left"/>
        </w:tabs>
        <w:numPr>
          <w:ilvl w:val="0"/>
          <w:numId w:val="7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726"/>
        <w:spacing w:after="0"/>
        <w:tabs>
          <w:tab w:leader="none" w:pos="1300" w:val="left"/>
        </w:tabs>
        <w:numPr>
          <w:ilvl w:val="0"/>
          <w:numId w:val="7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280" w:hanging="562"/>
        <w:spacing w:after="0"/>
        <w:tabs>
          <w:tab w:leader="none" w:pos="1280" w:val="left"/>
        </w:tabs>
        <w:numPr>
          <w:ilvl w:val="1"/>
          <w:numId w:val="7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300" w:hanging="582"/>
        <w:spacing w:after="0"/>
        <w:tabs>
          <w:tab w:leader="none" w:pos="1300" w:val="left"/>
        </w:tabs>
        <w:numPr>
          <w:ilvl w:val="1"/>
          <w:numId w:val="7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left="140" w:right="20" w:firstLine="578"/>
        <w:spacing w:after="0" w:line="249" w:lineRule="auto"/>
        <w:tabs>
          <w:tab w:leader="none" w:pos="1292" w:val="left"/>
        </w:tabs>
        <w:numPr>
          <w:ilvl w:val="1"/>
          <w:numId w:val="7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Wind-Down or Transfer of Activities. </w:t>
      </w:r>
      <w:r>
        <w:rPr>
          <w:rFonts w:ascii="Times New Roman" w:cs="Times New Roman" w:eastAsia="Times New Roman" w:hAnsi="Times New Roman"/>
          <w:sz w:val="19"/>
          <w:szCs w:val="19"/>
          <w:color w:val="auto"/>
        </w:rPr>
        <w:t>Licensee shall, as directed by Duality in its sole discretion, on a 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Trial-by-Clinical Trial basis, either:</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280" w:hanging="562"/>
        <w:spacing w:after="0"/>
        <w:tabs>
          <w:tab w:leader="none" w:pos="1280" w:val="left"/>
        </w:tabs>
        <w:numPr>
          <w:ilvl w:val="1"/>
          <w:numId w:val="7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ind w:left="1300" w:hanging="582"/>
        <w:spacing w:after="0"/>
        <w:tabs>
          <w:tab w:leader="none" w:pos="1300" w:val="left"/>
        </w:tabs>
        <w:numPr>
          <w:ilvl w:val="1"/>
          <w:numId w:val="7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Sublicenses. </w:t>
      </w:r>
      <w:r>
        <w:rPr>
          <w:rFonts w:ascii="Times New Roman" w:cs="Times New Roman" w:eastAsia="Times New Roman" w:hAnsi="Times New Roman"/>
          <w:sz w:val="19"/>
          <w:szCs w:val="19"/>
          <w:color w:val="auto"/>
        </w:rPr>
        <w:t>Duality shall grant to Licensee’s or Licensee’s Affiliate’s Sublicensees a direct license; provided that</w:t>
      </w:r>
    </w:p>
    <w:p>
      <w:pPr>
        <w:jc w:val="both"/>
        <w:ind w:left="140" w:right="20" w:firstLine="2"/>
        <w:spacing w:after="0" w:line="224" w:lineRule="auto"/>
        <w:tabs>
          <w:tab w:leader="none" w:pos="455" w:val="left"/>
        </w:tabs>
        <w:numPr>
          <w:ilvl w:val="0"/>
          <w:numId w:val="7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sublicense agreement is consistent with the relevant terms and conditions of this Agreement at the time of termination of this Agreement, (B) such Sublicensee then is not in material breach of its sublicense agreement and (C) such Sublicensee then has not caused Licensee to be in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140"/>
          </w:cols>
          <w:pgMar w:left="1100" w:top="1440" w:right="660" w:bottom="1440" w:gutter="0" w:footer="0" w:header="0"/>
        </w:sectPr>
      </w:pPr>
    </w:p>
    <w:bookmarkStart w:id="746" w:name="page747"/>
    <w:bookmarkEnd w:id="746"/>
    <w:p>
      <w:pPr>
        <w:spacing w:after="0" w:line="257" w:lineRule="exact"/>
        <w:rPr>
          <w:sz w:val="20"/>
          <w:szCs w:val="20"/>
          <w:color w:val="auto"/>
        </w:rPr>
      </w:pPr>
    </w:p>
    <w:p>
      <w:pPr>
        <w:jc w:val="both"/>
        <w:ind w:left="580"/>
        <w:spacing w:after="0" w:line="232" w:lineRule="auto"/>
        <w:rPr>
          <w:sz w:val="20"/>
          <w:szCs w:val="20"/>
          <w:color w:val="auto"/>
        </w:rPr>
      </w:pPr>
      <w:r>
        <w:rPr>
          <w:rFonts w:ascii="Times New Roman" w:cs="Times New Roman" w:eastAsia="Times New Roman" w:hAnsi="Times New Roman"/>
          <w:sz w:val="19"/>
          <w:szCs w:val="19"/>
          <w:color w:val="auto"/>
        </w:rPr>
        <w:t>breach of this Agreement due to any act or omission of such Sublicensee. The scope of such direct license shall be no less than the scope of the license granted in this Agreement and sublicensed to such Sublicensee and such direct license shall be on terms and conditions substantially similar to those set forth in this Agreement.</w:t>
      </w:r>
    </w:p>
    <w:p>
      <w:pPr>
        <w:spacing w:after="0" w:line="133"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13. 8 Consequences of Termination by Licensee for Material Breach or Patent Challenge by Duality. </w:t>
      </w:r>
      <w:r>
        <w:rPr>
          <w:rFonts w:ascii="Times New Roman" w:cs="Times New Roman" w:eastAsia="Times New Roman" w:hAnsi="Times New Roman"/>
          <w:sz w:val="19"/>
          <w:szCs w:val="19"/>
          <w:color w:val="auto"/>
        </w:rPr>
        <w:t>If an arbitration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tribunal in accordance with the process set out in Section 15.2 confirmed (A) the existence of a material breach on the part of Duality, and such material breach was not or cannot be cured, or (B) in case of [***], with the Licensee’s Executive Officer having the final say, the following shall apply:</w:t>
      </w:r>
    </w:p>
    <w:p>
      <w:pPr>
        <w:spacing w:after="0" w:line="136" w:lineRule="exact"/>
        <w:rPr>
          <w:sz w:val="20"/>
          <w:szCs w:val="20"/>
          <w:color w:val="auto"/>
        </w:rPr>
      </w:pPr>
    </w:p>
    <w:p>
      <w:pPr>
        <w:ind w:left="1740" w:hanging="726"/>
        <w:spacing w:after="0"/>
        <w:tabs>
          <w:tab w:leader="none" w:pos="1740" w:val="left"/>
        </w:tabs>
        <w:numPr>
          <w:ilvl w:val="0"/>
          <w:numId w:val="7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left="440" w:right="60" w:firstLine="574"/>
        <w:spacing w:after="0" w:line="249" w:lineRule="auto"/>
        <w:tabs>
          <w:tab w:leader="none" w:pos="1736" w:val="left"/>
        </w:tabs>
        <w:numPr>
          <w:ilvl w:val="0"/>
          <w:numId w:val="7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Licensee’s Election to Terminate. </w:t>
      </w:r>
      <w:r>
        <w:rPr>
          <w:rFonts w:ascii="Times New Roman" w:cs="Times New Roman" w:eastAsia="Times New Roman" w:hAnsi="Times New Roman"/>
          <w:sz w:val="19"/>
          <w:szCs w:val="19"/>
          <w:color w:val="auto"/>
        </w:rPr>
        <w:t>Licensee may terminate the Agreement in its entirety, on a country-by-country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basis or on a Licensed Product-by-Licensed Product basis. In this case, the following would apply:</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740" w:hanging="726"/>
        <w:spacing w:after="0"/>
        <w:tabs>
          <w:tab w:leader="none" w:pos="1740" w:val="left"/>
        </w:tabs>
        <w:numPr>
          <w:ilvl w:val="0"/>
          <w:numId w:val="7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13.9</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13.10</w:t>
      </w:r>
      <w:r>
        <w:rPr>
          <w:sz w:val="20"/>
          <w:szCs w:val="20"/>
          <w:color w:val="auto"/>
        </w:rPr>
        <w:tab/>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14</w:t>
      </w:r>
    </w:p>
    <w:p>
      <w:pPr>
        <w:ind w:left="4360"/>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142" w:lineRule="exact"/>
        <w:rPr>
          <w:sz w:val="20"/>
          <w:szCs w:val="20"/>
          <w:color w:val="auto"/>
        </w:rPr>
      </w:pPr>
    </w:p>
    <w:p>
      <w:pPr>
        <w:jc w:val="both"/>
        <w:ind w:right="20"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14. 1 Indemnification of Duality</w:t>
      </w:r>
      <w:r>
        <w:rPr>
          <w:rFonts w:ascii="Times New Roman" w:cs="Times New Roman" w:eastAsia="Times New Roman" w:hAnsi="Times New Roman"/>
          <w:sz w:val="19"/>
          <w:szCs w:val="19"/>
          <w:color w:val="auto"/>
        </w:rPr>
        <w:t>. Licensee shall indemnify and hold harmless each of Duality and its Affiliates and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consultants, agents and successors and assigns of any of the foregoing (the “</w:t>
      </w:r>
      <w:r>
        <w:rPr>
          <w:rFonts w:ascii="Times New Roman" w:cs="Times New Roman" w:eastAsia="Times New Roman" w:hAnsi="Times New Roman"/>
          <w:sz w:val="19"/>
          <w:szCs w:val="19"/>
          <w:b w:val="1"/>
          <w:bCs w:val="1"/>
          <w:color w:val="auto"/>
        </w:rPr>
        <w:t>Duality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Indemnitees</w:t>
      </w:r>
      <w:r>
        <w:rPr>
          <w:rFonts w:ascii="Times New Roman" w:cs="Times New Roman" w:eastAsia="Times New Roman" w:hAnsi="Times New Roman"/>
          <w:sz w:val="19"/>
          <w:szCs w:val="19"/>
          <w:color w:val="auto"/>
        </w:rPr>
        <w:t>”) from and against any and all losses, damages, liabilities, expenses and costs, including reasonable legal expense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attorneys’ fees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incurred by any Duality Indemnitee as a result of any claims, demands, actions, suits or proceedings brought by a Third Party (“</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arising directly or indirectly out of: (a) the practice by Licensee or its Affiliates or Sublicensees or subcontractors of the licenses granted to Licensee under this Agreement; (b) the research, Development, Manufacture or have Manufactured, use, handling, storage, Commercialization or other disposition of the Licensed Compound or the Licensed Products by Licensee or its Affiliates or Sublicensees or subcontractors; (c) the negligence or willful misconduct of any Licensee Indemnitee; or</w:t>
      </w:r>
    </w:p>
    <w:p>
      <w:pPr>
        <w:spacing w:after="0" w:line="2" w:lineRule="exact"/>
        <w:rPr>
          <w:sz w:val="20"/>
          <w:szCs w:val="20"/>
          <w:color w:val="auto"/>
        </w:rPr>
      </w:pPr>
    </w:p>
    <w:p>
      <w:pPr>
        <w:jc w:val="both"/>
        <w:ind w:right="20" w:firstLine="6"/>
        <w:spacing w:after="0" w:line="217" w:lineRule="auto"/>
        <w:tabs>
          <w:tab w:leader="none" w:pos="280" w:val="left"/>
        </w:tabs>
        <w:numPr>
          <w:ilvl w:val="0"/>
          <w:numId w:val="7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any representations, warranties or covenants by Licensee under this Agreement; except, in each case, (x) to the extent such Third Party Claims fall within the scope of the indemnification obligations of Duality set forth in Section 14.2, or (y) arising from or occurring as a result of a Duality Indemnitee’s negligence, illegal conduct or willful misconduct in performing its or their obligations or exercising their rights under this Agreement. Licensee’s indemnification obligation specifically excludes any and all Third Party Claims for the use of any Patents, Know-How or other intellectual property rights under any Third Party agreements entered into by Duality prior to the Effective Date, including but not limited to the payment of royalties thereunder.</w:t>
      </w:r>
    </w:p>
    <w:p>
      <w:pPr>
        <w:spacing w:after="0" w:line="135" w:lineRule="exact"/>
        <w:rPr>
          <w:sz w:val="20"/>
          <w:szCs w:val="20"/>
          <w:color w:val="auto"/>
        </w:rPr>
      </w:pPr>
    </w:p>
    <w:p>
      <w:pPr>
        <w:jc w:val="both"/>
        <w:ind w:right="4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14. 2 Indemnification of Licensee</w:t>
      </w:r>
      <w:r>
        <w:rPr>
          <w:rFonts w:ascii="Times New Roman" w:cs="Times New Roman" w:eastAsia="Times New Roman" w:hAnsi="Times New Roman"/>
          <w:sz w:val="19"/>
          <w:szCs w:val="19"/>
          <w:color w:val="auto"/>
        </w:rPr>
        <w:t>. Duality shall indemnify and hold harmless each of Licensee and its Affiliates and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consultants, agents and successors and assigns of any of the foregoing (the “</w:t>
      </w:r>
      <w:r>
        <w:rPr>
          <w:rFonts w:ascii="Times New Roman" w:cs="Times New Roman" w:eastAsia="Times New Roman" w:hAnsi="Times New Roman"/>
          <w:sz w:val="19"/>
          <w:szCs w:val="19"/>
          <w:b w:val="1"/>
          <w:bCs w:val="1"/>
          <w:color w:val="auto"/>
        </w:rPr>
        <w:t>Licensee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Indemnitees</w:t>
      </w:r>
      <w:r>
        <w:rPr>
          <w:rFonts w:ascii="Times New Roman" w:cs="Times New Roman" w:eastAsia="Times New Roman" w:hAnsi="Times New Roman"/>
          <w:sz w:val="19"/>
          <w:szCs w:val="19"/>
          <w:color w:val="auto"/>
        </w:rPr>
        <w:t>”), from and against any and all Losses incurred by any Licensee Indemnitee as a result of any Third Party Claims arising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directly or indirectly out of: (a) the practice by Duality or its Affiliates or sublicensees or subcontractors of the license granted to Duality under Section 2.5; (b) the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49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600"/>
          </w:cols>
          <w:pgMar w:left="660" w:top="1440" w:right="640" w:bottom="1440" w:gutter="0" w:footer="0" w:header="0"/>
        </w:sectPr>
      </w:pPr>
    </w:p>
    <w:bookmarkStart w:id="747" w:name="page748"/>
    <w:bookmarkEnd w:id="747"/>
    <w:p>
      <w:pPr>
        <w:spacing w:after="0" w:line="25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Development, Manufacture or have Manufactured, use, handling, storage, Commercialization or other disposition of the Licensed Compound or Licensed Products by Duality or its Affiliates or sublicensees or subcontractors; (c) the negligence or willful misconduct of any Duality Indemnitee; or (d) any breach of any representations, warranties or covenants by Duality under this Agreement; except, in each case, (x) to the extent such Third Party Claims fall within the scope of the indemnification obligations of Licensee set forth in Section 14.1, or (y) arising from or occurring as a result of a Licensee Indemnitee’s negligence, illegal conduct or willful misconduct in performing its or their obligations or exercising their rights under this Agreement. In addition to the above, and not subject to (x), regardless of any information provided by Duality to Licensee regarding Third Party Agreements entered into prior to the Effective Date, Duality’s indemnification obligation shall cover any and all Third Party Claims for the use of any Patents, Know-How or other intellectual property rights under any Third Party Agreements entered into by Duality prior to the Effective Date, including but not limited to the payment of royalties thereunder.</w:t>
      </w:r>
    </w:p>
    <w:p>
      <w:pPr>
        <w:spacing w:after="0" w:line="135" w:lineRule="exact"/>
        <w:rPr>
          <w:sz w:val="20"/>
          <w:szCs w:val="20"/>
          <w:color w:val="auto"/>
        </w:rPr>
      </w:pPr>
    </w:p>
    <w:p>
      <w:pPr>
        <w:jc w:val="both"/>
        <w:ind w:firstLine="576"/>
        <w:spacing w:after="0" w:line="214" w:lineRule="auto"/>
        <w:rPr>
          <w:sz w:val="20"/>
          <w:szCs w:val="20"/>
          <w:color w:val="auto"/>
        </w:rPr>
      </w:pPr>
      <w:r>
        <w:rPr>
          <w:rFonts w:ascii="Times New Roman" w:cs="Times New Roman" w:eastAsia="Times New Roman" w:hAnsi="Times New Roman"/>
          <w:sz w:val="19"/>
          <w:szCs w:val="19"/>
          <w:b w:val="1"/>
          <w:bCs w:val="1"/>
          <w:color w:val="auto"/>
        </w:rPr>
        <w:t>14.3 Procedure</w:t>
      </w:r>
      <w:r>
        <w:rPr>
          <w:rFonts w:ascii="Times New Roman" w:cs="Times New Roman" w:eastAsia="Times New Roman" w:hAnsi="Times New Roman"/>
          <w:sz w:val="19"/>
          <w:szCs w:val="19"/>
          <w:color w:val="auto"/>
        </w:rPr>
        <w:t>. If any Duality Indemnitee or Licensee Indemnitee intends to claim indemnification under this Article 14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Duality or Licensee, as the case may be, shall promptly notify the indemnifying Party (the “</w:t>
      </w:r>
      <w:r>
        <w:rPr>
          <w:rFonts w:ascii="Times New Roman" w:cs="Times New Roman" w:eastAsia="Times New Roman" w:hAnsi="Times New Roman"/>
          <w:sz w:val="19"/>
          <w:szCs w:val="19"/>
          <w:b w:val="1"/>
          <w:bCs w:val="1"/>
          <w:color w:val="auto"/>
        </w:rPr>
        <w:t>Indemnitor</w:t>
      </w:r>
      <w:r>
        <w:rPr>
          <w:rFonts w:ascii="Times New Roman" w:cs="Times New Roman" w:eastAsia="Times New Roman" w:hAnsi="Times New Roman"/>
          <w:sz w:val="19"/>
          <w:szCs w:val="19"/>
          <w:color w:val="auto"/>
        </w:rPr>
        <w:t>”) in writing of any Third Party Claim, in respect of which the Indemnitee intends to claim such indemnification. Each indemnification claim notice must contain a description of the claim, the nature and amount of such loss (to the extent known at the time). The Indemnitor shall have sole control of the defense and/or settlement thereof and the Indemnitee shall be entitled to participate in (but not control) the defense of such Third Party Claim and to employ counsel of its choice for this purpose, at its own expense. The indemnity arrangement in this Article 14 shall not apply to amounts paid in settlement of any action with respect to a Third Party Claim, if such settlement is effected without the consent of the Indemnitor, which consent shall not be withheld, conditioned or delayed unreasonably. The failure to deliver written notice to the Indemnitee within a reasonable time after the commencement of any action with respect to a Third Party Claim shall only relieve the Indemnitor of its indemnification obligations under this Article 14 if and to the extent the Indemnitee is actually prejudiced thereby. Duality or Licensee, as the case may be, and the Indemnitee shall cooperate fully with the Indemnitor and its legal representatives in the investigation of any action with respect to a Third Party Claim covered by these indemnification provisions. The Indemnitor shall not settle any Third Party Claim without the prior written consent of the Indemnitee if the settlement is reasonably expected to: (a) result in or impose any obligation (including any payment obligation) on the Indemnitee or otherwise adversely affect the business of the Indemnitee in any manner, or (b) result in any admission of wrong-doing or fault by the Indemnitee. The costs and expenses, including fees and disbursements of counsel, incurred by the Indemnitee in connection with any claim shall be reimbursed by the Indemnitor on a Calendar Quarter basis, without prejudice to the Indemnitor’s right to contest the Indemnitee’s right to indemnification and subject to refund in the event the Indemnitee is ultimately held not to be obligated to indemnify the Indemnitee.</w:t>
      </w:r>
    </w:p>
    <w:p>
      <w:pPr>
        <w:spacing w:after="0" w:line="142" w:lineRule="exact"/>
        <w:rPr>
          <w:sz w:val="20"/>
          <w:szCs w:val="20"/>
          <w:color w:val="auto"/>
        </w:rPr>
      </w:pPr>
    </w:p>
    <w:p>
      <w:pPr>
        <w:jc w:val="both"/>
        <w:ind w:right="20"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14.4 Insurance</w:t>
      </w:r>
      <w:r>
        <w:rPr>
          <w:rFonts w:ascii="Times New Roman" w:cs="Times New Roman" w:eastAsia="Times New Roman" w:hAnsi="Times New Roman"/>
          <w:sz w:val="19"/>
          <w:szCs w:val="19"/>
          <w:color w:val="auto"/>
        </w:rPr>
        <w:t>. Each Party, at its own expense, shall maintain product liability and other appropriate insurance (or self-insure)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 amount consistent with sound business practice and reasonable in light of its obligations under this Agreement during the Term. Each Party shall provide a certificate of insurance (or evidence of self -insurance) evidencing such coverage to the other Party upon request. Such insurance shall not be construed to create a limit on either Party’s liability with respect to its indemnification obligations under this Article 14.</w:t>
      </w:r>
    </w:p>
    <w:p>
      <w:pPr>
        <w:spacing w:after="0" w:line="133"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48" w:name="page749"/>
    <w:bookmarkEnd w:id="748"/>
    <w:p>
      <w:pPr>
        <w:spacing w:after="0" w:line="25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15</w:t>
      </w:r>
    </w:p>
    <w:p>
      <w:pPr>
        <w:ind w:left="4200"/>
        <w:spacing w:after="0"/>
        <w:rPr>
          <w:sz w:val="20"/>
          <w:szCs w:val="20"/>
          <w:color w:val="auto"/>
        </w:rPr>
      </w:pPr>
      <w:r>
        <w:rPr>
          <w:rFonts w:ascii="Times New Roman" w:cs="Times New Roman" w:eastAsia="Times New Roman" w:hAnsi="Times New Roman"/>
          <w:sz w:val="19"/>
          <w:szCs w:val="19"/>
          <w:b w:val="1"/>
          <w:bCs w:val="1"/>
          <w:color w:val="auto"/>
        </w:rPr>
        <w:t>DISPUTE RESOLUTION</w:t>
      </w:r>
    </w:p>
    <w:p>
      <w:pPr>
        <w:spacing w:after="0" w:line="142"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15.1 Deadlock Resolution</w:t>
      </w:r>
      <w:r>
        <w:rPr>
          <w:rFonts w:ascii="Times New Roman" w:cs="Times New Roman" w:eastAsia="Times New Roman" w:hAnsi="Times New Roman"/>
          <w:sz w:val="19"/>
          <w:szCs w:val="19"/>
          <w:color w:val="auto"/>
        </w:rPr>
        <w:t>. In the event a deadlock occurs with respect to the decision-making process of the JSC,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deadlock shall be subject to binding determination by an expert panel in the Hong Kong Special Administrative Region. The expert panel shall consist of [***] members, [***] of which [***] appointed by each Party and the [***] member shall be selected by the other</w:t>
      </w:r>
    </w:p>
    <w:p>
      <w:pPr>
        <w:spacing w:after="0" w:line="2" w:lineRule="exact"/>
        <w:rPr>
          <w:sz w:val="20"/>
          <w:szCs w:val="20"/>
          <w:color w:val="auto"/>
        </w:rPr>
      </w:pPr>
    </w:p>
    <w:p>
      <w:pPr>
        <w:jc w:val="both"/>
        <w:ind w:right="20" w:firstLine="6"/>
        <w:spacing w:after="0" w:line="215" w:lineRule="auto"/>
        <w:tabs>
          <w:tab w:leader="none" w:pos="476" w:val="left"/>
        </w:tabs>
        <w:numPr>
          <w:ilvl w:val="0"/>
          <w:numId w:val="7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(collectively, the “</w:t>
      </w:r>
      <w:r>
        <w:rPr>
          <w:rFonts w:ascii="Times New Roman" w:cs="Times New Roman" w:eastAsia="Times New Roman" w:hAnsi="Times New Roman"/>
          <w:sz w:val="19"/>
          <w:szCs w:val="19"/>
          <w:b w:val="1"/>
          <w:bCs w:val="1"/>
          <w:color w:val="auto"/>
        </w:rPr>
        <w:t>Experts</w:t>
      </w:r>
      <w:r>
        <w:rPr>
          <w:rFonts w:ascii="Times New Roman" w:cs="Times New Roman" w:eastAsia="Times New Roman" w:hAnsi="Times New Roman"/>
          <w:sz w:val="19"/>
          <w:szCs w:val="19"/>
          <w:color w:val="auto"/>
        </w:rPr>
        <w:t>”). The panel must be appointed within [***] days of the occurrence of a deadlock event or such longer period as the Parties may agree. Each Expert shall be a person having not less than [***] years’ experience in the area of expertise in the business of pharmaceuticals (including biologics) and having no conflict of interest with either Party. If the issues in dispute involve scientific, technical or commercial matters, the Experts chosen hereunder shall have educational training or industry experience sufficient to demonstrate a reasonable level of relevant scientific, medical and industry knowledge, as necessary to resolve the dispute. With respect to any dispute to be submitted to an Expert pursuant to this Agreement, the use of the Expert shall be the exclusive remedy of the Parties, and neither Party shall attempt to adjudicate such dispute in any other forum. The decision of the Experts shall be final and binding on the applicable Parties involved in such dispute and deadlock resolution procedure contemplated by this Section 15.1 and shall not be capable of challenge, whether by arbitration, in court or otherwise. All proceedings and communications shall be in English.</w:t>
      </w:r>
    </w:p>
    <w:p>
      <w:pPr>
        <w:spacing w:after="0" w:line="131"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15.2 Disputes</w:t>
      </w:r>
      <w:r>
        <w:rPr>
          <w:rFonts w:ascii="Times New Roman" w:cs="Times New Roman" w:eastAsia="Times New Roman" w:hAnsi="Times New Roman"/>
          <w:sz w:val="19"/>
          <w:szCs w:val="19"/>
          <w:color w:val="auto"/>
        </w:rPr>
        <w:t>. Subject to Sections 15.4 and 15.5, upon the written request of either Party to the other Party, any differences,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claim, dispute, or controversy as to the breach, enforcement, interpretation or validity of this Agreement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shall be referred to the Executive Officers for resolution. In the event such executives are unable to resolve such Dispute within [***] days after the initial written request, then, upon the written demand of either Party and subject to Section 15.4 below, the Dispute shall be referred to and finally resolved by binding arbitration administered by the Hong Kong International Arbitration Centre (“</w:t>
      </w:r>
      <w:r>
        <w:rPr>
          <w:rFonts w:ascii="Times New Roman" w:cs="Times New Roman" w:eastAsia="Times New Roman" w:hAnsi="Times New Roman"/>
          <w:sz w:val="19"/>
          <w:szCs w:val="19"/>
          <w:b w:val="1"/>
          <w:bCs w:val="1"/>
          <w:color w:val="auto"/>
        </w:rPr>
        <w:t>HKIAC</w:t>
      </w:r>
      <w:r>
        <w:rPr>
          <w:rFonts w:ascii="Times New Roman" w:cs="Times New Roman" w:eastAsia="Times New Roman" w:hAnsi="Times New Roman"/>
          <w:sz w:val="19"/>
          <w:szCs w:val="19"/>
          <w:color w:val="auto"/>
        </w:rPr>
        <w:t>”) (or any successor entity thereto) pursuant to the United Nations Commission on International Trade Law (“</w:t>
      </w:r>
      <w:r>
        <w:rPr>
          <w:rFonts w:ascii="Times New Roman" w:cs="Times New Roman" w:eastAsia="Times New Roman" w:hAnsi="Times New Roman"/>
          <w:sz w:val="19"/>
          <w:szCs w:val="19"/>
          <w:b w:val="1"/>
          <w:bCs w:val="1"/>
          <w:color w:val="auto"/>
        </w:rPr>
        <w:t>UNCITRAL</w:t>
      </w:r>
      <w:r>
        <w:rPr>
          <w:rFonts w:ascii="Times New Roman" w:cs="Times New Roman" w:eastAsia="Times New Roman" w:hAnsi="Times New Roman"/>
          <w:sz w:val="19"/>
          <w:szCs w:val="19"/>
          <w:color w:val="auto"/>
        </w:rPr>
        <w:t>”) Arbitration Rules in force when the notice of arbitration is submitted, as modified by the HKIAC Procedures for the Administration of Arbitration under the UNCITRAL Arbitration Rules (the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as modified by Section 15.3 below.</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15.3 Arbitration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left="440" w:firstLine="574"/>
        <w:spacing w:after="0" w:line="216" w:lineRule="auto"/>
        <w:tabs>
          <w:tab w:leader="none" w:pos="1736" w:val="left"/>
        </w:tabs>
        <w:numPr>
          <w:ilvl w:val="0"/>
          <w:numId w:val="7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Procedure</w:t>
      </w:r>
      <w:r>
        <w:rPr>
          <w:rFonts w:ascii="Times New Roman" w:cs="Times New Roman" w:eastAsia="Times New Roman" w:hAnsi="Times New Roman"/>
          <w:sz w:val="19"/>
          <w:szCs w:val="19"/>
          <w:color w:val="auto"/>
        </w:rPr>
        <w:t>. The arbitration shall be conducted by a panel of three arbitrators experienced in the business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pharmaceuticals (including biologicals). If the issues in dispute involve scientific, technical or commercial matters, the arbitrators chosen hereunder shall engage experts having educational training or industry experience sufficient to demonstrate a reasonable level of relevant scientific, medical and industry knowledge, as necessary to resolve the dispute. Within [***] days after initiation of arbitration, each of the Parties shall select one arbitrator and these two arbitrators shall jointly select a third arbitrator. If a Party fails to select an arbitrator or if the two arbitrators selected by the Parties are unable or fail to agree upon the third arbitrator within such [***] day period, any unselected arbitrator or third arbitrator, as the case may be, shall be appointed in accordance with the Rules. The place of arbitration and the seat of arbitration shall be Hong Kong Special Administrative Region, and all proceedings and communications shall be in English. Unless agreed by the Parties in writing, all documents provided under or in connection with this Agreement shall be in the English language or accompanied by a certified English translation. If such document is translated into any other language, the English language version shall prevail unless the document is a constitution, statutory or other official document. The laws governing this arbitration agreement shall be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49" w:name="page750"/>
    <w:bookmarkEnd w:id="749"/>
    <w:p>
      <w:pPr>
        <w:spacing w:after="0" w:line="257" w:lineRule="exact"/>
        <w:rPr>
          <w:sz w:val="20"/>
          <w:szCs w:val="20"/>
          <w:color w:val="auto"/>
        </w:rPr>
      </w:pPr>
    </w:p>
    <w:p>
      <w:pPr>
        <w:jc w:val="both"/>
        <w:ind w:left="440" w:right="20"/>
        <w:spacing w:after="0" w:line="232" w:lineRule="auto"/>
        <w:rPr>
          <w:sz w:val="20"/>
          <w:szCs w:val="20"/>
          <w:color w:val="auto"/>
        </w:rPr>
      </w:pPr>
      <w:r>
        <w:rPr>
          <w:rFonts w:ascii="Times New Roman" w:cs="Times New Roman" w:eastAsia="Times New Roman" w:hAnsi="Times New Roman"/>
          <w:sz w:val="19"/>
          <w:szCs w:val="19"/>
          <w:color w:val="auto"/>
        </w:rPr>
        <w:t>Hong Kong Special Administrative Region and the arbitral award shall be final and binding on the Parties. Except to the extent necessary to confirm an award or as may be required by law, neither a Party nor the arbitrators may disclose the existence, content, or results of arbitration without the prior written consent of both Parties.</w:t>
      </w:r>
    </w:p>
    <w:p>
      <w:pPr>
        <w:spacing w:after="0" w:line="133" w:lineRule="exact"/>
        <w:rPr>
          <w:sz w:val="20"/>
          <w:szCs w:val="20"/>
          <w:color w:val="auto"/>
        </w:rPr>
      </w:pPr>
    </w:p>
    <w:p>
      <w:pPr>
        <w:jc w:val="both"/>
        <w:ind w:left="440" w:firstLine="574"/>
        <w:spacing w:after="0" w:line="227" w:lineRule="auto"/>
        <w:tabs>
          <w:tab w:leader="none" w:pos="1736" w:val="left"/>
        </w:tabs>
        <w:numPr>
          <w:ilvl w:val="0"/>
          <w:numId w:val="7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Arbitrators’ Award</w:t>
      </w:r>
      <w:r>
        <w:rPr>
          <w:rFonts w:ascii="Times New Roman" w:cs="Times New Roman" w:eastAsia="Times New Roman" w:hAnsi="Times New Roman"/>
          <w:sz w:val="19"/>
          <w:szCs w:val="19"/>
          <w:color w:val="auto"/>
        </w:rPr>
        <w:t>. The arbitrators shall, within [***] days after the conclusion of the arbitration hearing, issue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any court of competent jurisdiction.</w:t>
      </w:r>
    </w:p>
    <w:p>
      <w:pPr>
        <w:spacing w:after="0" w:line="133" w:lineRule="exact"/>
        <w:rPr>
          <w:rFonts w:ascii="Times New Roman" w:cs="Times New Roman" w:eastAsia="Times New Roman" w:hAnsi="Times New Roman"/>
          <w:sz w:val="19"/>
          <w:szCs w:val="19"/>
          <w:color w:val="auto"/>
        </w:rPr>
      </w:pPr>
    </w:p>
    <w:p>
      <w:pPr>
        <w:jc w:val="both"/>
        <w:ind w:left="440" w:right="20" w:firstLine="574"/>
        <w:spacing w:after="0" w:line="224" w:lineRule="auto"/>
        <w:tabs>
          <w:tab w:leader="none" w:pos="1736" w:val="left"/>
        </w:tabs>
        <w:numPr>
          <w:ilvl w:val="0"/>
          <w:numId w:val="7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Costs</w:t>
      </w:r>
      <w:r>
        <w:rPr>
          <w:rFonts w:ascii="Times New Roman" w:cs="Times New Roman" w:eastAsia="Times New Roman" w:hAnsi="Times New Roman"/>
          <w:sz w:val="19"/>
          <w:szCs w:val="19"/>
          <w:color w:val="auto"/>
        </w:rPr>
        <w:t>. Each Party shall bear its own attorney’s fees, costs, and disbursements arising out of the arbitration,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pay an equal share of the fees and costs of the arbitrators; provided, however, that the arbitrators shall be authorized to determine whether a Party is the prevailing party, and if so, to award to that prevailing party reimbursement for any or all of its reasonable attorneys’ fees, costs and disbursements (including, for example, expert witness fees and expenses, photocopy charges, travel expenses, etc.), and/or the fees and costs of the HKIAC and the arbitrators.</w:t>
      </w:r>
    </w:p>
    <w:p>
      <w:pPr>
        <w:spacing w:after="0" w:line="132" w:lineRule="exact"/>
        <w:rPr>
          <w:rFonts w:ascii="Times New Roman" w:cs="Times New Roman" w:eastAsia="Times New Roman" w:hAnsi="Times New Roman"/>
          <w:sz w:val="19"/>
          <w:szCs w:val="19"/>
          <w:color w:val="auto"/>
        </w:rPr>
      </w:pPr>
    </w:p>
    <w:p>
      <w:pPr>
        <w:ind w:left="440" w:right="40" w:firstLine="574"/>
        <w:spacing w:after="0" w:line="249" w:lineRule="auto"/>
        <w:tabs>
          <w:tab w:leader="none" w:pos="1736" w:val="left"/>
        </w:tabs>
        <w:numPr>
          <w:ilvl w:val="0"/>
          <w:numId w:val="7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Protective Orders</w:t>
      </w:r>
      <w:r>
        <w:rPr>
          <w:rFonts w:ascii="Times New Roman" w:cs="Times New Roman" w:eastAsia="Times New Roman" w:hAnsi="Times New Roman"/>
          <w:sz w:val="19"/>
          <w:szCs w:val="19"/>
          <w:color w:val="auto"/>
        </w:rPr>
        <w:t>. At the request of either Party, the tribunal shall enter an appropriate protective order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 the confidentiality of information produced or exchanged in the course of the arbitration proceedings.</w:t>
      </w:r>
    </w:p>
    <w:p>
      <w:pPr>
        <w:spacing w:after="0" w:line="123" w:lineRule="exact"/>
        <w:rPr>
          <w:sz w:val="20"/>
          <w:szCs w:val="20"/>
          <w:color w:val="auto"/>
        </w:rPr>
      </w:pPr>
    </w:p>
    <w:p>
      <w:pPr>
        <w:ind w:left="5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15.4</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15.5 Interim Relief</w:t>
      </w:r>
      <w:r>
        <w:rPr>
          <w:rFonts w:ascii="Times New Roman" w:cs="Times New Roman" w:eastAsia="Times New Roman" w:hAnsi="Times New Roman"/>
          <w:sz w:val="19"/>
          <w:szCs w:val="19"/>
          <w:color w:val="auto"/>
        </w:rPr>
        <w:t>. Each Party shall be entitled to take action in any court with competent jurisdiction to apply for and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emergency or other interim relief and otherwise enforce by injunction, specific performance or other equitable relief, without prejudice to any other rights and remedies that it may have under this Agreement</w:t>
      </w:r>
    </w:p>
    <w:p>
      <w:pPr>
        <w:spacing w:after="0" w:line="132" w:lineRule="exact"/>
        <w:rPr>
          <w:sz w:val="20"/>
          <w:szCs w:val="20"/>
          <w:color w:val="auto"/>
        </w:rPr>
      </w:pPr>
    </w:p>
    <w:p>
      <w:pPr>
        <w:ind w:right="4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15.6 Continued Performance. </w:t>
      </w:r>
      <w:r>
        <w:rPr>
          <w:rFonts w:ascii="Times New Roman" w:cs="Times New Roman" w:eastAsia="Times New Roman" w:hAnsi="Times New Roman"/>
          <w:sz w:val="19"/>
          <w:szCs w:val="19"/>
          <w:color w:val="auto"/>
        </w:rPr>
        <w:t>Provided that this Agreement has not been terminated in its entirety, the Parties agree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 performing under this Agreement in accordance with its provisions, pending the final resolution of any Dispute.</w:t>
      </w:r>
    </w:p>
    <w:p>
      <w:pPr>
        <w:spacing w:after="0" w:line="200" w:lineRule="exact"/>
        <w:rPr>
          <w:sz w:val="20"/>
          <w:szCs w:val="20"/>
          <w:color w:val="auto"/>
        </w:rPr>
      </w:pPr>
    </w:p>
    <w:p>
      <w:pPr>
        <w:spacing w:after="0" w:line="3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Article 16</w:t>
      </w:r>
    </w:p>
    <w:p>
      <w:pPr>
        <w:ind w:left="444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42" w:lineRule="exact"/>
        <w:rPr>
          <w:sz w:val="20"/>
          <w:szCs w:val="20"/>
          <w:color w:val="auto"/>
        </w:rPr>
      </w:pPr>
    </w:p>
    <w:p>
      <w:pPr>
        <w:ind w:left="880"/>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16.1</w:t>
        <w:tab/>
        <w:t>Rights in Bankruptcy.</w:t>
      </w:r>
    </w:p>
    <w:p>
      <w:pPr>
        <w:spacing w:after="0" w:line="168" w:lineRule="exact"/>
        <w:rPr>
          <w:sz w:val="20"/>
          <w:szCs w:val="20"/>
          <w:color w:val="auto"/>
        </w:rPr>
      </w:pPr>
    </w:p>
    <w:p>
      <w:pPr>
        <w:jc w:val="both"/>
        <w:ind w:left="440" w:firstLine="574"/>
        <w:spacing w:after="0" w:line="219" w:lineRule="auto"/>
        <w:tabs>
          <w:tab w:leader="none" w:pos="1736" w:val="left"/>
        </w:tabs>
        <w:numPr>
          <w:ilvl w:val="0"/>
          <w:numId w:val="7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to take advantage of the protections of Section 365(n) (or any successor 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or in any analogous provisions in any other country or jurisdiction (as the case may be) shall be deemed to be “intellectual property” for the purposes of Section 365(n) or any analogous provisions in any other country or jurisdiction (as the case may be). The Parties shall retain and may fully exercise all of their rights and elections under the U.S. Bankruptcy Code or any analogous provisions in any other country or jurisdiction, including the right to obtain the intellectual property from another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50" w:name="page751"/>
    <w:bookmarkEnd w:id="750"/>
    <w:p>
      <w:pPr>
        <w:spacing w:after="0" w:line="257" w:lineRule="exact"/>
        <w:rPr>
          <w:sz w:val="20"/>
          <w:szCs w:val="20"/>
          <w:color w:val="auto"/>
        </w:rPr>
      </w:pPr>
    </w:p>
    <w:p>
      <w:pPr>
        <w:jc w:val="both"/>
        <w:ind w:left="440" w:firstLine="574"/>
        <w:spacing w:after="0" w:line="220" w:lineRule="auto"/>
        <w:tabs>
          <w:tab w:leader="none" w:pos="1736" w:val="left"/>
        </w:tabs>
        <w:numPr>
          <w:ilvl w:val="0"/>
          <w:numId w:val="7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commencement of a bankruptcy proceeding by or against either Party under the U.S. Bankruptcy Code or any analogous provisions in any other country or jurisdiction, the Party that is not subject to such proceeding shall be entitled to a complete duplicate of (or complete access to, as appropriate) all such intellectual property (including all embodiments of such intellectual property), which, if not already in the non-subject Party’s possession, shall be promptly delivered to it upon the non-subject Party’s written request (i) upon commencement of a bankruptcy proceeding, unless the Party subject to such proceeding continues to perform all of its obligations under this Agreement, or (ii) if not delivered pursuant to clause (i) above because the subject Party continues to perform, upon the rejection of this Agreement by or on behalf of the subject Party.</w:t>
      </w:r>
    </w:p>
    <w:p>
      <w:pPr>
        <w:spacing w:after="0" w:line="134" w:lineRule="exact"/>
        <w:rPr>
          <w:rFonts w:ascii="Times New Roman" w:cs="Times New Roman" w:eastAsia="Times New Roman" w:hAnsi="Times New Roman"/>
          <w:sz w:val="19"/>
          <w:szCs w:val="19"/>
          <w:color w:val="auto"/>
        </w:rPr>
      </w:pPr>
    </w:p>
    <w:p>
      <w:pPr>
        <w:jc w:val="both"/>
        <w:ind w:left="440" w:right="20" w:firstLine="574"/>
        <w:spacing w:after="0" w:line="227" w:lineRule="auto"/>
        <w:tabs>
          <w:tab w:leader="none" w:pos="1736" w:val="left"/>
        </w:tabs>
        <w:numPr>
          <w:ilvl w:val="0"/>
          <w:numId w:val="7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and until the subject Party rejects this Agreement, the subject Party shall perform this Agreement or provide the intellectual property (including all embodiments of such intellectual property) to the non-subject Party, and shall not interfere with the rights of the non-subject Party to such intellectual property, including the right to obtain the intellectual property from another entity.</w:t>
      </w:r>
    </w:p>
    <w:p>
      <w:pPr>
        <w:spacing w:after="0" w:line="132" w:lineRule="exact"/>
        <w:rPr>
          <w:sz w:val="20"/>
          <w:szCs w:val="20"/>
          <w:color w:val="auto"/>
        </w:rPr>
      </w:pPr>
    </w:p>
    <w:p>
      <w:pPr>
        <w:ind w:right="20" w:firstLine="576"/>
        <w:spacing w:after="0" w:line="249" w:lineRule="auto"/>
        <w:rPr>
          <w:sz w:val="20"/>
          <w:szCs w:val="20"/>
          <w:color w:val="auto"/>
        </w:rPr>
      </w:pPr>
      <w:r>
        <w:rPr>
          <w:rFonts w:ascii="Times New Roman" w:cs="Times New Roman" w:eastAsia="Times New Roman" w:hAnsi="Times New Roman"/>
          <w:sz w:val="19"/>
          <w:szCs w:val="19"/>
          <w:b w:val="1"/>
          <w:bCs w:val="1"/>
          <w:color w:val="auto"/>
        </w:rPr>
        <w:t>16.2 Governing Law</w:t>
      </w:r>
      <w:r>
        <w:rPr>
          <w:rFonts w:ascii="Times New Roman" w:cs="Times New Roman" w:eastAsia="Times New Roman" w:hAnsi="Times New Roman"/>
          <w:sz w:val="19"/>
          <w:szCs w:val="19"/>
          <w:color w:val="auto"/>
        </w:rPr>
        <w:t>. This Agreement and any disputes, claims, or actions related thereto shall be governed by and construed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 laws of the State of New York, without regard to the conflicts of law provisions thereof.</w:t>
      </w:r>
    </w:p>
    <w:p>
      <w:pPr>
        <w:spacing w:after="0" w:line="123"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 xml:space="preserve">16.3 Entire Agreement; Amendment </w:t>
      </w:r>
      <w:r>
        <w:rPr>
          <w:rFonts w:ascii="Times New Roman" w:cs="Times New Roman" w:eastAsia="Times New Roman" w:hAnsi="Times New Roman"/>
          <w:sz w:val="19"/>
          <w:szCs w:val="19"/>
          <w:color w:val="auto"/>
        </w:rPr>
        <w:t>. This Agreement, including the Schedules hereto, sets forth all of the agreements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understandings between the Parties with respect to the subject matter hereof and thereof, and supersedes and terminates all prior agreements and understandings between the Parties with respect to the subject matter hereof and thereof. There are no other agreements or understandings with respect to the subject matter hereof, either oral or written, between the Parties. Except as expressly set forth in this Agreement, no subsequent amendment, modification or addition to this Agreement shall be binding upon the Parties unless reduced to writing and signed by the respective authorized officers of the Parties.</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 xml:space="preserve">16.4 Further Assurances </w:t>
      </w:r>
      <w:r>
        <w:rPr>
          <w:rFonts w:ascii="Times New Roman" w:cs="Times New Roman" w:eastAsia="Times New Roman" w:hAnsi="Times New Roman"/>
          <w:sz w:val="19"/>
          <w:szCs w:val="19"/>
          <w:color w:val="auto"/>
        </w:rPr>
        <w:t>. Each Party shall duly execute and deliver, or cause to be duly executed and delivered, such further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instruments and do and cause to be done such further acts and things, including the filing of such assignments, agreements, documents, and instruments, as may be necessary or as any other Party may reasonably request in connection with this Agreement or to carry out more effectively the provisions and purposes hereof, or to better assure and confirm unto such other Party its rights and remedies under this Agreement.</w:t>
      </w:r>
    </w:p>
    <w:p>
      <w:pPr>
        <w:spacing w:after="0" w:line="133"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16.5 Relationship Between the Parties</w:t>
      </w:r>
      <w:r>
        <w:rPr>
          <w:rFonts w:ascii="Times New Roman" w:cs="Times New Roman" w:eastAsia="Times New Roman" w:hAnsi="Times New Roman"/>
          <w:sz w:val="19"/>
          <w:szCs w:val="19"/>
          <w:color w:val="auto"/>
        </w:rPr>
        <w:t>. The Parties’ relationship, as established by this Agreement, is solely that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independent contractors. This Agreement does not create any partnership, joint venture or similar business relationship or legal entity of any type between the Parties. Neither Party is a legal representative of the other Party, and neither Party can assume or create any obligation, representation, warranty or guarantee, express or implied, on behalf of the other Party for any purpose whatsoever. Neither Party shall treat or report the relationship arising under this Agreement as a partnership for United States tax purposes unless otherwise required pursuant to a determination within the meaning of Section 1313 of the Internal Revenue Code of 1986, as amended.</w:t>
      </w:r>
    </w:p>
    <w:p>
      <w:pPr>
        <w:spacing w:after="0" w:line="132" w:lineRule="exact"/>
        <w:rPr>
          <w:sz w:val="20"/>
          <w:szCs w:val="20"/>
          <w:color w:val="auto"/>
        </w:rPr>
      </w:pPr>
    </w:p>
    <w:p>
      <w:pPr>
        <w:jc w:val="both"/>
        <w:ind w:right="20" w:firstLine="576"/>
        <w:spacing w:after="0" w:line="227" w:lineRule="auto"/>
        <w:rPr>
          <w:sz w:val="20"/>
          <w:szCs w:val="20"/>
          <w:color w:val="auto"/>
        </w:rPr>
      </w:pPr>
      <w:r>
        <w:rPr>
          <w:rFonts w:ascii="Times New Roman" w:cs="Times New Roman" w:eastAsia="Times New Roman" w:hAnsi="Times New Roman"/>
          <w:sz w:val="19"/>
          <w:szCs w:val="19"/>
          <w:b w:val="1"/>
          <w:bCs w:val="1"/>
          <w:color w:val="auto"/>
        </w:rPr>
        <w:t>16.6 Non-Waiver</w:t>
      </w:r>
      <w:r>
        <w:rPr>
          <w:rFonts w:ascii="Times New Roman" w:cs="Times New Roman" w:eastAsia="Times New Roman" w:hAnsi="Times New Roman"/>
          <w:sz w:val="19"/>
          <w:szCs w:val="19"/>
          <w:color w:val="auto"/>
        </w:rPr>
        <w:t>. The failure of a Party to insist upon strict performance of any provision of this Agreement or to exercise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of a particular scope, and shall be signed by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51" w:name="page752"/>
    <w:bookmarkEnd w:id="751"/>
    <w:p>
      <w:pPr>
        <w:spacing w:after="0" w:line="255"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16.7 Assignment</w:t>
      </w:r>
      <w:r>
        <w:rPr>
          <w:rFonts w:ascii="Times New Roman" w:cs="Times New Roman" w:eastAsia="Times New Roman" w:hAnsi="Times New Roman"/>
          <w:sz w:val="19"/>
          <w:szCs w:val="19"/>
          <w:color w:val="auto"/>
        </w:rPr>
        <w:t>. Except as expressly provided hereunder, neither this Agreement nor any rights or obligations hereunder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assigned by a Party without the prior written consent of the other Party (which shall not be unreasonably withheld, conditioned or delayed), except to (a) an Affiliate; provided that this Agreement shall be assigned in whole, and the assigning Party shall remain liable and responsible to the non -assigning Party hereto for the performance and observance of all such duties and obligations by such Affiliate;</w:t>
      </w:r>
    </w:p>
    <w:p>
      <w:pPr>
        <w:spacing w:after="0" w:line="2" w:lineRule="exact"/>
        <w:rPr>
          <w:sz w:val="20"/>
          <w:szCs w:val="20"/>
          <w:color w:val="auto"/>
        </w:rPr>
      </w:pPr>
    </w:p>
    <w:p>
      <w:pPr>
        <w:jc w:val="both"/>
        <w:ind w:right="20" w:firstLine="6"/>
        <w:spacing w:after="0" w:line="216" w:lineRule="auto"/>
        <w:tabs>
          <w:tab w:leader="none" w:pos="281" w:val="left"/>
        </w:tabs>
        <w:numPr>
          <w:ilvl w:val="0"/>
          <w:numId w:val="7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Third Party in connection with the sale of all or substantially all of its assets to which this Agreement relates, whether in a sale of stock, sale of assets, business combination, reorganization, or other transaction or series of related transactions. Unless expressly stated otherwise in this Agreement, Duality may assign without the prior consent of Licensee its right to receive payments under this Agreement or grant any security interest in its rights, title and interest in this Agreement, in whole or in part and in their entirety or in portions, to an institutional financier in connection with a financing transaction; provided that Duality has given Licensee a prior written notice regarding such assignment. The rights and obligations of the Parties under this Agreement shall be binding upon and inure to the benefit of the permitted assigns of the Parties. Any assignment not in accordance with this Agreement shall be void.</w:t>
      </w:r>
    </w:p>
    <w:p>
      <w:pPr>
        <w:spacing w:after="0" w:line="136" w:lineRule="exact"/>
        <w:rPr>
          <w:sz w:val="20"/>
          <w:szCs w:val="20"/>
          <w:color w:val="auto"/>
        </w:rPr>
      </w:pPr>
    </w:p>
    <w:p>
      <w:pPr>
        <w:jc w:val="both"/>
        <w:ind w:firstLine="576"/>
        <w:spacing w:after="0" w:line="233" w:lineRule="auto"/>
        <w:rPr>
          <w:sz w:val="20"/>
          <w:szCs w:val="20"/>
          <w:color w:val="auto"/>
        </w:rPr>
      </w:pPr>
      <w:r>
        <w:rPr>
          <w:rFonts w:ascii="Times New Roman" w:cs="Times New Roman" w:eastAsia="Times New Roman" w:hAnsi="Times New Roman"/>
          <w:sz w:val="19"/>
          <w:szCs w:val="19"/>
          <w:b w:val="1"/>
          <w:bCs w:val="1"/>
          <w:color w:val="auto"/>
        </w:rPr>
        <w:t>16. 8 Third Party Beneficiaries</w:t>
      </w:r>
      <w:r>
        <w:rPr>
          <w:rFonts w:ascii="Times New Roman" w:cs="Times New Roman" w:eastAsia="Times New Roman" w:hAnsi="Times New Roman"/>
          <w:sz w:val="19"/>
          <w:szCs w:val="19"/>
          <w:color w:val="auto"/>
        </w:rPr>
        <w:t>. This Agreement is not intended to and shall not be construed to give any Third Party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or rights (including any third party beneficiary rights) with respect to or in connection with any agreement or provision contained herein or contemplated hereby.</w:t>
      </w:r>
    </w:p>
    <w:p>
      <w:pPr>
        <w:spacing w:after="0" w:line="132"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16. 9 Severability</w:t>
      </w:r>
      <w:r>
        <w:rPr>
          <w:rFonts w:ascii="Times New Roman" w:cs="Times New Roman" w:eastAsia="Times New Roman" w:hAnsi="Times New Roman"/>
          <w:sz w:val="19"/>
          <w:szCs w:val="19"/>
          <w:color w:val="auto"/>
        </w:rPr>
        <w:t>. If, for any reason, any part of this Agreement is adjudicated invalid, unenforceable or illegal by a court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jurisdiction, such adjudication shall not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 The Parties shall use their commercially reasonable efforts to replace the invalid, illegal or unenforceable provision(s) with valid, legal and enforceable provision(s) in a way that, to the extent practicable and legally permissible, implements the original intent of the Parties.</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16.10 Notices</w:t>
      </w:r>
      <w:r>
        <w:rPr>
          <w:rFonts w:ascii="Times New Roman" w:cs="Times New Roman" w:eastAsia="Times New Roman" w:hAnsi="Times New Roman"/>
          <w:sz w:val="19"/>
          <w:szCs w:val="19"/>
          <w:color w:val="auto"/>
        </w:rPr>
        <w:t>. Any notice to be given under this Agreement must be in writing and delivered either in person, by any method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mail (postage prepaid) requiring return receipt, or by overnight courier or facsimile confirmed thereafter by any of the foregoing, to the Party to be notified at its address(es) given below, or at any address such Party has previously designated by prior written notice to the other. Notice shall be deemed sufficiently given for all purposes upon the earliest of: (a) the date of actual receipt; (b) if delivered by overnight courier, [***] Business Days after delivery; or (c) if sent by facsimile, upon electronic confirmation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52" w:name="page753"/>
    <w:bookmarkEnd w:id="752"/>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if to Duality: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Duality Biologics (Suzhou) Co., Ltd</w:t>
      </w:r>
    </w:p>
    <w:p>
      <w:pPr>
        <w:spacing w:after="0" w:line="17" w:lineRule="exact"/>
        <w:rPr>
          <w:sz w:val="20"/>
          <w:szCs w:val="20"/>
          <w:color w:val="auto"/>
        </w:rPr>
      </w:pPr>
    </w:p>
    <w:p>
      <w:pPr>
        <w:sectPr>
          <w:pgSz w:w="11900" w:h="16840" w:orient="portrait"/>
          <w:cols w:equalWidth="0" w:num="2">
            <w:col w:w="4520" w:space="720"/>
            <w:col w:w="5340"/>
          </w:cols>
          <w:pgMar w:left="660" w:top="1440" w:right="660" w:bottom="1440" w:gutter="0" w:footer="0" w:header="0"/>
        </w:sectPr>
      </w:pPr>
    </w:p>
    <w:p>
      <w:pPr>
        <w:ind w:left="5240"/>
        <w:spacing w:after="0"/>
        <w:rPr>
          <w:sz w:val="20"/>
          <w:szCs w:val="20"/>
          <w:color w:val="auto"/>
        </w:rPr>
      </w:pPr>
      <w:r>
        <w:rPr>
          <w:rFonts w:ascii="Times New Roman" w:cs="Times New Roman" w:eastAsia="Times New Roman" w:hAnsi="Times New Roman"/>
          <w:sz w:val="19"/>
          <w:szCs w:val="19"/>
          <w:color w:val="auto"/>
        </w:rPr>
        <w:t>Unit 1106, No 868 Yinghua Road, Pudong New District, Shanghai,</w:t>
      </w:r>
    </w:p>
    <w:p>
      <w:pPr>
        <w:ind w:left="5240"/>
        <w:spacing w:after="0"/>
        <w:rPr>
          <w:sz w:val="20"/>
          <w:szCs w:val="20"/>
          <w:color w:val="auto"/>
        </w:rPr>
      </w:pPr>
      <w:r>
        <w:rPr>
          <w:rFonts w:ascii="Times New Roman" w:cs="Times New Roman" w:eastAsia="Times New Roman" w:hAnsi="Times New Roman"/>
          <w:sz w:val="19"/>
          <w:szCs w:val="19"/>
          <w:color w:val="auto"/>
        </w:rPr>
        <w:t>China</w:t>
      </w:r>
    </w:p>
    <w:p>
      <w:pPr>
        <w:spacing w:after="0" w:line="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Attention: [***]</w:t>
      </w: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Email: [***]</w:t>
      </w:r>
    </w:p>
    <w:p>
      <w:pPr>
        <w:sectPr>
          <w:pgSz w:w="11900" w:h="16840" w:orient="portrait"/>
          <w:cols w:equalWidth="0" w:num="1">
            <w:col w:w="10580"/>
          </w:cols>
          <w:pgMar w:left="660" w:top="1440" w:right="66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9"/>
          <w:szCs w:val="19"/>
          <w:color w:val="auto"/>
        </w:rPr>
        <w:t>[***]</w:t>
      </w:r>
    </w:p>
    <w:p>
      <w:pPr>
        <w:spacing w:after="0" w:line="33" w:lineRule="exact"/>
        <w:rPr>
          <w:sz w:val="20"/>
          <w:szCs w:val="20"/>
          <w:color w:val="auto"/>
        </w:rPr>
      </w:pPr>
    </w:p>
    <w:p>
      <w:pPr>
        <w:sectPr>
          <w:pgSz w:w="11900" w:h="16840" w:orient="portrait"/>
          <w:cols w:equalWidth="0" w:num="2">
            <w:col w:w="4520" w:space="720"/>
            <w:col w:w="5340"/>
          </w:cols>
          <w:pgMar w:left="660" w:top="1440" w:right="66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1440" w:right="660"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if to Licensee: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BIONTECH SE</w:t>
      </w:r>
    </w:p>
    <w:p>
      <w:pPr>
        <w:spacing w:after="0" w:line="210" w:lineRule="auto"/>
        <w:rPr>
          <w:sz w:val="20"/>
          <w:szCs w:val="20"/>
          <w:color w:val="auto"/>
        </w:rPr>
      </w:pP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19"/>
          <w:szCs w:val="19"/>
          <w:color w:val="auto"/>
        </w:rPr>
        <w:t>Address: An der Goldgrube 12,</w:t>
      </w:r>
    </w:p>
    <w:p>
      <w:pPr>
        <w:spacing w:after="0" w:line="211" w:lineRule="auto"/>
        <w:rPr>
          <w:sz w:val="20"/>
          <w:szCs w:val="20"/>
          <w:color w:val="auto"/>
        </w:rPr>
      </w:pPr>
      <w:r>
        <w:rPr>
          <w:rFonts w:ascii="Times New Roman" w:cs="Times New Roman" w:eastAsia="Times New Roman" w:hAnsi="Times New Roman"/>
          <w:sz w:val="19"/>
          <w:szCs w:val="19"/>
          <w:color w:val="auto"/>
        </w:rPr>
        <w:t>55131 Mainz,</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Germany</w:t>
      </w:r>
    </w:p>
    <w:p>
      <w:pPr>
        <w:spacing w:after="0" w:line="200" w:lineRule="exact"/>
        <w:rPr>
          <w:sz w:val="20"/>
          <w:szCs w:val="20"/>
          <w:color w:val="auto"/>
        </w:rPr>
      </w:pPr>
    </w:p>
    <w:p>
      <w:pPr>
        <w:sectPr>
          <w:pgSz w:w="11900" w:h="16840" w:orient="portrait"/>
          <w:cols w:equalWidth="0" w:num="2">
            <w:col w:w="4500" w:space="720"/>
            <w:col w:w="5360"/>
          </w:cols>
          <w:pgMar w:left="660" w:top="1440" w:right="660" w:bottom="1440" w:gutter="0" w:footer="0" w:header="0"/>
          <w:type w:val="continuous"/>
        </w:sectPr>
      </w:pP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40" w:orient="portrait"/>
          <w:cols w:equalWidth="0" w:num="2">
            <w:col w:w="4500" w:space="720"/>
            <w:col w:w="5360"/>
          </w:cols>
          <w:pgMar w:left="660" w:top="1440" w:right="66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9"/>
          <w:szCs w:val="19"/>
          <w:b w:val="1"/>
          <w:bCs w:val="1"/>
          <w:color w:val="auto"/>
        </w:rPr>
        <w:t>16.11 Force Majeure</w:t>
      </w:r>
      <w:r>
        <w:rPr>
          <w:rFonts w:ascii="Times New Roman" w:cs="Times New Roman" w:eastAsia="Times New Roman" w:hAnsi="Times New Roman"/>
          <w:sz w:val="19"/>
          <w:szCs w:val="19"/>
          <w:color w:val="auto"/>
        </w:rPr>
        <w:t>. Each Party shall be excused from liability for the failure or delay in performance of any obligation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under this Agreement by reason of any event beyond such Party’s reasonable control including but not limited to acts of God, fire, flood, explosion, earthquake, or other natural forces, regional or worldwide epidemic, pandemic, war, civil unrest, acts of terrorism, accident, destruction or other casualty, and a material change in Applicable Law (a “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Such excuse from liability shall be effective only to the extent and duration of the event(s) causing the failure or delay in performance and provided that the Party has not caused such event(s) to occur. Notice of a Party’s failure or delay in performance due to a Force Majeure Event must be given to the other Party within [***] days after its occurrence. The Party affected by a Force Majeure Event will use reasonable efforts to resume performance of its obligations and will keep the other Party informed of actions related thereto. If any such failure or delay in a Party’s performance hereunder continues for more than [***] days, the other Party may terminate this Agreement upon written notice to the delayed Party.</w:t>
      </w:r>
    </w:p>
    <w:p>
      <w:pPr>
        <w:spacing w:after="0" w:line="137"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9"/>
          <w:szCs w:val="19"/>
          <w:b w:val="1"/>
          <w:bCs w:val="1"/>
          <w:color w:val="auto"/>
        </w:rPr>
        <w:t>16.12 Interpretation</w:t>
      </w:r>
      <w:r>
        <w:rPr>
          <w:rFonts w:ascii="Times New Roman" w:cs="Times New Roman" w:eastAsia="Times New Roman" w:hAnsi="Times New Roman"/>
          <w:sz w:val="19"/>
          <w:szCs w:val="19"/>
          <w:color w:val="auto"/>
        </w:rPr>
        <w:t>. The headings of clauses contained in this Agreement preceding the text of the sections, subsections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The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type w:val="continuous"/>
        </w:sectPr>
      </w:pPr>
    </w:p>
    <w:bookmarkStart w:id="753" w:name="page754"/>
    <w:bookmarkEnd w:id="753"/>
    <w:p>
      <w:pPr>
        <w:spacing w:after="0" w:line="25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9"/>
          <w:szCs w:val="19"/>
          <w:color w:val="auto"/>
        </w:rPr>
        <w:t>“include”, “including”, “containing”, “comprising” and similar words shall not be deemed to be terms of limitation and shall be deemed to be followed by “ without limitation,” whether or not specifically stated and the language following such words shall not be deemed to set forth an exhaustive list. The word “or” means “and/or” unless the context dictates otherwise because the subject of the conjunction are mutually exclusive. The words “herein,” “hereof” and “hereunder” and other words of similar import refer to this Agreement as a whole and not to any particular Section or other subdivision. The words “pharmaceuticals” or “drugs” include biologics unless expressly indicated otherwise. All references to days in this Agreement shall mean calendar days, unless otherwise specified. All references to any Applicable Law in this Agreement shall mean such Applicable Law as amended, restated, supplanted or otherwise modified from time to time. Ambiguities and uncertainties in this Agreement, if any, shall not be interpreted against either Party, irrespective of which Party may be deemed to have caused the ambiguity or uncertainty to exist.</w:t>
      </w:r>
    </w:p>
    <w:p>
      <w:pPr>
        <w:spacing w:after="0" w:line="132"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9"/>
          <w:szCs w:val="19"/>
          <w:b w:val="1"/>
          <w:bCs w:val="1"/>
          <w:color w:val="auto"/>
        </w:rPr>
        <w:t>16.13 Construction</w:t>
      </w:r>
      <w:r>
        <w:rPr>
          <w:rFonts w:ascii="Times New Roman" w:cs="Times New Roman" w:eastAsia="Times New Roman" w:hAnsi="Times New Roman"/>
          <w:sz w:val="19"/>
          <w:szCs w:val="19"/>
          <w:color w:val="auto"/>
        </w:rPr>
        <w:t>. The Parties hereto acknowledge and agree that: (a) each Party and its counsel reviewed and negotiated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33" w:lineRule="exact"/>
        <w:rPr>
          <w:sz w:val="20"/>
          <w:szCs w:val="20"/>
          <w:color w:val="auto"/>
        </w:rPr>
      </w:pPr>
    </w:p>
    <w:p>
      <w:pPr>
        <w:jc w:val="both"/>
        <w:ind w:firstLine="576"/>
        <w:spacing w:after="0" w:line="219" w:lineRule="auto"/>
        <w:rPr>
          <w:sz w:val="20"/>
          <w:szCs w:val="20"/>
          <w:color w:val="auto"/>
        </w:rPr>
      </w:pPr>
      <w:r>
        <w:rPr>
          <w:rFonts w:ascii="Times New Roman" w:cs="Times New Roman" w:eastAsia="Times New Roman" w:hAnsi="Times New Roman"/>
          <w:sz w:val="19"/>
          <w:szCs w:val="19"/>
          <w:b w:val="1"/>
          <w:bCs w:val="1"/>
          <w:color w:val="auto"/>
        </w:rPr>
        <w:t>16.14 Counterparts; Electronic Signatures</w:t>
      </w:r>
      <w:r>
        <w:rPr>
          <w:rFonts w:ascii="Times New Roman" w:cs="Times New Roman" w:eastAsia="Times New Roman" w:hAnsi="Times New Roman"/>
          <w:sz w:val="19"/>
          <w:szCs w:val="19"/>
          <w:color w:val="auto"/>
        </w:rPr>
        <w:t>. This Agreement may be executed in two (2) or more counterparts, including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transmission of facsimile or PDF copies of signature pages to the Parties or their representative legal counsel, each of which shall be deemed an original document, and all of which, together with this writing, shall be deemed one and the same instrument. Electronic, facsimile or PDF image signatures shall be treated as original signatures, with the understanding that each Party expressly agrees that such Party shall be bound by its own electronically transmitted signature and shall accept the electronically transmitted signature of the other Party (including through the use of eSignature platforms such as DocuSign®). No Party will raise the use of electronic delivery to transmit a signature or the fact that any signature or agreement or instrument was transmitted or communicated through the use of electronic delivery as a defense to the formation of a contract.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ectPr>
          <w:pgSz w:w="11900" w:h="16840" w:orient="portrait"/>
          <w:cols w:equalWidth="0" w:num="1">
            <w:col w:w="10580"/>
          </w:cols>
          <w:pgMar w:left="660" w:top="1440" w:right="660" w:bottom="1440" w:gutter="0" w:footer="0" w:header="0"/>
        </w:sectPr>
      </w:pPr>
    </w:p>
    <w:bookmarkStart w:id="754" w:name="page755"/>
    <w:bookmarkEnd w:id="754"/>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duly executed this</w:t>
      </w:r>
      <w:r>
        <w:rPr>
          <w:rFonts w:ascii="Times New Roman" w:cs="Times New Roman" w:eastAsia="Times New Roman" w:hAnsi="Times New Roman"/>
          <w:sz w:val="19"/>
          <w:szCs w:val="19"/>
          <w:b w:val="1"/>
          <w:bCs w:val="1"/>
          <w:color w:val="auto"/>
        </w:rPr>
        <w:t xml:space="preserve"> License and Collaboration Agreement </w:t>
      </w:r>
      <w:r>
        <w:rPr>
          <w:rFonts w:ascii="Times New Roman" w:cs="Times New Roman" w:eastAsia="Times New Roman" w:hAnsi="Times New Roman"/>
          <w:sz w:val="19"/>
          <w:szCs w:val="19"/>
          <w:color w:val="auto"/>
        </w:rPr>
        <w:t>as of the Effective</w:t>
      </w:r>
    </w:p>
    <w:p>
      <w:pPr>
        <w:ind w:left="20"/>
        <w:spacing w:after="0"/>
        <w:rPr>
          <w:sz w:val="20"/>
          <w:szCs w:val="20"/>
          <w:color w:val="auto"/>
        </w:rPr>
      </w:pPr>
      <w:r>
        <w:rPr>
          <w:rFonts w:ascii="Times New Roman" w:cs="Times New Roman" w:eastAsia="Times New Roman" w:hAnsi="Times New Roman"/>
          <w:sz w:val="19"/>
          <w:szCs w:val="19"/>
          <w:color w:val="auto"/>
        </w:rPr>
        <w:t>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Duality Biologics (Suzhou) Co., Ltd.</w:t>
            </w:r>
          </w:p>
        </w:tc>
        <w:tc>
          <w:tcPr>
            <w:tcW w:w="5860" w:type="dxa"/>
            <w:vAlign w:val="bottom"/>
            <w:gridSpan w:val="4"/>
          </w:tcPr>
          <w:p>
            <w:pPr>
              <w:ind w:left="1160"/>
              <w:spacing w:after="0"/>
              <w:rPr>
                <w:sz w:val="20"/>
                <w:szCs w:val="20"/>
                <w:color w:val="auto"/>
              </w:rPr>
            </w:pPr>
            <w:r>
              <w:rPr>
                <w:rFonts w:ascii="Times New Roman" w:cs="Times New Roman" w:eastAsia="Times New Roman" w:hAnsi="Times New Roman"/>
                <w:sz w:val="19"/>
                <w:szCs w:val="19"/>
                <w:b w:val="1"/>
                <w:bCs w:val="1"/>
                <w:color w:val="auto"/>
              </w:rPr>
              <w:t>BioNTech SE</w:t>
            </w:r>
          </w:p>
        </w:tc>
      </w:tr>
      <w:tr>
        <w:trPr>
          <w:trHeight w:val="386"/>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By: /s/ Zhongyuan John Zhu</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By: /s/ Uğur Sahin</w:t>
            </w:r>
          </w:p>
        </w:tc>
      </w:tr>
      <w:tr>
        <w:trPr>
          <w:trHeight w:val="20"/>
        </w:trPr>
        <w:tc>
          <w:tcPr>
            <w:tcW w:w="4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5"/>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Name: Zhongyuan John Zhu</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Name: Ugur Sahin</w:t>
            </w:r>
          </w:p>
        </w:tc>
      </w:tr>
      <w:tr>
        <w:trPr>
          <w:trHeight w:val="251"/>
        </w:trPr>
        <w:tc>
          <w:tcPr>
            <w:tcW w:w="41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Title: Chief Executive Officer</w:t>
            </w: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Title: Chief Executive Officer</w:t>
            </w:r>
          </w:p>
        </w:tc>
      </w:tr>
      <w:tr>
        <w:trPr>
          <w:trHeight w:val="686"/>
        </w:trPr>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By: /s/ Sean Marett</w:t>
            </w:r>
          </w:p>
        </w:tc>
      </w:tr>
      <w:tr>
        <w:trPr>
          <w:trHeight w:val="20"/>
        </w:trPr>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5"/>
        </w:trPr>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Name: Sean Marett</w:t>
            </w:r>
          </w:p>
        </w:tc>
      </w:tr>
      <w:tr>
        <w:trPr>
          <w:trHeight w:val="251"/>
        </w:trPr>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60" w:type="dxa"/>
            <w:vAlign w:val="bottom"/>
            <w:gridSpan w:val="4"/>
          </w:tcPr>
          <w:p>
            <w:pPr>
              <w:ind w:left="1240"/>
              <w:spacing w:after="0"/>
              <w:rPr>
                <w:sz w:val="20"/>
                <w:szCs w:val="20"/>
                <w:color w:val="auto"/>
              </w:rPr>
            </w:pPr>
            <w:r>
              <w:rPr>
                <w:rFonts w:ascii="Times New Roman" w:cs="Times New Roman" w:eastAsia="Times New Roman" w:hAnsi="Times New Roman"/>
                <w:sz w:val="19"/>
                <w:szCs w:val="19"/>
                <w:color w:val="auto"/>
              </w:rPr>
              <w:t>Title: Chief Business Officer and Chief Commercial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Trop2 License And Collaboration Agreement</w:t>
      </w: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10580"/>
          </w:cols>
          <w:pgMar w:left="640" w:top="1440" w:right="680" w:bottom="1440" w:gutter="0" w:footer="0" w:header="0"/>
        </w:sectPr>
      </w:pPr>
    </w:p>
    <w:bookmarkStart w:id="755" w:name="page756"/>
    <w:bookmarkEnd w:id="755"/>
    <w:p>
      <w:pPr>
        <w:spacing w:after="0" w:line="200" w:lineRule="exact"/>
        <w:rPr>
          <w:sz w:val="20"/>
          <w:szCs w:val="20"/>
          <w:color w:val="auto"/>
        </w:rPr>
      </w:pPr>
    </w:p>
    <w:p>
      <w:pPr>
        <w:spacing w:after="0" w:line="283" w:lineRule="exact"/>
        <w:rPr>
          <w:sz w:val="20"/>
          <w:szCs w:val="20"/>
          <w:color w:val="auto"/>
        </w:rPr>
      </w:pPr>
    </w:p>
    <w:p>
      <w:pPr>
        <w:ind w:left="4774"/>
        <w:spacing w:after="0"/>
        <w:rPr>
          <w:sz w:val="20"/>
          <w:szCs w:val="20"/>
          <w:color w:val="auto"/>
        </w:rPr>
      </w:pPr>
      <w:r>
        <w:rPr>
          <w:rFonts w:ascii="Times New Roman" w:cs="Times New Roman" w:eastAsia="Times New Roman" w:hAnsi="Times New Roman"/>
          <w:sz w:val="19"/>
          <w:szCs w:val="19"/>
          <w:b w:val="1"/>
          <w:bCs w:val="1"/>
          <w:color w:val="auto"/>
        </w:rPr>
        <w:t>Schedule 1.1</w:t>
      </w:r>
    </w:p>
    <w:p>
      <w:pPr>
        <w:spacing w:after="0" w:line="202" w:lineRule="exact"/>
        <w:rPr>
          <w:sz w:val="20"/>
          <w:szCs w:val="20"/>
          <w:color w:val="auto"/>
        </w:rPr>
      </w:pPr>
    </w:p>
    <w:p>
      <w:pPr>
        <w:ind w:left="4794"/>
        <w:spacing w:after="0"/>
        <w:rPr>
          <w:sz w:val="20"/>
          <w:szCs w:val="20"/>
          <w:color w:val="auto"/>
        </w:rPr>
      </w:pPr>
      <w:r>
        <w:rPr>
          <w:rFonts w:ascii="Times New Roman" w:cs="Times New Roman" w:eastAsia="Times New Roman" w:hAnsi="Times New Roman"/>
          <w:sz w:val="19"/>
          <w:szCs w:val="19"/>
          <w:b w:val="1"/>
          <w:bCs w:val="1"/>
          <w:color w:val="auto"/>
        </w:rPr>
        <w:t>ABC Terms</w:t>
      </w:r>
    </w:p>
    <w:p>
      <w:pPr>
        <w:spacing w:after="0" w:line="200" w:lineRule="exact"/>
        <w:rPr>
          <w:sz w:val="20"/>
          <w:szCs w:val="20"/>
          <w:color w:val="auto"/>
        </w:rPr>
      </w:pPr>
    </w:p>
    <w:p>
      <w:pPr>
        <w:spacing w:after="0" w:line="352" w:lineRule="exact"/>
        <w:rPr>
          <w:sz w:val="20"/>
          <w:szCs w:val="20"/>
          <w:color w:val="auto"/>
        </w:rPr>
      </w:pPr>
    </w:p>
    <w:p>
      <w:pPr>
        <w:jc w:val="both"/>
        <w:ind w:left="294" w:right="40" w:hanging="294"/>
        <w:spacing w:after="0" w:line="288"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it will not undertake any activities which will result in a violation of any applicable laws, regulations, and applicable industry and professional codes, including but not limited to applicable local and extraterritorial anti-bribery, Anti-Corruption Laws and anti-money laundering laws (collectively "</w:t>
      </w:r>
      <w:r>
        <w:rPr>
          <w:rFonts w:ascii="Times New Roman" w:cs="Times New Roman" w:eastAsia="Times New Roman" w:hAnsi="Times New Roman"/>
          <w:sz w:val="19"/>
          <w:szCs w:val="19"/>
          <w:b w:val="1"/>
          <w:bCs w:val="1"/>
          <w:color w:val="auto"/>
        </w:rPr>
        <w:t>Prohibited Conduct</w:t>
      </w:r>
      <w:r>
        <w:rPr>
          <w:rFonts w:ascii="Times New Roman" w:cs="Times New Roman" w:eastAsia="Times New Roman" w:hAnsi="Times New Roman"/>
          <w:sz w:val="19"/>
          <w:szCs w:val="19"/>
          <w:color w:val="auto"/>
        </w:rPr>
        <w:t>") in connection with the performance of any activities under this Agreement.</w:t>
      </w:r>
    </w:p>
    <w:p>
      <w:pPr>
        <w:spacing w:after="0" w:line="55" w:lineRule="exact"/>
        <w:rPr>
          <w:rFonts w:ascii="Times New Roman" w:cs="Times New Roman" w:eastAsia="Times New Roman" w:hAnsi="Times New Roman"/>
          <w:sz w:val="19"/>
          <w:szCs w:val="19"/>
          <w:color w:val="auto"/>
        </w:rPr>
      </w:pPr>
    </w:p>
    <w:p>
      <w:pPr>
        <w:jc w:val="both"/>
        <w:ind w:left="294" w:hanging="294"/>
        <w:spacing w:after="0" w:line="282"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particular, each Party agrees that during the course of the performance of activities under this Agreement, it (i) shall not make any offer, payment, or promise to pay money or provide anything of value to a Government Official (as defined below) or any other individual and/or legal entity whether directly or indirectly, for the purpose of improperly influencing any act and/or decision of, and/or for securing any improper advantage; (ii) shall not accept, receive, agree to accept and/or receive a payment and/or anything of value from any individual for undue favorable treatment in obtaining, retaining, and/or directing business for, and/or to obtain any undue special concession on behalf of either Party; and (iii) shall not facilitate any payments to any Government Official to expedite a routine government action and/or other official act.</w:t>
      </w:r>
    </w:p>
    <w:p>
      <w:pPr>
        <w:spacing w:after="0" w:line="61" w:lineRule="exact"/>
        <w:rPr>
          <w:rFonts w:ascii="Times New Roman" w:cs="Times New Roman" w:eastAsia="Times New Roman" w:hAnsi="Times New Roman"/>
          <w:sz w:val="19"/>
          <w:szCs w:val="19"/>
          <w:color w:val="auto"/>
        </w:rPr>
      </w:pPr>
    </w:p>
    <w:p>
      <w:pPr>
        <w:jc w:val="both"/>
        <w:ind w:left="294" w:right="40" w:hanging="294"/>
        <w:spacing w:after="0" w:line="289"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Government Official</w:t>
      </w:r>
      <w:r>
        <w:rPr>
          <w:rFonts w:ascii="Times New Roman" w:cs="Times New Roman" w:eastAsia="Times New Roman" w:hAnsi="Times New Roman"/>
          <w:sz w:val="19"/>
          <w:szCs w:val="19"/>
          <w:color w:val="auto"/>
        </w:rPr>
        <w:t>” shall include (i) individuals acting on behalf of governments on a national, regional and local level (such as elected officials, customs officials, tax officials, etc.); (ii) individuals acting on behalf of government-owned or government-controlled enterprises; (iii) individuals acting for political parties or as or on behalf of candidates for public office; and (iv) individuals acting on behalf of public international organizations (such as the WHO, World Bank, OECD, etc.).</w:t>
      </w:r>
    </w:p>
    <w:p>
      <w:pPr>
        <w:spacing w:after="0" w:line="53" w:lineRule="exact"/>
        <w:rPr>
          <w:rFonts w:ascii="Times New Roman" w:cs="Times New Roman" w:eastAsia="Times New Roman" w:hAnsi="Times New Roman"/>
          <w:sz w:val="19"/>
          <w:szCs w:val="19"/>
          <w:color w:val="auto"/>
        </w:rPr>
      </w:pPr>
    </w:p>
    <w:p>
      <w:pPr>
        <w:jc w:val="both"/>
        <w:ind w:left="294" w:right="40" w:hanging="294"/>
        <w:spacing w:after="0" w:line="288"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and expenses incurred on behalf of either Party shall be accurately recorded and maintained in the respective Party’s books and records in a timely manner and in reasonable detail in accordance with the applicable generally accepted accounting principles. False, misleading, incomplete, duplicated, inaccurate or artificial entries for the foregoing expenses in a Party’s books and records are strictly prohibited.</w:t>
      </w:r>
    </w:p>
    <w:p>
      <w:pPr>
        <w:spacing w:after="0" w:line="55" w:lineRule="exact"/>
        <w:rPr>
          <w:rFonts w:ascii="Times New Roman" w:cs="Times New Roman" w:eastAsia="Times New Roman" w:hAnsi="Times New Roman"/>
          <w:sz w:val="19"/>
          <w:szCs w:val="19"/>
          <w:color w:val="auto"/>
        </w:rPr>
      </w:pPr>
    </w:p>
    <w:p>
      <w:pPr>
        <w:jc w:val="both"/>
        <w:ind w:left="294" w:right="40" w:hanging="294"/>
        <w:spacing w:after="0" w:line="276"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that if it becomes aware or has reason to suspect that any person or legal entity acting on the Party’s and/or the other Party’s behalf has engaged in any Prohibited Conduct related to the Agreement, then such Party will promptly report such knowledge or suspicion to the other Party via the following email address: (a) in case that Duality is the reporting party: [***] and</w:t>
      </w:r>
    </w:p>
    <w:p>
      <w:pPr>
        <w:spacing w:after="0" w:line="2" w:lineRule="exact"/>
        <w:rPr>
          <w:rFonts w:ascii="Times New Roman" w:cs="Times New Roman" w:eastAsia="Times New Roman" w:hAnsi="Times New Roman"/>
          <w:sz w:val="19"/>
          <w:szCs w:val="19"/>
          <w:color w:val="auto"/>
        </w:rPr>
      </w:pPr>
    </w:p>
    <w:p>
      <w:pPr>
        <w:ind w:left="29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in case that Licensee is the reporting party: [***].</w:t>
      </w:r>
    </w:p>
    <w:p>
      <w:pPr>
        <w:spacing w:after="0" w:line="129" w:lineRule="exact"/>
        <w:rPr>
          <w:rFonts w:ascii="Times New Roman" w:cs="Times New Roman" w:eastAsia="Times New Roman" w:hAnsi="Times New Roman"/>
          <w:sz w:val="19"/>
          <w:szCs w:val="19"/>
          <w:color w:val="auto"/>
        </w:rPr>
      </w:pPr>
    </w:p>
    <w:p>
      <w:pPr>
        <w:ind w:left="294" w:right="40" w:hanging="294"/>
        <w:spacing w:after="0" w:line="312" w:lineRule="auto"/>
        <w:tabs>
          <w:tab w:leader="none" w:pos="294" w:val="left"/>
        </w:tabs>
        <w:numPr>
          <w:ilvl w:val="0"/>
          <w:numId w:val="7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Duality shall apply Commercially Reasonable Efforts to implement, operate and enforce, without undue delay after the Effective Date, a reasonably designed compliance and business</w:t>
      </w:r>
    </w:p>
    <w:p>
      <w:pPr>
        <w:spacing w:after="0" w:line="200" w:lineRule="exact"/>
        <w:rPr>
          <w:sz w:val="20"/>
          <w:szCs w:val="20"/>
          <w:color w:val="auto"/>
        </w:rPr>
      </w:pPr>
    </w:p>
    <w:p>
      <w:pPr>
        <w:spacing w:after="0" w:line="250" w:lineRule="exact"/>
        <w:rPr>
          <w:sz w:val="20"/>
          <w:szCs w:val="20"/>
          <w:color w:val="auto"/>
        </w:rPr>
      </w:pPr>
    </w:p>
    <w:p>
      <w:pPr>
        <w:ind w:left="9514"/>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14"/>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10594"/>
          </w:cols>
          <w:pgMar w:left="666" w:top="1440" w:right="640" w:bottom="1440" w:gutter="0" w:footer="0" w:header="0"/>
        </w:sectPr>
      </w:pPr>
    </w:p>
    <w:bookmarkStart w:id="756" w:name="page757"/>
    <w:bookmarkEnd w:id="756"/>
    <w:p>
      <w:pPr>
        <w:spacing w:after="0" w:line="377" w:lineRule="exact"/>
        <w:rPr>
          <w:sz w:val="20"/>
          <w:szCs w:val="20"/>
          <w:color w:val="auto"/>
        </w:rPr>
      </w:pPr>
    </w:p>
    <w:p>
      <w:pPr>
        <w:ind w:left="294" w:right="20"/>
        <w:spacing w:after="0" w:line="312" w:lineRule="auto"/>
        <w:rPr>
          <w:sz w:val="20"/>
          <w:szCs w:val="20"/>
          <w:color w:val="auto"/>
        </w:rPr>
      </w:pPr>
      <w:r>
        <w:rPr>
          <w:rFonts w:ascii="Times New Roman" w:cs="Times New Roman" w:eastAsia="Times New Roman" w:hAnsi="Times New Roman"/>
          <w:sz w:val="19"/>
          <w:szCs w:val="19"/>
          <w:color w:val="auto"/>
        </w:rPr>
        <w:t>ethics management and control system that is intended for the prevention and detection of criminal conduct in accordance with applicable Anti-Corruption Laws.</w:t>
      </w:r>
    </w:p>
    <w:p>
      <w:pPr>
        <w:spacing w:after="0" w:line="32" w:lineRule="exact"/>
        <w:rPr>
          <w:sz w:val="20"/>
          <w:szCs w:val="20"/>
          <w:color w:val="auto"/>
        </w:rPr>
      </w:pPr>
    </w:p>
    <w:p>
      <w:pPr>
        <w:jc w:val="both"/>
        <w:ind w:left="294" w:right="20" w:hanging="294"/>
        <w:spacing w:after="0" w:line="285" w:lineRule="auto"/>
        <w:tabs>
          <w:tab w:leader="none" w:pos="294" w:val="left"/>
        </w:tabs>
        <w:numPr>
          <w:ilvl w:val="0"/>
          <w:numId w:val="7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agrees to provide reasonable cooperation in any investigation that may be conducted by or on behalf of the other Party related to the performance of potentially Prohibited Conduct as described in Article 1 above. Upon notice of an intended investigation, a Party will provide, in a reasonable time, to the investigating Party or to a third party engaged by the investigating Party: (a) access to the relevant persons; and/or (b) access to relevant documents and data (e.g., invoices and requests for expense reimbursement, supporting receipts and substantiation, and original entry records for charges and payments).</w:t>
      </w:r>
    </w:p>
    <w:p>
      <w:pPr>
        <w:spacing w:after="0" w:line="59" w:lineRule="exact"/>
        <w:rPr>
          <w:rFonts w:ascii="Times New Roman" w:cs="Times New Roman" w:eastAsia="Times New Roman" w:hAnsi="Times New Roman"/>
          <w:sz w:val="19"/>
          <w:szCs w:val="19"/>
          <w:color w:val="auto"/>
        </w:rPr>
      </w:pPr>
    </w:p>
    <w:p>
      <w:pPr>
        <w:jc w:val="both"/>
        <w:ind w:left="294" w:hanging="294"/>
        <w:spacing w:after="0" w:line="285" w:lineRule="auto"/>
        <w:tabs>
          <w:tab w:leader="none" w:pos="294" w:val="left"/>
        </w:tabs>
        <w:numPr>
          <w:ilvl w:val="0"/>
          <w:numId w:val="7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acknowledges that the obligations under the applicable local and extraterritorial anti-bribery, Anti-Corruption Laws and anti-money laundering laws apply to all its Affiliates and employees, subcontractors and Sublicensees (in case of Licensee) or sublicensees (in case of Duality). Each Party will bind subcontractors who act for or on behalf of such Party to perform activities under this Agreement by such Party for or on behalf of the other Party by respective contractual clauses encompassing all or all material provisions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14"/>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59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14"/>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10574"/>
          </w:cols>
          <w:pgMar w:left="666" w:top="1440" w:right="660" w:bottom="1440" w:gutter="0" w:footer="0" w:header="0"/>
        </w:sectPr>
      </w:pPr>
    </w:p>
    <w:bookmarkStart w:id="757" w:name="page758"/>
    <w:bookmarkEnd w:id="757"/>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1.54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Duality In-Licensed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10560"/>
          </w:cols>
          <w:pgMar w:left="660" w:top="1440" w:right="680" w:bottom="1440" w:gutter="0" w:footer="0" w:header="0"/>
        </w:sectPr>
      </w:pPr>
    </w:p>
    <w:bookmarkStart w:id="758" w:name="page759"/>
    <w:bookmarkEnd w:id="758"/>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1.57</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Duality Know-How</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10540"/>
          </w:cols>
          <w:pgMar w:left="680" w:top="1440" w:right="680" w:bottom="1440" w:gutter="0" w:footer="0" w:header="0"/>
        </w:sectPr>
      </w:pPr>
    </w:p>
    <w:bookmarkStart w:id="759" w:name="page760"/>
    <w:bookmarkEnd w:id="759"/>
    <w:p>
      <w:pPr>
        <w:spacing w:after="0" w:line="1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1.63</w:t>
      </w:r>
    </w:p>
    <w:p>
      <w:pPr>
        <w:spacing w:after="0" w:line="16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List of Duality Patent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62</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440" w:right="1440" w:bottom="1440" w:gutter="0" w:footer="0" w:header="0"/>
        </w:sectPr>
      </w:pPr>
    </w:p>
    <w:bookmarkStart w:id="760" w:name="page761"/>
    <w:bookmarkEnd w:id="760"/>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1.94</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List of Indications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335" w:right="1440" w:bottom="1440" w:gutter="0" w:footer="0" w:header="0"/>
        </w:sectPr>
      </w:pPr>
    </w:p>
    <w:bookmarkStart w:id="761" w:name="page762"/>
    <w:bookmarkEnd w:id="761"/>
    <w:p>
      <w:pPr>
        <w:spacing w:after="0" w:line="9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1.102</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Licensed Compound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64</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440" w:right="1440" w:bottom="1440" w:gutter="0" w:footer="0" w:header="0"/>
        </w:sectPr>
      </w:pPr>
    </w:p>
    <w:bookmarkStart w:id="762" w:name="page763"/>
    <w:bookmarkEnd w:id="762"/>
    <w:p>
      <w:pPr>
        <w:spacing w:after="0" w:line="9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1.141</w:t>
      </w:r>
    </w:p>
    <w:p>
      <w:pPr>
        <w:spacing w:after="0" w:line="16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Original ADC Licensed Product</w:t>
      </w:r>
    </w:p>
    <w:p>
      <w:pPr>
        <w:spacing w:after="0" w:line="16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Preliminary Development Plan as of the Effective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65</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440" w:right="1440" w:bottom="1440" w:gutter="0" w:footer="0" w:header="0"/>
        </w:sectPr>
      </w:pPr>
    </w:p>
    <w:bookmarkStart w:id="763" w:name="page764"/>
    <w:bookmarkEnd w:id="763"/>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Schedule 1.149</w:t>
      </w:r>
    </w:p>
    <w:p>
      <w:pPr>
        <w:spacing w:after="0" w:line="16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Pre-clinical Proof-of-Concept Criteria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66</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335" w:right="1440" w:bottom="1440" w:gutter="0" w:footer="0" w:header="0"/>
        </w:sectPr>
      </w:pPr>
    </w:p>
    <w:bookmarkStart w:id="764" w:name="page765"/>
    <w:bookmarkEnd w:id="764"/>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2.6</w:t>
      </w:r>
    </w:p>
    <w:p>
      <w:pPr>
        <w:spacing w:after="0" w:line="16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Initial Know-How Transfer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67</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335" w:right="1440" w:bottom="1440" w:gutter="0" w:footer="0" w:header="0"/>
        </w:sectPr>
      </w:pPr>
    </w:p>
    <w:bookmarkStart w:id="765" w:name="page766"/>
    <w:bookmarkEnd w:id="765"/>
    <w:p>
      <w:pPr>
        <w:spacing w:after="0" w:line="35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Schedule 9.2</w:t>
      </w:r>
    </w:p>
    <w:p>
      <w:pPr>
        <w:spacing w:after="0" w:line="16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Invoicing Procedures &amp; Invoice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68</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440" w:right="1440" w:bottom="1440" w:gutter="0" w:footer="0" w:header="0"/>
        </w:sectPr>
      </w:pPr>
    </w:p>
    <w:bookmarkStart w:id="766" w:name="page767"/>
    <w:bookmarkEnd w:id="766"/>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Schedule 10.4</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Duality Press Release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69</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335" w:right="1440" w:bottom="1440" w:gutter="0" w:footer="0" w:header="0"/>
        </w:sectPr>
      </w:pPr>
    </w:p>
    <w:bookmarkStart w:id="767" w:name="page768"/>
    <w:bookmarkEnd w:id="767"/>
    <w:p>
      <w:pPr>
        <w:jc w:val="center"/>
        <w:ind w:right="-779"/>
        <w:spacing w:after="0"/>
        <w:rPr>
          <w:sz w:val="20"/>
          <w:szCs w:val="20"/>
          <w:color w:val="auto"/>
        </w:rPr>
      </w:pPr>
      <w:r>
        <w:rPr>
          <w:rFonts w:ascii="Times New Roman" w:cs="Times New Roman" w:eastAsia="Times New Roman" w:hAnsi="Times New Roman"/>
          <w:sz w:val="19"/>
          <w:szCs w:val="19"/>
          <w:b w:val="1"/>
          <w:bCs w:val="1"/>
          <w:color w:val="auto"/>
        </w:rPr>
        <w:t>Schedule 11.2</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Disclosure Schedule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 xml:space="preserve">Page </w:t>
      </w:r>
      <w:r>
        <w:rPr>
          <w:rFonts w:ascii="Times New Roman" w:cs="Times New Roman" w:eastAsia="Times New Roman" w:hAnsi="Times New Roman"/>
          <w:sz w:val="19"/>
          <w:szCs w:val="19"/>
          <w:b w:val="1"/>
          <w:bCs w:val="1"/>
          <w:color w:val="auto"/>
        </w:rPr>
        <w:t>70</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92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ACTIVE/123841245.19</w:t>
      </w:r>
    </w:p>
    <w:p>
      <w:pPr>
        <w:sectPr>
          <w:pgSz w:w="11900" w:h="16840" w:orient="portrait"/>
          <w:cols w:equalWidth="0" w:num="1">
            <w:col w:w="9800"/>
          </w:cols>
          <w:pgMar w:left="660" w:top="1335" w:right="1440" w:bottom="1440" w:gutter="0" w:footer="0" w:header="0"/>
        </w:sectPr>
      </w:pPr>
    </w:p>
    <w:bookmarkStart w:id="768" w:name="page769"/>
    <w:bookmarkEnd w:id="768"/>
    <w:p>
      <w:pPr>
        <w:jc w:val="right"/>
        <w:spacing w:after="0"/>
        <w:rPr>
          <w:sz w:val="20"/>
          <w:szCs w:val="20"/>
          <w:color w:val="auto"/>
        </w:rPr>
      </w:pPr>
      <w:r>
        <w:rPr>
          <w:rFonts w:ascii="Times New Roman" w:cs="Times New Roman" w:eastAsia="Times New Roman" w:hAnsi="Times New Roman"/>
          <w:sz w:val="16"/>
          <w:szCs w:val="16"/>
          <w:b w:val="1"/>
          <w:bCs w:val="1"/>
          <w:color w:val="auto"/>
        </w:rPr>
        <w:t>Exhibit 4.53</w:t>
      </w:r>
    </w:p>
    <w:p>
      <w:pPr>
        <w:spacing w:after="0" w:line="80" w:lineRule="exact"/>
        <w:rPr>
          <w:sz w:val="20"/>
          <w:szCs w:val="20"/>
          <w:color w:val="auto"/>
        </w:rPr>
      </w:pPr>
    </w:p>
    <w:p>
      <w:pPr>
        <w:ind w:left="160" w:right="180" w:firstLine="2"/>
        <w:spacing w:after="0" w:line="235" w:lineRule="auto"/>
        <w:tabs>
          <w:tab w:leader="none" w:pos="532" w:val="left"/>
        </w:tabs>
        <w:numPr>
          <w:ilvl w:val="0"/>
          <w:numId w:val="7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the type of information that the Registrant treats as private or confidential.</w:t>
      </w:r>
    </w:p>
    <w:p>
      <w:pPr>
        <w:spacing w:after="0" w:line="64"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Dated 26 October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95" w:lineRule="exact"/>
        <w:tabs>
          <w:tab w:leader="none" w:pos="3600" w:val="left"/>
        </w:tabs>
        <w:rPr>
          <w:sz w:val="20"/>
          <w:szCs w:val="20"/>
          <w:color w:val="auto"/>
        </w:rPr>
      </w:pPr>
      <w:r>
        <w:rPr>
          <w:rFonts w:ascii="Arial" w:cs="Arial" w:eastAsia="Arial" w:hAnsi="Arial"/>
          <w:sz w:val="16"/>
          <w:szCs w:val="16"/>
          <w:b w:val="1"/>
          <w:bCs w:val="1"/>
          <w:color w:val="auto"/>
        </w:rPr>
        <w:t>BIOTHEUS INC. (</w:t>
      </w:r>
      <w:r>
        <w:rPr>
          <w:rFonts w:ascii="SimSun" w:cs="SimSun" w:eastAsia="SimSun" w:hAnsi="SimSun"/>
          <w:sz w:val="16"/>
          <w:szCs w:val="16"/>
          <w:b w:val="1"/>
          <w:bCs w:val="1"/>
          <w:color w:val="auto"/>
        </w:rPr>
        <w:t>普米斯生物技术</w:t>
      </w:r>
      <w:r>
        <w:rPr>
          <w:rFonts w:ascii="Times New Roman" w:cs="Times New Roman" w:eastAsia="Times New Roman" w:hAnsi="Times New Roman"/>
          <w:sz w:val="16"/>
          <w:szCs w:val="16"/>
          <w:b w:val="1"/>
          <w:bCs w:val="1"/>
          <w:color w:val="auto"/>
        </w:rPr>
        <w:t>(</w:t>
      </w:r>
      <w:r>
        <w:rPr>
          <w:rFonts w:ascii="SimSun" w:cs="SimSun" w:eastAsia="SimSun" w:hAnsi="SimSun"/>
          <w:sz w:val="16"/>
          <w:szCs w:val="16"/>
          <w:b w:val="1"/>
          <w:bCs w:val="1"/>
          <w:color w:val="auto"/>
        </w:rPr>
        <w:t>珠海</w:t>
      </w:r>
      <w:r>
        <w:rPr>
          <w:rFonts w:ascii="Times New Roman" w:cs="Times New Roman" w:eastAsia="Times New Roman" w:hAnsi="Times New Roman"/>
          <w:sz w:val="16"/>
          <w:szCs w:val="16"/>
          <w:b w:val="1"/>
          <w:bCs w:val="1"/>
          <w:color w:val="auto"/>
        </w:rPr>
        <w:t>)</w:t>
      </w:r>
      <w:r>
        <w:rPr>
          <w:rFonts w:ascii="SimSun" w:cs="SimSun" w:eastAsia="SimSun" w:hAnsi="SimSun"/>
          <w:sz w:val="16"/>
          <w:szCs w:val="16"/>
          <w:b w:val="1"/>
          <w:bCs w:val="1"/>
          <w:color w:val="auto"/>
        </w:rPr>
        <w:t>有限公司</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(1)</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w:t>
      </w:r>
    </w:p>
    <w:p>
      <w:pPr>
        <w:spacing w:after="0" w:line="260"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b w:val="1"/>
          <w:bCs w:val="1"/>
          <w:color w:val="auto"/>
        </w:rPr>
        <w:t>BIONTECH SE</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684530</wp:posOffset>
            </wp:positionV>
            <wp:extent cx="303339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30333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COLLABORATION, LICENSE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36195</wp:posOffset>
            </wp:positionV>
            <wp:extent cx="303339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3033395" cy="7620"/>
                    </a:xfrm>
                    <a:prstGeom prst="rect">
                      <a:avLst/>
                    </a:prstGeom>
                    <a:noFill/>
                  </pic:spPr>
                </pic:pic>
              </a:graphicData>
            </a:graphic>
          </wp:anchor>
        </w:drawing>
      </w:r>
    </w:p>
    <w:p>
      <w:pPr>
        <w:sectPr>
          <w:pgSz w:w="11900" w:h="16840" w:orient="portrait"/>
          <w:cols w:equalWidth="0" w:num="1">
            <w:col w:w="10400"/>
          </w:cols>
          <w:pgMar w:left="840" w:top="555" w:right="660" w:bottom="1440" w:gutter="0" w:footer="0" w:header="0"/>
        </w:sectPr>
      </w:pPr>
    </w:p>
    <w:bookmarkStart w:id="769" w:name="page770"/>
    <w:bookmarkEnd w:id="76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CONTENTS</w:t>
      </w:r>
    </w:p>
    <w:p>
      <w:pPr>
        <w:spacing w:after="0" w:line="200" w:lineRule="exact"/>
        <w:rPr>
          <w:sz w:val="20"/>
          <w:szCs w:val="20"/>
          <w:color w:val="auto"/>
        </w:rPr>
      </w:pPr>
    </w:p>
    <w:p>
      <w:pPr>
        <w:spacing w:after="0" w:line="228" w:lineRule="exact"/>
        <w:rPr>
          <w:sz w:val="20"/>
          <w:szCs w:val="20"/>
          <w:color w:val="auto"/>
        </w:rPr>
      </w:pPr>
    </w:p>
    <w:p>
      <w:pPr>
        <w:spacing w:after="0"/>
        <w:tabs>
          <w:tab w:leader="none" w:pos="680" w:val="left"/>
          <w:tab w:leader="none" w:pos="1460" w:val="left"/>
        </w:tabs>
        <w:rPr>
          <w:sz w:val="20"/>
          <w:szCs w:val="20"/>
          <w:color w:val="auto"/>
        </w:rPr>
      </w:pPr>
      <w:r>
        <w:rPr>
          <w:rFonts w:ascii="Arial" w:cs="Arial" w:eastAsia="Arial" w:hAnsi="Arial"/>
          <w:sz w:val="16"/>
          <w:szCs w:val="16"/>
          <w:b w:val="1"/>
          <w:bCs w:val="1"/>
          <w:color w:val="auto"/>
        </w:rPr>
        <w:t>Clause</w:t>
        <w:tab/>
        <w:t>Heading</w:t>
      </w:r>
      <w:r>
        <w:rPr>
          <w:sz w:val="20"/>
          <w:szCs w:val="20"/>
          <w:color w:val="auto"/>
        </w:rPr>
        <w:tab/>
      </w:r>
      <w:r>
        <w:rPr>
          <w:rFonts w:ascii="Arial" w:cs="Arial" w:eastAsia="Arial" w:hAnsi="Arial"/>
          <w:sz w:val="14"/>
          <w:szCs w:val="14"/>
          <w:b w:val="1"/>
          <w:bCs w:val="1"/>
          <w:color w:val="auto"/>
        </w:rPr>
        <w:t>Page</w:t>
      </w:r>
    </w:p>
    <w:p>
      <w:pPr>
        <w:spacing w:after="0" w:line="346" w:lineRule="exact"/>
        <w:rPr>
          <w:sz w:val="20"/>
          <w:szCs w:val="20"/>
          <w:color w:val="auto"/>
        </w:rPr>
      </w:pPr>
    </w:p>
    <w:p>
      <w:pPr>
        <w:spacing w:after="0"/>
        <w:tabs>
          <w:tab w:leader="none" w:pos="240" w:val="left"/>
          <w:tab w:leader="dot" w:pos="6180" w:val="left"/>
        </w:tabs>
        <w:rPr>
          <w:sz w:val="20"/>
          <w:szCs w:val="20"/>
          <w:color w:val="auto"/>
        </w:rPr>
      </w:pPr>
      <w:r>
        <w:rPr>
          <w:rFonts w:ascii="Arial" w:cs="Arial" w:eastAsia="Arial" w:hAnsi="Arial"/>
          <w:sz w:val="16"/>
          <w:szCs w:val="16"/>
          <w:color w:val="auto"/>
        </w:rPr>
        <w:t>1</w:t>
        <w:tab/>
        <w:t>DEFINITIONS</w:t>
      </w:r>
      <w:r>
        <w:rPr>
          <w:sz w:val="20"/>
          <w:szCs w:val="20"/>
          <w:color w:val="auto"/>
        </w:rPr>
        <w:tab/>
      </w:r>
      <w:r>
        <w:rPr>
          <w:rFonts w:ascii="Arial" w:cs="Arial" w:eastAsia="Arial" w:hAnsi="Arial"/>
          <w:sz w:val="14"/>
          <w:szCs w:val="14"/>
          <w:color w:val="auto"/>
        </w:rPr>
        <w:t>3</w:t>
      </w:r>
    </w:p>
    <w:p>
      <w:pPr>
        <w:spacing w:after="0" w:line="164" w:lineRule="exact"/>
        <w:rPr>
          <w:sz w:val="20"/>
          <w:szCs w:val="20"/>
          <w:color w:val="auto"/>
        </w:rPr>
      </w:pPr>
    </w:p>
    <w:p>
      <w:pPr>
        <w:spacing w:after="0"/>
        <w:tabs>
          <w:tab w:leader="none" w:pos="280" w:val="left"/>
          <w:tab w:leader="dot" w:pos="6140" w:val="left"/>
        </w:tabs>
        <w:rPr>
          <w:sz w:val="20"/>
          <w:szCs w:val="20"/>
          <w:color w:val="auto"/>
        </w:rPr>
      </w:pPr>
      <w:r>
        <w:rPr>
          <w:rFonts w:ascii="Arial" w:cs="Arial" w:eastAsia="Arial" w:hAnsi="Arial"/>
          <w:sz w:val="16"/>
          <w:szCs w:val="16"/>
          <w:color w:val="auto"/>
        </w:rPr>
        <w:t>2</w:t>
        <w:tab/>
        <w:t>OPTIONS</w:t>
      </w:r>
      <w:r>
        <w:rPr>
          <w:sz w:val="20"/>
          <w:szCs w:val="20"/>
          <w:color w:val="auto"/>
        </w:rPr>
        <w:tab/>
      </w:r>
      <w:r>
        <w:rPr>
          <w:rFonts w:ascii="Arial" w:cs="Arial" w:eastAsia="Arial" w:hAnsi="Arial"/>
          <w:sz w:val="16"/>
          <w:szCs w:val="16"/>
          <w:color w:val="auto"/>
        </w:rPr>
        <w:t>48</w:t>
      </w:r>
    </w:p>
    <w:p>
      <w:pPr>
        <w:spacing w:after="0" w:line="164" w:lineRule="exact"/>
        <w:rPr>
          <w:sz w:val="20"/>
          <w:szCs w:val="20"/>
          <w:color w:val="auto"/>
        </w:rPr>
      </w:pPr>
    </w:p>
    <w:p>
      <w:pPr>
        <w:spacing w:after="0"/>
        <w:tabs>
          <w:tab w:leader="none" w:pos="280" w:val="left"/>
          <w:tab w:leader="dot" w:pos="6140" w:val="left"/>
        </w:tabs>
        <w:rPr>
          <w:sz w:val="20"/>
          <w:szCs w:val="20"/>
          <w:color w:val="auto"/>
        </w:rPr>
      </w:pPr>
      <w:r>
        <w:rPr>
          <w:rFonts w:ascii="Arial" w:cs="Arial" w:eastAsia="Arial" w:hAnsi="Arial"/>
          <w:sz w:val="16"/>
          <w:szCs w:val="16"/>
          <w:color w:val="auto"/>
        </w:rPr>
        <w:t>3</w:t>
        <w:tab/>
        <w:t>LICENSES; EXCLUSIVITY</w:t>
      </w:r>
      <w:r>
        <w:rPr>
          <w:sz w:val="20"/>
          <w:szCs w:val="20"/>
          <w:color w:val="auto"/>
        </w:rPr>
        <w:tab/>
      </w:r>
      <w:r>
        <w:rPr>
          <w:rFonts w:ascii="Arial" w:cs="Arial" w:eastAsia="Arial" w:hAnsi="Arial"/>
          <w:sz w:val="16"/>
          <w:szCs w:val="16"/>
          <w:color w:val="auto"/>
        </w:rPr>
        <w:t>53</w:t>
      </w:r>
    </w:p>
    <w:p>
      <w:pPr>
        <w:spacing w:after="0" w:line="164" w:lineRule="exact"/>
        <w:rPr>
          <w:sz w:val="20"/>
          <w:szCs w:val="20"/>
          <w:color w:val="auto"/>
        </w:rPr>
      </w:pPr>
    </w:p>
    <w:p>
      <w:pPr>
        <w:spacing w:after="0"/>
        <w:tabs>
          <w:tab w:leader="none" w:pos="280" w:val="left"/>
          <w:tab w:leader="dot" w:pos="6120" w:val="left"/>
        </w:tabs>
        <w:rPr>
          <w:sz w:val="20"/>
          <w:szCs w:val="20"/>
          <w:color w:val="auto"/>
        </w:rPr>
      </w:pPr>
      <w:r>
        <w:rPr>
          <w:rFonts w:ascii="Arial" w:cs="Arial" w:eastAsia="Arial" w:hAnsi="Arial"/>
          <w:sz w:val="16"/>
          <w:szCs w:val="16"/>
          <w:color w:val="auto"/>
        </w:rPr>
        <w:t>4</w:t>
        <w:tab/>
        <w:t>GOVERNANCE.</w:t>
      </w:r>
      <w:r>
        <w:rPr>
          <w:sz w:val="20"/>
          <w:szCs w:val="20"/>
          <w:color w:val="auto"/>
        </w:rPr>
        <w:tab/>
      </w:r>
      <w:r>
        <w:rPr>
          <w:rFonts w:ascii="Arial" w:cs="Arial" w:eastAsia="Arial" w:hAnsi="Arial"/>
          <w:sz w:val="16"/>
          <w:szCs w:val="16"/>
          <w:color w:val="auto"/>
        </w:rPr>
        <w:t>62</w:t>
      </w:r>
    </w:p>
    <w:p>
      <w:pPr>
        <w:spacing w:after="0" w:line="164" w:lineRule="exact"/>
        <w:rPr>
          <w:sz w:val="20"/>
          <w:szCs w:val="20"/>
          <w:color w:val="auto"/>
        </w:rPr>
      </w:pPr>
    </w:p>
    <w:p>
      <w:pPr>
        <w:spacing w:after="0"/>
        <w:tabs>
          <w:tab w:leader="none" w:pos="280" w:val="left"/>
          <w:tab w:leader="dot" w:pos="6120" w:val="left"/>
        </w:tabs>
        <w:rPr>
          <w:sz w:val="20"/>
          <w:szCs w:val="20"/>
          <w:color w:val="auto"/>
        </w:rPr>
      </w:pPr>
      <w:r>
        <w:rPr>
          <w:rFonts w:ascii="Arial" w:cs="Arial" w:eastAsia="Arial" w:hAnsi="Arial"/>
          <w:sz w:val="16"/>
          <w:szCs w:val="16"/>
          <w:color w:val="auto"/>
        </w:rPr>
        <w:t>5</w:t>
        <w:tab/>
        <w:t>DEVELOPMENT AND COMMERCIALIZATION</w:t>
      </w:r>
      <w:r>
        <w:rPr>
          <w:sz w:val="20"/>
          <w:szCs w:val="20"/>
          <w:color w:val="auto"/>
        </w:rPr>
        <w:tab/>
      </w:r>
      <w:r>
        <w:rPr>
          <w:rFonts w:ascii="Arial" w:cs="Arial" w:eastAsia="Arial" w:hAnsi="Arial"/>
          <w:sz w:val="14"/>
          <w:szCs w:val="14"/>
          <w:color w:val="auto"/>
        </w:rPr>
        <w:t>69</w:t>
      </w:r>
    </w:p>
    <w:p>
      <w:pPr>
        <w:spacing w:after="0" w:line="164" w:lineRule="exact"/>
        <w:rPr>
          <w:sz w:val="20"/>
          <w:szCs w:val="20"/>
          <w:color w:val="auto"/>
        </w:rPr>
      </w:pPr>
    </w:p>
    <w:p>
      <w:pPr>
        <w:spacing w:after="0"/>
        <w:tabs>
          <w:tab w:leader="none" w:pos="280" w:val="left"/>
          <w:tab w:leader="dot" w:pos="6140" w:val="left"/>
        </w:tabs>
        <w:rPr>
          <w:sz w:val="20"/>
          <w:szCs w:val="20"/>
          <w:color w:val="auto"/>
        </w:rPr>
      </w:pPr>
      <w:r>
        <w:rPr>
          <w:rFonts w:ascii="Arial" w:cs="Arial" w:eastAsia="Arial" w:hAnsi="Arial"/>
          <w:sz w:val="16"/>
          <w:szCs w:val="16"/>
          <w:color w:val="auto"/>
        </w:rPr>
        <w:t>6</w:t>
        <w:tab/>
        <w:t>REGULATORY AFFAIRS</w:t>
      </w:r>
      <w:r>
        <w:rPr>
          <w:sz w:val="20"/>
          <w:szCs w:val="20"/>
          <w:color w:val="auto"/>
        </w:rPr>
        <w:tab/>
      </w:r>
      <w:r>
        <w:rPr>
          <w:rFonts w:ascii="Arial" w:cs="Arial" w:eastAsia="Arial" w:hAnsi="Arial"/>
          <w:sz w:val="16"/>
          <w:szCs w:val="16"/>
          <w:color w:val="auto"/>
        </w:rPr>
        <w:t>77</w:t>
      </w:r>
    </w:p>
    <w:p>
      <w:pPr>
        <w:spacing w:after="0" w:line="164" w:lineRule="exact"/>
        <w:rPr>
          <w:sz w:val="20"/>
          <w:szCs w:val="20"/>
          <w:color w:val="auto"/>
        </w:rPr>
      </w:pPr>
    </w:p>
    <w:p>
      <w:pPr>
        <w:spacing w:after="0"/>
        <w:tabs>
          <w:tab w:leader="none" w:pos="280" w:val="left"/>
          <w:tab w:leader="dot" w:pos="6120" w:val="left"/>
        </w:tabs>
        <w:rPr>
          <w:sz w:val="20"/>
          <w:szCs w:val="20"/>
          <w:color w:val="auto"/>
        </w:rPr>
      </w:pPr>
      <w:r>
        <w:rPr>
          <w:rFonts w:ascii="Arial" w:cs="Arial" w:eastAsia="Arial" w:hAnsi="Arial"/>
          <w:sz w:val="16"/>
          <w:szCs w:val="16"/>
          <w:color w:val="auto"/>
        </w:rPr>
        <w:t>7</w:t>
        <w:tab/>
        <w:t>MANUFACTURING AND TECHNOLOGY TRANSFER</w:t>
      </w:r>
      <w:r>
        <w:rPr>
          <w:sz w:val="20"/>
          <w:szCs w:val="20"/>
          <w:color w:val="auto"/>
        </w:rPr>
        <w:tab/>
      </w:r>
      <w:r>
        <w:rPr>
          <w:rFonts w:ascii="Arial" w:cs="Arial" w:eastAsia="Arial" w:hAnsi="Arial"/>
          <w:sz w:val="16"/>
          <w:szCs w:val="16"/>
          <w:color w:val="auto"/>
        </w:rPr>
        <w:t>79</w:t>
      </w:r>
    </w:p>
    <w:p>
      <w:pPr>
        <w:spacing w:after="0" w:line="164" w:lineRule="exact"/>
        <w:rPr>
          <w:sz w:val="20"/>
          <w:szCs w:val="20"/>
          <w:color w:val="auto"/>
        </w:rPr>
      </w:pPr>
    </w:p>
    <w:p>
      <w:pPr>
        <w:spacing w:after="0"/>
        <w:tabs>
          <w:tab w:leader="none" w:pos="280" w:val="left"/>
          <w:tab w:leader="dot" w:pos="6160" w:val="left"/>
        </w:tabs>
        <w:rPr>
          <w:sz w:val="20"/>
          <w:szCs w:val="20"/>
          <w:color w:val="auto"/>
        </w:rPr>
      </w:pPr>
      <w:r>
        <w:rPr>
          <w:rFonts w:ascii="Arial" w:cs="Arial" w:eastAsia="Arial" w:hAnsi="Arial"/>
          <w:sz w:val="16"/>
          <w:szCs w:val="16"/>
          <w:color w:val="auto"/>
        </w:rPr>
        <w:t>8</w:t>
        <w:tab/>
        <w:t>FINANCIAL TERMS</w:t>
      </w:r>
      <w:r>
        <w:rPr>
          <w:sz w:val="20"/>
          <w:szCs w:val="20"/>
          <w:color w:val="auto"/>
        </w:rPr>
        <w:tab/>
      </w:r>
      <w:r>
        <w:rPr>
          <w:rFonts w:ascii="Arial" w:cs="Arial" w:eastAsia="Arial" w:hAnsi="Arial"/>
          <w:sz w:val="14"/>
          <w:szCs w:val="14"/>
          <w:color w:val="auto"/>
        </w:rPr>
        <w:t>86</w:t>
      </w:r>
    </w:p>
    <w:p>
      <w:pPr>
        <w:spacing w:after="0" w:line="164" w:lineRule="exact"/>
        <w:rPr>
          <w:sz w:val="20"/>
          <w:szCs w:val="20"/>
          <w:color w:val="auto"/>
        </w:rPr>
      </w:pPr>
    </w:p>
    <w:p>
      <w:pPr>
        <w:spacing w:after="0"/>
        <w:tabs>
          <w:tab w:leader="none" w:pos="240" w:val="left"/>
          <w:tab w:leader="dot" w:pos="6020" w:val="left"/>
        </w:tabs>
        <w:rPr>
          <w:sz w:val="20"/>
          <w:szCs w:val="20"/>
          <w:color w:val="auto"/>
        </w:rPr>
      </w:pPr>
      <w:r>
        <w:rPr>
          <w:rFonts w:ascii="Arial" w:cs="Arial" w:eastAsia="Arial" w:hAnsi="Arial"/>
          <w:sz w:val="16"/>
          <w:szCs w:val="16"/>
          <w:color w:val="auto"/>
        </w:rPr>
        <w:t>9</w:t>
        <w:tab/>
        <w:t>INTELLECTUAL PROPERTY</w:t>
      </w:r>
      <w:r>
        <w:rPr>
          <w:sz w:val="20"/>
          <w:szCs w:val="20"/>
          <w:color w:val="auto"/>
        </w:rPr>
        <w:tab/>
      </w:r>
      <w:r>
        <w:rPr>
          <w:rFonts w:ascii="Arial" w:cs="Arial" w:eastAsia="Arial" w:hAnsi="Arial"/>
          <w:sz w:val="14"/>
          <w:szCs w:val="14"/>
          <w:color w:val="auto"/>
        </w:rPr>
        <w:t>107</w:t>
      </w:r>
    </w:p>
    <w:p>
      <w:pPr>
        <w:spacing w:after="0" w:line="164" w:lineRule="exact"/>
        <w:rPr>
          <w:sz w:val="20"/>
          <w:szCs w:val="20"/>
          <w:color w:val="auto"/>
        </w:rPr>
      </w:pPr>
    </w:p>
    <w:p>
      <w:pPr>
        <w:spacing w:after="0"/>
        <w:tabs>
          <w:tab w:leader="none" w:pos="380" w:val="left"/>
          <w:tab w:leader="dot" w:pos="6140" w:val="left"/>
        </w:tabs>
        <w:rPr>
          <w:sz w:val="20"/>
          <w:szCs w:val="20"/>
          <w:color w:val="auto"/>
        </w:rPr>
      </w:pPr>
      <w:r>
        <w:rPr>
          <w:rFonts w:ascii="Arial" w:cs="Arial" w:eastAsia="Arial" w:hAnsi="Arial"/>
          <w:sz w:val="16"/>
          <w:szCs w:val="16"/>
          <w:color w:val="auto"/>
        </w:rPr>
        <w:t>10</w:t>
        <w:tab/>
        <w:t>CONFIDENTIALITY</w:t>
      </w:r>
      <w:r>
        <w:rPr>
          <w:sz w:val="20"/>
          <w:szCs w:val="20"/>
          <w:color w:val="auto"/>
        </w:rPr>
        <w:tab/>
      </w:r>
      <w:r>
        <w:rPr>
          <w:rFonts w:ascii="Arial" w:cs="Arial" w:eastAsia="Arial" w:hAnsi="Arial"/>
          <w:sz w:val="14"/>
          <w:szCs w:val="14"/>
          <w:color w:val="auto"/>
        </w:rPr>
        <w:t>117</w:t>
      </w:r>
    </w:p>
    <w:p>
      <w:pPr>
        <w:spacing w:after="0" w:line="164" w:lineRule="exact"/>
        <w:rPr>
          <w:sz w:val="20"/>
          <w:szCs w:val="20"/>
          <w:color w:val="auto"/>
        </w:rPr>
      </w:pPr>
    </w:p>
    <w:p>
      <w:pPr>
        <w:spacing w:after="0"/>
        <w:tabs>
          <w:tab w:leader="none" w:pos="380" w:val="left"/>
          <w:tab w:leader="dot" w:pos="6100" w:val="left"/>
        </w:tabs>
        <w:rPr>
          <w:sz w:val="20"/>
          <w:szCs w:val="20"/>
          <w:color w:val="auto"/>
        </w:rPr>
      </w:pPr>
      <w:r>
        <w:rPr>
          <w:rFonts w:ascii="Arial" w:cs="Arial" w:eastAsia="Arial" w:hAnsi="Arial"/>
          <w:sz w:val="16"/>
          <w:szCs w:val="16"/>
          <w:color w:val="auto"/>
        </w:rPr>
        <w:t>11</w:t>
        <w:tab/>
        <w:t>REPRESENTATIONS, WARRANTIES, AND COVENANTS</w:t>
      </w:r>
      <w:r>
        <w:rPr>
          <w:sz w:val="20"/>
          <w:szCs w:val="20"/>
          <w:color w:val="auto"/>
        </w:rPr>
        <w:tab/>
      </w:r>
      <w:r>
        <w:rPr>
          <w:rFonts w:ascii="Arial" w:cs="Arial" w:eastAsia="Arial" w:hAnsi="Arial"/>
          <w:sz w:val="14"/>
          <w:szCs w:val="14"/>
          <w:color w:val="auto"/>
        </w:rPr>
        <w:t>122</w:t>
      </w:r>
    </w:p>
    <w:p>
      <w:pPr>
        <w:spacing w:after="0" w:line="164" w:lineRule="exact"/>
        <w:rPr>
          <w:sz w:val="20"/>
          <w:szCs w:val="20"/>
          <w:color w:val="auto"/>
        </w:rPr>
      </w:pPr>
    </w:p>
    <w:p>
      <w:pPr>
        <w:spacing w:after="0"/>
        <w:tabs>
          <w:tab w:leader="none" w:pos="380" w:val="left"/>
          <w:tab w:leader="dot" w:pos="6120" w:val="left"/>
        </w:tabs>
        <w:rPr>
          <w:sz w:val="20"/>
          <w:szCs w:val="20"/>
          <w:color w:val="auto"/>
        </w:rPr>
      </w:pPr>
      <w:r>
        <w:rPr>
          <w:rFonts w:ascii="Arial" w:cs="Arial" w:eastAsia="Arial" w:hAnsi="Arial"/>
          <w:sz w:val="16"/>
          <w:szCs w:val="16"/>
          <w:color w:val="auto"/>
        </w:rPr>
        <w:t>12</w:t>
        <w:tab/>
        <w:t>INDEMNIFICATION; LIMITATION OF LIABILITY; INSURANCE</w:t>
      </w:r>
      <w:r>
        <w:rPr>
          <w:sz w:val="20"/>
          <w:szCs w:val="20"/>
          <w:color w:val="auto"/>
        </w:rPr>
        <w:tab/>
      </w:r>
      <w:r>
        <w:rPr>
          <w:rFonts w:ascii="Arial" w:cs="Arial" w:eastAsia="Arial" w:hAnsi="Arial"/>
          <w:sz w:val="14"/>
          <w:szCs w:val="14"/>
          <w:color w:val="auto"/>
        </w:rPr>
        <w:t>132</w:t>
      </w:r>
    </w:p>
    <w:p>
      <w:pPr>
        <w:spacing w:after="0" w:line="164" w:lineRule="exact"/>
        <w:rPr>
          <w:sz w:val="20"/>
          <w:szCs w:val="20"/>
          <w:color w:val="auto"/>
        </w:rPr>
      </w:pPr>
    </w:p>
    <w:p>
      <w:pPr>
        <w:spacing w:after="0"/>
        <w:tabs>
          <w:tab w:leader="none" w:pos="340" w:val="left"/>
          <w:tab w:leader="dot" w:pos="6080" w:val="left"/>
        </w:tabs>
        <w:rPr>
          <w:sz w:val="20"/>
          <w:szCs w:val="20"/>
          <w:color w:val="auto"/>
        </w:rPr>
      </w:pPr>
      <w:r>
        <w:rPr>
          <w:rFonts w:ascii="Arial" w:cs="Arial" w:eastAsia="Arial" w:hAnsi="Arial"/>
          <w:sz w:val="16"/>
          <w:szCs w:val="16"/>
          <w:color w:val="auto"/>
        </w:rPr>
        <w:t>13</w:t>
        <w:tab/>
        <w:t>TERM AND TERMINATION</w:t>
      </w:r>
      <w:r>
        <w:rPr>
          <w:sz w:val="20"/>
          <w:szCs w:val="20"/>
          <w:color w:val="auto"/>
        </w:rPr>
        <w:tab/>
      </w:r>
      <w:r>
        <w:rPr>
          <w:rFonts w:ascii="Arial" w:cs="Arial" w:eastAsia="Arial" w:hAnsi="Arial"/>
          <w:sz w:val="14"/>
          <w:szCs w:val="14"/>
          <w:color w:val="auto"/>
        </w:rPr>
        <w:t>135</w:t>
      </w:r>
    </w:p>
    <w:p>
      <w:pPr>
        <w:spacing w:after="0" w:line="164" w:lineRule="exact"/>
        <w:rPr>
          <w:sz w:val="20"/>
          <w:szCs w:val="20"/>
          <w:color w:val="auto"/>
        </w:rPr>
      </w:pPr>
    </w:p>
    <w:p>
      <w:pPr>
        <w:spacing w:after="0"/>
        <w:tabs>
          <w:tab w:leader="none" w:pos="340" w:val="left"/>
          <w:tab w:leader="dot" w:pos="6080" w:val="left"/>
        </w:tabs>
        <w:rPr>
          <w:sz w:val="20"/>
          <w:szCs w:val="20"/>
          <w:color w:val="auto"/>
        </w:rPr>
      </w:pPr>
      <w:r>
        <w:rPr>
          <w:rFonts w:ascii="Arial" w:cs="Arial" w:eastAsia="Arial" w:hAnsi="Arial"/>
          <w:sz w:val="16"/>
          <w:szCs w:val="16"/>
          <w:color w:val="auto"/>
        </w:rPr>
        <w:t>14</w:t>
        <w:tab/>
        <w:t>MISCELLANEOUS</w:t>
      </w:r>
      <w:r>
        <w:rPr>
          <w:sz w:val="20"/>
          <w:szCs w:val="20"/>
          <w:color w:val="auto"/>
        </w:rPr>
        <w:tab/>
      </w:r>
      <w:r>
        <w:rPr>
          <w:rFonts w:ascii="Arial" w:cs="Arial" w:eastAsia="Arial" w:hAnsi="Arial"/>
          <w:sz w:val="14"/>
          <w:szCs w:val="14"/>
          <w:color w:val="auto"/>
        </w:rPr>
        <w:t>143</w:t>
      </w:r>
    </w:p>
    <w:p>
      <w:pPr>
        <w:spacing w:after="0" w:line="164" w:lineRule="exact"/>
        <w:rPr>
          <w:sz w:val="20"/>
          <w:szCs w:val="20"/>
          <w:color w:val="auto"/>
        </w:rPr>
      </w:pPr>
    </w:p>
    <w:p>
      <w:pPr>
        <w:spacing w:after="0"/>
        <w:tabs>
          <w:tab w:leader="dot" w:pos="6820" w:val="left"/>
        </w:tabs>
        <w:rPr>
          <w:sz w:val="20"/>
          <w:szCs w:val="20"/>
          <w:color w:val="auto"/>
        </w:rPr>
      </w:pPr>
      <w:r>
        <w:rPr>
          <w:rFonts w:ascii="Arial" w:cs="Arial" w:eastAsia="Arial" w:hAnsi="Arial"/>
          <w:sz w:val="16"/>
          <w:szCs w:val="16"/>
          <w:color w:val="auto"/>
        </w:rPr>
        <w:t>Schedule 1 Global CDP &amp; Joint CDP</w:t>
      </w:r>
      <w:r>
        <w:rPr>
          <w:sz w:val="20"/>
          <w:szCs w:val="20"/>
          <w:color w:val="auto"/>
        </w:rPr>
        <w:tab/>
      </w:r>
      <w:r>
        <w:rPr>
          <w:rFonts w:ascii="Arial" w:cs="Arial" w:eastAsia="Arial" w:hAnsi="Arial"/>
          <w:sz w:val="14"/>
          <w:szCs w:val="14"/>
          <w:color w:val="auto"/>
        </w:rPr>
        <w:t>154</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2 Exceptions to Representations and Warranties</w:t>
      </w:r>
      <w:r>
        <w:rPr>
          <w:sz w:val="20"/>
          <w:szCs w:val="20"/>
          <w:color w:val="auto"/>
        </w:rPr>
        <w:tab/>
      </w:r>
      <w:r>
        <w:rPr>
          <w:rFonts w:ascii="Arial" w:cs="Arial" w:eastAsia="Arial" w:hAnsi="Arial"/>
          <w:sz w:val="14"/>
          <w:szCs w:val="14"/>
          <w:color w:val="auto"/>
        </w:rPr>
        <w:t>157</w:t>
      </w:r>
    </w:p>
    <w:p>
      <w:pPr>
        <w:spacing w:after="0" w:line="164" w:lineRule="exact"/>
        <w:rPr>
          <w:sz w:val="20"/>
          <w:szCs w:val="20"/>
          <w:color w:val="auto"/>
        </w:rPr>
      </w:pPr>
    </w:p>
    <w:p>
      <w:pPr>
        <w:spacing w:after="0"/>
        <w:tabs>
          <w:tab w:leader="dot" w:pos="6780" w:val="left"/>
        </w:tabs>
        <w:rPr>
          <w:sz w:val="20"/>
          <w:szCs w:val="20"/>
          <w:color w:val="auto"/>
        </w:rPr>
      </w:pPr>
      <w:r>
        <w:rPr>
          <w:rFonts w:ascii="Arial" w:cs="Arial" w:eastAsia="Arial" w:hAnsi="Arial"/>
          <w:sz w:val="16"/>
          <w:szCs w:val="16"/>
          <w:color w:val="auto"/>
        </w:rPr>
        <w:t>Schedule 3 Licensed Patent Rights</w:t>
      </w:r>
      <w:r>
        <w:rPr>
          <w:sz w:val="20"/>
          <w:szCs w:val="20"/>
          <w:color w:val="auto"/>
        </w:rPr>
        <w:tab/>
      </w:r>
      <w:r>
        <w:rPr>
          <w:rFonts w:ascii="Arial" w:cs="Arial" w:eastAsia="Arial" w:hAnsi="Arial"/>
          <w:sz w:val="14"/>
          <w:szCs w:val="14"/>
          <w:color w:val="auto"/>
        </w:rPr>
        <w:t>158</w:t>
      </w:r>
    </w:p>
    <w:p>
      <w:pPr>
        <w:spacing w:after="0" w:line="164" w:lineRule="exact"/>
        <w:rPr>
          <w:sz w:val="20"/>
          <w:szCs w:val="20"/>
          <w:color w:val="auto"/>
        </w:rPr>
      </w:pPr>
    </w:p>
    <w:p>
      <w:pPr>
        <w:spacing w:after="0"/>
        <w:tabs>
          <w:tab w:leader="dot" w:pos="6780" w:val="left"/>
        </w:tabs>
        <w:rPr>
          <w:sz w:val="20"/>
          <w:szCs w:val="20"/>
          <w:color w:val="auto"/>
        </w:rPr>
      </w:pPr>
      <w:r>
        <w:rPr>
          <w:rFonts w:ascii="Arial" w:cs="Arial" w:eastAsia="Arial" w:hAnsi="Arial"/>
          <w:sz w:val="16"/>
          <w:szCs w:val="16"/>
          <w:color w:val="auto"/>
        </w:rPr>
        <w:t>Schedule 4 Manufacturing and CMC Information</w:t>
      </w:r>
      <w:r>
        <w:rPr>
          <w:sz w:val="20"/>
          <w:szCs w:val="20"/>
          <w:color w:val="auto"/>
        </w:rPr>
        <w:tab/>
      </w:r>
      <w:r>
        <w:rPr>
          <w:rFonts w:ascii="Arial" w:cs="Arial" w:eastAsia="Arial" w:hAnsi="Arial"/>
          <w:sz w:val="14"/>
          <w:szCs w:val="14"/>
          <w:color w:val="auto"/>
        </w:rPr>
        <w:t>160</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5 BioNTech Background Know-How</w:t>
      </w:r>
      <w:r>
        <w:rPr>
          <w:sz w:val="20"/>
          <w:szCs w:val="20"/>
          <w:color w:val="auto"/>
        </w:rPr>
        <w:tab/>
      </w:r>
      <w:r>
        <w:rPr>
          <w:rFonts w:ascii="Arial" w:cs="Arial" w:eastAsia="Arial" w:hAnsi="Arial"/>
          <w:sz w:val="14"/>
          <w:szCs w:val="14"/>
          <w:color w:val="auto"/>
        </w:rPr>
        <w:t>165</w:t>
      </w:r>
    </w:p>
    <w:p>
      <w:pPr>
        <w:spacing w:after="0" w:line="164" w:lineRule="exact"/>
        <w:rPr>
          <w:sz w:val="20"/>
          <w:szCs w:val="20"/>
          <w:color w:val="auto"/>
        </w:rPr>
      </w:pPr>
    </w:p>
    <w:p>
      <w:pPr>
        <w:spacing w:after="0"/>
        <w:tabs>
          <w:tab w:leader="dot" w:pos="6820" w:val="left"/>
        </w:tabs>
        <w:rPr>
          <w:sz w:val="20"/>
          <w:szCs w:val="20"/>
          <w:color w:val="auto"/>
        </w:rPr>
      </w:pPr>
      <w:r>
        <w:rPr>
          <w:rFonts w:ascii="Arial" w:cs="Arial" w:eastAsia="Arial" w:hAnsi="Arial"/>
          <w:sz w:val="16"/>
          <w:szCs w:val="16"/>
          <w:color w:val="auto"/>
        </w:rPr>
        <w:t>Schedule 6 Biotheus Background IP</w:t>
      </w:r>
      <w:r>
        <w:rPr>
          <w:sz w:val="20"/>
          <w:szCs w:val="20"/>
          <w:color w:val="auto"/>
        </w:rPr>
        <w:tab/>
      </w:r>
      <w:r>
        <w:rPr>
          <w:rFonts w:ascii="Arial" w:cs="Arial" w:eastAsia="Arial" w:hAnsi="Arial"/>
          <w:sz w:val="14"/>
          <w:szCs w:val="14"/>
          <w:color w:val="auto"/>
        </w:rPr>
        <w:t>166</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7 BioNTech Competitors</w:t>
      </w:r>
      <w:r>
        <w:rPr>
          <w:sz w:val="20"/>
          <w:szCs w:val="20"/>
          <w:color w:val="auto"/>
        </w:rPr>
        <w:tab/>
      </w:r>
      <w:r>
        <w:rPr>
          <w:rFonts w:ascii="Arial" w:cs="Arial" w:eastAsia="Arial" w:hAnsi="Arial"/>
          <w:sz w:val="14"/>
          <w:szCs w:val="14"/>
          <w:color w:val="auto"/>
        </w:rPr>
        <w:t>167</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8 Biotheus In-Licenses</w:t>
      </w:r>
      <w:r>
        <w:rPr>
          <w:sz w:val="20"/>
          <w:szCs w:val="20"/>
          <w:color w:val="auto"/>
        </w:rPr>
        <w:tab/>
      </w:r>
      <w:r>
        <w:rPr>
          <w:rFonts w:ascii="Arial" w:cs="Arial" w:eastAsia="Arial" w:hAnsi="Arial"/>
          <w:sz w:val="14"/>
          <w:szCs w:val="14"/>
          <w:color w:val="auto"/>
        </w:rPr>
        <w:t>168</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9 Biotheus Press Release</w:t>
      </w:r>
      <w:r>
        <w:rPr>
          <w:sz w:val="20"/>
          <w:szCs w:val="20"/>
          <w:color w:val="auto"/>
        </w:rPr>
        <w:tab/>
      </w:r>
      <w:r>
        <w:rPr>
          <w:rFonts w:ascii="Arial" w:cs="Arial" w:eastAsia="Arial" w:hAnsi="Arial"/>
          <w:sz w:val="14"/>
          <w:szCs w:val="14"/>
          <w:color w:val="auto"/>
        </w:rPr>
        <w:t>169</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10 PM8002 Licensed Compound</w:t>
      </w:r>
      <w:r>
        <w:rPr>
          <w:sz w:val="20"/>
          <w:szCs w:val="20"/>
          <w:color w:val="auto"/>
        </w:rPr>
        <w:tab/>
      </w:r>
      <w:r>
        <w:rPr>
          <w:rFonts w:ascii="Arial" w:cs="Arial" w:eastAsia="Arial" w:hAnsi="Arial"/>
          <w:sz w:val="14"/>
          <w:szCs w:val="14"/>
          <w:color w:val="auto"/>
        </w:rPr>
        <w:t>171</w:t>
      </w:r>
    </w:p>
    <w:p>
      <w:pPr>
        <w:spacing w:after="0" w:line="164" w:lineRule="exact"/>
        <w:rPr>
          <w:sz w:val="20"/>
          <w:szCs w:val="20"/>
          <w:color w:val="auto"/>
        </w:rPr>
      </w:pPr>
    </w:p>
    <w:p>
      <w:pPr>
        <w:spacing w:after="0"/>
        <w:tabs>
          <w:tab w:leader="dot" w:pos="6800" w:val="left"/>
        </w:tabs>
        <w:rPr>
          <w:sz w:val="20"/>
          <w:szCs w:val="20"/>
          <w:color w:val="auto"/>
        </w:rPr>
      </w:pPr>
      <w:r>
        <w:rPr>
          <w:rFonts w:ascii="Arial" w:cs="Arial" w:eastAsia="Arial" w:hAnsi="Arial"/>
          <w:sz w:val="16"/>
          <w:szCs w:val="16"/>
          <w:color w:val="auto"/>
        </w:rPr>
        <w:t>Schedule 11 PM8003 Licensed Compound</w:t>
      </w:r>
      <w:r>
        <w:rPr>
          <w:sz w:val="20"/>
          <w:szCs w:val="20"/>
          <w:color w:val="auto"/>
        </w:rPr>
        <w:tab/>
      </w:r>
      <w:r>
        <w:rPr>
          <w:rFonts w:ascii="Arial" w:cs="Arial" w:eastAsia="Arial" w:hAnsi="Arial"/>
          <w:sz w:val="14"/>
          <w:szCs w:val="14"/>
          <w:color w:val="auto"/>
        </w:rPr>
        <w:t>172</w:t>
      </w:r>
    </w:p>
    <w:p>
      <w:pPr>
        <w:sectPr>
          <w:pgSz w:w="11900" w:h="16840" w:orient="portrait"/>
          <w:cols w:equalWidth="0" w:num="1">
            <w:col w:w="9800"/>
          </w:cols>
          <w:pgMar w:left="660" w:top="1440" w:right="1440" w:bottom="1440" w:gutter="0" w:footer="0" w:header="0"/>
        </w:sectPr>
      </w:pPr>
    </w:p>
    <w:bookmarkStart w:id="770" w:name="page771"/>
    <w:bookmarkEnd w:id="77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COLLABORATION, LICENSE AND OPTION AGREEMENT</w:t>
      </w:r>
    </w:p>
    <w:p>
      <w:pPr>
        <w:spacing w:after="0" w:line="200" w:lineRule="exact"/>
        <w:rPr>
          <w:sz w:val="20"/>
          <w:szCs w:val="20"/>
          <w:color w:val="auto"/>
        </w:rPr>
      </w:pPr>
    </w:p>
    <w:p>
      <w:pPr>
        <w:spacing w:after="0" w:line="228" w:lineRule="exact"/>
        <w:rPr>
          <w:sz w:val="20"/>
          <w:szCs w:val="20"/>
          <w:color w:val="auto"/>
        </w:rPr>
      </w:pPr>
    </w:p>
    <w:p>
      <w:pPr>
        <w:ind w:right="20"/>
        <w:spacing w:after="0" w:line="38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COLLABORATION, LICENSE AND OPTION AGREEMENT</w:t>
      </w:r>
      <w:r>
        <w:rPr>
          <w:rFonts w:ascii="Arial" w:cs="Arial" w:eastAsia="Arial" w:hAnsi="Arial"/>
          <w:sz w:val="16"/>
          <w:szCs w:val="16"/>
          <w:color w:val="auto"/>
        </w:rPr>
        <w:t xml:space="preserve"> (this "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this 26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October, 2023 (the " </w:t>
      </w:r>
      <w:r>
        <w:rPr>
          <w:rFonts w:ascii="Arial" w:cs="Arial" w:eastAsia="Arial" w:hAnsi="Arial"/>
          <w:sz w:val="16"/>
          <w:szCs w:val="16"/>
          <w:b w:val="1"/>
          <w:bCs w:val="1"/>
          <w:color w:val="auto"/>
        </w:rPr>
        <w:t>Execution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by and between</w:t>
      </w:r>
    </w:p>
    <w:p>
      <w:pPr>
        <w:spacing w:after="0" w:line="247" w:lineRule="exact"/>
        <w:rPr>
          <w:sz w:val="20"/>
          <w:szCs w:val="20"/>
          <w:color w:val="auto"/>
        </w:rPr>
      </w:pPr>
    </w:p>
    <w:p>
      <w:pPr>
        <w:ind w:left="560" w:hanging="554"/>
        <w:spacing w:after="0" w:line="171" w:lineRule="exact"/>
        <w:tabs>
          <w:tab w:leader="none" w:pos="560" w:val="left"/>
        </w:tabs>
        <w:numPr>
          <w:ilvl w:val="0"/>
          <w:numId w:val="796"/>
        </w:numPr>
        <w:rPr>
          <w:rFonts w:ascii="Arial" w:cs="Arial" w:eastAsia="Arial" w:hAnsi="Arial"/>
          <w:sz w:val="14"/>
          <w:szCs w:val="14"/>
          <w:color w:val="auto"/>
        </w:rPr>
      </w:pPr>
      <w:r>
        <w:rPr>
          <w:rFonts w:ascii="Arial" w:cs="Arial" w:eastAsia="Arial" w:hAnsi="Arial"/>
          <w:sz w:val="14"/>
          <w:szCs w:val="14"/>
          <w:b w:val="1"/>
          <w:bCs w:val="1"/>
          <w:color w:val="auto"/>
        </w:rPr>
        <w:t>BIOTHEUS INC. (in Chinese:</w:t>
      </w:r>
      <w:r>
        <w:rPr>
          <w:rFonts w:ascii="SimSun" w:cs="SimSun" w:eastAsia="SimSun" w:hAnsi="SimSun"/>
          <w:sz w:val="14"/>
          <w:szCs w:val="14"/>
          <w:b w:val="1"/>
          <w:bCs w:val="1"/>
          <w:color w:val="auto"/>
        </w:rPr>
        <w:t>普米斯生物技术</w:t>
      </w:r>
      <w:r>
        <w:rPr>
          <w:rFonts w:ascii="Times New Roman" w:cs="Times New Roman" w:eastAsia="Times New Roman" w:hAnsi="Times New Roman"/>
          <w:sz w:val="14"/>
          <w:szCs w:val="14"/>
          <w:b w:val="1"/>
          <w:bCs w:val="1"/>
          <w:color w:val="auto"/>
        </w:rPr>
        <w:t>(</w:t>
      </w:r>
      <w:r>
        <w:rPr>
          <w:rFonts w:ascii="SimSun" w:cs="SimSun" w:eastAsia="SimSun" w:hAnsi="SimSun"/>
          <w:sz w:val="14"/>
          <w:szCs w:val="14"/>
          <w:b w:val="1"/>
          <w:bCs w:val="1"/>
          <w:color w:val="auto"/>
        </w:rPr>
        <w:t>珠海</w:t>
      </w:r>
      <w:r>
        <w:rPr>
          <w:rFonts w:ascii="Times New Roman" w:cs="Times New Roman" w:eastAsia="Times New Roman" w:hAnsi="Times New Roman"/>
          <w:sz w:val="14"/>
          <w:szCs w:val="14"/>
          <w:b w:val="1"/>
          <w:bCs w:val="1"/>
          <w:color w:val="auto"/>
        </w:rPr>
        <w:t>)</w:t>
      </w:r>
      <w:r>
        <w:rPr>
          <w:rFonts w:ascii="SimSun" w:cs="SimSun" w:eastAsia="SimSun" w:hAnsi="SimSun"/>
          <w:sz w:val="14"/>
          <w:szCs w:val="14"/>
          <w:b w:val="1"/>
          <w:bCs w:val="1"/>
          <w:color w:val="auto"/>
        </w:rPr>
        <w:t>有限公司</w:t>
      </w:r>
      <w:r>
        <w:rPr>
          <w:rFonts w:ascii="Arial" w:cs="Arial" w:eastAsia="Arial" w:hAnsi="Arial"/>
          <w:sz w:val="14"/>
          <w:szCs w:val="14"/>
          <w:color w:val="auto"/>
        </w:rPr>
        <w:t>), a limited company incorporated in the People's Republic of China (Unified Social</w:t>
      </w:r>
    </w:p>
    <w:p>
      <w:pPr>
        <w:spacing w:after="0" w:line="157" w:lineRule="exact"/>
        <w:rPr>
          <w:rFonts w:ascii="Arial" w:cs="Arial" w:eastAsia="Arial" w:hAnsi="Arial"/>
          <w:sz w:val="14"/>
          <w:szCs w:val="14"/>
          <w:color w:val="auto"/>
        </w:rPr>
      </w:pPr>
    </w:p>
    <w:p>
      <w:pPr>
        <w:ind w:left="580" w:right="60"/>
        <w:spacing w:after="0" w:line="460" w:lineRule="auto"/>
        <w:rPr>
          <w:rFonts w:ascii="Arial" w:cs="Arial" w:eastAsia="Arial" w:hAnsi="Arial"/>
          <w:sz w:val="14"/>
          <w:szCs w:val="14"/>
          <w:color w:val="auto"/>
        </w:rPr>
      </w:pPr>
      <w:r>
        <w:rPr>
          <w:rFonts w:ascii="Arial" w:cs="Arial" w:eastAsia="Arial" w:hAnsi="Arial"/>
          <w:sz w:val="16"/>
          <w:szCs w:val="16"/>
          <w:color w:val="auto"/>
        </w:rPr>
        <w:t>Credit Code: 91440400MA51YKAW2M), having its registered office at Unit 10-B, Building 4, No. 1, Keji 7th Road, Tangjiawan Town, High-Tech Zone, Zhuhai City, Guangdong Province, the People's Republic of China ("</w:t>
      </w:r>
      <w:r>
        <w:rPr>
          <w:rFonts w:ascii="Arial" w:cs="Arial" w:eastAsia="Arial" w:hAnsi="Arial"/>
          <w:sz w:val="16"/>
          <w:szCs w:val="16"/>
          <w:b w:val="1"/>
          <w:bCs w:val="1"/>
          <w:color w:val="auto"/>
        </w:rPr>
        <w:t>Biotheus</w:t>
      </w:r>
      <w:r>
        <w:rPr>
          <w:rFonts w:ascii="Arial" w:cs="Arial" w:eastAsia="Arial" w:hAnsi="Arial"/>
          <w:sz w:val="16"/>
          <w:szCs w:val="16"/>
          <w:color w:val="auto"/>
        </w:rPr>
        <w:t>"); and</w:t>
      </w:r>
    </w:p>
    <w:p>
      <w:pPr>
        <w:spacing w:after="0" w:line="228" w:lineRule="exact"/>
        <w:rPr>
          <w:rFonts w:ascii="Arial" w:cs="Arial" w:eastAsia="Arial" w:hAnsi="Arial"/>
          <w:sz w:val="14"/>
          <w:szCs w:val="14"/>
          <w:color w:val="auto"/>
        </w:rPr>
      </w:pPr>
    </w:p>
    <w:p>
      <w:pPr>
        <w:ind w:left="580" w:right="20" w:hanging="574"/>
        <w:spacing w:after="0" w:line="463" w:lineRule="auto"/>
        <w:tabs>
          <w:tab w:leader="none" w:pos="568" w:val="left"/>
        </w:tabs>
        <w:numPr>
          <w:ilvl w:val="0"/>
          <w:numId w:val="796"/>
        </w:numPr>
        <w:rPr>
          <w:rFonts w:ascii="Arial" w:cs="Arial" w:eastAsia="Arial" w:hAnsi="Arial"/>
          <w:sz w:val="16"/>
          <w:szCs w:val="16"/>
          <w:color w:val="auto"/>
        </w:rPr>
      </w:pPr>
      <w:r>
        <w:rPr>
          <w:rFonts w:ascii="Arial" w:cs="Arial" w:eastAsia="Arial" w:hAnsi="Arial"/>
          <w:sz w:val="16"/>
          <w:szCs w:val="16"/>
          <w:b w:val="1"/>
          <w:bCs w:val="1"/>
          <w:color w:val="auto"/>
        </w:rPr>
        <w:t>BIONTECH SE</w:t>
      </w:r>
      <w:r>
        <w:rPr>
          <w:rFonts w:ascii="Arial" w:cs="Arial" w:eastAsia="Arial" w:hAnsi="Arial"/>
          <w:sz w:val="16"/>
          <w:szCs w:val="16"/>
          <w:color w:val="auto"/>
        </w:rPr>
        <w:t>, a company incorporated in Germany having its registered office at An der Goldgrube 12, D-55131 Mainz, Germany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BioNTech</w:t>
      </w:r>
      <w:r>
        <w:rPr>
          <w:rFonts w:ascii="Arial" w:cs="Arial" w:eastAsia="Arial" w:hAnsi="Arial"/>
          <w:sz w:val="16"/>
          <w:szCs w:val="16"/>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Biotheus and BioNTech are sometimes referred to herein individually as a " </w:t>
      </w:r>
      <w:r>
        <w:rPr>
          <w:rFonts w:ascii="Arial" w:cs="Arial" w:eastAsia="Arial" w:hAnsi="Arial"/>
          <w:sz w:val="16"/>
          <w:szCs w:val="16"/>
          <w:b w:val="1"/>
          <w:bCs w:val="1"/>
          <w:color w:val="auto"/>
        </w:rPr>
        <w:t>Party</w:t>
      </w:r>
      <w:r>
        <w:rPr>
          <w:rFonts w:ascii="Arial" w:cs="Arial" w:eastAsia="Arial" w:hAnsi="Arial"/>
          <w:sz w:val="16"/>
          <w:szCs w:val="16"/>
          <w:color w:val="auto"/>
        </w:rPr>
        <w:t xml:space="preserve">" and collectively as the "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00" w:lineRule="exact"/>
        <w:rPr>
          <w:sz w:val="20"/>
          <w:szCs w:val="20"/>
          <w:color w:val="auto"/>
        </w:rPr>
      </w:pPr>
    </w:p>
    <w:p>
      <w:pPr>
        <w:spacing w:after="0" w:line="230" w:lineRule="exact"/>
        <w:rPr>
          <w:sz w:val="20"/>
          <w:szCs w:val="20"/>
          <w:color w:val="auto"/>
        </w:rPr>
      </w:pPr>
    </w:p>
    <w:p>
      <w:pPr>
        <w:ind w:left="580" w:right="20" w:hanging="574"/>
        <w:spacing w:after="0" w:line="450" w:lineRule="auto"/>
        <w:tabs>
          <w:tab w:leader="none" w:pos="568" w:val="left"/>
        </w:tabs>
        <w:numPr>
          <w:ilvl w:val="0"/>
          <w:numId w:val="797"/>
        </w:numPr>
        <w:rPr>
          <w:rFonts w:ascii="Arial" w:cs="Arial" w:eastAsia="Arial" w:hAnsi="Arial"/>
          <w:sz w:val="16"/>
          <w:szCs w:val="16"/>
          <w:color w:val="auto"/>
        </w:rPr>
      </w:pPr>
      <w:r>
        <w:rPr>
          <w:rFonts w:ascii="Arial" w:cs="Arial" w:eastAsia="Arial" w:hAnsi="Arial"/>
          <w:sz w:val="16"/>
          <w:szCs w:val="16"/>
          <w:color w:val="auto"/>
        </w:rPr>
        <w:t>WHEREAS, Biotheus is a biopharmaceutical company focused on the discovery and development of novel drugs to treat cancer and inflammatory diseases;</w:t>
      </w:r>
    </w:p>
    <w:p>
      <w:pPr>
        <w:spacing w:after="0" w:line="246" w:lineRule="exact"/>
        <w:rPr>
          <w:rFonts w:ascii="Arial" w:cs="Arial" w:eastAsia="Arial" w:hAnsi="Arial"/>
          <w:sz w:val="16"/>
          <w:szCs w:val="16"/>
          <w:color w:val="auto"/>
        </w:rPr>
      </w:pPr>
    </w:p>
    <w:p>
      <w:pPr>
        <w:ind w:left="580" w:right="20" w:hanging="574"/>
        <w:spacing w:after="0" w:line="450" w:lineRule="auto"/>
        <w:tabs>
          <w:tab w:leader="none" w:pos="568" w:val="left"/>
        </w:tabs>
        <w:numPr>
          <w:ilvl w:val="0"/>
          <w:numId w:val="797"/>
        </w:numPr>
        <w:rPr>
          <w:rFonts w:ascii="Arial" w:cs="Arial" w:eastAsia="Arial" w:hAnsi="Arial"/>
          <w:sz w:val="16"/>
          <w:szCs w:val="16"/>
          <w:color w:val="auto"/>
        </w:rPr>
      </w:pPr>
      <w:r>
        <w:rPr>
          <w:rFonts w:ascii="Arial" w:cs="Arial" w:eastAsia="Arial" w:hAnsi="Arial"/>
          <w:sz w:val="16"/>
          <w:szCs w:val="16"/>
          <w:color w:val="auto"/>
        </w:rPr>
        <w:t>WHEREAS, BioNTech is a German biotechnology company based in Mainz focused on the developent and manufacture of active immunotherapies for patient-specific approaches to the treatment of diseases;</w:t>
      </w:r>
    </w:p>
    <w:p>
      <w:pPr>
        <w:spacing w:after="0" w:line="246" w:lineRule="exact"/>
        <w:rPr>
          <w:rFonts w:ascii="Arial" w:cs="Arial" w:eastAsia="Arial" w:hAnsi="Arial"/>
          <w:sz w:val="16"/>
          <w:szCs w:val="16"/>
          <w:color w:val="auto"/>
        </w:rPr>
      </w:pPr>
    </w:p>
    <w:p>
      <w:pPr>
        <w:jc w:val="both"/>
        <w:ind w:left="580" w:hanging="574"/>
        <w:spacing w:after="0" w:line="429" w:lineRule="auto"/>
        <w:tabs>
          <w:tab w:leader="none" w:pos="568" w:val="left"/>
        </w:tabs>
        <w:numPr>
          <w:ilvl w:val="0"/>
          <w:numId w:val="797"/>
        </w:numPr>
        <w:rPr>
          <w:rFonts w:ascii="Arial" w:cs="Arial" w:eastAsia="Arial" w:hAnsi="Arial"/>
          <w:sz w:val="16"/>
          <w:szCs w:val="16"/>
          <w:color w:val="auto"/>
        </w:rPr>
      </w:pPr>
      <w:r>
        <w:rPr>
          <w:rFonts w:ascii="Arial" w:cs="Arial" w:eastAsia="Arial" w:hAnsi="Arial"/>
          <w:sz w:val="16"/>
          <w:szCs w:val="16"/>
          <w:color w:val="auto"/>
        </w:rPr>
        <w:t>WHEREAS, BioNTech desires to obtain from Biotheus an exclusive license with respect to PM8002 Licensed Products under the applicable Licensed Patent Rights and the applicable Licensed Know-How to Develop, Manufacture and Commercialize PM8002 Licensed Products in the Field in the Territory, under the terms and conditions set forth herein, and Biotheus desires to grant to BioNTech such license with respect to PM8002 Licensed Products, while Biotheus retains the right to Develop, Manufacture and Commercialize PM8002 Licensed Products in the Retained Territory in close coordination with BioNTech;</w:t>
      </w:r>
    </w:p>
    <w:p>
      <w:pPr>
        <w:spacing w:after="0" w:line="264" w:lineRule="exact"/>
        <w:rPr>
          <w:rFonts w:ascii="Arial" w:cs="Arial" w:eastAsia="Arial" w:hAnsi="Arial"/>
          <w:sz w:val="16"/>
          <w:szCs w:val="16"/>
          <w:color w:val="auto"/>
        </w:rPr>
      </w:pPr>
    </w:p>
    <w:p>
      <w:pPr>
        <w:ind w:left="580" w:right="20" w:hanging="574"/>
        <w:spacing w:after="0" w:line="450" w:lineRule="auto"/>
        <w:tabs>
          <w:tab w:leader="none" w:pos="568" w:val="left"/>
        </w:tabs>
        <w:numPr>
          <w:ilvl w:val="0"/>
          <w:numId w:val="797"/>
        </w:numPr>
        <w:rPr>
          <w:rFonts w:ascii="Arial" w:cs="Arial" w:eastAsia="Arial" w:hAnsi="Arial"/>
          <w:sz w:val="16"/>
          <w:szCs w:val="16"/>
          <w:color w:val="auto"/>
        </w:rPr>
      </w:pPr>
      <w:r>
        <w:rPr>
          <w:rFonts w:ascii="Arial" w:cs="Arial" w:eastAsia="Arial" w:hAnsi="Arial"/>
          <w:sz w:val="16"/>
          <w:szCs w:val="16"/>
          <w:color w:val="auto"/>
        </w:rPr>
        <w:t>WHEREAS, BioNTech desires to obtain options to an exclusive license with respect to PM8003 Licensed Products and Preclinical Multispecific Licensed Products under the terms and conditions set forth herein, and Biotheus desires to grant such options.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40" w:orient="portrait"/>
          <w:cols w:equalWidth="0" w:num="1">
            <w:col w:w="10580"/>
          </w:cols>
          <w:pgMar w:left="660" w:top="1440" w:right="660" w:bottom="1440" w:gutter="0" w:footer="0" w:header="0"/>
        </w:sectPr>
      </w:pPr>
    </w:p>
    <w:bookmarkStart w:id="771" w:name="page772"/>
    <w:bookmarkEnd w:id="7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Parties agree as follows:</w:t>
      </w:r>
    </w:p>
    <w:p>
      <w:pPr>
        <w:spacing w:after="0" w:line="200" w:lineRule="exact"/>
        <w:rPr>
          <w:sz w:val="20"/>
          <w:szCs w:val="20"/>
          <w:color w:val="auto"/>
        </w:rPr>
      </w:pPr>
    </w:p>
    <w:p>
      <w:pPr>
        <w:spacing w:after="0" w:line="226" w:lineRule="exact"/>
        <w:rPr>
          <w:sz w:val="20"/>
          <w:szCs w:val="20"/>
          <w:color w:val="auto"/>
        </w:rPr>
      </w:pPr>
    </w:p>
    <w:p>
      <w:pPr>
        <w:ind w:left="560" w:hanging="554"/>
        <w:spacing w:after="0"/>
        <w:tabs>
          <w:tab w:leader="none" w:pos="560" w:val="left"/>
        </w:tabs>
        <w:numPr>
          <w:ilvl w:val="0"/>
          <w:numId w:val="79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0" w:lineRule="exact"/>
        <w:rPr>
          <w:rFonts w:ascii="Arial" w:cs="Arial" w:eastAsia="Arial" w:hAnsi="Arial"/>
          <w:sz w:val="16"/>
          <w:szCs w:val="16"/>
          <w:b w:val="1"/>
          <w:bCs w:val="1"/>
          <w:color w:val="auto"/>
        </w:rPr>
      </w:pPr>
    </w:p>
    <w:p>
      <w:pPr>
        <w:spacing w:after="0" w:line="23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 following terms, whether used in the singular or plural, will have the following meanings:</w:t>
      </w:r>
    </w:p>
    <w:p>
      <w:pPr>
        <w:spacing w:after="0" w:line="200" w:lineRule="exact"/>
        <w:rPr>
          <w:sz w:val="20"/>
          <w:szCs w:val="20"/>
          <w:color w:val="auto"/>
        </w:rPr>
      </w:pP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215"/>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1.1</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1st line HCC/CRC/PROC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First  Line  Hepatocellular  carcinoma  /  Colorectal  Cancer/Platinum</w:t>
            </w:r>
          </w:p>
        </w:tc>
      </w:tr>
      <w:tr>
        <w:trPr>
          <w:trHeight w:val="220"/>
        </w:trPr>
        <w:tc>
          <w:tcPr>
            <w:tcW w:w="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100" w:type="dxa"/>
            <w:vAlign w:val="bottom"/>
          </w:tcPr>
          <w:p>
            <w:pPr>
              <w:ind w:left="460"/>
              <w:spacing w:after="0"/>
              <w:rPr>
                <w:sz w:val="20"/>
                <w:szCs w:val="20"/>
                <w:color w:val="auto"/>
              </w:rPr>
            </w:pPr>
            <w:r>
              <w:rPr>
                <w:rFonts w:ascii="Arial" w:cs="Arial" w:eastAsia="Arial" w:hAnsi="Arial"/>
                <w:sz w:val="16"/>
                <w:szCs w:val="16"/>
                <w:color w:val="auto"/>
              </w:rPr>
              <w:t>Resistant Ovarian Cancer;</w:t>
            </w:r>
          </w:p>
        </w:tc>
      </w:tr>
      <w:tr>
        <w:trPr>
          <w:trHeight w:val="39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1.2</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1st line nccRCC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First Line non clear cell renal cell carcinomas;</w:t>
            </w:r>
          </w:p>
        </w:tc>
      </w:tr>
      <w:tr>
        <w:trPr>
          <w:trHeight w:val="53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1.3</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1st line SCLC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First Line Small Cell Lung Cancer;</w:t>
            </w:r>
          </w:p>
        </w:tc>
      </w:tr>
      <w:tr>
        <w:trPr>
          <w:trHeight w:val="57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1.4</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1st line TNBC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First Line Triple Negative Breast Cancer;</w:t>
            </w:r>
          </w:p>
        </w:tc>
      </w:tr>
      <w:tr>
        <w:trPr>
          <w:trHeight w:val="57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1.5</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2nd line NSCLC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Second Line Non Small Cell Lung Cancer;</w:t>
            </w:r>
          </w:p>
        </w:tc>
      </w:tr>
      <w:tr>
        <w:trPr>
          <w:trHeight w:val="57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1.6</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2nd line RCC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Second Line renal cell carcinoma;</w:t>
            </w:r>
          </w:p>
        </w:tc>
      </w:tr>
      <w:tr>
        <w:trPr>
          <w:trHeight w:val="57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1.7</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2nd line SCLC</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Second Line Small Cell Lung Cancer;</w:t>
            </w:r>
          </w:p>
        </w:tc>
      </w:tr>
      <w:tr>
        <w:trPr>
          <w:trHeight w:val="576"/>
        </w:trPr>
        <w:tc>
          <w:tcPr>
            <w:tcW w:w="500" w:type="dxa"/>
            <w:vAlign w:val="bottom"/>
          </w:tcPr>
          <w:p>
            <w:pPr>
              <w:jc w:val="right"/>
              <w:ind w:right="202"/>
              <w:spacing w:after="0"/>
              <w:rPr>
                <w:sz w:val="20"/>
                <w:szCs w:val="20"/>
                <w:color w:val="auto"/>
              </w:rPr>
            </w:pPr>
            <w:r>
              <w:rPr>
                <w:rFonts w:ascii="Arial" w:cs="Arial" w:eastAsia="Arial" w:hAnsi="Arial"/>
                <w:sz w:val="16"/>
                <w:szCs w:val="16"/>
                <w:color w:val="auto"/>
                <w:w w:val="89"/>
              </w:rPr>
              <w:t>1.8</w:t>
            </w:r>
          </w:p>
        </w:tc>
        <w:tc>
          <w:tcPr>
            <w:tcW w:w="2520" w:type="dxa"/>
            <w:vAlign w:val="bottom"/>
          </w:tcPr>
          <w:p>
            <w:pPr>
              <w:ind w:left="280"/>
              <w:spacing w:after="0"/>
              <w:rPr>
                <w:sz w:val="20"/>
                <w:szCs w:val="20"/>
                <w:color w:val="auto"/>
              </w:rPr>
            </w:pPr>
            <w:r>
              <w:rPr>
                <w:rFonts w:ascii="Arial" w:cs="Arial" w:eastAsia="Arial" w:hAnsi="Arial"/>
                <w:sz w:val="16"/>
                <w:szCs w:val="16"/>
                <w:b w:val="1"/>
                <w:bCs w:val="1"/>
                <w:color w:val="auto"/>
              </w:rPr>
              <w:t>Accelerated Approval</w:t>
            </w:r>
          </w:p>
        </w:tc>
        <w:tc>
          <w:tcPr>
            <w:tcW w:w="6100" w:type="dxa"/>
            <w:vAlign w:val="bottom"/>
          </w:tcPr>
          <w:p>
            <w:pPr>
              <w:ind w:left="460"/>
              <w:spacing w:after="0"/>
              <w:rPr>
                <w:sz w:val="20"/>
                <w:szCs w:val="20"/>
                <w:color w:val="auto"/>
              </w:rPr>
            </w:pPr>
            <w:r>
              <w:rPr>
                <w:rFonts w:ascii="Arial" w:cs="Arial" w:eastAsia="Arial" w:hAnsi="Arial"/>
                <w:sz w:val="16"/>
                <w:szCs w:val="16"/>
                <w:color w:val="auto"/>
              </w:rPr>
              <w:t>means drugs for serious conditions that fill an unmet medical need approved</w:t>
            </w:r>
          </w:p>
        </w:tc>
      </w:tr>
      <w:tr>
        <w:trPr>
          <w:trHeight w:val="220"/>
        </w:trPr>
        <w:tc>
          <w:tcPr>
            <w:tcW w:w="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100" w:type="dxa"/>
            <w:vAlign w:val="bottom"/>
          </w:tcPr>
          <w:p>
            <w:pPr>
              <w:ind w:left="460"/>
              <w:spacing w:after="0"/>
              <w:rPr>
                <w:sz w:val="20"/>
                <w:szCs w:val="20"/>
                <w:color w:val="auto"/>
              </w:rPr>
            </w:pPr>
            <w:r>
              <w:rPr>
                <w:rFonts w:ascii="Arial" w:cs="Arial" w:eastAsia="Arial" w:hAnsi="Arial"/>
                <w:sz w:val="16"/>
                <w:szCs w:val="16"/>
                <w:color w:val="auto"/>
              </w:rPr>
              <w:t>based on a surrogate endpoint as defined by FDASIA Section 901 and 21 CFR</w:t>
            </w:r>
          </w:p>
        </w:tc>
      </w:tr>
      <w:tr>
        <w:trPr>
          <w:trHeight w:val="228"/>
        </w:trPr>
        <w:tc>
          <w:tcPr>
            <w:tcW w:w="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100" w:type="dxa"/>
            <w:vAlign w:val="bottom"/>
          </w:tcPr>
          <w:p>
            <w:pPr>
              <w:ind w:left="460"/>
              <w:spacing w:after="0"/>
              <w:rPr>
                <w:sz w:val="20"/>
                <w:szCs w:val="20"/>
                <w:color w:val="auto"/>
              </w:rPr>
            </w:pPr>
            <w:r>
              <w:rPr>
                <w:rFonts w:ascii="Arial" w:cs="Arial" w:eastAsia="Arial" w:hAnsi="Arial"/>
                <w:sz w:val="16"/>
                <w:szCs w:val="16"/>
                <w:color w:val="auto"/>
              </w:rPr>
              <w:t>314 Subpart 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9800"/>
          </w:cols>
          <w:pgMar w:left="660" w:top="1440" w:right="1440" w:bottom="1440" w:gutter="0" w:footer="0" w:header="0"/>
        </w:sectPr>
      </w:pPr>
    </w:p>
    <w:bookmarkStart w:id="772" w:name="page773"/>
    <w:bookmarkEnd w:id="77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1.9</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Accounting Standards</w:t>
            </w:r>
          </w:p>
        </w:tc>
        <w:tc>
          <w:tcPr>
            <w:tcW w:w="6200" w:type="dxa"/>
            <w:vAlign w:val="bottom"/>
          </w:tcPr>
          <w:p>
            <w:pPr>
              <w:ind w:left="420"/>
              <w:spacing w:after="0"/>
              <w:rPr>
                <w:sz w:val="20"/>
                <w:szCs w:val="20"/>
                <w:color w:val="auto"/>
              </w:rPr>
            </w:pPr>
            <w:r>
              <w:rPr>
                <w:rFonts w:ascii="Arial" w:cs="Arial" w:eastAsia="Arial" w:hAnsi="Arial"/>
                <w:sz w:val="16"/>
                <w:szCs w:val="16"/>
                <w:color w:val="auto"/>
                <w:w w:val="99"/>
              </w:rPr>
              <w:t>means (a) with respect to BioNTech, its Affiliates or their respective Sublicensees,</w:t>
            </w:r>
          </w:p>
        </w:tc>
      </w:tr>
      <w:tr>
        <w:trPr>
          <w:trHeight w:val="220"/>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International  Financial  Reporting  Standards  as  issued  by  the  International</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9"/>
              </w:rPr>
              <w:t>Accounting Standards Board and endorsed by the EU, consistently applied or any</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other applicable standard accounting principles used by Sublicensees; and (b) with</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respect  to  Biotheus,  Accounting  Standards  for  Business  Enterprises  as</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7"/>
              </w:rPr>
              <w:t>promulgated by Chinese Accounting Standards Committee of Ministry of Finance of</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7"/>
              </w:rPr>
              <w:t>the People’s Republic of China or its successor organization or any other applicable</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standard accounting principles used by the applicable Affiliates of Biotheus;</w:t>
            </w:r>
          </w:p>
        </w:tc>
      </w:tr>
      <w:tr>
        <w:trPr>
          <w:trHeight w:val="284"/>
        </w:trPr>
        <w:tc>
          <w:tcPr>
            <w:tcW w:w="580" w:type="dxa"/>
            <w:vAlign w:val="bottom"/>
          </w:tcPr>
          <w:p>
            <w:pPr>
              <w:spacing w:after="0"/>
              <w:rPr>
                <w:sz w:val="20"/>
                <w:szCs w:val="20"/>
                <w:color w:val="auto"/>
              </w:rPr>
            </w:pPr>
            <w:r>
              <w:rPr>
                <w:rFonts w:ascii="Arial" w:cs="Arial" w:eastAsia="Arial" w:hAnsi="Arial"/>
                <w:sz w:val="16"/>
                <w:szCs w:val="16"/>
                <w:color w:val="auto"/>
              </w:rPr>
              <w:t>1.10</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ADC</w:t>
            </w:r>
          </w:p>
        </w:tc>
        <w:tc>
          <w:tcPr>
            <w:tcW w:w="6200" w:type="dxa"/>
            <w:vAlign w:val="bottom"/>
          </w:tcPr>
          <w:p>
            <w:pPr>
              <w:ind w:left="42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spacing w:after="0"/>
              <w:rPr>
                <w:sz w:val="20"/>
                <w:szCs w:val="20"/>
                <w:color w:val="auto"/>
              </w:rPr>
            </w:pPr>
            <w:r>
              <w:rPr>
                <w:rFonts w:ascii="Arial" w:cs="Arial" w:eastAsia="Arial" w:hAnsi="Arial"/>
                <w:sz w:val="16"/>
                <w:szCs w:val="16"/>
                <w:color w:val="auto"/>
              </w:rPr>
              <w:t>1.11</w:t>
            </w:r>
          </w:p>
        </w:tc>
        <w:tc>
          <w:tcPr>
            <w:tcW w:w="856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Additional Third Party Licences  </w:t>
            </w:r>
            <w:r>
              <w:rPr>
                <w:rFonts w:ascii="Arial" w:cs="Arial" w:eastAsia="Arial" w:hAnsi="Arial"/>
                <w:sz w:val="16"/>
                <w:szCs w:val="16"/>
                <w:color w:val="auto"/>
              </w:rPr>
              <w:t>has the meaning set forth in Section 8.5(b) (Adjustments to Royalties);</w:t>
            </w:r>
          </w:p>
        </w:tc>
      </w:tr>
      <w:tr>
        <w:trPr>
          <w:trHeight w:val="576"/>
        </w:trPr>
        <w:tc>
          <w:tcPr>
            <w:tcW w:w="580" w:type="dxa"/>
            <w:vAlign w:val="bottom"/>
          </w:tcPr>
          <w:p>
            <w:pPr>
              <w:spacing w:after="0"/>
              <w:rPr>
                <w:sz w:val="20"/>
                <w:szCs w:val="20"/>
                <w:color w:val="auto"/>
              </w:rPr>
            </w:pPr>
            <w:r>
              <w:rPr>
                <w:rFonts w:ascii="Arial" w:cs="Arial" w:eastAsia="Arial" w:hAnsi="Arial"/>
                <w:sz w:val="16"/>
                <w:szCs w:val="16"/>
                <w:color w:val="auto"/>
              </w:rPr>
              <w:t>1.12</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Affiliate</w:t>
            </w:r>
          </w:p>
        </w:tc>
        <w:tc>
          <w:tcPr>
            <w:tcW w:w="6200" w:type="dxa"/>
            <w:vAlign w:val="bottom"/>
          </w:tcPr>
          <w:p>
            <w:pPr>
              <w:ind w:left="420"/>
              <w:spacing w:after="0"/>
              <w:rPr>
                <w:sz w:val="20"/>
                <w:szCs w:val="20"/>
                <w:color w:val="auto"/>
              </w:rPr>
            </w:pPr>
            <w:r>
              <w:rPr>
                <w:rFonts w:ascii="Arial" w:cs="Arial" w:eastAsia="Arial" w:hAnsi="Arial"/>
                <w:sz w:val="16"/>
                <w:szCs w:val="16"/>
                <w:color w:val="auto"/>
                <w:w w:val="99"/>
              </w:rPr>
              <w:t>means, with respect to any Person, any Person controlling, controlled by or under</w:t>
            </w:r>
          </w:p>
        </w:tc>
      </w:tr>
      <w:tr>
        <w:trPr>
          <w:trHeight w:val="220"/>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common control with such Person. For the purposes of this Section 1.12 (Affiliate),</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the term "control" (including, with correlative meaning, the terms "controlled by"</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9"/>
              </w:rPr>
              <w:t>and "under common control with"), means the possession, directly or indirectly, of</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more than 50% of the voting stock or other ownership interest of such Person, or</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the possession, directly or indirectly, of the power to direct or cause the direction of</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the affairs or management and policies of such Person or the power to elect or</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appoint more than fifty percent (50%) of the members of the governing body of</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7"/>
              </w:rPr>
              <w:t>such Person. The Parties acknowledge that in the case of certain entities organised</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under the laws of certain countries outside the United States, the maximum</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percentage ownership permitted by Applicable Law for a foreign investor may be</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less than fifty percent (50%), and that in such case such lower percentage will be</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substituted in the preceding sentence; provided that such foreign investor has the</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power to direct the management and policies of such entity;</w:t>
            </w:r>
          </w:p>
        </w:tc>
      </w:tr>
      <w:tr>
        <w:trPr>
          <w:trHeight w:val="572"/>
        </w:trPr>
        <w:tc>
          <w:tcPr>
            <w:tcW w:w="580" w:type="dxa"/>
            <w:vAlign w:val="bottom"/>
          </w:tcPr>
          <w:p>
            <w:pPr>
              <w:spacing w:after="0"/>
              <w:rPr>
                <w:sz w:val="20"/>
                <w:szCs w:val="20"/>
                <w:color w:val="auto"/>
              </w:rPr>
            </w:pPr>
            <w:r>
              <w:rPr>
                <w:rFonts w:ascii="Arial" w:cs="Arial" w:eastAsia="Arial" w:hAnsi="Arial"/>
                <w:sz w:val="16"/>
                <w:szCs w:val="16"/>
                <w:color w:val="auto"/>
              </w:rPr>
              <w:t>1.13</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Agreement</w:t>
            </w:r>
          </w:p>
        </w:tc>
        <w:tc>
          <w:tcPr>
            <w:tcW w:w="6200" w:type="dxa"/>
            <w:vAlign w:val="bottom"/>
          </w:tcPr>
          <w:p>
            <w:pPr>
              <w:ind w:left="420"/>
              <w:spacing w:after="0"/>
              <w:rPr>
                <w:sz w:val="20"/>
                <w:szCs w:val="20"/>
                <w:color w:val="auto"/>
              </w:rPr>
            </w:pPr>
            <w:r>
              <w:rPr>
                <w:rFonts w:ascii="Arial" w:cs="Arial" w:eastAsia="Arial" w:hAnsi="Arial"/>
                <w:sz w:val="16"/>
                <w:szCs w:val="16"/>
                <w:color w:val="auto"/>
              </w:rPr>
              <w:t>has the meaning set forth in the 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9200"/>
          </w:cols>
          <w:pgMar w:left="1260" w:top="1440" w:right="1440" w:bottom="1440" w:gutter="0" w:footer="0" w:header="0"/>
        </w:sectPr>
      </w:pPr>
    </w:p>
    <w:bookmarkStart w:id="773" w:name="page774"/>
    <w:bookmarkEnd w:id="77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1.14</w:t>
            </w:r>
          </w:p>
        </w:tc>
        <w:tc>
          <w:tcPr>
            <w:tcW w:w="2680" w:type="dxa"/>
            <w:vAlign w:val="bottom"/>
          </w:tcPr>
          <w:p>
            <w:pPr>
              <w:ind w:left="280"/>
              <w:spacing w:after="0"/>
              <w:rPr>
                <w:sz w:val="20"/>
                <w:szCs w:val="20"/>
                <w:color w:val="auto"/>
              </w:rPr>
            </w:pPr>
            <w:r>
              <w:rPr>
                <w:rFonts w:ascii="Arial" w:cs="Arial" w:eastAsia="Arial" w:hAnsi="Arial"/>
                <w:sz w:val="16"/>
                <w:szCs w:val="16"/>
                <w:b w:val="1"/>
                <w:bCs w:val="1"/>
                <w:color w:val="auto"/>
              </w:rPr>
              <w:t>Alliance Manager</w:t>
            </w:r>
          </w:p>
        </w:tc>
        <w:tc>
          <w:tcPr>
            <w:tcW w:w="5880" w:type="dxa"/>
            <w:vAlign w:val="bottom"/>
          </w:tcPr>
          <w:p>
            <w:pPr>
              <w:ind w:left="80"/>
              <w:spacing w:after="0"/>
              <w:rPr>
                <w:sz w:val="20"/>
                <w:szCs w:val="20"/>
                <w:color w:val="auto"/>
              </w:rPr>
            </w:pPr>
            <w:r>
              <w:rPr>
                <w:rFonts w:ascii="Arial" w:cs="Arial" w:eastAsia="Arial" w:hAnsi="Arial"/>
                <w:sz w:val="16"/>
                <w:szCs w:val="16"/>
                <w:color w:val="auto"/>
              </w:rPr>
              <w:t>has the meaning set forth in Section 4.3 (Alliance and Project Managers);</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1.15</w:t>
            </w:r>
          </w:p>
        </w:tc>
        <w:tc>
          <w:tcPr>
            <w:tcW w:w="2680" w:type="dxa"/>
            <w:vAlign w:val="bottom"/>
          </w:tcPr>
          <w:p>
            <w:pPr>
              <w:ind w:left="280"/>
              <w:spacing w:after="0"/>
              <w:rPr>
                <w:sz w:val="20"/>
                <w:szCs w:val="20"/>
                <w:color w:val="auto"/>
              </w:rPr>
            </w:pPr>
            <w:r>
              <w:rPr>
                <w:rFonts w:ascii="Arial" w:cs="Arial" w:eastAsia="Arial" w:hAnsi="Arial"/>
                <w:sz w:val="16"/>
                <w:szCs w:val="16"/>
                <w:b w:val="1"/>
                <w:bCs w:val="1"/>
                <w:color w:val="auto"/>
              </w:rPr>
              <w:t>Antibody</w:t>
            </w:r>
          </w:p>
        </w:tc>
        <w:tc>
          <w:tcPr>
            <w:tcW w:w="5880" w:type="dxa"/>
            <w:vAlign w:val="bottom"/>
          </w:tcPr>
          <w:p>
            <w:pPr>
              <w:ind w:left="80"/>
              <w:spacing w:after="0"/>
              <w:rPr>
                <w:sz w:val="20"/>
                <w:szCs w:val="20"/>
                <w:color w:val="auto"/>
              </w:rPr>
            </w:pPr>
            <w:r>
              <w:rPr>
                <w:rFonts w:ascii="Arial" w:cs="Arial" w:eastAsia="Arial" w:hAnsi="Arial"/>
                <w:sz w:val="16"/>
                <w:szCs w:val="16"/>
                <w:color w:val="auto"/>
              </w:rPr>
              <w:t>means</w:t>
            </w:r>
          </w:p>
        </w:tc>
      </w:tr>
      <w:tr>
        <w:trPr>
          <w:trHeight w:val="508"/>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1.16</w:t>
            </w:r>
          </w:p>
        </w:tc>
        <w:tc>
          <w:tcPr>
            <w:tcW w:w="2680" w:type="dxa"/>
            <w:vAlign w:val="bottom"/>
          </w:tcPr>
          <w:p>
            <w:pPr>
              <w:ind w:left="280"/>
              <w:spacing w:after="0"/>
              <w:rPr>
                <w:sz w:val="20"/>
                <w:szCs w:val="20"/>
                <w:color w:val="auto"/>
              </w:rPr>
            </w:pPr>
            <w:r>
              <w:rPr>
                <w:rFonts w:ascii="Arial" w:cs="Arial" w:eastAsia="Arial" w:hAnsi="Arial"/>
                <w:sz w:val="16"/>
                <w:szCs w:val="16"/>
                <w:b w:val="1"/>
                <w:bCs w:val="1"/>
                <w:color w:val="auto"/>
              </w:rPr>
              <w:t>Anti-Corruption Laws</w:t>
            </w:r>
          </w:p>
        </w:tc>
        <w:tc>
          <w:tcPr>
            <w:tcW w:w="5880" w:type="dxa"/>
            <w:vAlign w:val="bottom"/>
          </w:tcPr>
          <w:p>
            <w:pPr>
              <w:ind w:left="80"/>
              <w:spacing w:after="0"/>
              <w:rPr>
                <w:sz w:val="20"/>
                <w:szCs w:val="20"/>
                <w:color w:val="auto"/>
              </w:rPr>
            </w:pPr>
            <w:r>
              <w:rPr>
                <w:rFonts w:ascii="Arial" w:cs="Arial" w:eastAsia="Arial" w:hAnsi="Arial"/>
                <w:sz w:val="16"/>
                <w:szCs w:val="16"/>
                <w:color w:val="auto"/>
                <w:w w:val="98"/>
              </w:rPr>
              <w:t>means all applicable anti-bribery and anti-corruption laws and regulations, including</w:t>
            </w:r>
          </w:p>
        </w:tc>
      </w:tr>
      <w:tr>
        <w:trPr>
          <w:trHeight w:val="22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w w:val="99"/>
              </w:rPr>
              <w:t>the U.S. Foreign Corrupt Practices Act of 1977, the U.K. Bribery Act 2010, and the</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comparable  Applicable  Laws  of  any  countries  in  which  Licensed  Products,</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payments or services will be provided or procured under or pursuant to this</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Agreement;</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1.17</w:t>
            </w:r>
          </w:p>
        </w:tc>
        <w:tc>
          <w:tcPr>
            <w:tcW w:w="2680" w:type="dxa"/>
            <w:vAlign w:val="bottom"/>
          </w:tcPr>
          <w:p>
            <w:pPr>
              <w:ind w:left="280"/>
              <w:spacing w:after="0"/>
              <w:rPr>
                <w:sz w:val="20"/>
                <w:szCs w:val="20"/>
                <w:color w:val="auto"/>
              </w:rPr>
            </w:pPr>
            <w:r>
              <w:rPr>
                <w:rFonts w:ascii="Arial" w:cs="Arial" w:eastAsia="Arial" w:hAnsi="Arial"/>
                <w:sz w:val="16"/>
                <w:szCs w:val="16"/>
                <w:b w:val="1"/>
                <w:bCs w:val="1"/>
                <w:color w:val="auto"/>
                <w:w w:val="99"/>
              </w:rPr>
              <w:t>Applicable Data Protection Law</w:t>
            </w:r>
          </w:p>
        </w:tc>
        <w:tc>
          <w:tcPr>
            <w:tcW w:w="5880" w:type="dxa"/>
            <w:vAlign w:val="bottom"/>
          </w:tcPr>
          <w:p>
            <w:pPr>
              <w:ind w:left="80"/>
              <w:spacing w:after="0"/>
              <w:rPr>
                <w:sz w:val="20"/>
                <w:szCs w:val="20"/>
                <w:color w:val="auto"/>
              </w:rPr>
            </w:pPr>
            <w:r>
              <w:rPr>
                <w:rFonts w:ascii="Arial" w:cs="Arial" w:eastAsia="Arial" w:hAnsi="Arial"/>
                <w:sz w:val="16"/>
                <w:szCs w:val="16"/>
                <w:color w:val="auto"/>
                <w:w w:val="97"/>
              </w:rPr>
              <w:t>means all Applicable Laws in any jurisdiction relating to privacy or the processing or</w:t>
            </w:r>
          </w:p>
        </w:tc>
      </w:tr>
      <w:tr>
        <w:trPr>
          <w:trHeight w:val="22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protection of personal data or personal information, including the General Data</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w w:val="97"/>
              </w:rPr>
              <w:t>Protection Regulation (EU) 2016/679 (GDPR), the UK Data Protection Act 2018, the</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e-Privacy Directive (2002/58/EC) and the comparable in other jurisdictions and all</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guidance issued by any applicable data protection authority;</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1.18</w:t>
            </w:r>
          </w:p>
        </w:tc>
        <w:tc>
          <w:tcPr>
            <w:tcW w:w="2680" w:type="dxa"/>
            <w:vAlign w:val="bottom"/>
          </w:tcPr>
          <w:p>
            <w:pPr>
              <w:ind w:left="280"/>
              <w:spacing w:after="0"/>
              <w:rPr>
                <w:sz w:val="20"/>
                <w:szCs w:val="20"/>
                <w:color w:val="auto"/>
              </w:rPr>
            </w:pPr>
            <w:r>
              <w:rPr>
                <w:rFonts w:ascii="Arial" w:cs="Arial" w:eastAsia="Arial" w:hAnsi="Arial"/>
                <w:sz w:val="16"/>
                <w:szCs w:val="16"/>
                <w:b w:val="1"/>
                <w:bCs w:val="1"/>
                <w:color w:val="auto"/>
              </w:rPr>
              <w:t>Applicable Law</w:t>
            </w:r>
          </w:p>
        </w:tc>
        <w:tc>
          <w:tcPr>
            <w:tcW w:w="5880" w:type="dxa"/>
            <w:vAlign w:val="bottom"/>
          </w:tcPr>
          <w:p>
            <w:pPr>
              <w:ind w:left="80"/>
              <w:spacing w:after="0"/>
              <w:rPr>
                <w:sz w:val="20"/>
                <w:szCs w:val="20"/>
                <w:color w:val="auto"/>
              </w:rPr>
            </w:pPr>
            <w:r>
              <w:rPr>
                <w:rFonts w:ascii="Arial" w:cs="Arial" w:eastAsia="Arial" w:hAnsi="Arial"/>
                <w:sz w:val="16"/>
                <w:szCs w:val="16"/>
                <w:color w:val="auto"/>
                <w:w w:val="98"/>
              </w:rPr>
              <w:t>means any law, statute, rule, regulation, order, judgment, ordinance or guidance of</w:t>
            </w:r>
          </w:p>
        </w:tc>
      </w:tr>
      <w:tr>
        <w:trPr>
          <w:trHeight w:val="22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any Governmental Authority, including all applicable GxPs, Anti-Corruption Laws,</w:t>
            </w:r>
          </w:p>
        </w:tc>
      </w:tr>
      <w:tr>
        <w:trPr>
          <w:trHeight w:val="228"/>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80" w:type="dxa"/>
            <w:vAlign w:val="bottom"/>
          </w:tcPr>
          <w:p>
            <w:pPr>
              <w:ind w:left="80"/>
              <w:spacing w:after="0"/>
              <w:rPr>
                <w:sz w:val="20"/>
                <w:szCs w:val="20"/>
                <w:color w:val="auto"/>
              </w:rPr>
            </w:pPr>
            <w:r>
              <w:rPr>
                <w:rFonts w:ascii="Arial" w:cs="Arial" w:eastAsia="Arial" w:hAnsi="Arial"/>
                <w:sz w:val="16"/>
                <w:szCs w:val="16"/>
                <w:color w:val="auto"/>
              </w:rPr>
              <w:t>Applicable Data Protection Laws, accounting and recordkeeping laws, and laws</w:t>
            </w:r>
          </w:p>
        </w:tc>
      </w:tr>
    </w:tbl>
    <w:p>
      <w:pPr>
        <w:spacing w:after="0" w:line="23" w:lineRule="exact"/>
        <w:rPr>
          <w:sz w:val="20"/>
          <w:szCs w:val="20"/>
          <w:color w:val="auto"/>
        </w:rPr>
      </w:pPr>
    </w:p>
    <w:p>
      <w:pPr>
        <w:jc w:val="both"/>
        <w:ind w:left="3340" w:right="60"/>
        <w:spacing w:after="0" w:line="303" w:lineRule="auto"/>
        <w:rPr>
          <w:sz w:val="20"/>
          <w:szCs w:val="20"/>
          <w:color w:val="auto"/>
        </w:rPr>
      </w:pPr>
      <w:r>
        <w:rPr>
          <w:rFonts w:ascii="Arial" w:cs="Arial" w:eastAsia="Arial" w:hAnsi="Arial"/>
          <w:sz w:val="16"/>
          <w:szCs w:val="16"/>
          <w:color w:val="auto"/>
        </w:rPr>
        <w:t>relating to interactions with healthcare professionals and Government Officials. For the avoidance of doubt, any specific references to any Applicable Law or any portion thereof shall be deemed to include all then-current amendments thereto or any replacement or successor law, statute, standard, ordinance, code, rule, regulation, resolution, promulgation, order, writ, judgment, injunction, decree, stipulation, ruling, guidance or determination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9200"/>
          </w:cols>
          <w:pgMar w:left="1260" w:top="1440" w:right="1440" w:bottom="1440" w:gutter="0" w:footer="0" w:header="0"/>
        </w:sectPr>
      </w:pPr>
    </w:p>
    <w:bookmarkStart w:id="774" w:name="page775"/>
    <w:bookmarkEnd w:id="77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1.19</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Audited Party</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Section 8.12(a) (Books and Records);</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1.20</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Auditing Party</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Section 8.12(a) (Books and Records);</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1.21</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Auditor</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Section 8.12(a) (Books and Records);</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1.22</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Bankrupt Party</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Section 13.2(d) (Termination for Bankruptcy);</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1.23</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Bankruptcy Code</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Section 14.15 (Rights in Bankruptcy);</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1.24</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BioNTech</w:t>
            </w:r>
          </w:p>
        </w:tc>
        <w:tc>
          <w:tcPr>
            <w:tcW w:w="5880" w:type="dxa"/>
            <w:vAlign w:val="bottom"/>
          </w:tcPr>
          <w:p>
            <w:pPr>
              <w:ind w:left="180"/>
              <w:spacing w:after="0"/>
              <w:rPr>
                <w:sz w:val="20"/>
                <w:szCs w:val="20"/>
                <w:color w:val="auto"/>
              </w:rPr>
            </w:pPr>
            <w:r>
              <w:rPr>
                <w:rFonts w:ascii="Arial" w:cs="Arial" w:eastAsia="Arial" w:hAnsi="Arial"/>
                <w:sz w:val="16"/>
                <w:szCs w:val="16"/>
                <w:color w:val="auto"/>
              </w:rPr>
              <w:t>has the meaning set forth in the Preamble;</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1.25</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BioNTech Background IP</w:t>
            </w:r>
          </w:p>
        </w:tc>
        <w:tc>
          <w:tcPr>
            <w:tcW w:w="5880" w:type="dxa"/>
            <w:vAlign w:val="bottom"/>
          </w:tcPr>
          <w:p>
            <w:pPr>
              <w:ind w:left="180"/>
              <w:spacing w:after="0"/>
              <w:rPr>
                <w:sz w:val="20"/>
                <w:szCs w:val="20"/>
                <w:color w:val="auto"/>
              </w:rPr>
            </w:pPr>
            <w:r>
              <w:rPr>
                <w:rFonts w:ascii="Arial" w:cs="Arial" w:eastAsia="Arial" w:hAnsi="Arial"/>
                <w:sz w:val="16"/>
                <w:szCs w:val="16"/>
                <w:color w:val="auto"/>
                <w:w w:val="99"/>
              </w:rPr>
              <w:t>means  BioNTech  Background  Know-How  and  BioNTech  Background  Patent</w:t>
            </w:r>
          </w:p>
        </w:tc>
      </w:tr>
      <w:tr>
        <w:trPr>
          <w:trHeight w:val="220"/>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Rights;</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1.26</w:t>
            </w:r>
          </w:p>
        </w:tc>
        <w:tc>
          <w:tcPr>
            <w:tcW w:w="8540" w:type="dxa"/>
            <w:vAlign w:val="bottom"/>
            <w:gridSpan w:val="2"/>
          </w:tcPr>
          <w:p>
            <w:pPr>
              <w:ind w:left="280"/>
              <w:spacing w:after="0"/>
              <w:rPr>
                <w:sz w:val="20"/>
                <w:szCs w:val="20"/>
                <w:color w:val="auto"/>
              </w:rPr>
            </w:pPr>
            <w:r>
              <w:rPr>
                <w:rFonts w:ascii="Arial" w:cs="Arial" w:eastAsia="Arial" w:hAnsi="Arial"/>
                <w:sz w:val="16"/>
                <w:szCs w:val="16"/>
                <w:b w:val="1"/>
                <w:bCs w:val="1"/>
                <w:color w:val="auto"/>
                <w:w w:val="98"/>
              </w:rPr>
              <w:t xml:space="preserve">BioNTech Background Know-How </w:t>
            </w:r>
            <w:r>
              <w:rPr>
                <w:rFonts w:ascii="Arial" w:cs="Arial" w:eastAsia="Arial" w:hAnsi="Arial"/>
                <w:sz w:val="16"/>
                <w:szCs w:val="16"/>
                <w:color w:val="auto"/>
                <w:w w:val="98"/>
              </w:rPr>
              <w:t>means the Know-How that is Controlled by BioNTech or its Affiliates (a) as of the</w:t>
            </w:r>
          </w:p>
        </w:tc>
      </w:tr>
      <w:tr>
        <w:trPr>
          <w:trHeight w:val="220"/>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w w:val="99"/>
              </w:rPr>
              <w:t>Effective Date or (b) during the Term other than pursuant to Section 3.1 (License</w:t>
            </w:r>
          </w:p>
        </w:tc>
      </w:tr>
      <w:tr>
        <w:trPr>
          <w:trHeight w:val="228"/>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w w:val="98"/>
              </w:rPr>
              <w:t>Grants to BioNTech) of this Agreement that, in each case (a) and (b) is necessary</w:t>
            </w:r>
          </w:p>
        </w:tc>
      </w:tr>
      <w:tr>
        <w:trPr>
          <w:trHeight w:val="228"/>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or useful for the Development of the applicable Licensed Products in the Field in</w:t>
            </w:r>
          </w:p>
        </w:tc>
      </w:tr>
      <w:tr>
        <w:trPr>
          <w:trHeight w:val="228"/>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the Territory in accordance with the Global CDP and Joint CDP. A description of</w:t>
            </w:r>
          </w:p>
        </w:tc>
      </w:tr>
      <w:tr>
        <w:trPr>
          <w:trHeight w:val="228"/>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w w:val="98"/>
              </w:rPr>
              <w:t>BioNTech Background Know-How as of the Execution Date is set out in Schedule</w:t>
            </w:r>
          </w:p>
        </w:tc>
      </w:tr>
      <w:tr>
        <w:trPr>
          <w:trHeight w:val="228"/>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w w:val="98"/>
              </w:rPr>
              <w:t>5 and such Schedule may be updated by agreement of the JSC from time to time;</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1.27</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BioNTech Background Patent</w:t>
            </w:r>
          </w:p>
        </w:tc>
        <w:tc>
          <w:tcPr>
            <w:tcW w:w="5880" w:type="dxa"/>
            <w:vAlign w:val="bottom"/>
          </w:tcPr>
          <w:p>
            <w:pPr>
              <w:ind w:left="180"/>
              <w:spacing w:after="0"/>
              <w:rPr>
                <w:sz w:val="20"/>
                <w:szCs w:val="20"/>
                <w:color w:val="auto"/>
              </w:rPr>
            </w:pPr>
            <w:r>
              <w:rPr>
                <w:rFonts w:ascii="Arial" w:cs="Arial" w:eastAsia="Arial" w:hAnsi="Arial"/>
                <w:sz w:val="16"/>
                <w:szCs w:val="16"/>
                <w:color w:val="auto"/>
                <w:w w:val="97"/>
              </w:rPr>
              <w:t>means the Patent Rights Controlled by BioNTech or its Affiliates as of the Effective</w:t>
            </w:r>
          </w:p>
        </w:tc>
      </w:tr>
      <w:tr>
        <w:trPr>
          <w:trHeight w:val="240"/>
        </w:trPr>
        <w:tc>
          <w:tcPr>
            <w:tcW w:w="5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880" w:type="dxa"/>
            <w:vAlign w:val="bottom"/>
          </w:tcPr>
          <w:p>
            <w:pPr>
              <w:ind w:left="180"/>
              <w:spacing w:after="0"/>
              <w:rPr>
                <w:sz w:val="20"/>
                <w:szCs w:val="20"/>
                <w:color w:val="auto"/>
              </w:rPr>
            </w:pPr>
            <w:r>
              <w:rPr>
                <w:rFonts w:ascii="Arial" w:cs="Arial" w:eastAsia="Arial" w:hAnsi="Arial"/>
                <w:sz w:val="16"/>
                <w:szCs w:val="16"/>
                <w:color w:val="auto"/>
              </w:rPr>
              <w:t>Date or during the Term that claim or Cover any BioNTech Background Know-</w:t>
            </w:r>
          </w:p>
        </w:tc>
      </w:tr>
      <w:tr>
        <w:trPr>
          <w:trHeight w:val="208"/>
        </w:trPr>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6"/>
                <w:szCs w:val="16"/>
                <w:color w:val="auto"/>
              </w:rPr>
              <w:t>How;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9200"/>
          </w:cols>
          <w:pgMar w:left="1260" w:top="1440" w:right="1440" w:bottom="1440" w:gutter="0" w:footer="0" w:header="0"/>
        </w:sectPr>
      </w:pPr>
    </w:p>
    <w:bookmarkStart w:id="775" w:name="page776"/>
    <w:bookmarkEnd w:id="77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1.28</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Competing Products</w:t>
            </w:r>
          </w:p>
        </w:tc>
        <w:tc>
          <w:tcPr>
            <w:tcW w:w="5800" w:type="dxa"/>
            <w:vAlign w:val="bottom"/>
          </w:tcPr>
          <w:p>
            <w:pPr>
              <w:ind w:left="6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1.29</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Competitor</w:t>
            </w:r>
          </w:p>
        </w:tc>
        <w:tc>
          <w:tcPr>
            <w:tcW w:w="5800" w:type="dxa"/>
            <w:vAlign w:val="bottom"/>
          </w:tcPr>
          <w:p>
            <w:pPr>
              <w:ind w:left="60"/>
              <w:spacing w:after="0"/>
              <w:rPr>
                <w:sz w:val="20"/>
                <w:szCs w:val="20"/>
                <w:color w:val="auto"/>
              </w:rPr>
            </w:pPr>
            <w:r>
              <w:rPr>
                <w:rFonts w:ascii="Arial" w:cs="Arial" w:eastAsia="Arial" w:hAnsi="Arial"/>
                <w:sz w:val="16"/>
                <w:szCs w:val="16"/>
                <w:color w:val="auto"/>
                <w:w w:val="98"/>
              </w:rPr>
              <w:t>means the Persons listed in Schedule 7 as such list may be updated by BioNTech</w:t>
            </w:r>
          </w:p>
        </w:tc>
      </w:tr>
      <w:tr>
        <w:trPr>
          <w:trHeight w:val="220"/>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from time to time;</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1.30</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Retained Territory</w:t>
            </w:r>
          </w:p>
        </w:tc>
        <w:tc>
          <w:tcPr>
            <w:tcW w:w="5800" w:type="dxa"/>
            <w:vAlign w:val="bottom"/>
          </w:tcPr>
          <w:p>
            <w:pPr>
              <w:ind w:left="60"/>
              <w:spacing w:after="0"/>
              <w:rPr>
                <w:sz w:val="20"/>
                <w:szCs w:val="20"/>
                <w:color w:val="auto"/>
              </w:rPr>
            </w:pPr>
            <w:r>
              <w:rPr>
                <w:rFonts w:ascii="Arial" w:cs="Arial" w:eastAsia="Arial" w:hAnsi="Arial"/>
                <w:sz w:val="16"/>
                <w:szCs w:val="16"/>
                <w:color w:val="auto"/>
              </w:rPr>
              <w:t>means [***];</w:t>
            </w:r>
          </w:p>
        </w:tc>
      </w:tr>
      <w:tr>
        <w:trPr>
          <w:trHeight w:val="240"/>
        </w:trPr>
        <w:tc>
          <w:tcPr>
            <w:tcW w:w="580" w:type="dxa"/>
            <w:vAlign w:val="bottom"/>
          </w:tcPr>
          <w:p>
            <w:pPr>
              <w:spacing w:after="0"/>
              <w:rPr>
                <w:sz w:val="20"/>
                <w:szCs w:val="20"/>
                <w:color w:val="auto"/>
              </w:rPr>
            </w:pP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Competitor</w:t>
            </w:r>
          </w:p>
        </w:tc>
        <w:tc>
          <w:tcPr>
            <w:tcW w:w="5800" w:type="dxa"/>
            <w:vAlign w:val="bottom"/>
          </w:tcPr>
          <w:p>
            <w:pPr>
              <w:spacing w:after="0"/>
              <w:rPr>
                <w:sz w:val="20"/>
                <w:szCs w:val="20"/>
                <w:color w:val="auto"/>
              </w:rPr>
            </w:pP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1.31</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Foreground IP</w:t>
            </w:r>
          </w:p>
        </w:tc>
        <w:tc>
          <w:tcPr>
            <w:tcW w:w="5800" w:type="dxa"/>
            <w:vAlign w:val="bottom"/>
          </w:tcPr>
          <w:p>
            <w:pPr>
              <w:ind w:left="60"/>
              <w:spacing w:after="0"/>
              <w:rPr>
                <w:sz w:val="20"/>
                <w:szCs w:val="20"/>
                <w:color w:val="auto"/>
              </w:rPr>
            </w:pPr>
            <w:r>
              <w:rPr>
                <w:rFonts w:ascii="Arial" w:cs="Arial" w:eastAsia="Arial" w:hAnsi="Arial"/>
                <w:sz w:val="16"/>
                <w:szCs w:val="16"/>
                <w:color w:val="auto"/>
              </w:rPr>
              <w:t>means the BioNTech Foreground Know-How and BioNTech Foreground Patent</w:t>
            </w:r>
          </w:p>
        </w:tc>
      </w:tr>
      <w:tr>
        <w:trPr>
          <w:trHeight w:val="220"/>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Rights;</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1.32</w:t>
            </w:r>
          </w:p>
        </w:tc>
        <w:tc>
          <w:tcPr>
            <w:tcW w:w="856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BioNTech Foreground Know-How </w:t>
            </w: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1.33</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Foreground Patent</w:t>
            </w:r>
          </w:p>
        </w:tc>
        <w:tc>
          <w:tcPr>
            <w:tcW w:w="5800" w:type="dxa"/>
            <w:vAlign w:val="bottom"/>
          </w:tcPr>
          <w:p>
            <w:pPr>
              <w:ind w:left="60"/>
              <w:spacing w:after="0"/>
              <w:rPr>
                <w:sz w:val="20"/>
                <w:szCs w:val="20"/>
                <w:color w:val="auto"/>
              </w:rPr>
            </w:pPr>
            <w:r>
              <w:rPr>
                <w:rFonts w:ascii="Arial" w:cs="Arial" w:eastAsia="Arial" w:hAnsi="Arial"/>
                <w:sz w:val="16"/>
                <w:szCs w:val="16"/>
                <w:color w:val="auto"/>
                <w:w w:val="98"/>
              </w:rPr>
              <w:t>means any and all Patent Rights that claim or Cover BioNTech Foreground Know-</w:t>
            </w:r>
          </w:p>
        </w:tc>
      </w:tr>
      <w:tr>
        <w:trPr>
          <w:trHeight w:val="240"/>
        </w:trPr>
        <w:tc>
          <w:tcPr>
            <w:tcW w:w="580" w:type="dxa"/>
            <w:vAlign w:val="bottom"/>
          </w:tcPr>
          <w:p>
            <w:pPr>
              <w:spacing w:after="0"/>
              <w:rPr>
                <w:sz w:val="20"/>
                <w:szCs w:val="20"/>
                <w:color w:val="auto"/>
              </w:rPr>
            </w:pP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800" w:type="dxa"/>
            <w:vAlign w:val="bottom"/>
          </w:tcPr>
          <w:p>
            <w:pPr>
              <w:ind w:left="60"/>
              <w:spacing w:after="0"/>
              <w:rPr>
                <w:sz w:val="20"/>
                <w:szCs w:val="20"/>
                <w:color w:val="auto"/>
              </w:rPr>
            </w:pPr>
            <w:r>
              <w:rPr>
                <w:rFonts w:ascii="Arial" w:cs="Arial" w:eastAsia="Arial" w:hAnsi="Arial"/>
                <w:sz w:val="16"/>
                <w:szCs w:val="16"/>
                <w:color w:val="auto"/>
              </w:rPr>
              <w:t>How;</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1.34</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 Indemnitees</w:t>
            </w:r>
          </w:p>
        </w:tc>
        <w:tc>
          <w:tcPr>
            <w:tcW w:w="5800" w:type="dxa"/>
            <w:vAlign w:val="bottom"/>
          </w:tcPr>
          <w:p>
            <w:pPr>
              <w:ind w:left="60"/>
              <w:spacing w:after="0"/>
              <w:rPr>
                <w:sz w:val="20"/>
                <w:szCs w:val="20"/>
                <w:color w:val="auto"/>
              </w:rPr>
            </w:pPr>
            <w:r>
              <w:rPr>
                <w:rFonts w:ascii="Arial" w:cs="Arial" w:eastAsia="Arial" w:hAnsi="Arial"/>
                <w:sz w:val="16"/>
                <w:szCs w:val="16"/>
                <w:color w:val="auto"/>
              </w:rPr>
              <w:t>has  the  meaning  set  forth  in  Section  12.2  (Indemnification  of  BioNTech  by</w:t>
            </w:r>
          </w:p>
        </w:tc>
      </w:tr>
      <w:tr>
        <w:trPr>
          <w:trHeight w:val="220"/>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Biotheus);</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1.35</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w w:val="98"/>
              </w:rPr>
              <w:t>BioNTech Multispecific Antibody</w:t>
            </w:r>
          </w:p>
        </w:tc>
        <w:tc>
          <w:tcPr>
            <w:tcW w:w="5800" w:type="dxa"/>
            <w:vAlign w:val="bottom"/>
          </w:tcPr>
          <w:p>
            <w:pPr>
              <w:ind w:left="60"/>
              <w:spacing w:after="0"/>
              <w:rPr>
                <w:sz w:val="20"/>
                <w:szCs w:val="20"/>
                <w:color w:val="auto"/>
              </w:rPr>
            </w:pPr>
            <w:r>
              <w:rPr>
                <w:rFonts w:ascii="Arial" w:cs="Arial" w:eastAsia="Arial" w:hAnsi="Arial"/>
                <w:sz w:val="16"/>
                <w:szCs w:val="16"/>
                <w:color w:val="auto"/>
              </w:rPr>
              <w:t>means a Licensed Product that is a Multispecific Antibody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1.36</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BioNTech-Prosecuted Patent</w:t>
            </w:r>
          </w:p>
        </w:tc>
        <w:tc>
          <w:tcPr>
            <w:tcW w:w="5800" w:type="dxa"/>
            <w:vAlign w:val="bottom"/>
          </w:tcPr>
          <w:p>
            <w:pPr>
              <w:ind w:left="60"/>
              <w:spacing w:after="0"/>
              <w:rPr>
                <w:sz w:val="20"/>
                <w:szCs w:val="20"/>
                <w:color w:val="auto"/>
              </w:rPr>
            </w:pPr>
            <w:r>
              <w:rPr>
                <w:rFonts w:ascii="Arial" w:cs="Arial" w:eastAsia="Arial" w:hAnsi="Arial"/>
                <w:sz w:val="16"/>
                <w:szCs w:val="16"/>
                <w:color w:val="auto"/>
                <w:w w:val="98"/>
              </w:rPr>
              <w:t>has the meaning set forth in Section 9.2(d) (BioNTech-Prosecuted Patent Rights);</w:t>
            </w:r>
          </w:p>
        </w:tc>
      </w:tr>
      <w:tr>
        <w:trPr>
          <w:trHeight w:val="240"/>
        </w:trPr>
        <w:tc>
          <w:tcPr>
            <w:tcW w:w="580" w:type="dxa"/>
            <w:vAlign w:val="bottom"/>
          </w:tcPr>
          <w:p>
            <w:pPr>
              <w:spacing w:after="0"/>
              <w:rPr>
                <w:sz w:val="20"/>
                <w:szCs w:val="20"/>
                <w:color w:val="auto"/>
              </w:rPr>
            </w:pP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800" w:type="dxa"/>
            <w:vAlign w:val="bottom"/>
          </w:tcPr>
          <w:p>
            <w:pPr>
              <w:spacing w:after="0"/>
              <w:rPr>
                <w:sz w:val="20"/>
                <w:szCs w:val="20"/>
                <w:color w:val="auto"/>
              </w:rPr>
            </w:pP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1.37</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Biosimilar Product</w:t>
            </w:r>
          </w:p>
        </w:tc>
        <w:tc>
          <w:tcPr>
            <w:tcW w:w="5800" w:type="dxa"/>
            <w:vAlign w:val="bottom"/>
          </w:tcPr>
          <w:p>
            <w:pPr>
              <w:ind w:left="6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1.38</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Biotheus</w:t>
            </w:r>
          </w:p>
        </w:tc>
        <w:tc>
          <w:tcPr>
            <w:tcW w:w="5800" w:type="dxa"/>
            <w:vAlign w:val="bottom"/>
          </w:tcPr>
          <w:p>
            <w:pPr>
              <w:ind w:left="60"/>
              <w:spacing w:after="0"/>
              <w:rPr>
                <w:sz w:val="20"/>
                <w:szCs w:val="20"/>
                <w:color w:val="auto"/>
              </w:rPr>
            </w:pPr>
            <w:r>
              <w:rPr>
                <w:rFonts w:ascii="Arial" w:cs="Arial" w:eastAsia="Arial" w:hAnsi="Arial"/>
                <w:sz w:val="16"/>
                <w:szCs w:val="16"/>
                <w:color w:val="auto"/>
              </w:rPr>
              <w:t>has the meaning set forth in the Preamble;</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1.39</w:t>
            </w:r>
          </w:p>
        </w:tc>
        <w:tc>
          <w:tcPr>
            <w:tcW w:w="2760" w:type="dxa"/>
            <w:vAlign w:val="bottom"/>
          </w:tcPr>
          <w:p>
            <w:pPr>
              <w:ind w:left="280"/>
              <w:spacing w:after="0"/>
              <w:rPr>
                <w:sz w:val="20"/>
                <w:szCs w:val="20"/>
                <w:color w:val="auto"/>
              </w:rPr>
            </w:pPr>
            <w:r>
              <w:rPr>
                <w:rFonts w:ascii="Arial" w:cs="Arial" w:eastAsia="Arial" w:hAnsi="Arial"/>
                <w:sz w:val="16"/>
                <w:szCs w:val="16"/>
                <w:b w:val="1"/>
                <w:bCs w:val="1"/>
                <w:color w:val="auto"/>
              </w:rPr>
              <w:t>Biotheus Background IP</w:t>
            </w:r>
          </w:p>
        </w:tc>
        <w:tc>
          <w:tcPr>
            <w:tcW w:w="5800" w:type="dxa"/>
            <w:vAlign w:val="bottom"/>
          </w:tcPr>
          <w:p>
            <w:pPr>
              <w:ind w:left="60"/>
              <w:spacing w:after="0"/>
              <w:rPr>
                <w:sz w:val="20"/>
                <w:szCs w:val="20"/>
                <w:color w:val="auto"/>
              </w:rPr>
            </w:pPr>
            <w:r>
              <w:rPr>
                <w:rFonts w:ascii="Arial" w:cs="Arial" w:eastAsia="Arial" w:hAnsi="Arial"/>
                <w:sz w:val="16"/>
                <w:szCs w:val="16"/>
                <w:color w:val="auto"/>
                <w:w w:val="99"/>
              </w:rPr>
              <w:t>means the Patent Rights and Know-How relating to Biotheus' proprietary platform</w:t>
            </w:r>
          </w:p>
        </w:tc>
      </w:tr>
      <w:tr>
        <w:trPr>
          <w:trHeight w:val="220"/>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technology and set out or described in Schedule 6. Such Schedule may be</w:t>
            </w:r>
          </w:p>
        </w:tc>
      </w:tr>
      <w:tr>
        <w:trPr>
          <w:trHeight w:val="228"/>
        </w:trPr>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0" w:type="dxa"/>
            <w:vAlign w:val="bottom"/>
          </w:tcPr>
          <w:p>
            <w:pPr>
              <w:ind w:left="60"/>
              <w:spacing w:after="0"/>
              <w:rPr>
                <w:sz w:val="20"/>
                <w:szCs w:val="20"/>
                <w:color w:val="auto"/>
              </w:rPr>
            </w:pPr>
            <w:r>
              <w:rPr>
                <w:rFonts w:ascii="Arial" w:cs="Arial" w:eastAsia="Arial" w:hAnsi="Arial"/>
                <w:sz w:val="16"/>
                <w:szCs w:val="16"/>
                <w:color w:val="auto"/>
              </w:rPr>
              <w:t>updated by agreement of the Joint IP Committee from time to time;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40" w:orient="portrait"/>
          <w:cols w:equalWidth="0" w:num="1">
            <w:col w:w="9200"/>
          </w:cols>
          <w:pgMar w:left="1260" w:top="1440" w:right="1440" w:bottom="1440" w:gutter="0" w:footer="0" w:header="0"/>
        </w:sectPr>
      </w:pPr>
    </w:p>
    <w:bookmarkStart w:id="776" w:name="page777"/>
    <w:bookmarkEnd w:id="77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1.40</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Foreground IP</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the Biotheus Foreground Know-How and Biotheus Foreground Patent</w:t>
            </w:r>
          </w:p>
        </w:tc>
      </w:tr>
      <w:tr>
        <w:trPr>
          <w:trHeight w:val="220"/>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6"/>
                <w:szCs w:val="16"/>
                <w:color w:val="auto"/>
              </w:rPr>
              <w:t>Rights;</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1.41</w:t>
            </w:r>
          </w:p>
        </w:tc>
        <w:tc>
          <w:tcPr>
            <w:tcW w:w="856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Biotheus Foreground Know-How </w:t>
            </w: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1.42</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Foreground Patent</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any and all Patent Rights that claim or Cover Biotheus Foreground Know-</w:t>
            </w:r>
          </w:p>
        </w:tc>
      </w:tr>
      <w:tr>
        <w:trPr>
          <w:trHeight w:val="240"/>
        </w:trPr>
        <w:tc>
          <w:tcPr>
            <w:tcW w:w="5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900" w:type="dxa"/>
            <w:vAlign w:val="bottom"/>
          </w:tcPr>
          <w:p>
            <w:pPr>
              <w:ind w:left="140"/>
              <w:spacing w:after="0"/>
              <w:rPr>
                <w:sz w:val="20"/>
                <w:szCs w:val="20"/>
                <w:color w:val="auto"/>
              </w:rPr>
            </w:pPr>
            <w:r>
              <w:rPr>
                <w:rFonts w:ascii="Arial" w:cs="Arial" w:eastAsia="Arial" w:hAnsi="Arial"/>
                <w:sz w:val="16"/>
                <w:szCs w:val="16"/>
                <w:color w:val="auto"/>
              </w:rPr>
              <w:t>How;</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1.43</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Indemnitees</w:t>
            </w:r>
          </w:p>
        </w:tc>
        <w:tc>
          <w:tcPr>
            <w:tcW w:w="5900" w:type="dxa"/>
            <w:vAlign w:val="bottom"/>
          </w:tcPr>
          <w:p>
            <w:pPr>
              <w:ind w:left="140"/>
              <w:spacing w:after="0"/>
              <w:rPr>
                <w:sz w:val="20"/>
                <w:szCs w:val="20"/>
                <w:color w:val="auto"/>
              </w:rPr>
            </w:pPr>
            <w:r>
              <w:rPr>
                <w:rFonts w:ascii="Arial" w:cs="Arial" w:eastAsia="Arial" w:hAnsi="Arial"/>
                <w:sz w:val="16"/>
                <w:szCs w:val="16"/>
                <w:color w:val="auto"/>
              </w:rPr>
              <w:t>has  the  meaning  set  forth  in  Section  12.1  (Indemnification  of  Biotheus  by</w:t>
            </w:r>
          </w:p>
        </w:tc>
      </w:tr>
      <w:tr>
        <w:trPr>
          <w:trHeight w:val="220"/>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6"/>
                <w:szCs w:val="16"/>
                <w:color w:val="auto"/>
              </w:rPr>
              <w:t>BioNTech);</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1.44</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In-Licenses</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any agreement between Biotheus and a Third Party pursuant to which</w:t>
            </w:r>
          </w:p>
        </w:tc>
      </w:tr>
      <w:tr>
        <w:trPr>
          <w:trHeight w:val="220"/>
        </w:trPr>
        <w:tc>
          <w:tcPr>
            <w:tcW w:w="5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6"/>
                <w:szCs w:val="16"/>
                <w:color w:val="auto"/>
              </w:rPr>
              <w:t>Biotheus or its Affiliates Controls the Licensed IP, as set forth in Schedule 8A;</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1.45</w:t>
            </w:r>
          </w:p>
        </w:tc>
        <w:tc>
          <w:tcPr>
            <w:tcW w:w="856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Biotheus Platform Foreground IP </w:t>
            </w: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1.46</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Platform Foreground</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w:t>
            </w:r>
          </w:p>
        </w:tc>
      </w:tr>
      <w:tr>
        <w:trPr>
          <w:trHeight w:val="240"/>
        </w:trPr>
        <w:tc>
          <w:tcPr>
            <w:tcW w:w="5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Know-How</w:t>
            </w:r>
          </w:p>
        </w:tc>
        <w:tc>
          <w:tcPr>
            <w:tcW w:w="5900" w:type="dxa"/>
            <w:vAlign w:val="bottom"/>
          </w:tcPr>
          <w:p>
            <w:pPr>
              <w:spacing w:after="0"/>
              <w:rPr>
                <w:sz w:val="20"/>
                <w:szCs w:val="20"/>
                <w:color w:val="auto"/>
              </w:rPr>
            </w:pP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1.47</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 Foreground Patent</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any and all Patent Rights that claim or Cover Biotheus Foreground Know-</w:t>
            </w:r>
          </w:p>
        </w:tc>
      </w:tr>
      <w:tr>
        <w:trPr>
          <w:trHeight w:val="240"/>
        </w:trPr>
        <w:tc>
          <w:tcPr>
            <w:tcW w:w="5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900" w:type="dxa"/>
            <w:vAlign w:val="bottom"/>
          </w:tcPr>
          <w:p>
            <w:pPr>
              <w:ind w:left="140"/>
              <w:spacing w:after="0"/>
              <w:rPr>
                <w:sz w:val="20"/>
                <w:szCs w:val="20"/>
                <w:color w:val="auto"/>
              </w:rPr>
            </w:pPr>
            <w:r>
              <w:rPr>
                <w:rFonts w:ascii="Arial" w:cs="Arial" w:eastAsia="Arial" w:hAnsi="Arial"/>
                <w:sz w:val="16"/>
                <w:szCs w:val="16"/>
                <w:color w:val="auto"/>
              </w:rPr>
              <w:t>How;</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1.48</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Biotheus-Prosecuted Patent</w:t>
            </w:r>
          </w:p>
        </w:tc>
        <w:tc>
          <w:tcPr>
            <w:tcW w:w="5900" w:type="dxa"/>
            <w:vAlign w:val="bottom"/>
          </w:tcPr>
          <w:p>
            <w:pPr>
              <w:ind w:left="140"/>
              <w:spacing w:after="0"/>
              <w:rPr>
                <w:sz w:val="20"/>
                <w:szCs w:val="20"/>
                <w:color w:val="auto"/>
              </w:rPr>
            </w:pPr>
            <w:r>
              <w:rPr>
                <w:rFonts w:ascii="Arial" w:cs="Arial" w:eastAsia="Arial" w:hAnsi="Arial"/>
                <w:sz w:val="16"/>
                <w:szCs w:val="16"/>
                <w:color w:val="auto"/>
              </w:rPr>
              <w:t>has the meaning set forth in Section 9.2(e) (Biotheus-Prosecuted Patent Rights);</w:t>
            </w:r>
          </w:p>
        </w:tc>
      </w:tr>
      <w:tr>
        <w:trPr>
          <w:trHeight w:val="240"/>
        </w:trPr>
        <w:tc>
          <w:tcPr>
            <w:tcW w:w="5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Rights</w:t>
            </w:r>
          </w:p>
        </w:tc>
        <w:tc>
          <w:tcPr>
            <w:tcW w:w="5900" w:type="dxa"/>
            <w:vAlign w:val="bottom"/>
          </w:tcPr>
          <w:p>
            <w:pPr>
              <w:spacing w:after="0"/>
              <w:rPr>
                <w:sz w:val="20"/>
                <w:szCs w:val="20"/>
                <w:color w:val="auto"/>
              </w:rPr>
            </w:pP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1.49</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5900" w:type="dxa"/>
            <w:vAlign w:val="bottom"/>
          </w:tcPr>
          <w:p>
            <w:pPr>
              <w:ind w:left="140"/>
              <w:spacing w:after="0"/>
              <w:rPr>
                <w:sz w:val="20"/>
                <w:szCs w:val="20"/>
                <w:color w:val="auto"/>
              </w:rPr>
            </w:pPr>
            <w:r>
              <w:rPr>
                <w:rFonts w:ascii="Arial" w:cs="Arial" w:eastAsia="Arial" w:hAnsi="Arial"/>
                <w:sz w:val="16"/>
                <w:szCs w:val="16"/>
                <w:color w:val="auto"/>
              </w:rPr>
              <w:t>[***]</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1.50</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Bispecific Antibody</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1.51</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Bispecific Licensed Product</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1.52</w:t>
            </w:r>
          </w:p>
        </w:tc>
        <w:tc>
          <w:tcPr>
            <w:tcW w:w="2660" w:type="dxa"/>
            <w:vAlign w:val="bottom"/>
          </w:tcPr>
          <w:p>
            <w:pPr>
              <w:ind w:left="280"/>
              <w:spacing w:after="0"/>
              <w:rPr>
                <w:sz w:val="20"/>
                <w:szCs w:val="20"/>
                <w:color w:val="auto"/>
              </w:rPr>
            </w:pPr>
            <w:r>
              <w:rPr>
                <w:rFonts w:ascii="Arial" w:cs="Arial" w:eastAsia="Arial" w:hAnsi="Arial"/>
                <w:sz w:val="16"/>
                <w:szCs w:val="16"/>
                <w:b w:val="1"/>
                <w:bCs w:val="1"/>
                <w:color w:val="auto"/>
              </w:rPr>
              <w:t>Bispecific Patent Right</w:t>
            </w:r>
          </w:p>
        </w:tc>
        <w:tc>
          <w:tcPr>
            <w:tcW w:w="5900" w:type="dxa"/>
            <w:vAlign w:val="bottom"/>
          </w:tcPr>
          <w:p>
            <w:pPr>
              <w:ind w:left="14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40" w:orient="portrait"/>
          <w:cols w:equalWidth="0" w:num="1">
            <w:col w:w="9200"/>
          </w:cols>
          <w:pgMar w:left="1260" w:top="1440" w:right="1440" w:bottom="1440" w:gutter="0" w:footer="0" w:header="0"/>
        </w:sectPr>
      </w:pPr>
    </w:p>
    <w:bookmarkStart w:id="777" w:name="page778"/>
    <w:bookmarkEnd w:id="77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1.53</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BLA</w:t>
            </w:r>
          </w:p>
        </w:tc>
        <w:tc>
          <w:tcPr>
            <w:tcW w:w="5980" w:type="dxa"/>
            <w:vAlign w:val="bottom"/>
          </w:tcPr>
          <w:p>
            <w:pPr>
              <w:ind w:left="320"/>
              <w:spacing w:after="0"/>
              <w:rPr>
                <w:sz w:val="20"/>
                <w:szCs w:val="20"/>
                <w:color w:val="auto"/>
              </w:rPr>
            </w:pPr>
            <w:r>
              <w:rPr>
                <w:rFonts w:ascii="Arial" w:cs="Arial" w:eastAsia="Arial" w:hAnsi="Arial"/>
                <w:sz w:val="16"/>
                <w:szCs w:val="16"/>
                <w:color w:val="auto"/>
              </w:rPr>
              <w:t>means an application filed with the FDA or applicable Regulatory Authorities</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outside the United States for approval to commercially market, import and sell a</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biological product;</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1.54</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Breakthrough Designation</w:t>
            </w:r>
          </w:p>
        </w:tc>
        <w:tc>
          <w:tcPr>
            <w:tcW w:w="5980" w:type="dxa"/>
            <w:vAlign w:val="bottom"/>
          </w:tcPr>
          <w:p>
            <w:pPr>
              <w:ind w:left="320"/>
              <w:spacing w:after="0"/>
              <w:rPr>
                <w:sz w:val="20"/>
                <w:szCs w:val="20"/>
                <w:color w:val="auto"/>
              </w:rPr>
            </w:pPr>
            <w:r>
              <w:rPr>
                <w:rFonts w:ascii="Arial" w:cs="Arial" w:eastAsia="Arial" w:hAnsi="Arial"/>
                <w:sz w:val="16"/>
                <w:szCs w:val="16"/>
                <w:color w:val="auto"/>
              </w:rPr>
              <w:t>means a drug as defined by FDASIA Section 902 that: (a) intended alone or in</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combination with one or more other drugs to treat a serious or life threatening</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disease or condition and (b) preliminary clinical evidence indicates that the drug</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w w:val="97"/>
              </w:rPr>
              <w:t>may demonstrate substantial improvement over existing therapies on one or more</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clinically significant endpoints, such as substantial treatment effects observed</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early in clinical development;</w:t>
            </w:r>
          </w:p>
        </w:tc>
      </w:tr>
      <w:tr>
        <w:trPr>
          <w:trHeight w:val="284"/>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1.55</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Business Day</w:t>
            </w:r>
          </w:p>
        </w:tc>
        <w:tc>
          <w:tcPr>
            <w:tcW w:w="5980" w:type="dxa"/>
            <w:vAlign w:val="bottom"/>
          </w:tcPr>
          <w:p>
            <w:pPr>
              <w:ind w:left="320"/>
              <w:spacing w:after="0"/>
              <w:rPr>
                <w:sz w:val="20"/>
                <w:szCs w:val="20"/>
                <w:color w:val="auto"/>
              </w:rPr>
            </w:pPr>
            <w:r>
              <w:rPr>
                <w:rFonts w:ascii="Arial" w:cs="Arial" w:eastAsia="Arial" w:hAnsi="Arial"/>
                <w:sz w:val="16"/>
                <w:szCs w:val="16"/>
                <w:color w:val="auto"/>
              </w:rPr>
              <w:t>means a day that is not a Saturday, Sunday, or a day on which banking</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w w:val="99"/>
              </w:rPr>
              <w:t>institutions in Mainz, Germany, Hong Kong, and Zhuhai, China are authorized or</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required by Applicable Law to remain closed;</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1.56</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Calendar Quarter</w:t>
            </w:r>
          </w:p>
        </w:tc>
        <w:tc>
          <w:tcPr>
            <w:tcW w:w="5980" w:type="dxa"/>
            <w:vAlign w:val="bottom"/>
          </w:tcPr>
          <w:p>
            <w:pPr>
              <w:ind w:left="320"/>
              <w:spacing w:after="0"/>
              <w:rPr>
                <w:sz w:val="20"/>
                <w:szCs w:val="20"/>
                <w:color w:val="auto"/>
              </w:rPr>
            </w:pPr>
            <w:r>
              <w:rPr>
                <w:rFonts w:ascii="Arial" w:cs="Arial" w:eastAsia="Arial" w:hAnsi="Arial"/>
                <w:sz w:val="16"/>
                <w:szCs w:val="16"/>
                <w:color w:val="auto"/>
              </w:rPr>
              <w:t>means each period of three consecutive calendar months ending on March 31,</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w w:val="97"/>
              </w:rPr>
              <w:t>June 30, September 30, or December 31, except that the first Calendar Quarter of</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the Term will commence on the Effective Date, and the last Calendar Quarter of</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the Term will end on the effective date of the termination or expiration of this</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Agreement;</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1.57</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Calendar Year</w:t>
            </w:r>
          </w:p>
        </w:tc>
        <w:tc>
          <w:tcPr>
            <w:tcW w:w="5980" w:type="dxa"/>
            <w:vAlign w:val="bottom"/>
          </w:tcPr>
          <w:p>
            <w:pPr>
              <w:ind w:left="320"/>
              <w:spacing w:after="0"/>
              <w:rPr>
                <w:sz w:val="20"/>
                <w:szCs w:val="20"/>
                <w:color w:val="auto"/>
              </w:rPr>
            </w:pPr>
            <w:r>
              <w:rPr>
                <w:rFonts w:ascii="Arial" w:cs="Arial" w:eastAsia="Arial" w:hAnsi="Arial"/>
                <w:sz w:val="16"/>
                <w:szCs w:val="16"/>
                <w:color w:val="auto"/>
                <w:w w:val="99"/>
              </w:rPr>
              <w:t>means each period of twelve (12) consecutive calendar months commencing on</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w w:val="98"/>
              </w:rPr>
              <w:t>January 1 and ending on December 31, except that the first Calendar Year of the</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Term will commence on the Effective Date, and the last Calendar Year of the</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Term will end on the effective date of the termination or expiration of this</w:t>
            </w:r>
          </w:p>
        </w:tc>
      </w:tr>
      <w:tr>
        <w:trPr>
          <w:trHeight w:val="228"/>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320"/>
              <w:spacing w:after="0"/>
              <w:rPr>
                <w:sz w:val="20"/>
                <w:szCs w:val="20"/>
                <w:color w:val="auto"/>
              </w:rPr>
            </w:pPr>
            <w:r>
              <w:rPr>
                <w:rFonts w:ascii="Arial" w:cs="Arial" w:eastAsia="Arial" w:hAnsi="Arial"/>
                <w:sz w:val="16"/>
                <w:szCs w:val="16"/>
                <w:color w:val="auto"/>
              </w:rPr>
              <w:t>Agreement;</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1.58</w:t>
            </w:r>
          </w:p>
        </w:tc>
        <w:tc>
          <w:tcPr>
            <w:tcW w:w="2560" w:type="dxa"/>
            <w:vAlign w:val="bottom"/>
          </w:tcPr>
          <w:p>
            <w:pPr>
              <w:ind w:left="280"/>
              <w:spacing w:after="0"/>
              <w:rPr>
                <w:sz w:val="20"/>
                <w:szCs w:val="20"/>
                <w:color w:val="auto"/>
              </w:rPr>
            </w:pPr>
            <w:r>
              <w:rPr>
                <w:rFonts w:ascii="Arial" w:cs="Arial" w:eastAsia="Arial" w:hAnsi="Arial"/>
                <w:sz w:val="16"/>
                <w:szCs w:val="16"/>
                <w:b w:val="1"/>
                <w:bCs w:val="1"/>
                <w:color w:val="auto"/>
              </w:rPr>
              <w:t>C.F.R.</w:t>
            </w:r>
          </w:p>
        </w:tc>
        <w:tc>
          <w:tcPr>
            <w:tcW w:w="5980" w:type="dxa"/>
            <w:vAlign w:val="bottom"/>
          </w:tcPr>
          <w:p>
            <w:pPr>
              <w:ind w:left="320"/>
              <w:spacing w:after="0"/>
              <w:rPr>
                <w:sz w:val="20"/>
                <w:szCs w:val="20"/>
                <w:color w:val="auto"/>
              </w:rPr>
            </w:pPr>
            <w:r>
              <w:rPr>
                <w:rFonts w:ascii="Arial" w:cs="Arial" w:eastAsia="Arial" w:hAnsi="Arial"/>
                <w:sz w:val="16"/>
                <w:szCs w:val="16"/>
                <w:color w:val="auto"/>
              </w:rPr>
              <w:t>means the U.S. Code of Federal Regulations;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ectPr>
          <w:pgSz w:w="11900" w:h="16840" w:orient="portrait"/>
          <w:cols w:equalWidth="0" w:num="1">
            <w:col w:w="9200"/>
          </w:cols>
          <w:pgMar w:left="1260" w:top="1440" w:right="1440" w:bottom="1440" w:gutter="0" w:footer="0" w:header="0"/>
        </w:sectPr>
      </w:pPr>
    </w:p>
    <w:bookmarkStart w:id="778" w:name="page779"/>
    <w:bookmarkEnd w:id="77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jc w:val="right"/>
              <w:ind w:right="222"/>
              <w:spacing w:after="0"/>
              <w:rPr>
                <w:sz w:val="20"/>
                <w:szCs w:val="20"/>
                <w:color w:val="auto"/>
              </w:rPr>
            </w:pPr>
            <w:r>
              <w:rPr>
                <w:rFonts w:ascii="Arial" w:cs="Arial" w:eastAsia="Arial" w:hAnsi="Arial"/>
                <w:sz w:val="16"/>
                <w:szCs w:val="16"/>
                <w:color w:val="auto"/>
                <w:w w:val="89"/>
              </w:rPr>
              <w:t>1.59</w:t>
            </w:r>
          </w:p>
        </w:tc>
        <w:tc>
          <w:tcPr>
            <w:tcW w:w="1640" w:type="dxa"/>
            <w:vAlign w:val="bottom"/>
          </w:tcPr>
          <w:p>
            <w:pPr>
              <w:ind w:left="280"/>
              <w:spacing w:after="0"/>
              <w:rPr>
                <w:sz w:val="20"/>
                <w:szCs w:val="20"/>
                <w:color w:val="auto"/>
              </w:rPr>
            </w:pPr>
            <w:r>
              <w:rPr>
                <w:rFonts w:ascii="Arial" w:cs="Arial" w:eastAsia="Arial" w:hAnsi="Arial"/>
                <w:sz w:val="16"/>
                <w:szCs w:val="16"/>
                <w:b w:val="1"/>
                <w:bCs w:val="1"/>
                <w:color w:val="auto"/>
              </w:rPr>
              <w:t>cGCP</w:t>
            </w:r>
          </w:p>
        </w:tc>
        <w:tc>
          <w:tcPr>
            <w:tcW w:w="6900" w:type="dxa"/>
            <w:vAlign w:val="bottom"/>
          </w:tcPr>
          <w:p>
            <w:pPr>
              <w:ind w:left="920"/>
              <w:spacing w:after="0"/>
              <w:rPr>
                <w:sz w:val="20"/>
                <w:szCs w:val="20"/>
                <w:color w:val="auto"/>
              </w:rPr>
            </w:pPr>
            <w:r>
              <w:rPr>
                <w:rFonts w:ascii="Arial" w:cs="Arial" w:eastAsia="Arial" w:hAnsi="Arial"/>
                <w:sz w:val="16"/>
                <w:szCs w:val="16"/>
                <w:color w:val="auto"/>
              </w:rPr>
              <w:t>means  any  and  all  laws,  rules,  regulations,  guidelines  and  generally  accepted</w:t>
            </w:r>
          </w:p>
        </w:tc>
      </w:tr>
      <w:tr>
        <w:trPr>
          <w:trHeight w:val="220"/>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standards and requirements regarding the ethical conduct of clinical trials, including</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without limitation the U.S. Code of Federal Regulations (CFR) Title 21, ICH GCP</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Guidelines E6(R2) as amended from time to time, national legislation implementing</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European Community Directive 2001/20/EC (if and as still applicable), European</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w w:val="98"/>
              </w:rPr>
              <w:t>Community Directive 2005/28/EC, and, following the applicable transition periods, the</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w w:val="98"/>
              </w:rPr>
              <w:t>Clinical Trial Regulation (EU) No. 536/2014 (the "CTR") and the rules, regulations and</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w w:val="98"/>
              </w:rPr>
              <w:t>guidelines applying in the context of the CTR, China Good Clinical Practice Rules and</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the equivalent in other countries or regions;</w:t>
            </w:r>
          </w:p>
        </w:tc>
      </w:tr>
      <w:tr>
        <w:trPr>
          <w:trHeight w:val="572"/>
        </w:trPr>
        <w:tc>
          <w:tcPr>
            <w:tcW w:w="600" w:type="dxa"/>
            <w:vAlign w:val="bottom"/>
          </w:tcPr>
          <w:p>
            <w:pPr>
              <w:jc w:val="right"/>
              <w:ind w:right="222"/>
              <w:spacing w:after="0"/>
              <w:rPr>
                <w:sz w:val="20"/>
                <w:szCs w:val="20"/>
                <w:color w:val="auto"/>
              </w:rPr>
            </w:pPr>
            <w:r>
              <w:rPr>
                <w:rFonts w:ascii="Arial" w:cs="Arial" w:eastAsia="Arial" w:hAnsi="Arial"/>
                <w:sz w:val="16"/>
                <w:szCs w:val="16"/>
                <w:color w:val="auto"/>
                <w:w w:val="89"/>
              </w:rPr>
              <w:t>1.60</w:t>
            </w:r>
          </w:p>
        </w:tc>
        <w:tc>
          <w:tcPr>
            <w:tcW w:w="1640" w:type="dxa"/>
            <w:vAlign w:val="bottom"/>
          </w:tcPr>
          <w:p>
            <w:pPr>
              <w:ind w:left="280"/>
              <w:spacing w:after="0"/>
              <w:rPr>
                <w:sz w:val="20"/>
                <w:szCs w:val="20"/>
                <w:color w:val="auto"/>
              </w:rPr>
            </w:pPr>
            <w:r>
              <w:rPr>
                <w:rFonts w:ascii="Arial" w:cs="Arial" w:eastAsia="Arial" w:hAnsi="Arial"/>
                <w:sz w:val="16"/>
                <w:szCs w:val="16"/>
                <w:b w:val="1"/>
                <w:bCs w:val="1"/>
                <w:color w:val="auto"/>
              </w:rPr>
              <w:t>cGLP</w:t>
            </w:r>
          </w:p>
        </w:tc>
        <w:tc>
          <w:tcPr>
            <w:tcW w:w="6900" w:type="dxa"/>
            <w:vAlign w:val="bottom"/>
          </w:tcPr>
          <w:p>
            <w:pPr>
              <w:ind w:left="920"/>
              <w:spacing w:after="0"/>
              <w:rPr>
                <w:sz w:val="20"/>
                <w:szCs w:val="20"/>
                <w:color w:val="auto"/>
              </w:rPr>
            </w:pPr>
            <w:r>
              <w:rPr>
                <w:rFonts w:ascii="Arial" w:cs="Arial" w:eastAsia="Arial" w:hAnsi="Arial"/>
                <w:sz w:val="16"/>
                <w:szCs w:val="16"/>
                <w:color w:val="auto"/>
              </w:rPr>
              <w:t>means  any  and  all  laws,  rules,  regulations,  guidelines  and  generally  accepted</w:t>
            </w:r>
          </w:p>
        </w:tc>
      </w:tr>
      <w:tr>
        <w:trPr>
          <w:trHeight w:val="220"/>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standards and requirements regarding quality control for laboratories to ensure the</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consistency and reliability of results, including without limitation the CFR Title 21,</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national legislation implementing European Community Directives 2004/9/EC and</w:t>
            </w:r>
          </w:p>
        </w:tc>
      </w:tr>
      <w:tr>
        <w:trPr>
          <w:trHeight w:val="228"/>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00" w:type="dxa"/>
            <w:vAlign w:val="bottom"/>
          </w:tcPr>
          <w:p>
            <w:pPr>
              <w:ind w:left="920"/>
              <w:spacing w:after="0"/>
              <w:rPr>
                <w:sz w:val="20"/>
                <w:szCs w:val="20"/>
                <w:color w:val="auto"/>
              </w:rPr>
            </w:pPr>
            <w:r>
              <w:rPr>
                <w:rFonts w:ascii="Arial" w:cs="Arial" w:eastAsia="Arial" w:hAnsi="Arial"/>
                <w:sz w:val="16"/>
                <w:szCs w:val="16"/>
                <w:color w:val="auto"/>
              </w:rPr>
              <w:t>2004/10/EC as amended, and the OECD Series on Principles of Good Laboratory</w:t>
            </w:r>
          </w:p>
        </w:tc>
      </w:tr>
    </w:tbl>
    <w:p>
      <w:pPr>
        <w:spacing w:after="0" w:line="23" w:lineRule="exact"/>
        <w:rPr>
          <w:sz w:val="20"/>
          <w:szCs w:val="20"/>
          <w:color w:val="auto"/>
        </w:rPr>
      </w:pPr>
    </w:p>
    <w:p>
      <w:pPr>
        <w:jc w:val="both"/>
        <w:ind w:left="3160" w:right="60"/>
        <w:spacing w:after="0" w:line="349" w:lineRule="auto"/>
        <w:rPr>
          <w:sz w:val="20"/>
          <w:szCs w:val="20"/>
          <w:color w:val="auto"/>
        </w:rPr>
      </w:pPr>
      <w:r>
        <w:rPr>
          <w:rFonts w:ascii="Arial" w:cs="Arial" w:eastAsia="Arial" w:hAnsi="Arial"/>
          <w:sz w:val="14"/>
          <w:szCs w:val="14"/>
          <w:color w:val="auto"/>
        </w:rPr>
        <w:t>Practice and Compliance Monitoring, China Drug Good Laboratory Practice Rules (China Non-Clinical Research Quality Management Standard) and the equivalent in other countries or regions. For the purposes of this Agreement, GLP also includes the principles of "Good Clinical Laboratory Practice" which means any and all laws, rules, regulations, guidelines and generally accepted standards and requirements regarding the treatment of human laboratory samples from Clinical Trials, including the relevant principles from GCP and the EMA's reflection paper for laboratories that perform the analysis or evaluation of clinical trial samples,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40" w:orient="portrait"/>
          <w:cols w:equalWidth="0" w:num="1">
            <w:col w:w="9200"/>
          </w:cols>
          <w:pgMar w:left="1260" w:top="1440" w:right="1440" w:bottom="1440" w:gutter="0" w:footer="0" w:header="0"/>
        </w:sectPr>
      </w:pPr>
    </w:p>
    <w:bookmarkStart w:id="779" w:name="page780"/>
    <w:bookmarkEnd w:id="779"/>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1.61</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cGMP</w:t>
            </w:r>
          </w:p>
        </w:tc>
        <w:tc>
          <w:tcPr>
            <w:tcW w:w="5640" w:type="dxa"/>
            <w:vAlign w:val="bottom"/>
          </w:tcPr>
          <w:p>
            <w:pPr>
              <w:ind w:left="80"/>
              <w:spacing w:after="0"/>
              <w:rPr>
                <w:sz w:val="20"/>
                <w:szCs w:val="20"/>
                <w:color w:val="auto"/>
              </w:rPr>
            </w:pPr>
            <w:r>
              <w:rPr>
                <w:rFonts w:ascii="Arial" w:cs="Arial" w:eastAsia="Arial" w:hAnsi="Arial"/>
                <w:sz w:val="16"/>
                <w:szCs w:val="16"/>
                <w:color w:val="auto"/>
              </w:rPr>
              <w:t>means any and all laws, rules, regulations, guidelines and generally accepted</w:t>
            </w:r>
          </w:p>
        </w:tc>
      </w:tr>
      <w:tr>
        <w:trPr>
          <w:trHeight w:val="220"/>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9"/>
              </w:rPr>
              <w:t>standards and requirements regarding the quality control and manufacturing of</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8"/>
              </w:rPr>
              <w:t>pharmaceutical products, including without limitation the CFR Title 21, Parts 11,</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7"/>
              </w:rPr>
              <w:t>210, 211, 600 and 610, applicable ICH Guidelines including without limitation Q7</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for  "Active  Pharmaceuticals  Ingredients",  national  legislation  implementing</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European  Community  Directive  2001/83/EC  and  Commission  Directive</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2003/94/EC  as  amended,  EudraLex  –  Volume  4  of  the  Rules  Governing</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Medicinal  Products  in  the  European  Union  including  annexes,  the  CTR,</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Commission  Delegated  Regulation  2017/1569,  the  Detailed  Commission</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7"/>
              </w:rPr>
              <w:t>Guideline (2017) 8179, and the equivalent in other countries or regions including</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in China;</w:t>
            </w:r>
          </w:p>
        </w:tc>
      </w:tr>
      <w:tr>
        <w:trPr>
          <w:trHeight w:val="284"/>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1.62</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w w:val="99"/>
              </w:rPr>
              <w:t>cGood Pharmacovigilance Practice</w:t>
            </w:r>
          </w:p>
        </w:tc>
        <w:tc>
          <w:tcPr>
            <w:tcW w:w="5640" w:type="dxa"/>
            <w:vAlign w:val="bottom"/>
          </w:tcPr>
          <w:p>
            <w:pPr>
              <w:ind w:left="80"/>
              <w:spacing w:after="0"/>
              <w:rPr>
                <w:sz w:val="20"/>
                <w:szCs w:val="20"/>
                <w:color w:val="auto"/>
              </w:rPr>
            </w:pPr>
            <w:r>
              <w:rPr>
                <w:rFonts w:ascii="Arial" w:cs="Arial" w:eastAsia="Arial" w:hAnsi="Arial"/>
                <w:sz w:val="16"/>
                <w:szCs w:val="16"/>
                <w:color w:val="auto"/>
                <w:w w:val="98"/>
              </w:rPr>
              <w:t>means the current Good Pharmacovigilance Practices applicable to the conduct</w:t>
            </w:r>
          </w:p>
        </w:tc>
      </w:tr>
      <w:tr>
        <w:trPr>
          <w:trHeight w:val="240"/>
        </w:trPr>
        <w:tc>
          <w:tcPr>
            <w:tcW w:w="560" w:type="dxa"/>
            <w:vAlign w:val="bottom"/>
          </w:tcPr>
          <w:p>
            <w:pPr>
              <w:spacing w:after="0"/>
              <w:rPr>
                <w:sz w:val="20"/>
                <w:szCs w:val="20"/>
                <w:color w:val="auto"/>
              </w:rPr>
            </w:pP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or cGVP</w:t>
            </w:r>
          </w:p>
        </w:tc>
        <w:tc>
          <w:tcPr>
            <w:tcW w:w="5640" w:type="dxa"/>
            <w:vAlign w:val="bottom"/>
          </w:tcPr>
          <w:p>
            <w:pPr>
              <w:ind w:left="80"/>
              <w:spacing w:after="0"/>
              <w:rPr>
                <w:sz w:val="20"/>
                <w:szCs w:val="20"/>
                <w:color w:val="auto"/>
              </w:rPr>
            </w:pPr>
            <w:r>
              <w:rPr>
                <w:rFonts w:ascii="Arial" w:cs="Arial" w:eastAsia="Arial" w:hAnsi="Arial"/>
                <w:sz w:val="16"/>
                <w:szCs w:val="16"/>
                <w:color w:val="auto"/>
              </w:rPr>
              <w:t>of  specific  pharmacovigilance  activities,  including  US  Code  of  Federal</w:t>
            </w:r>
          </w:p>
        </w:tc>
      </w:tr>
      <w:tr>
        <w:trPr>
          <w:trHeight w:val="208"/>
        </w:trPr>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7"/>
              </w:rPr>
              <w:t>Regulations ("CFR") Title 21 covering US Food and Drug Administration ("FDA")</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regulations  ("FDA  21  CFR"),  as  amplified  by  relevant  FDA  guidance,</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Compliance  guides,  and  other  relevant  regulatory  materials,  International</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w w:val="98"/>
              </w:rPr>
              <w:t>Council on Harmonisation ("ICH") of Technical Requirements for Registration of</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Pharmaceuticals for Human Use (Codes, E2A, E2B, E2C, E2D), European</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Union ("EU") regulations and directives and/or local regulations, China Good</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Pharmacovigilance   Practice   Rule   (China   Pharmacovigilance   Quality</w:t>
            </w:r>
          </w:p>
        </w:tc>
      </w:tr>
      <w:tr>
        <w:trPr>
          <w:trHeight w:val="228"/>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Management Standard).in each case as applicable;</w:t>
            </w:r>
          </w:p>
        </w:tc>
      </w:tr>
      <w:tr>
        <w:trPr>
          <w:trHeight w:val="572"/>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1.63</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China</w:t>
            </w:r>
          </w:p>
        </w:tc>
        <w:tc>
          <w:tcPr>
            <w:tcW w:w="5640" w:type="dxa"/>
            <w:vAlign w:val="bottom"/>
          </w:tcPr>
          <w:p>
            <w:pPr>
              <w:ind w:left="80"/>
              <w:spacing w:after="0"/>
              <w:rPr>
                <w:sz w:val="20"/>
                <w:szCs w:val="20"/>
                <w:color w:val="auto"/>
              </w:rPr>
            </w:pPr>
            <w:r>
              <w:rPr>
                <w:rFonts w:ascii="Arial" w:cs="Arial" w:eastAsia="Arial" w:hAnsi="Arial"/>
                <w:sz w:val="16"/>
                <w:szCs w:val="16"/>
                <w:color w:val="auto"/>
              </w:rPr>
              <w:t>means the People's Republic of China (including mainland China, Hong Kong,</w:t>
            </w:r>
          </w:p>
        </w:tc>
      </w:tr>
      <w:tr>
        <w:trPr>
          <w:trHeight w:val="220"/>
        </w:trPr>
        <w:tc>
          <w:tcPr>
            <w:tcW w:w="5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16"/>
                <w:szCs w:val="16"/>
                <w:color w:val="auto"/>
              </w:rPr>
              <w:t>Macau and Taiwan);</w:t>
            </w:r>
          </w:p>
        </w:tc>
      </w:tr>
      <w:tr>
        <w:trPr>
          <w:trHeight w:val="35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1.64</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Claim</w:t>
            </w:r>
          </w:p>
        </w:tc>
        <w:tc>
          <w:tcPr>
            <w:tcW w:w="5640" w:type="dxa"/>
            <w:vAlign w:val="bottom"/>
          </w:tcPr>
          <w:p>
            <w:pPr>
              <w:ind w:left="80"/>
              <w:spacing w:after="0"/>
              <w:rPr>
                <w:sz w:val="20"/>
                <w:szCs w:val="20"/>
                <w:color w:val="auto"/>
              </w:rPr>
            </w:pPr>
            <w:r>
              <w:rPr>
                <w:rFonts w:ascii="Arial" w:cs="Arial" w:eastAsia="Arial" w:hAnsi="Arial"/>
                <w:sz w:val="16"/>
                <w:szCs w:val="16"/>
                <w:color w:val="auto"/>
              </w:rPr>
              <w:t>has the meaning set forth in Section 14.1(a) (Escalation);</w:t>
            </w:r>
          </w:p>
        </w:tc>
      </w:tr>
      <w:tr>
        <w:trPr>
          <w:trHeight w:val="57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1.65</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Clinical Trial</w:t>
            </w:r>
          </w:p>
        </w:tc>
        <w:tc>
          <w:tcPr>
            <w:tcW w:w="5640" w:type="dxa"/>
            <w:vAlign w:val="bottom"/>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1.66</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CMC</w:t>
            </w:r>
          </w:p>
        </w:tc>
        <w:tc>
          <w:tcPr>
            <w:tcW w:w="5640" w:type="dxa"/>
            <w:vAlign w:val="bottom"/>
          </w:tcPr>
          <w:p>
            <w:pPr>
              <w:ind w:left="80"/>
              <w:spacing w:after="0"/>
              <w:rPr>
                <w:sz w:val="20"/>
                <w:szCs w:val="20"/>
                <w:color w:val="auto"/>
              </w:rPr>
            </w:pPr>
            <w:r>
              <w:rPr>
                <w:rFonts w:ascii="Arial" w:cs="Arial" w:eastAsia="Arial" w:hAnsi="Arial"/>
                <w:sz w:val="16"/>
                <w:szCs w:val="16"/>
                <w:color w:val="auto"/>
              </w:rPr>
              <w:t>means chemistry, manufacturing and controls;</w:t>
            </w:r>
          </w:p>
        </w:tc>
      </w:tr>
      <w:tr>
        <w:trPr>
          <w:trHeight w:val="57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1.67</w:t>
            </w:r>
          </w:p>
        </w:tc>
        <w:tc>
          <w:tcPr>
            <w:tcW w:w="29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5640" w:type="dxa"/>
            <w:vAlign w:val="bottom"/>
          </w:tcPr>
          <w:p>
            <w:pPr>
              <w:ind w:left="8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40" w:orient="portrait"/>
          <w:cols w:equalWidth="0" w:num="1">
            <w:col w:w="9200"/>
          </w:cols>
          <w:pgMar w:left="1260" w:top="1440" w:right="1440" w:bottom="1440" w:gutter="0" w:footer="0" w:header="0"/>
        </w:sectPr>
      </w:pPr>
    </w:p>
    <w:bookmarkStart w:id="780" w:name="page781"/>
    <w:bookmarkEnd w:id="78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1.68</w:t>
            </w:r>
          </w:p>
        </w:tc>
        <w:tc>
          <w:tcPr>
            <w:tcW w:w="2860" w:type="dxa"/>
            <w:vAlign w:val="bottom"/>
          </w:tcPr>
          <w:p>
            <w:pPr>
              <w:ind w:left="260"/>
              <w:spacing w:after="0"/>
              <w:rPr>
                <w:sz w:val="20"/>
                <w:szCs w:val="20"/>
                <w:color w:val="auto"/>
              </w:rPr>
            </w:pPr>
            <w:r>
              <w:rPr>
                <w:rFonts w:ascii="Arial" w:cs="Arial" w:eastAsia="Arial" w:hAnsi="Arial"/>
                <w:sz w:val="16"/>
                <w:szCs w:val="16"/>
                <w:b w:val="1"/>
                <w:bCs w:val="1"/>
                <w:color w:val="auto"/>
              </w:rPr>
              <w:t>Combination Product</w:t>
            </w:r>
          </w:p>
        </w:tc>
        <w:tc>
          <w:tcPr>
            <w:tcW w:w="5720" w:type="dxa"/>
            <w:vAlign w:val="bottom"/>
          </w:tcPr>
          <w:p>
            <w:pPr>
              <w:ind w:left="120"/>
              <w:spacing w:after="0"/>
              <w:rPr>
                <w:sz w:val="20"/>
                <w:szCs w:val="20"/>
                <w:color w:val="auto"/>
              </w:rPr>
            </w:pPr>
            <w:r>
              <w:rPr>
                <w:rFonts w:ascii="Arial" w:cs="Arial" w:eastAsia="Arial" w:hAnsi="Arial"/>
                <w:sz w:val="16"/>
                <w:szCs w:val="16"/>
                <w:color w:val="auto"/>
              </w:rPr>
              <w:t>means [***]. Each such additional [***] shall be "an Other Component";</w:t>
            </w:r>
          </w:p>
        </w:tc>
      </w:tr>
      <w:tr>
        <w:trPr>
          <w:trHeight w:val="57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1.69</w:t>
            </w:r>
          </w:p>
        </w:tc>
        <w:tc>
          <w:tcPr>
            <w:tcW w:w="2860" w:type="dxa"/>
            <w:vAlign w:val="bottom"/>
          </w:tcPr>
          <w:p>
            <w:pPr>
              <w:ind w:left="260"/>
              <w:spacing w:after="0"/>
              <w:rPr>
                <w:sz w:val="20"/>
                <w:szCs w:val="20"/>
                <w:color w:val="auto"/>
              </w:rPr>
            </w:pPr>
            <w:r>
              <w:rPr>
                <w:rFonts w:ascii="Arial" w:cs="Arial" w:eastAsia="Arial" w:hAnsi="Arial"/>
                <w:sz w:val="16"/>
                <w:szCs w:val="16"/>
                <w:b w:val="1"/>
                <w:bCs w:val="1"/>
                <w:color w:val="auto"/>
              </w:rPr>
              <w:t>Commercialization or</w:t>
            </w:r>
          </w:p>
        </w:tc>
        <w:tc>
          <w:tcPr>
            <w:tcW w:w="5720" w:type="dxa"/>
            <w:vAlign w:val="bottom"/>
          </w:tcPr>
          <w:p>
            <w:pPr>
              <w:ind w:left="120"/>
              <w:spacing w:after="0"/>
              <w:rPr>
                <w:sz w:val="20"/>
                <w:szCs w:val="20"/>
                <w:color w:val="auto"/>
              </w:rPr>
            </w:pPr>
            <w:r>
              <w:rPr>
                <w:rFonts w:ascii="Arial" w:cs="Arial" w:eastAsia="Arial" w:hAnsi="Arial"/>
                <w:sz w:val="16"/>
                <w:szCs w:val="16"/>
                <w:color w:val="auto"/>
                <w:w w:val="98"/>
              </w:rPr>
              <w:t>means activities related to the commercialization of a product, including the pre-</w:t>
            </w:r>
          </w:p>
        </w:tc>
      </w:tr>
      <w:tr>
        <w:trPr>
          <w:trHeight w:val="240"/>
        </w:trPr>
        <w:tc>
          <w:tcPr>
            <w:tcW w:w="56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Arial" w:cs="Arial" w:eastAsia="Arial" w:hAnsi="Arial"/>
                <w:sz w:val="16"/>
                <w:szCs w:val="16"/>
                <w:b w:val="1"/>
                <w:bCs w:val="1"/>
                <w:color w:val="auto"/>
              </w:rPr>
              <w:t>Commercialize</w:t>
            </w:r>
          </w:p>
        </w:tc>
        <w:tc>
          <w:tcPr>
            <w:tcW w:w="5720" w:type="dxa"/>
            <w:vAlign w:val="bottom"/>
          </w:tcPr>
          <w:p>
            <w:pPr>
              <w:ind w:left="120"/>
              <w:spacing w:after="0"/>
              <w:rPr>
                <w:sz w:val="20"/>
                <w:szCs w:val="20"/>
                <w:color w:val="auto"/>
              </w:rPr>
            </w:pPr>
            <w:r>
              <w:rPr>
                <w:rFonts w:ascii="Arial" w:cs="Arial" w:eastAsia="Arial" w:hAnsi="Arial"/>
                <w:sz w:val="16"/>
                <w:szCs w:val="16"/>
                <w:color w:val="auto"/>
                <w:w w:val="98"/>
              </w:rPr>
              <w:t>marketing, launching, marketing, promotion (including advertising and detailing),</w:t>
            </w:r>
          </w:p>
        </w:tc>
      </w:tr>
      <w:tr>
        <w:trPr>
          <w:trHeight w:val="208"/>
        </w:trPr>
        <w:tc>
          <w:tcPr>
            <w:tcW w:w="5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market research, labeling, bidding and listing, market access activities, pricing</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and  reimbursement,  distribution,  storage,  handling,  Manufacturing  for</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commercial sale (including inventory build to support launch), offering for sale,</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selling, having sold, importing and exporting for sale, having imported and</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exported for sale, distribution, having distributed, order processing, handling</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returns and recalls, customer service and support, and post-marketing safety</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surveillance and reporting of a product, medical affairs and medical science</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w w:val="99"/>
              </w:rPr>
              <w:t>liaison activities, as well all regulatory compliance and conduct of administrative</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w w:val="99"/>
              </w:rPr>
              <w:t>functions with respect to the foregoing. For clarity, "Commercialization" includes</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all  pre-launch  marketing  and  other  launch  preparation  activities,  including</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training of personnel who will conduct Commercialization activities, as well as</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manufacturing  activities  in  preparation  for  and  to  establish  and  maintain</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commercial sales. When used as a verb, "Commercialize" means to engage in</w:t>
            </w:r>
          </w:p>
        </w:tc>
      </w:tr>
      <w:tr>
        <w:trPr>
          <w:trHeight w:val="228"/>
        </w:trPr>
        <w:tc>
          <w:tcPr>
            <w:tcW w:w="5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Commercialization;</w:t>
            </w:r>
          </w:p>
        </w:tc>
      </w:tr>
      <w:tr>
        <w:trPr>
          <w:trHeight w:val="572"/>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1.70</w:t>
            </w:r>
          </w:p>
        </w:tc>
        <w:tc>
          <w:tcPr>
            <w:tcW w:w="2860" w:type="dxa"/>
            <w:vAlign w:val="bottom"/>
          </w:tcPr>
          <w:p>
            <w:pPr>
              <w:ind w:left="260"/>
              <w:spacing w:after="0"/>
              <w:rPr>
                <w:sz w:val="20"/>
                <w:szCs w:val="20"/>
                <w:color w:val="auto"/>
              </w:rPr>
            </w:pPr>
            <w:r>
              <w:rPr>
                <w:rFonts w:ascii="Arial" w:cs="Arial" w:eastAsia="Arial" w:hAnsi="Arial"/>
                <w:sz w:val="16"/>
                <w:szCs w:val="16"/>
                <w:b w:val="1"/>
                <w:bCs w:val="1"/>
                <w:color w:val="auto"/>
              </w:rPr>
              <w:t>Commercially Reasonable Efforts</w:t>
            </w:r>
          </w:p>
        </w:tc>
        <w:tc>
          <w:tcPr>
            <w:tcW w:w="5720" w:type="dxa"/>
            <w:vAlign w:val="bottom"/>
          </w:tcPr>
          <w:p>
            <w:pPr>
              <w:ind w:left="120"/>
              <w:spacing w:after="0"/>
              <w:rPr>
                <w:sz w:val="20"/>
                <w:szCs w:val="20"/>
                <w:color w:val="auto"/>
              </w:rPr>
            </w:pPr>
            <w:r>
              <w:rPr>
                <w:rFonts w:ascii="Arial" w:cs="Arial" w:eastAsia="Arial" w:hAnsi="Arial"/>
                <w:sz w:val="16"/>
                <w:szCs w:val="16"/>
                <w:color w:val="auto"/>
              </w:rPr>
              <w:t>[***]</w:t>
            </w:r>
          </w:p>
        </w:tc>
      </w:tr>
      <w:tr>
        <w:trPr>
          <w:trHeight w:val="576"/>
        </w:trPr>
        <w:tc>
          <w:tcPr>
            <w:tcW w:w="560" w:type="dxa"/>
            <w:vAlign w:val="bottom"/>
          </w:tcPr>
          <w:p>
            <w:pPr>
              <w:jc w:val="right"/>
              <w:ind w:right="182"/>
              <w:spacing w:after="0"/>
              <w:rPr>
                <w:sz w:val="20"/>
                <w:szCs w:val="20"/>
                <w:color w:val="auto"/>
              </w:rPr>
            </w:pPr>
            <w:r>
              <w:rPr>
                <w:rFonts w:ascii="Arial" w:cs="Arial" w:eastAsia="Arial" w:hAnsi="Arial"/>
                <w:sz w:val="16"/>
                <w:szCs w:val="16"/>
                <w:color w:val="auto"/>
                <w:w w:val="89"/>
              </w:rPr>
              <w:t>1.71</w:t>
            </w:r>
          </w:p>
        </w:tc>
        <w:tc>
          <w:tcPr>
            <w:tcW w:w="2860" w:type="dxa"/>
            <w:vAlign w:val="bottom"/>
          </w:tcPr>
          <w:p>
            <w:pPr>
              <w:ind w:left="260"/>
              <w:spacing w:after="0"/>
              <w:rPr>
                <w:sz w:val="20"/>
                <w:szCs w:val="20"/>
                <w:color w:val="auto"/>
              </w:rPr>
            </w:pPr>
            <w:r>
              <w:rPr>
                <w:rFonts w:ascii="Arial" w:cs="Arial" w:eastAsia="Arial" w:hAnsi="Arial"/>
                <w:sz w:val="16"/>
                <w:szCs w:val="16"/>
                <w:b w:val="1"/>
                <w:bCs w:val="1"/>
                <w:color w:val="auto"/>
              </w:rPr>
              <w:t>Competitive Infringement</w:t>
            </w:r>
          </w:p>
        </w:tc>
        <w:tc>
          <w:tcPr>
            <w:tcW w:w="5720" w:type="dxa"/>
            <w:vAlign w:val="bottom"/>
          </w:tcPr>
          <w:p>
            <w:pPr>
              <w:ind w:left="120"/>
              <w:spacing w:after="0"/>
              <w:rPr>
                <w:sz w:val="20"/>
                <w:szCs w:val="20"/>
                <w:color w:val="auto"/>
              </w:rPr>
            </w:pPr>
            <w:r>
              <w:rPr>
                <w:rFonts w:ascii="Arial" w:cs="Arial" w:eastAsia="Arial" w:hAnsi="Arial"/>
                <w:sz w:val="16"/>
                <w:szCs w:val="16"/>
                <w:color w:val="auto"/>
              </w:rPr>
              <w:t>has the meaning set forth in Section 9.3(a) (Notification);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9200"/>
          </w:cols>
          <w:pgMar w:left="1260" w:top="1440" w:right="1440" w:bottom="1440" w:gutter="0" w:footer="0" w:header="0"/>
        </w:sectPr>
      </w:pPr>
    </w:p>
    <w:bookmarkStart w:id="781" w:name="page782"/>
    <w:bookmarkEnd w:id="78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20" w:val="left"/>
          <w:tab w:leader="none" w:pos="330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b w:val="1"/>
          <w:bCs w:val="1"/>
          <w:color w:val="auto"/>
        </w:rPr>
        <w:t>Confidential Information</w:t>
      </w:r>
      <w:r>
        <w:rPr>
          <w:sz w:val="20"/>
          <w:szCs w:val="20"/>
          <w:color w:val="auto"/>
        </w:rPr>
        <w:tab/>
      </w:r>
      <w:r>
        <w:rPr>
          <w:rFonts w:ascii="Arial" w:cs="Arial" w:eastAsia="Arial" w:hAnsi="Arial"/>
          <w:sz w:val="14"/>
          <w:szCs w:val="14"/>
          <w:color w:val="auto"/>
        </w:rPr>
        <w:t>means:</w:t>
      </w:r>
    </w:p>
    <w:p>
      <w:pPr>
        <w:spacing w:after="0" w:line="190" w:lineRule="exact"/>
        <w:rPr>
          <w:sz w:val="20"/>
          <w:szCs w:val="20"/>
          <w:color w:val="auto"/>
        </w:rPr>
      </w:pPr>
    </w:p>
    <w:p>
      <w:pPr>
        <w:ind w:left="3600" w:hanging="281"/>
        <w:spacing w:after="0"/>
        <w:tabs>
          <w:tab w:leader="none" w:pos="3600" w:val="left"/>
        </w:tabs>
        <w:numPr>
          <w:ilvl w:val="0"/>
          <w:numId w:val="799"/>
        </w:numPr>
        <w:rPr>
          <w:rFonts w:ascii="Arial" w:cs="Arial" w:eastAsia="Arial" w:hAnsi="Arial"/>
          <w:sz w:val="16"/>
          <w:szCs w:val="16"/>
          <w:color w:val="auto"/>
        </w:rPr>
      </w:pPr>
      <w:r>
        <w:rPr>
          <w:rFonts w:ascii="Arial" w:cs="Arial" w:eastAsia="Arial" w:hAnsi="Arial"/>
          <w:sz w:val="16"/>
          <w:szCs w:val="16"/>
          <w:color w:val="auto"/>
        </w:rPr>
        <w:t>the existence and terms of this Agreement; and</w:t>
      </w:r>
    </w:p>
    <w:p>
      <w:pPr>
        <w:spacing w:after="0" w:line="188" w:lineRule="exact"/>
        <w:rPr>
          <w:rFonts w:ascii="Arial" w:cs="Arial" w:eastAsia="Arial" w:hAnsi="Arial"/>
          <w:sz w:val="16"/>
          <w:szCs w:val="16"/>
          <w:color w:val="auto"/>
        </w:rPr>
      </w:pPr>
    </w:p>
    <w:p>
      <w:pPr>
        <w:jc w:val="both"/>
        <w:ind w:left="3600" w:right="80" w:hanging="281"/>
        <w:spacing w:after="0" w:line="302" w:lineRule="auto"/>
        <w:tabs>
          <w:tab w:leader="none" w:pos="3588" w:val="left"/>
        </w:tabs>
        <w:numPr>
          <w:ilvl w:val="0"/>
          <w:numId w:val="799"/>
        </w:numPr>
        <w:rPr>
          <w:rFonts w:ascii="Arial" w:cs="Arial" w:eastAsia="Arial" w:hAnsi="Arial"/>
          <w:sz w:val="16"/>
          <w:szCs w:val="16"/>
          <w:color w:val="auto"/>
        </w:rPr>
      </w:pPr>
      <w:r>
        <w:rPr>
          <w:rFonts w:ascii="Arial" w:cs="Arial" w:eastAsia="Arial" w:hAnsi="Arial"/>
          <w:sz w:val="16"/>
          <w:szCs w:val="16"/>
          <w:color w:val="auto"/>
        </w:rPr>
        <w:t>with respect to each Party, Know-How, inventions, Materials, and other proprietary information including data and all other scientific, pre-clinical, clinical, regulatory, Manufacturing, marketing, financial and commercial information or data that is disclosed, made available to, or provided by or on behalf of such Party to the other Party or to any of the Receiving Party's employees, consultants, Affiliates, or Sublicensees, whether or not specifically marked or designated by the Disclosing Party as confidential;</w:t>
      </w:r>
    </w:p>
    <w:p>
      <w:pPr>
        <w:spacing w:after="0" w:line="1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Notwithstanding the foregoing, Confidential Information constituting:</w:t>
      </w:r>
    </w:p>
    <w:p>
      <w:pPr>
        <w:spacing w:after="0" w:line="188" w:lineRule="exact"/>
        <w:rPr>
          <w:sz w:val="20"/>
          <w:szCs w:val="20"/>
          <w:color w:val="auto"/>
        </w:rPr>
      </w:pPr>
    </w:p>
    <w:p>
      <w:pPr>
        <w:ind w:left="3600" w:right="60" w:hanging="281"/>
        <w:spacing w:after="0" w:line="325" w:lineRule="auto"/>
        <w:tabs>
          <w:tab w:leader="none" w:pos="3588" w:val="left"/>
        </w:tabs>
        <w:numPr>
          <w:ilvl w:val="0"/>
          <w:numId w:val="800"/>
        </w:numPr>
        <w:rPr>
          <w:rFonts w:ascii="Arial" w:cs="Arial" w:eastAsia="Arial" w:hAnsi="Arial"/>
          <w:sz w:val="16"/>
          <w:szCs w:val="16"/>
          <w:color w:val="auto"/>
        </w:rPr>
      </w:pPr>
      <w:r>
        <w:rPr>
          <w:rFonts w:ascii="Arial" w:cs="Arial" w:eastAsia="Arial" w:hAnsi="Arial"/>
          <w:sz w:val="16"/>
          <w:szCs w:val="16"/>
          <w:color w:val="auto"/>
        </w:rPr>
        <w:t>[***] Background Know-How and [***] Foreground Know-How shall be considered Confidential Information [***];</w:t>
      </w:r>
    </w:p>
    <w:p>
      <w:pPr>
        <w:spacing w:after="0" w:line="101" w:lineRule="exact"/>
        <w:rPr>
          <w:rFonts w:ascii="Arial" w:cs="Arial" w:eastAsia="Arial" w:hAnsi="Arial"/>
          <w:sz w:val="16"/>
          <w:szCs w:val="16"/>
          <w:color w:val="auto"/>
        </w:rPr>
      </w:pPr>
    </w:p>
    <w:p>
      <w:pPr>
        <w:jc w:val="both"/>
        <w:ind w:left="3600" w:right="60" w:hanging="281"/>
        <w:spacing w:after="0" w:line="306" w:lineRule="auto"/>
        <w:tabs>
          <w:tab w:leader="none" w:pos="3588" w:val="left"/>
        </w:tabs>
        <w:numPr>
          <w:ilvl w:val="0"/>
          <w:numId w:val="800"/>
        </w:numPr>
        <w:rPr>
          <w:rFonts w:ascii="Arial" w:cs="Arial" w:eastAsia="Arial" w:hAnsi="Arial"/>
          <w:sz w:val="16"/>
          <w:szCs w:val="16"/>
          <w:color w:val="auto"/>
        </w:rPr>
      </w:pPr>
      <w:r>
        <w:rPr>
          <w:rFonts w:ascii="Arial" w:cs="Arial" w:eastAsia="Arial" w:hAnsi="Arial"/>
          <w:sz w:val="16"/>
          <w:szCs w:val="16"/>
          <w:color w:val="auto"/>
        </w:rPr>
        <w:t>subject to Section 10.3 (Publications and Presentations), Licensed Know-How shall be considered Confidential Information [***] PROVIDED THAT Product-Specific Know-How shall, during the Term be deemed to be the Confidential Information [***];</w:t>
      </w:r>
    </w:p>
    <w:p>
      <w:pPr>
        <w:spacing w:after="0" w:line="117" w:lineRule="exact"/>
        <w:rPr>
          <w:rFonts w:ascii="Arial" w:cs="Arial" w:eastAsia="Arial" w:hAnsi="Arial"/>
          <w:sz w:val="16"/>
          <w:szCs w:val="16"/>
          <w:color w:val="auto"/>
        </w:rPr>
      </w:pPr>
    </w:p>
    <w:p>
      <w:pPr>
        <w:jc w:val="both"/>
        <w:ind w:left="3600" w:right="60" w:hanging="281"/>
        <w:spacing w:after="0" w:line="311" w:lineRule="auto"/>
        <w:tabs>
          <w:tab w:leader="none" w:pos="3588" w:val="left"/>
        </w:tabs>
        <w:numPr>
          <w:ilvl w:val="0"/>
          <w:numId w:val="800"/>
        </w:numPr>
        <w:rPr>
          <w:rFonts w:ascii="Arial" w:cs="Arial" w:eastAsia="Arial" w:hAnsi="Arial"/>
          <w:sz w:val="16"/>
          <w:szCs w:val="16"/>
          <w:color w:val="auto"/>
        </w:rPr>
      </w:pPr>
      <w:r>
        <w:rPr>
          <w:rFonts w:ascii="Arial" w:cs="Arial" w:eastAsia="Arial" w:hAnsi="Arial"/>
          <w:sz w:val="16"/>
          <w:szCs w:val="16"/>
          <w:color w:val="auto"/>
        </w:rPr>
        <w:t>Joint Know-How shall be the Confidential Information of both Parties (and both Parties shall be the Receiving Party and the Disclosing Party with respect thereto); and</w:t>
      </w:r>
    </w:p>
    <w:p>
      <w:pPr>
        <w:spacing w:after="0" w:line="112" w:lineRule="exact"/>
        <w:rPr>
          <w:rFonts w:ascii="Arial" w:cs="Arial" w:eastAsia="Arial" w:hAnsi="Arial"/>
          <w:sz w:val="16"/>
          <w:szCs w:val="16"/>
          <w:color w:val="auto"/>
        </w:rPr>
      </w:pPr>
    </w:p>
    <w:p>
      <w:pPr>
        <w:jc w:val="both"/>
        <w:ind w:left="3600" w:right="80" w:hanging="281"/>
        <w:spacing w:after="0" w:line="311" w:lineRule="auto"/>
        <w:tabs>
          <w:tab w:leader="none" w:pos="3588" w:val="left"/>
        </w:tabs>
        <w:numPr>
          <w:ilvl w:val="0"/>
          <w:numId w:val="800"/>
        </w:numPr>
        <w:rPr>
          <w:rFonts w:ascii="Arial" w:cs="Arial" w:eastAsia="Arial" w:hAnsi="Arial"/>
          <w:sz w:val="16"/>
          <w:szCs w:val="16"/>
          <w:color w:val="auto"/>
        </w:rPr>
      </w:pPr>
      <w:r>
        <w:rPr>
          <w:rFonts w:ascii="Arial" w:cs="Arial" w:eastAsia="Arial" w:hAnsi="Arial"/>
          <w:sz w:val="16"/>
          <w:szCs w:val="16"/>
          <w:color w:val="auto"/>
        </w:rPr>
        <w:t>the existence, scope and terms and conditions of this Agreement shall be the Confidential Information of both Parties (and both Parties shall be the Receiving Party and the Disclosing Party with respect thereto).</w:t>
      </w:r>
    </w:p>
    <w:p>
      <w:pPr>
        <w:spacing w:after="0" w:line="113" w:lineRule="exact"/>
        <w:rPr>
          <w:sz w:val="20"/>
          <w:szCs w:val="20"/>
          <w:color w:val="auto"/>
        </w:rPr>
      </w:pPr>
    </w:p>
    <w:p>
      <w:pPr>
        <w:jc w:val="both"/>
        <w:ind w:left="3320" w:right="60"/>
        <w:spacing w:after="0" w:line="300" w:lineRule="auto"/>
        <w:rPr>
          <w:sz w:val="20"/>
          <w:szCs w:val="20"/>
          <w:color w:val="auto"/>
        </w:rPr>
      </w:pPr>
      <w:r>
        <w:rPr>
          <w:rFonts w:ascii="Arial" w:cs="Arial" w:eastAsia="Arial" w:hAnsi="Arial"/>
          <w:sz w:val="16"/>
          <w:szCs w:val="16"/>
          <w:color w:val="auto"/>
        </w:rPr>
        <w:t>For clarity, (i) 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and (ii)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9200"/>
          </w:cols>
          <w:pgMar w:left="1260" w:top="1440" w:right="1440" w:bottom="1440" w:gutter="0" w:footer="0" w:header="0"/>
        </w:sectPr>
      </w:pPr>
    </w:p>
    <w:bookmarkStart w:id="782" w:name="page783"/>
    <w:bookmarkEnd w:id="78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1.73</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Confidentiality Agreement</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10.1(b) (Confidential Information of Each</w:t>
            </w:r>
          </w:p>
        </w:tc>
      </w:tr>
      <w:tr>
        <w:trPr>
          <w:trHeight w:val="220"/>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Party);</w:t>
            </w:r>
          </w:p>
        </w:tc>
        <w:tc>
          <w:tcPr>
            <w:tcW w:w="5220" w:type="dxa"/>
            <w:vAlign w:val="bottom"/>
          </w:tcPr>
          <w:p>
            <w:pPr>
              <w:spacing w:after="0"/>
              <w:rPr>
                <w:sz w:val="19"/>
                <w:szCs w:val="19"/>
                <w:color w:val="auto"/>
              </w:rPr>
            </w:pP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1.74</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Control or Controlled</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means the possession by a Party (whether by ownership, license or otherwise,</w:t>
            </w:r>
          </w:p>
        </w:tc>
      </w:tr>
      <w:tr>
        <w:trPr>
          <w:trHeight w:val="220"/>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other than pursuant to this Agreement) of:</w:t>
            </w:r>
          </w:p>
        </w:tc>
      </w:tr>
      <w:tr>
        <w:trPr>
          <w:trHeight w:val="516"/>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(a)</w:t>
            </w:r>
          </w:p>
        </w:tc>
        <w:tc>
          <w:tcPr>
            <w:tcW w:w="5220" w:type="dxa"/>
            <w:vAlign w:val="bottom"/>
          </w:tcPr>
          <w:p>
            <w:pPr>
              <w:ind w:left="40"/>
              <w:spacing w:after="0"/>
              <w:rPr>
                <w:sz w:val="20"/>
                <w:szCs w:val="20"/>
                <w:color w:val="auto"/>
              </w:rPr>
            </w:pPr>
            <w:r>
              <w:rPr>
                <w:rFonts w:ascii="Arial" w:cs="Arial" w:eastAsia="Arial" w:hAnsi="Arial"/>
                <w:sz w:val="16"/>
                <w:szCs w:val="16"/>
                <w:color w:val="auto"/>
              </w:rPr>
              <w:t>with respect to any materials or other tangible Know-How, the legal</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authority or right to physical possession of such materials or tangible Know-How,</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8"/>
              </w:rPr>
              <w:t>with the right to provide such materials or tangible Know-How to the other Party on</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the terms set forth herein;</w:t>
            </w:r>
          </w:p>
        </w:tc>
      </w:tr>
      <w:tr>
        <w:trPr>
          <w:trHeight w:val="516"/>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(b)</w:t>
            </w:r>
          </w:p>
        </w:tc>
        <w:tc>
          <w:tcPr>
            <w:tcW w:w="5220" w:type="dxa"/>
            <w:vAlign w:val="bottom"/>
          </w:tcPr>
          <w:p>
            <w:pPr>
              <w:ind w:left="40"/>
              <w:spacing w:after="0"/>
              <w:rPr>
                <w:sz w:val="20"/>
                <w:szCs w:val="20"/>
                <w:color w:val="auto"/>
              </w:rPr>
            </w:pPr>
            <w:r>
              <w:rPr>
                <w:rFonts w:ascii="Arial" w:cs="Arial" w:eastAsia="Arial" w:hAnsi="Arial"/>
                <w:sz w:val="16"/>
                <w:szCs w:val="16"/>
                <w:color w:val="auto"/>
              </w:rPr>
              <w:t>with  respect  to  Patent  Rights,  Regulatory Authorizations,  Regulatory</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Filings, intangible Know-How or other intellectual property, the legal authority or</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right to grant a license, sublicense, access, or right to use (as applicable) to the</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other  Party  under  such  Patent  Rights,  Regulatory Authorizations,  Regulatory</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Filings, intangible Know-How or other intellectual property on the terms set forth</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herein;</w:t>
            </w:r>
          </w:p>
        </w:tc>
        <w:tc>
          <w:tcPr>
            <w:tcW w:w="5220" w:type="dxa"/>
            <w:vAlign w:val="bottom"/>
          </w:tcPr>
          <w:p>
            <w:pPr>
              <w:spacing w:after="0"/>
              <w:rPr>
                <w:sz w:val="19"/>
                <w:szCs w:val="19"/>
                <w:color w:val="auto"/>
              </w:rPr>
            </w:pPr>
          </w:p>
        </w:tc>
      </w:tr>
      <w:tr>
        <w:trPr>
          <w:trHeight w:val="516"/>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9"/>
              </w:rPr>
              <w:t>in each case (a) and (b), without breaching or otherwise violating the terms of any</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7"/>
              </w:rPr>
              <w:t>arrangement or agreement with a Third Party in existence as of the time such Party</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or its Affiliates would first be required hereunder to grant the other Party such</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access, right to use, license, or sublicense;</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1.75</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Cost of Goods</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1.76</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Cover, Covers, or Covered</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1.77</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Development or Develop</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means, with respect to any product, any and all internal and external research,</w:t>
            </w:r>
          </w:p>
        </w:tc>
      </w:tr>
      <w:tr>
        <w:trPr>
          <w:trHeight w:val="220"/>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7"/>
              </w:rPr>
              <w:t>development, pharmacovigilance activities, and regulatory activities regarding such</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product, including:</w:t>
            </w:r>
          </w:p>
        </w:tc>
      </w:tr>
      <w:tr>
        <w:trPr>
          <w:trHeight w:val="516"/>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(a)</w:t>
            </w:r>
          </w:p>
        </w:tc>
        <w:tc>
          <w:tcPr>
            <w:tcW w:w="5220" w:type="dxa"/>
            <w:vAlign w:val="bottom"/>
          </w:tcPr>
          <w:p>
            <w:pPr>
              <w:ind w:left="40"/>
              <w:spacing w:after="0"/>
              <w:rPr>
                <w:sz w:val="20"/>
                <w:szCs w:val="20"/>
                <w:color w:val="auto"/>
              </w:rPr>
            </w:pPr>
            <w:r>
              <w:rPr>
                <w:rFonts w:ascii="Arial" w:cs="Arial" w:eastAsia="Arial" w:hAnsi="Arial"/>
                <w:sz w:val="16"/>
                <w:szCs w:val="16"/>
                <w:color w:val="auto"/>
              </w:rPr>
              <w:t>research,  process  development,  non-clinical  testing,  toxicology,  non-</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clinical activities, IND-enabling studies, and Clinical Trials, and</w:t>
            </w:r>
          </w:p>
        </w:tc>
      </w:tr>
      <w:tr>
        <w:trPr>
          <w:trHeight w:val="516"/>
        </w:trPr>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rPr>
              <w:t>(b)</w:t>
            </w:r>
          </w:p>
        </w:tc>
        <w:tc>
          <w:tcPr>
            <w:tcW w:w="5220" w:type="dxa"/>
            <w:vAlign w:val="bottom"/>
          </w:tcPr>
          <w:p>
            <w:pPr>
              <w:ind w:left="40"/>
              <w:spacing w:after="0"/>
              <w:rPr>
                <w:sz w:val="20"/>
                <w:szCs w:val="20"/>
                <w:color w:val="auto"/>
              </w:rPr>
            </w:pPr>
            <w:r>
              <w:rPr>
                <w:rFonts w:ascii="Arial" w:cs="Arial" w:eastAsia="Arial" w:hAnsi="Arial"/>
                <w:sz w:val="16"/>
                <w:szCs w:val="16"/>
                <w:color w:val="auto"/>
              </w:rPr>
              <w:t>preparation, submission, review, and development of data or information</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for the purpose of submission to a Regulatory Authority to obtain authorization to</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8"/>
              </w:rPr>
              <w:t>conduct Clinical Trials and to obtain, support, or maintain Regulatory Authorization</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of  such  product,  but  excluding  any  activities  directed  to  Manufacturing  or</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Commercialization. Development  will  include  research,  development,  and</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regulatory activities for additional presentations or Indications for a product after</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6"/>
              </w:rPr>
              <w:t>receipt of Regulatory Authorization of such product, including Clinical Trials initiated</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following receipt of Regulatory Authorization or any Clinical Trial to be conducted</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after receipt of Regulatory Authorization that was mandated by the applicable</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9"/>
              </w:rPr>
              <w:t>Regulatory Authority as a condition of such Regulatory Authorization with respect</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to  an  approved  Indication  (such  as  post-marketing  approval  studies  and</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8"/>
              </w:rPr>
              <w:t>observational studies, if required by any Regulatory Authority in any country in the</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Territory to support or maintain Regulatory Authorization for a product in such</w:t>
            </w:r>
          </w:p>
        </w:tc>
      </w:tr>
      <w:tr>
        <w:trPr>
          <w:trHeight w:val="228"/>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w w:val="99"/>
              </w:rPr>
              <w:t>country). "Develop", "Developing" and "Developed" will be construed accordingly;</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1.78</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rPr>
              <w:t>Development Milestone Event</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8.3 (Development and Approval Milestone</w:t>
            </w:r>
          </w:p>
        </w:tc>
      </w:tr>
      <w:tr>
        <w:trPr>
          <w:trHeight w:val="220"/>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Payments for Licensed Products);</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1.79</w:t>
            </w:r>
          </w:p>
        </w:tc>
        <w:tc>
          <w:tcPr>
            <w:tcW w:w="2740" w:type="dxa"/>
            <w:vAlign w:val="bottom"/>
          </w:tcPr>
          <w:p>
            <w:pPr>
              <w:ind w:left="260"/>
              <w:spacing w:after="0"/>
              <w:rPr>
                <w:sz w:val="20"/>
                <w:szCs w:val="20"/>
                <w:color w:val="auto"/>
              </w:rPr>
            </w:pPr>
            <w:r>
              <w:rPr>
                <w:rFonts w:ascii="Arial" w:cs="Arial" w:eastAsia="Arial" w:hAnsi="Arial"/>
                <w:sz w:val="16"/>
                <w:szCs w:val="16"/>
                <w:b w:val="1"/>
                <w:bCs w:val="1"/>
                <w:color w:val="auto"/>
                <w:w w:val="98"/>
              </w:rPr>
              <w:t>Development Milestone Payment</w:t>
            </w: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8.3 (Development and Approval Milestone</w:t>
            </w:r>
          </w:p>
        </w:tc>
      </w:tr>
      <w:tr>
        <w:trPr>
          <w:trHeight w:val="220"/>
        </w:trPr>
        <w:tc>
          <w:tcPr>
            <w:tcW w:w="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820" w:type="dxa"/>
            <w:vAlign w:val="bottom"/>
            <w:gridSpan w:val="2"/>
          </w:tcPr>
          <w:p>
            <w:pPr>
              <w:ind w:left="80"/>
              <w:spacing w:after="0"/>
              <w:rPr>
                <w:sz w:val="20"/>
                <w:szCs w:val="20"/>
                <w:color w:val="auto"/>
              </w:rPr>
            </w:pPr>
            <w:r>
              <w:rPr>
                <w:rFonts w:ascii="Arial" w:cs="Arial" w:eastAsia="Arial" w:hAnsi="Arial"/>
                <w:sz w:val="16"/>
                <w:szCs w:val="16"/>
                <w:color w:val="auto"/>
              </w:rPr>
              <w:t>Payments for Licensed Products);</w:t>
            </w:r>
          </w:p>
        </w:tc>
      </w:tr>
    </w:tbl>
    <w:p>
      <w:pPr>
        <w:spacing w:after="0" w:line="200" w:lineRule="exact"/>
        <w:rPr>
          <w:sz w:val="20"/>
          <w:szCs w:val="20"/>
          <w:color w:val="auto"/>
        </w:rPr>
      </w:pPr>
    </w:p>
    <w:p>
      <w:pPr>
        <w:sectPr>
          <w:pgSz w:w="11900" w:h="16840" w:orient="portrait"/>
          <w:cols w:equalWidth="0" w:num="1">
            <w:col w:w="9200"/>
          </w:cols>
          <w:pgMar w:left="1260" w:top="1440" w:right="1440" w:bottom="398" w:gutter="0" w:footer="0" w:header="0"/>
        </w:sectPr>
      </w:pPr>
    </w:p>
    <w:p>
      <w:pPr>
        <w:spacing w:after="0" w:line="157" w:lineRule="exact"/>
        <w:rPr>
          <w:sz w:val="20"/>
          <w:szCs w:val="20"/>
          <w:color w:val="auto"/>
        </w:rPr>
      </w:pPr>
    </w:p>
    <w:p>
      <w:pPr>
        <w:spacing w:after="0"/>
        <w:tabs>
          <w:tab w:leader="none" w:pos="820" w:val="left"/>
          <w:tab w:leader="none" w:pos="3380" w:val="left"/>
        </w:tabs>
        <w:rPr>
          <w:sz w:val="20"/>
          <w:szCs w:val="20"/>
          <w:color w:val="auto"/>
        </w:rPr>
      </w:pPr>
      <w:r>
        <w:rPr>
          <w:rFonts w:ascii="Arial" w:cs="Arial" w:eastAsia="Arial" w:hAnsi="Arial"/>
          <w:sz w:val="16"/>
          <w:szCs w:val="16"/>
          <w:color w:val="auto"/>
        </w:rPr>
        <w:t>1.80</w:t>
      </w:r>
      <w:r>
        <w:rPr>
          <w:sz w:val="20"/>
          <w:szCs w:val="20"/>
          <w:color w:val="auto"/>
        </w:rPr>
        <w:tab/>
      </w:r>
      <w:r>
        <w:rPr>
          <w:rFonts w:ascii="Arial" w:cs="Arial" w:eastAsia="Arial" w:hAnsi="Arial"/>
          <w:sz w:val="16"/>
          <w:szCs w:val="16"/>
          <w:b w:val="1"/>
          <w:bCs w:val="1"/>
          <w:color w:val="auto"/>
        </w:rPr>
        <w:t>Directed</w:t>
      </w:r>
      <w:r>
        <w:rPr>
          <w:sz w:val="20"/>
          <w:szCs w:val="20"/>
          <w:color w:val="auto"/>
        </w:rPr>
        <w:tab/>
      </w:r>
      <w:r>
        <w:rPr>
          <w:rFonts w:ascii="Arial" w:cs="Arial" w:eastAsia="Arial" w:hAnsi="Arial"/>
          <w:sz w:val="14"/>
          <w:szCs w:val="14"/>
          <w:color w:val="auto"/>
        </w:rPr>
        <w:t>means, [***];</w:t>
      </w:r>
    </w:p>
    <w:p>
      <w:pPr>
        <w:sectPr>
          <w:pgSz w:w="11900" w:h="16840" w:orient="portrait"/>
          <w:cols w:equalWidth="0" w:num="1">
            <w:col w:w="9200"/>
          </w:cols>
          <w:pgMar w:left="1260" w:top="1440" w:right="1440" w:bottom="398" w:gutter="0" w:footer="0" w:header="0"/>
          <w:type w:val="continuous"/>
        </w:sectPr>
      </w:pPr>
    </w:p>
    <w:bookmarkStart w:id="783" w:name="page784"/>
    <w:bookmarkEnd w:id="783"/>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1.81</w:t>
            </w:r>
          </w:p>
        </w:tc>
        <w:tc>
          <w:tcPr>
            <w:tcW w:w="2560" w:type="dxa"/>
            <w:vAlign w:val="bottom"/>
          </w:tcPr>
          <w:p>
            <w:pPr>
              <w:ind w:left="260"/>
              <w:spacing w:after="0"/>
              <w:rPr>
                <w:sz w:val="20"/>
                <w:szCs w:val="20"/>
                <w:color w:val="auto"/>
              </w:rPr>
            </w:pPr>
            <w:r>
              <w:rPr>
                <w:rFonts w:ascii="Arial" w:cs="Arial" w:eastAsia="Arial" w:hAnsi="Arial"/>
                <w:sz w:val="16"/>
                <w:szCs w:val="16"/>
                <w:b w:val="1"/>
                <w:bCs w:val="1"/>
                <w:color w:val="auto"/>
              </w:rPr>
              <w:t>Disclosing Party</w:t>
            </w:r>
          </w:p>
        </w:tc>
        <w:tc>
          <w:tcPr>
            <w:tcW w:w="5980" w:type="dxa"/>
            <w:vAlign w:val="bottom"/>
          </w:tcPr>
          <w:p>
            <w:pPr>
              <w:ind w:left="260"/>
              <w:spacing w:after="0"/>
              <w:rPr>
                <w:sz w:val="20"/>
                <w:szCs w:val="20"/>
                <w:color w:val="auto"/>
              </w:rPr>
            </w:pPr>
            <w:r>
              <w:rPr>
                <w:rFonts w:ascii="Arial" w:cs="Arial" w:eastAsia="Arial" w:hAnsi="Arial"/>
                <w:sz w:val="16"/>
                <w:szCs w:val="16"/>
                <w:color w:val="auto"/>
              </w:rPr>
              <w:t>has the meaning set forth in Section 10.1(a) (General);</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1.82</w:t>
            </w:r>
          </w:p>
        </w:tc>
        <w:tc>
          <w:tcPr>
            <w:tcW w:w="2560" w:type="dxa"/>
            <w:vAlign w:val="bottom"/>
          </w:tcPr>
          <w:p>
            <w:pPr>
              <w:ind w:left="260"/>
              <w:spacing w:after="0"/>
              <w:rPr>
                <w:sz w:val="20"/>
                <w:szCs w:val="20"/>
                <w:color w:val="auto"/>
              </w:rPr>
            </w:pPr>
            <w:r>
              <w:rPr>
                <w:rFonts w:ascii="Arial" w:cs="Arial" w:eastAsia="Arial" w:hAnsi="Arial"/>
                <w:sz w:val="16"/>
                <w:szCs w:val="16"/>
                <w:b w:val="1"/>
                <w:bCs w:val="1"/>
                <w:color w:val="auto"/>
              </w:rPr>
              <w:t>Effective Date</w:t>
            </w:r>
          </w:p>
        </w:tc>
        <w:tc>
          <w:tcPr>
            <w:tcW w:w="5980" w:type="dxa"/>
            <w:vAlign w:val="bottom"/>
          </w:tcPr>
          <w:p>
            <w:pPr>
              <w:ind w:left="260"/>
              <w:spacing w:after="0"/>
              <w:rPr>
                <w:sz w:val="20"/>
                <w:szCs w:val="20"/>
                <w:color w:val="auto"/>
              </w:rPr>
            </w:pPr>
            <w:r>
              <w:rPr>
                <w:rFonts w:ascii="Arial" w:cs="Arial" w:eastAsia="Arial" w:hAnsi="Arial"/>
                <w:sz w:val="16"/>
                <w:szCs w:val="16"/>
                <w:color w:val="auto"/>
              </w:rPr>
              <w:t>means with respect to this Agreement the date of the expiration or termination of</w:t>
            </w:r>
          </w:p>
        </w:tc>
      </w:tr>
      <w:tr>
        <w:trPr>
          <w:trHeight w:val="220"/>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any applicable waiting period under the HSR Act;</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1.83</w:t>
            </w:r>
          </w:p>
        </w:tc>
        <w:tc>
          <w:tcPr>
            <w:tcW w:w="2560" w:type="dxa"/>
            <w:vAlign w:val="bottom"/>
          </w:tcPr>
          <w:p>
            <w:pPr>
              <w:ind w:left="260"/>
              <w:spacing w:after="0"/>
              <w:rPr>
                <w:sz w:val="20"/>
                <w:szCs w:val="20"/>
                <w:color w:val="auto"/>
              </w:rPr>
            </w:pPr>
            <w:r>
              <w:rPr>
                <w:rFonts w:ascii="Arial" w:cs="Arial" w:eastAsia="Arial" w:hAnsi="Arial"/>
                <w:sz w:val="16"/>
                <w:szCs w:val="16"/>
                <w:b w:val="1"/>
                <w:bCs w:val="1"/>
                <w:color w:val="auto"/>
              </w:rPr>
              <w:t>Eligible Development Costs</w:t>
            </w:r>
          </w:p>
        </w:tc>
        <w:tc>
          <w:tcPr>
            <w:tcW w:w="5980" w:type="dxa"/>
            <w:vAlign w:val="bottom"/>
          </w:tcPr>
          <w:p>
            <w:pPr>
              <w:ind w:left="26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40" w:orient="portrait"/>
          <w:cols w:equalWidth="0" w:num="1">
            <w:col w:w="9200"/>
          </w:cols>
          <w:pgMar w:left="1260" w:top="568" w:right="1440" w:bottom="1440" w:gutter="0" w:footer="0" w:header="0"/>
        </w:sectPr>
      </w:pPr>
    </w:p>
    <w:bookmarkStart w:id="784" w:name="page785"/>
    <w:bookmarkEnd w:id="78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1.84</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EMA</w:t>
            </w:r>
          </w:p>
        </w:tc>
        <w:tc>
          <w:tcPr>
            <w:tcW w:w="6220" w:type="dxa"/>
            <w:vAlign w:val="bottom"/>
          </w:tcPr>
          <w:p>
            <w:pPr>
              <w:ind w:left="400"/>
              <w:spacing w:after="0"/>
              <w:rPr>
                <w:sz w:val="20"/>
                <w:szCs w:val="20"/>
                <w:color w:val="auto"/>
              </w:rPr>
            </w:pPr>
            <w:r>
              <w:rPr>
                <w:rFonts w:ascii="Arial" w:cs="Arial" w:eastAsia="Arial" w:hAnsi="Arial"/>
                <w:sz w:val="16"/>
                <w:szCs w:val="16"/>
                <w:color w:val="auto"/>
              </w:rPr>
              <w:t>means the European Medicines Agency or any successor agency or authority</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thereto;</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1.85</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European Union or EU</w:t>
            </w:r>
          </w:p>
        </w:tc>
        <w:tc>
          <w:tcPr>
            <w:tcW w:w="6220" w:type="dxa"/>
            <w:vAlign w:val="bottom"/>
          </w:tcPr>
          <w:p>
            <w:pPr>
              <w:ind w:left="400"/>
              <w:spacing w:after="0"/>
              <w:rPr>
                <w:sz w:val="20"/>
                <w:szCs w:val="20"/>
                <w:color w:val="auto"/>
              </w:rPr>
            </w:pPr>
            <w:r>
              <w:rPr>
                <w:rFonts w:ascii="Arial" w:cs="Arial" w:eastAsia="Arial" w:hAnsi="Arial"/>
                <w:sz w:val="16"/>
                <w:szCs w:val="16"/>
                <w:color w:val="auto"/>
              </w:rPr>
              <w:t>means all countries or territories that are officially part of the European Union, as</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constituted from time to time;</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1.86</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Executive Officer</w:t>
            </w:r>
          </w:p>
        </w:tc>
        <w:tc>
          <w:tcPr>
            <w:tcW w:w="6220" w:type="dxa"/>
            <w:vAlign w:val="bottom"/>
          </w:tcPr>
          <w:p>
            <w:pPr>
              <w:ind w:left="400"/>
              <w:spacing w:after="0"/>
              <w:rPr>
                <w:sz w:val="20"/>
                <w:szCs w:val="20"/>
                <w:color w:val="auto"/>
              </w:rPr>
            </w:pPr>
            <w:r>
              <w:rPr>
                <w:rFonts w:ascii="Arial" w:cs="Arial" w:eastAsia="Arial" w:hAnsi="Arial"/>
                <w:sz w:val="16"/>
                <w:szCs w:val="16"/>
                <w:color w:val="auto"/>
              </w:rPr>
              <w:t>has the meaning set forth in Section 14.1(a) (Escalation);</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1.87</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Exploit</w:t>
            </w:r>
          </w:p>
        </w:tc>
        <w:tc>
          <w:tcPr>
            <w:tcW w:w="6220" w:type="dxa"/>
            <w:vAlign w:val="bottom"/>
          </w:tcPr>
          <w:p>
            <w:pPr>
              <w:ind w:left="400"/>
              <w:spacing w:after="0"/>
              <w:rPr>
                <w:sz w:val="20"/>
                <w:szCs w:val="20"/>
                <w:color w:val="auto"/>
              </w:rPr>
            </w:pPr>
            <w:r>
              <w:rPr>
                <w:rFonts w:ascii="Arial" w:cs="Arial" w:eastAsia="Arial" w:hAnsi="Arial"/>
                <w:sz w:val="16"/>
                <w:szCs w:val="16"/>
                <w:color w:val="auto"/>
              </w:rPr>
              <w:t>means Develop, have Developed, make, have made, use, have used, perform</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w w:val="98"/>
              </w:rPr>
              <w:t>medical affairs, have performed medical affairs, offer for sale, have offered for sale,</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sell, have sold, export, have exported, import, have imported, Manufacture, have</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Manufactured,   Commercialize   or   have   Commercialized. "Exploitation"  and</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"Exploiting" will be construed accordingly;</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1.88</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Extensions</w:t>
            </w:r>
          </w:p>
        </w:tc>
        <w:tc>
          <w:tcPr>
            <w:tcW w:w="6220" w:type="dxa"/>
            <w:vAlign w:val="bottom"/>
          </w:tcPr>
          <w:p>
            <w:pPr>
              <w:ind w:left="400"/>
              <w:spacing w:after="0"/>
              <w:rPr>
                <w:sz w:val="20"/>
                <w:szCs w:val="20"/>
                <w:color w:val="auto"/>
              </w:rPr>
            </w:pPr>
            <w:r>
              <w:rPr>
                <w:rFonts w:ascii="Arial" w:cs="Arial" w:eastAsia="Arial" w:hAnsi="Arial"/>
                <w:sz w:val="16"/>
                <w:szCs w:val="16"/>
                <w:color w:val="auto"/>
              </w:rPr>
              <w:t>has  the  meaning  set  forth  in  Section  9.2(h)  (Patent  term  extension  and</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supplementary protection certificates);</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1.89</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External Expenses</w:t>
            </w:r>
          </w:p>
        </w:tc>
        <w:tc>
          <w:tcPr>
            <w:tcW w:w="6220" w:type="dxa"/>
            <w:vAlign w:val="bottom"/>
          </w:tcPr>
          <w:p>
            <w:pPr>
              <w:ind w:left="400"/>
              <w:spacing w:after="0"/>
              <w:rPr>
                <w:sz w:val="20"/>
                <w:szCs w:val="20"/>
                <w:color w:val="auto"/>
              </w:rPr>
            </w:pPr>
            <w:r>
              <w:rPr>
                <w:rFonts w:ascii="Arial" w:cs="Arial" w:eastAsia="Arial" w:hAnsi="Arial"/>
                <w:sz w:val="16"/>
                <w:szCs w:val="16"/>
                <w:color w:val="auto"/>
                <w:w w:val="98"/>
              </w:rPr>
              <w:t>means documented expenses paid to Third Parties (or payable to Third Parties and</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w w:val="98"/>
              </w:rPr>
              <w:t>accrued in accordance with Accounting Standards) by a Party (or its Affiliate) in the</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w w:val="99"/>
              </w:rPr>
              <w:t>performance of activities under this Agreement, including capital expenditures that</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w w:val="98"/>
              </w:rPr>
              <w:t>are specifically allocated to such activities and travel expenses incurred for carrying</w:t>
            </w:r>
          </w:p>
        </w:tc>
      </w:tr>
      <w:tr>
        <w:trPr>
          <w:trHeight w:val="228"/>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out such activities, but excluding financing costs;</w:t>
            </w:r>
          </w:p>
        </w:tc>
      </w:tr>
      <w:tr>
        <w:trPr>
          <w:trHeight w:val="284"/>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1.90</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FDA</w:t>
            </w:r>
          </w:p>
        </w:tc>
        <w:tc>
          <w:tcPr>
            <w:tcW w:w="6220" w:type="dxa"/>
            <w:vAlign w:val="bottom"/>
          </w:tcPr>
          <w:p>
            <w:pPr>
              <w:ind w:left="400"/>
              <w:spacing w:after="0"/>
              <w:rPr>
                <w:sz w:val="20"/>
                <w:szCs w:val="20"/>
                <w:color w:val="auto"/>
              </w:rPr>
            </w:pPr>
            <w:r>
              <w:rPr>
                <w:rFonts w:ascii="Arial" w:cs="Arial" w:eastAsia="Arial" w:hAnsi="Arial"/>
                <w:sz w:val="16"/>
                <w:szCs w:val="16"/>
                <w:color w:val="auto"/>
                <w:w w:val="98"/>
              </w:rPr>
              <w:t>means the United States Food and Drug Administration and any successor agency</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or authority thereto;</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1.91</w:t>
            </w:r>
          </w:p>
        </w:tc>
        <w:tc>
          <w:tcPr>
            <w:tcW w:w="2340" w:type="dxa"/>
            <w:vAlign w:val="bottom"/>
          </w:tcPr>
          <w:p>
            <w:pPr>
              <w:ind w:left="280"/>
              <w:spacing w:after="0"/>
              <w:rPr>
                <w:sz w:val="20"/>
                <w:szCs w:val="20"/>
                <w:color w:val="auto"/>
              </w:rPr>
            </w:pPr>
            <w:r>
              <w:rPr>
                <w:rFonts w:ascii="Arial" w:cs="Arial" w:eastAsia="Arial" w:hAnsi="Arial"/>
                <w:sz w:val="16"/>
                <w:szCs w:val="16"/>
                <w:b w:val="1"/>
                <w:bCs w:val="1"/>
                <w:color w:val="auto"/>
              </w:rPr>
              <w:t>FD&amp;C Act</w:t>
            </w:r>
          </w:p>
        </w:tc>
        <w:tc>
          <w:tcPr>
            <w:tcW w:w="6220" w:type="dxa"/>
            <w:vAlign w:val="bottom"/>
          </w:tcPr>
          <w:p>
            <w:pPr>
              <w:ind w:left="400"/>
              <w:spacing w:after="0"/>
              <w:rPr>
                <w:sz w:val="20"/>
                <w:szCs w:val="20"/>
                <w:color w:val="auto"/>
              </w:rPr>
            </w:pPr>
            <w:r>
              <w:rPr>
                <w:rFonts w:ascii="Arial" w:cs="Arial" w:eastAsia="Arial" w:hAnsi="Arial"/>
                <w:sz w:val="16"/>
                <w:szCs w:val="16"/>
                <w:color w:val="auto"/>
                <w:w w:val="97"/>
              </w:rPr>
              <w:t>means the United States Food, Drug, and Cosmetic Act, as amended, and the rules</w:t>
            </w:r>
          </w:p>
        </w:tc>
      </w:tr>
      <w:tr>
        <w:trPr>
          <w:trHeight w:val="220"/>
        </w:trPr>
        <w:tc>
          <w:tcPr>
            <w:tcW w:w="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and regulations promulgated thereunder, as may be in effect from time to time;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w:t>
      </w:r>
    </w:p>
    <w:p>
      <w:pPr>
        <w:sectPr>
          <w:pgSz w:w="11900" w:h="16840" w:orient="portrait"/>
          <w:cols w:equalWidth="0" w:num="1">
            <w:col w:w="9200"/>
          </w:cols>
          <w:pgMar w:left="1260" w:top="1440" w:right="1440" w:bottom="1440" w:gutter="0" w:footer="0" w:header="0"/>
        </w:sectPr>
      </w:pPr>
    </w:p>
    <w:bookmarkStart w:id="785" w:name="page786"/>
    <w:bookmarkEnd w:id="78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1.92</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Field</w:t>
            </w:r>
          </w:p>
        </w:tc>
        <w:tc>
          <w:tcPr>
            <w:tcW w:w="6200" w:type="dxa"/>
            <w:vAlign w:val="bottom"/>
          </w:tcPr>
          <w:p>
            <w:pPr>
              <w:ind w:left="420"/>
              <w:spacing w:after="0"/>
              <w:rPr>
                <w:sz w:val="20"/>
                <w:szCs w:val="20"/>
                <w:color w:val="auto"/>
              </w:rPr>
            </w:pPr>
            <w:r>
              <w:rPr>
                <w:rFonts w:ascii="Arial" w:cs="Arial" w:eastAsia="Arial" w:hAnsi="Arial"/>
                <w:sz w:val="16"/>
                <w:szCs w:val="16"/>
                <w:color w:val="auto"/>
              </w:rPr>
              <w:t>means all therapeutic, prophylactic, palliative, analgesic and diagnostic uses in</w:t>
            </w:r>
          </w:p>
        </w:tc>
      </w:tr>
      <w:tr>
        <w:trPr>
          <w:trHeight w:val="220"/>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humans and animals;</w:t>
            </w:r>
          </w:p>
        </w:tc>
      </w:tr>
      <w:tr>
        <w:trPr>
          <w:trHeight w:val="35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1.93</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First Commercial Sale</w:t>
            </w:r>
          </w:p>
        </w:tc>
        <w:tc>
          <w:tcPr>
            <w:tcW w:w="6200" w:type="dxa"/>
            <w:vAlign w:val="bottom"/>
          </w:tcPr>
          <w:p>
            <w:pPr>
              <w:ind w:left="420"/>
              <w:spacing w:after="0"/>
              <w:rPr>
                <w:sz w:val="20"/>
                <w:szCs w:val="20"/>
                <w:color w:val="auto"/>
              </w:rPr>
            </w:pPr>
            <w:r>
              <w:rPr>
                <w:rFonts w:ascii="Arial" w:cs="Arial" w:eastAsia="Arial" w:hAnsi="Arial"/>
                <w:sz w:val="16"/>
                <w:szCs w:val="16"/>
                <w:color w:val="auto"/>
              </w:rPr>
              <w:t>means, on a Licensed Product-by-Licensed Product basis, the first sale of such</w:t>
            </w:r>
          </w:p>
        </w:tc>
      </w:tr>
      <w:tr>
        <w:trPr>
          <w:trHeight w:val="220"/>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Licensed Product by BioNTech, its Affiliate, or their Sublicensee to a Third Party or</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Governmental Authority in a country following Marketing Authorization in such</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country. Sales or transfers of reasonable quantities of a Licensed Product for</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Development, including proof of concept studies or other Clinical Trial purposes, or</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for compassionate use or named patient supply shall not be considered a First</w:t>
            </w:r>
          </w:p>
        </w:tc>
      </w:tr>
      <w:tr>
        <w:trPr>
          <w:trHeight w:val="228"/>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Commercial Sale;</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1.94</w:t>
            </w:r>
          </w:p>
        </w:tc>
        <w:tc>
          <w:tcPr>
            <w:tcW w:w="2360" w:type="dxa"/>
            <w:vAlign w:val="bottom"/>
          </w:tcPr>
          <w:p>
            <w:pPr>
              <w:ind w:left="280"/>
              <w:spacing w:after="0"/>
              <w:rPr>
                <w:sz w:val="20"/>
                <w:szCs w:val="20"/>
                <w:color w:val="auto"/>
              </w:rPr>
            </w:pPr>
            <w:r>
              <w:rPr>
                <w:rFonts w:ascii="Arial" w:cs="Arial" w:eastAsia="Arial" w:hAnsi="Arial"/>
                <w:sz w:val="16"/>
                <w:szCs w:val="16"/>
                <w:b w:val="1"/>
                <w:bCs w:val="1"/>
                <w:color w:val="auto"/>
              </w:rPr>
              <w:t>Force Majeure</w:t>
            </w:r>
          </w:p>
        </w:tc>
        <w:tc>
          <w:tcPr>
            <w:tcW w:w="6200" w:type="dxa"/>
            <w:vAlign w:val="bottom"/>
          </w:tcPr>
          <w:p>
            <w:pPr>
              <w:ind w:left="420"/>
              <w:spacing w:after="0"/>
              <w:rPr>
                <w:sz w:val="20"/>
                <w:szCs w:val="20"/>
                <w:color w:val="auto"/>
              </w:rPr>
            </w:pPr>
            <w:r>
              <w:rPr>
                <w:rFonts w:ascii="Arial" w:cs="Arial" w:eastAsia="Arial" w:hAnsi="Arial"/>
                <w:sz w:val="16"/>
                <w:szCs w:val="16"/>
                <w:color w:val="auto"/>
                <w:w w:val="98"/>
              </w:rPr>
              <w:t>means any act of God, pandemic, flood, fire, explosion, earthquake, strike, lockout,</w:t>
            </w:r>
          </w:p>
        </w:tc>
      </w:tr>
      <w:tr>
        <w:trPr>
          <w:trHeight w:val="220"/>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w w:val="97"/>
              </w:rPr>
              <w:t>labor dispute (except for any strike, lockout, or labor dispute involving a Party's own</w:t>
            </w:r>
          </w:p>
        </w:tc>
      </w:tr>
    </w:tbl>
    <w:p>
      <w:pPr>
        <w:spacing w:after="0" w:line="23" w:lineRule="exact"/>
        <w:rPr>
          <w:sz w:val="20"/>
          <w:szCs w:val="20"/>
          <w:color w:val="auto"/>
        </w:rPr>
      </w:pPr>
    </w:p>
    <w:p>
      <w:pPr>
        <w:ind w:left="3360" w:right="80"/>
        <w:spacing w:after="0" w:line="325" w:lineRule="auto"/>
        <w:rPr>
          <w:sz w:val="20"/>
          <w:szCs w:val="20"/>
          <w:color w:val="auto"/>
        </w:rPr>
      </w:pPr>
      <w:r>
        <w:rPr>
          <w:rFonts w:ascii="Arial" w:cs="Arial" w:eastAsia="Arial" w:hAnsi="Arial"/>
          <w:sz w:val="16"/>
          <w:szCs w:val="16"/>
          <w:color w:val="auto"/>
        </w:rPr>
        <w:t>employees), casualty or accident, or war, revolution, civil commotion, or act of terrorism;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ectPr>
          <w:pgSz w:w="11900" w:h="16840" w:orient="portrait"/>
          <w:cols w:equalWidth="0" w:num="1">
            <w:col w:w="9200"/>
          </w:cols>
          <w:pgMar w:left="1260" w:top="1440" w:right="1440" w:bottom="1440" w:gutter="0" w:footer="0" w:header="0"/>
        </w:sectPr>
      </w:pPr>
    </w:p>
    <w:bookmarkStart w:id="786" w:name="page787"/>
    <w:bookmarkEnd w:id="78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1.95</w:t>
            </w:r>
          </w:p>
        </w:tc>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FTE</w:t>
            </w:r>
          </w:p>
        </w:tc>
        <w:tc>
          <w:tcPr>
            <w:tcW w:w="6260" w:type="dxa"/>
            <w:vAlign w:val="bottom"/>
          </w:tcPr>
          <w:p>
            <w:pPr>
              <w:ind w:left="400"/>
              <w:spacing w:after="0"/>
              <w:rPr>
                <w:sz w:val="20"/>
                <w:szCs w:val="20"/>
                <w:color w:val="auto"/>
              </w:rPr>
            </w:pPr>
            <w:r>
              <w:rPr>
                <w:rFonts w:ascii="Arial" w:cs="Arial" w:eastAsia="Arial" w:hAnsi="Arial"/>
                <w:sz w:val="16"/>
                <w:szCs w:val="16"/>
                <w:color w:val="auto"/>
                <w:w w:val="97"/>
              </w:rPr>
              <w:t>means the equivalent of the time of a full-time employee of Biotheus or its applicable</w:t>
            </w:r>
          </w:p>
        </w:tc>
      </w:tr>
      <w:tr>
        <w:trPr>
          <w:trHeight w:val="220"/>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9"/>
              </w:rPr>
              <w:t>Affiliate for a twelve (12) month period devoted to Development and Manufacturing</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9"/>
              </w:rPr>
              <w:t>(excluding management and indirectly related personnel's time), where "full-time" is</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determined by [***] hours per Calendar Year. In the event that any individual who</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works full-time during a given Calendar Year works partially on the activities under</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8"/>
              </w:rPr>
              <w:t>this Agreement and partially on other work outside this Agreement, then the full-time</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equivalent to be attributed to such individual's work hereunder for such Calendar</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Year shall be equal to the percentage of such individual's total work time in such</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7"/>
              </w:rPr>
              <w:t>Calendar Year that such individual spent working on activities under this Agreement.</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For avoidance of doubt, FTE shall exclude individuals responsible for managerial,</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secretarial, clerical and administrative activities;</w:t>
            </w:r>
          </w:p>
        </w:tc>
      </w:tr>
      <w:tr>
        <w:trPr>
          <w:trHeight w:val="284"/>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1.96</w:t>
            </w:r>
          </w:p>
        </w:tc>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FTE Costs</w:t>
            </w:r>
          </w:p>
        </w:tc>
        <w:tc>
          <w:tcPr>
            <w:tcW w:w="6260" w:type="dxa"/>
            <w:vAlign w:val="bottom"/>
          </w:tcPr>
          <w:p>
            <w:pPr>
              <w:ind w:left="400"/>
              <w:spacing w:after="0"/>
              <w:rPr>
                <w:sz w:val="20"/>
                <w:szCs w:val="20"/>
                <w:color w:val="auto"/>
              </w:rPr>
            </w:pPr>
            <w:r>
              <w:rPr>
                <w:rFonts w:ascii="Arial" w:cs="Arial" w:eastAsia="Arial" w:hAnsi="Arial"/>
                <w:sz w:val="16"/>
                <w:szCs w:val="16"/>
                <w:color w:val="auto"/>
              </w:rPr>
              <w:t>means an amount equal to the product of the FTE Rate and the actual number of</w:t>
            </w:r>
          </w:p>
        </w:tc>
      </w:tr>
      <w:tr>
        <w:trPr>
          <w:trHeight w:val="220"/>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9"/>
              </w:rPr>
              <w:t>FTEs who performed the applicable activities. For clarity, FTE shall be pro-rated on</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rPr>
              <w:t>a daily basis if necessary;</w:t>
            </w:r>
          </w:p>
        </w:tc>
      </w:tr>
      <w:tr>
        <w:trPr>
          <w:trHeight w:val="284"/>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1.97</w:t>
            </w:r>
          </w:p>
        </w:tc>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FTE Rate</w:t>
            </w:r>
          </w:p>
        </w:tc>
        <w:tc>
          <w:tcPr>
            <w:tcW w:w="6260" w:type="dxa"/>
            <w:vAlign w:val="bottom"/>
          </w:tcPr>
          <w:p>
            <w:pPr>
              <w:ind w:left="400"/>
              <w:spacing w:after="0"/>
              <w:rPr>
                <w:sz w:val="20"/>
                <w:szCs w:val="20"/>
                <w:color w:val="auto"/>
              </w:rPr>
            </w:pPr>
            <w:r>
              <w:rPr>
                <w:rFonts w:ascii="Arial" w:cs="Arial" w:eastAsia="Arial" w:hAnsi="Arial"/>
                <w:sz w:val="16"/>
                <w:szCs w:val="16"/>
                <w:color w:val="auto"/>
              </w:rPr>
              <w:t>means an annual rate of: (a) in respect of activities conducted in the [***], [***] for</w:t>
            </w:r>
          </w:p>
        </w:tc>
      </w:tr>
      <w:tr>
        <w:trPr>
          <w:trHeight w:val="220"/>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7"/>
              </w:rPr>
              <w:t>activities conducted [***]; and (b) in respect of activities conducted in the [***], (i) [***]</w:t>
            </w:r>
          </w:p>
        </w:tc>
      </w:t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6"/>
                <w:szCs w:val="16"/>
                <w:color w:val="auto"/>
                <w:w w:val="97"/>
              </w:rPr>
              <w:t>for activities conducted [***]; and (ii) [***] for activities conducted [***], subject to [***];</w:t>
            </w:r>
          </w:p>
        </w:tc>
      </w:tr>
      <w:tr>
        <w:trPr>
          <w:trHeight w:val="572"/>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1.98</w:t>
            </w:r>
          </w:p>
        </w:tc>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Global CDP</w:t>
            </w:r>
          </w:p>
        </w:tc>
        <w:tc>
          <w:tcPr>
            <w:tcW w:w="6260" w:type="dxa"/>
            <w:vAlign w:val="bottom"/>
          </w:tcPr>
          <w:p>
            <w:pPr>
              <w:ind w:left="400"/>
              <w:spacing w:after="0"/>
              <w:rPr>
                <w:sz w:val="20"/>
                <w:szCs w:val="20"/>
                <w:color w:val="auto"/>
              </w:rPr>
            </w:pPr>
            <w:r>
              <w:rPr>
                <w:rFonts w:ascii="Arial" w:cs="Arial" w:eastAsia="Arial" w:hAnsi="Arial"/>
                <w:sz w:val="16"/>
                <w:szCs w:val="16"/>
                <w:color w:val="auto"/>
              </w:rPr>
              <w:t>has the meaning set forth in Section 5.3(a) (Global CDP);</w:t>
            </w:r>
          </w:p>
        </w:tc>
      </w:tr>
      <w:tr>
        <w:trPr>
          <w:trHeight w:val="576"/>
        </w:trPr>
        <w:tc>
          <w:tcPr>
            <w:tcW w:w="580" w:type="dxa"/>
            <w:vAlign w:val="bottom"/>
          </w:tcPr>
          <w:p>
            <w:pPr>
              <w:jc w:val="right"/>
              <w:ind w:right="202"/>
              <w:spacing w:after="0"/>
              <w:rPr>
                <w:sz w:val="20"/>
                <w:szCs w:val="20"/>
                <w:color w:val="auto"/>
              </w:rPr>
            </w:pPr>
            <w:r>
              <w:rPr>
                <w:rFonts w:ascii="Arial" w:cs="Arial" w:eastAsia="Arial" w:hAnsi="Arial"/>
                <w:sz w:val="16"/>
                <w:szCs w:val="16"/>
                <w:color w:val="auto"/>
                <w:w w:val="89"/>
              </w:rPr>
              <w:t>1.99</w:t>
            </w:r>
          </w:p>
        </w:tc>
        <w:tc>
          <w:tcPr>
            <w:tcW w:w="2300" w:type="dxa"/>
            <w:vAlign w:val="bottom"/>
          </w:tcPr>
          <w:p>
            <w:pPr>
              <w:ind w:left="300"/>
              <w:spacing w:after="0"/>
              <w:rPr>
                <w:sz w:val="20"/>
                <w:szCs w:val="20"/>
                <w:color w:val="auto"/>
              </w:rPr>
            </w:pPr>
            <w:r>
              <w:rPr>
                <w:rFonts w:ascii="Arial" w:cs="Arial" w:eastAsia="Arial" w:hAnsi="Arial"/>
                <w:sz w:val="16"/>
                <w:szCs w:val="16"/>
                <w:b w:val="1"/>
                <w:bCs w:val="1"/>
                <w:color w:val="auto"/>
              </w:rPr>
              <w:t>Global CDP Activities</w:t>
            </w:r>
          </w:p>
        </w:tc>
        <w:tc>
          <w:tcPr>
            <w:tcW w:w="6260" w:type="dxa"/>
            <w:vAlign w:val="bottom"/>
          </w:tcPr>
          <w:p>
            <w:pPr>
              <w:ind w:left="400"/>
              <w:spacing w:after="0"/>
              <w:rPr>
                <w:sz w:val="20"/>
                <w:szCs w:val="20"/>
                <w:color w:val="auto"/>
              </w:rPr>
            </w:pPr>
            <w:r>
              <w:rPr>
                <w:rFonts w:ascii="Arial" w:cs="Arial" w:eastAsia="Arial" w:hAnsi="Arial"/>
                <w:sz w:val="16"/>
                <w:szCs w:val="16"/>
                <w:color w:val="auto"/>
              </w:rPr>
              <w:t>means the activities to be conducted by the Parties pursuant to the Global CDP;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w:t>
      </w:r>
    </w:p>
    <w:p>
      <w:pPr>
        <w:sectPr>
          <w:pgSz w:w="11900" w:h="16840" w:orient="portrait"/>
          <w:cols w:equalWidth="0" w:num="1">
            <w:col w:w="9200"/>
          </w:cols>
          <w:pgMar w:left="1260" w:top="1440" w:right="1440" w:bottom="1440" w:gutter="0" w:footer="0" w:header="0"/>
        </w:sectPr>
      </w:pPr>
    </w:p>
    <w:bookmarkStart w:id="787" w:name="page788"/>
    <w:bookmarkEnd w:id="78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jc w:val="right"/>
              <w:ind w:right="162"/>
              <w:spacing w:after="0"/>
              <w:rPr>
                <w:sz w:val="20"/>
                <w:szCs w:val="20"/>
                <w:color w:val="auto"/>
              </w:rPr>
            </w:pPr>
            <w:r>
              <w:rPr>
                <w:rFonts w:ascii="Arial" w:cs="Arial" w:eastAsia="Arial" w:hAnsi="Arial"/>
                <w:sz w:val="16"/>
                <w:szCs w:val="16"/>
                <w:color w:val="auto"/>
                <w:w w:val="94"/>
              </w:rPr>
              <w:t>1.100</w:t>
            </w: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w w:val="99"/>
              </w:rPr>
              <w:t>Global Commercialization Strategy</w:t>
            </w:r>
          </w:p>
        </w:tc>
        <w:tc>
          <w:tcPr>
            <w:tcW w:w="5600" w:type="dxa"/>
            <w:vAlign w:val="bottom"/>
          </w:tcPr>
          <w:p>
            <w:pPr>
              <w:ind w:left="100"/>
              <w:spacing w:after="0"/>
              <w:rPr>
                <w:sz w:val="20"/>
                <w:szCs w:val="20"/>
                <w:color w:val="auto"/>
              </w:rPr>
            </w:pPr>
            <w:r>
              <w:rPr>
                <w:rFonts w:ascii="Arial" w:cs="Arial" w:eastAsia="Arial" w:hAnsi="Arial"/>
                <w:sz w:val="16"/>
                <w:szCs w:val="16"/>
                <w:color w:val="auto"/>
              </w:rPr>
              <w:t>has  the  meaning  set  forth  in  Section  5.1(a)  (Global  Commercialization</w:t>
            </w:r>
          </w:p>
        </w:tc>
      </w:tr>
      <w:tr>
        <w:trPr>
          <w:trHeight w:val="220"/>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Strategy);</w:t>
            </w:r>
          </w:p>
        </w:tc>
      </w:tr>
      <w:tr>
        <w:trPr>
          <w:trHeight w:val="356"/>
        </w:trPr>
        <w:tc>
          <w:tcPr>
            <w:tcW w:w="640" w:type="dxa"/>
            <w:vAlign w:val="bottom"/>
          </w:tcPr>
          <w:p>
            <w:pPr>
              <w:jc w:val="right"/>
              <w:ind w:right="162"/>
              <w:spacing w:after="0"/>
              <w:rPr>
                <w:sz w:val="20"/>
                <w:szCs w:val="20"/>
                <w:color w:val="auto"/>
              </w:rPr>
            </w:pPr>
            <w:r>
              <w:rPr>
                <w:rFonts w:ascii="Arial" w:cs="Arial" w:eastAsia="Arial" w:hAnsi="Arial"/>
                <w:sz w:val="16"/>
                <w:szCs w:val="16"/>
                <w:color w:val="auto"/>
                <w:w w:val="94"/>
              </w:rPr>
              <w:t>1.101</w:t>
            </w: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rPr>
              <w:t>Global Trial</w:t>
            </w:r>
          </w:p>
        </w:tc>
        <w:tc>
          <w:tcPr>
            <w:tcW w:w="5600" w:type="dxa"/>
            <w:vAlign w:val="bottom"/>
          </w:tcPr>
          <w:p>
            <w:pPr>
              <w:ind w:left="100"/>
              <w:spacing w:after="0"/>
              <w:rPr>
                <w:sz w:val="20"/>
                <w:szCs w:val="20"/>
                <w:color w:val="auto"/>
              </w:rPr>
            </w:pPr>
            <w:r>
              <w:rPr>
                <w:rFonts w:ascii="Arial" w:cs="Arial" w:eastAsia="Arial" w:hAnsi="Arial"/>
                <w:sz w:val="16"/>
                <w:szCs w:val="16"/>
                <w:color w:val="auto"/>
              </w:rPr>
              <w:t>has the meaning set forth in Section 5.3(a) (Global CDP);</w:t>
            </w:r>
          </w:p>
        </w:tc>
      </w:tr>
      <w:tr>
        <w:trPr>
          <w:trHeight w:val="576"/>
        </w:trPr>
        <w:tc>
          <w:tcPr>
            <w:tcW w:w="640" w:type="dxa"/>
            <w:vAlign w:val="bottom"/>
          </w:tcPr>
          <w:p>
            <w:pPr>
              <w:jc w:val="right"/>
              <w:ind w:right="162"/>
              <w:spacing w:after="0"/>
              <w:rPr>
                <w:sz w:val="20"/>
                <w:szCs w:val="20"/>
                <w:color w:val="auto"/>
              </w:rPr>
            </w:pPr>
            <w:r>
              <w:rPr>
                <w:rFonts w:ascii="Arial" w:cs="Arial" w:eastAsia="Arial" w:hAnsi="Arial"/>
                <w:sz w:val="16"/>
                <w:szCs w:val="16"/>
                <w:color w:val="auto"/>
                <w:w w:val="94"/>
              </w:rPr>
              <w:t>1.102</w:t>
            </w: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rPr>
              <w:t>Governmental Approval</w:t>
            </w:r>
          </w:p>
        </w:tc>
        <w:tc>
          <w:tcPr>
            <w:tcW w:w="5600" w:type="dxa"/>
            <w:vAlign w:val="bottom"/>
          </w:tcPr>
          <w:p>
            <w:pPr>
              <w:ind w:left="100"/>
              <w:spacing w:after="0"/>
              <w:rPr>
                <w:sz w:val="20"/>
                <w:szCs w:val="20"/>
                <w:color w:val="auto"/>
              </w:rPr>
            </w:pPr>
            <w:r>
              <w:rPr>
                <w:rFonts w:ascii="Arial" w:cs="Arial" w:eastAsia="Arial" w:hAnsi="Arial"/>
                <w:sz w:val="16"/>
                <w:szCs w:val="16"/>
                <w:color w:val="auto"/>
              </w:rPr>
              <w:t>has the meaning set forth in Section 11.3(f) (Biotheus Covenants);</w:t>
            </w:r>
          </w:p>
        </w:tc>
      </w:tr>
      <w:tr>
        <w:trPr>
          <w:trHeight w:val="576"/>
        </w:trPr>
        <w:tc>
          <w:tcPr>
            <w:tcW w:w="640" w:type="dxa"/>
            <w:vAlign w:val="bottom"/>
          </w:tcPr>
          <w:p>
            <w:pPr>
              <w:jc w:val="right"/>
              <w:ind w:right="162"/>
              <w:spacing w:after="0"/>
              <w:rPr>
                <w:sz w:val="20"/>
                <w:szCs w:val="20"/>
                <w:color w:val="auto"/>
              </w:rPr>
            </w:pPr>
            <w:r>
              <w:rPr>
                <w:rFonts w:ascii="Arial" w:cs="Arial" w:eastAsia="Arial" w:hAnsi="Arial"/>
                <w:sz w:val="16"/>
                <w:szCs w:val="16"/>
                <w:color w:val="auto"/>
                <w:w w:val="94"/>
              </w:rPr>
              <w:t>1.103</w:t>
            </w: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rPr>
              <w:t>Government or Governmental</w:t>
            </w:r>
          </w:p>
        </w:tc>
        <w:tc>
          <w:tcPr>
            <w:tcW w:w="5600" w:type="dxa"/>
            <w:vAlign w:val="bottom"/>
          </w:tcPr>
          <w:p>
            <w:pPr>
              <w:ind w:left="100"/>
              <w:spacing w:after="0"/>
              <w:rPr>
                <w:sz w:val="20"/>
                <w:szCs w:val="20"/>
                <w:color w:val="auto"/>
              </w:rPr>
            </w:pPr>
            <w:r>
              <w:rPr>
                <w:rFonts w:ascii="Arial" w:cs="Arial" w:eastAsia="Arial" w:hAnsi="Arial"/>
                <w:sz w:val="16"/>
                <w:szCs w:val="16"/>
                <w:color w:val="auto"/>
              </w:rPr>
              <w:t>means (a) any national, federal, state, local, provincial, regional or foreign</w:t>
            </w:r>
          </w:p>
        </w:tc>
      </w:tr>
      <w:tr>
        <w:trPr>
          <w:trHeight w:val="240"/>
        </w:trPr>
        <w:tc>
          <w:tcPr>
            <w:tcW w:w="640" w:type="dxa"/>
            <w:vAlign w:val="bottom"/>
          </w:tcPr>
          <w:p>
            <w:pPr>
              <w:spacing w:after="0"/>
              <w:rPr>
                <w:sz w:val="20"/>
                <w:szCs w:val="20"/>
                <w:color w:val="auto"/>
              </w:rPr>
            </w:pP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rPr>
              <w:t>Authority</w:t>
            </w:r>
          </w:p>
        </w:tc>
        <w:tc>
          <w:tcPr>
            <w:tcW w:w="5600" w:type="dxa"/>
            <w:vAlign w:val="bottom"/>
          </w:tcPr>
          <w:p>
            <w:pPr>
              <w:ind w:left="100"/>
              <w:spacing w:after="0"/>
              <w:rPr>
                <w:sz w:val="20"/>
                <w:szCs w:val="20"/>
                <w:color w:val="auto"/>
              </w:rPr>
            </w:pPr>
            <w:r>
              <w:rPr>
                <w:rFonts w:ascii="Arial" w:cs="Arial" w:eastAsia="Arial" w:hAnsi="Arial"/>
                <w:sz w:val="16"/>
                <w:szCs w:val="16"/>
                <w:color w:val="auto"/>
              </w:rPr>
              <w:t>government, or level, ranch, or subdivision thereof; (b) any multinational or</w:t>
            </w:r>
          </w:p>
        </w:tc>
      </w:tr>
      <w:tr>
        <w:trPr>
          <w:trHeight w:val="208"/>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public international organization or authority; (c) any ministry, department,</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bureau, division, authority, agency, commission, or body entitled to exercise</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any administrative, executive, judicial, legislative, police, regulatory, or taxing</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w w:val="99"/>
              </w:rPr>
              <w:t>authority or power; (d) any court, tribunal, or governmental arbitrator or arbitral</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body; (e) any government-owned or controlled institution or entity; (f) any</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enterprise  or  instrumentality  performing  a  governmental  function;  (g)  any</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political party, and (h) any Regulatory Authority;</w:t>
            </w:r>
          </w:p>
        </w:tc>
      </w:tr>
      <w:tr>
        <w:trPr>
          <w:trHeight w:val="284"/>
        </w:trPr>
        <w:tc>
          <w:tcPr>
            <w:tcW w:w="640" w:type="dxa"/>
            <w:vAlign w:val="bottom"/>
          </w:tcPr>
          <w:p>
            <w:pPr>
              <w:jc w:val="right"/>
              <w:ind w:right="162"/>
              <w:spacing w:after="0"/>
              <w:rPr>
                <w:sz w:val="20"/>
                <w:szCs w:val="20"/>
                <w:color w:val="auto"/>
              </w:rPr>
            </w:pPr>
            <w:r>
              <w:rPr>
                <w:rFonts w:ascii="Arial" w:cs="Arial" w:eastAsia="Arial" w:hAnsi="Arial"/>
                <w:sz w:val="16"/>
                <w:szCs w:val="16"/>
                <w:color w:val="auto"/>
                <w:w w:val="94"/>
              </w:rPr>
              <w:t>1.104</w:t>
            </w:r>
          </w:p>
        </w:tc>
        <w:tc>
          <w:tcPr>
            <w:tcW w:w="2900" w:type="dxa"/>
            <w:vAlign w:val="bottom"/>
          </w:tcPr>
          <w:p>
            <w:pPr>
              <w:ind w:left="240"/>
              <w:spacing w:after="0"/>
              <w:rPr>
                <w:sz w:val="20"/>
                <w:szCs w:val="20"/>
                <w:color w:val="auto"/>
              </w:rPr>
            </w:pPr>
            <w:r>
              <w:rPr>
                <w:rFonts w:ascii="Arial" w:cs="Arial" w:eastAsia="Arial" w:hAnsi="Arial"/>
                <w:sz w:val="16"/>
                <w:szCs w:val="16"/>
                <w:b w:val="1"/>
                <w:bCs w:val="1"/>
                <w:color w:val="auto"/>
              </w:rPr>
              <w:t>Government Official</w:t>
            </w:r>
          </w:p>
        </w:tc>
        <w:tc>
          <w:tcPr>
            <w:tcW w:w="5600" w:type="dxa"/>
            <w:vAlign w:val="bottom"/>
          </w:tcPr>
          <w:p>
            <w:pPr>
              <w:ind w:left="100"/>
              <w:spacing w:after="0"/>
              <w:rPr>
                <w:sz w:val="20"/>
                <w:szCs w:val="20"/>
                <w:color w:val="auto"/>
              </w:rPr>
            </w:pPr>
            <w:r>
              <w:rPr>
                <w:rFonts w:ascii="Arial" w:cs="Arial" w:eastAsia="Arial" w:hAnsi="Arial"/>
                <w:sz w:val="16"/>
                <w:szCs w:val="16"/>
                <w:color w:val="auto"/>
              </w:rPr>
              <w:t>means (a) any elected or appointed government official (e.g., a member of a</w:t>
            </w:r>
          </w:p>
        </w:tc>
      </w:tr>
      <w:tr>
        <w:trPr>
          <w:trHeight w:val="220"/>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ministry of health), (b) any employee or person acting for or on behalf of a</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rPr>
              <w:t>government official, Governmental Authority, or other enterprise performing a</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w w:val="97"/>
              </w:rPr>
              <w:t>governmental function, (c) any political party, candidate for public office, officer,</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w w:val="99"/>
              </w:rPr>
              <w:t>employee, or person acting for or on behalf of a political party or candidate for</w:t>
            </w:r>
          </w:p>
        </w:tc>
      </w:tr>
      <w:tr>
        <w:trPr>
          <w:trHeight w:val="228"/>
        </w:trPr>
        <w:tc>
          <w:tcPr>
            <w:tcW w:w="6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600" w:type="dxa"/>
            <w:vAlign w:val="bottom"/>
          </w:tcPr>
          <w:p>
            <w:pPr>
              <w:ind w:left="100"/>
              <w:spacing w:after="0"/>
              <w:rPr>
                <w:sz w:val="20"/>
                <w:szCs w:val="20"/>
                <w:color w:val="auto"/>
              </w:rPr>
            </w:pPr>
            <w:r>
              <w:rPr>
                <w:rFonts w:ascii="Arial" w:cs="Arial" w:eastAsia="Arial" w:hAnsi="Arial"/>
                <w:sz w:val="16"/>
                <w:szCs w:val="16"/>
                <w:color w:val="auto"/>
                <w:w w:val="97"/>
              </w:rPr>
              <w:t>public office, (d) any member of a military or a royal or ruling family, and (e) any</w:t>
            </w:r>
          </w:p>
        </w:tc>
      </w:tr>
    </w:tbl>
    <w:p>
      <w:pPr>
        <w:spacing w:after="0" w:line="23" w:lineRule="exact"/>
        <w:rPr>
          <w:sz w:val="20"/>
          <w:szCs w:val="20"/>
          <w:color w:val="auto"/>
        </w:rPr>
      </w:pPr>
    </w:p>
    <w:p>
      <w:pPr>
        <w:jc w:val="both"/>
        <w:ind w:left="3640" w:right="60"/>
        <w:spacing w:after="0" w:line="353" w:lineRule="auto"/>
        <w:rPr>
          <w:sz w:val="20"/>
          <w:szCs w:val="20"/>
          <w:color w:val="auto"/>
        </w:rPr>
      </w:pPr>
      <w:r>
        <w:rPr>
          <w:rFonts w:ascii="Arial" w:cs="Arial" w:eastAsia="Arial" w:hAnsi="Arial"/>
          <w:sz w:val="14"/>
          <w:szCs w:val="14"/>
          <w:color w:val="auto"/>
        </w:rPr>
        <w:t>employee or person acting for or on behalf of a public international organization (e.g., the United Nations). For clarity, healthcare providers employed by Government-owned or -controlled hospitals, or a person serving on a healthcare committee that advises a Government, will be considered Government Officials. In addition, all healthcare providers in a given country will be considered Government Officials where this is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w:t>
      </w:r>
    </w:p>
    <w:p>
      <w:pPr>
        <w:sectPr>
          <w:pgSz w:w="11900" w:h="16840" w:orient="portrait"/>
          <w:cols w:equalWidth="0" w:num="1">
            <w:col w:w="9200"/>
          </w:cols>
          <w:pgMar w:left="1260" w:top="1440" w:right="1440" w:bottom="1440" w:gutter="0" w:footer="0" w:header="0"/>
        </w:sectPr>
      </w:pPr>
    </w:p>
    <w:bookmarkStart w:id="788" w:name="page789"/>
    <w:bookmarkEnd w:id="78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1.105</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GxP</w:t>
            </w:r>
          </w:p>
        </w:tc>
        <w:tc>
          <w:tcPr>
            <w:tcW w:w="5900" w:type="dxa"/>
            <w:vAlign w:val="bottom"/>
          </w:tcPr>
          <w:p>
            <w:pPr>
              <w:ind w:left="280"/>
              <w:spacing w:after="0"/>
              <w:rPr>
                <w:sz w:val="20"/>
                <w:szCs w:val="20"/>
                <w:color w:val="auto"/>
              </w:rPr>
            </w:pPr>
            <w:r>
              <w:rPr>
                <w:rFonts w:ascii="Arial" w:cs="Arial" w:eastAsia="Arial" w:hAnsi="Arial"/>
                <w:sz w:val="16"/>
                <w:szCs w:val="16"/>
                <w:color w:val="auto"/>
                <w:w w:val="99"/>
              </w:rPr>
              <w:t>means, collectively, all relevant good practice quality guidelines and regulations</w:t>
            </w:r>
          </w:p>
        </w:tc>
      </w:tr>
      <w:tr>
        <w:trPr>
          <w:trHeight w:val="220"/>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and  related  implementation  guidelines,  encompassing  such  internationally</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recognized standards as cGCP, cGMP, cGLP, cGVP;</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1.106</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HSR Act</w:t>
            </w:r>
          </w:p>
        </w:tc>
        <w:tc>
          <w:tcPr>
            <w:tcW w:w="5900" w:type="dxa"/>
            <w:vAlign w:val="bottom"/>
          </w:tcPr>
          <w:p>
            <w:pPr>
              <w:ind w:left="280"/>
              <w:spacing w:after="0"/>
              <w:rPr>
                <w:sz w:val="20"/>
                <w:szCs w:val="20"/>
                <w:color w:val="auto"/>
              </w:rPr>
            </w:pPr>
            <w:r>
              <w:rPr>
                <w:rFonts w:ascii="Arial" w:cs="Arial" w:eastAsia="Arial" w:hAnsi="Arial"/>
                <w:sz w:val="16"/>
                <w:szCs w:val="16"/>
                <w:color w:val="auto"/>
                <w:w w:val="99"/>
              </w:rPr>
              <w:t>means the Hart-Scott-Rodino Antitrust Improvements Act of 1976, codified at 15</w:t>
            </w:r>
          </w:p>
        </w:tc>
      </w:tr>
      <w:tr>
        <w:trPr>
          <w:trHeight w:val="220"/>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U.S.C. § 18a, as may be amended from time to time, and the rules and</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regulations  promulgated  thereunder,  or  foreign  equivalent  thereof  under</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Applicable  Law  (including  all  additions,  supplements,  extensions  and</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modifications thereto);</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1.107</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IFRS</w:t>
            </w:r>
          </w:p>
        </w:tc>
        <w:tc>
          <w:tcPr>
            <w:tcW w:w="5900" w:type="dxa"/>
            <w:vAlign w:val="bottom"/>
          </w:tcPr>
          <w:p>
            <w:pPr>
              <w:ind w:left="280"/>
              <w:spacing w:after="0"/>
              <w:rPr>
                <w:sz w:val="20"/>
                <w:szCs w:val="20"/>
                <w:color w:val="auto"/>
              </w:rPr>
            </w:pPr>
            <w:r>
              <w:rPr>
                <w:rFonts w:ascii="Arial" w:cs="Arial" w:eastAsia="Arial" w:hAnsi="Arial"/>
                <w:sz w:val="16"/>
                <w:szCs w:val="16"/>
                <w:color w:val="auto"/>
                <w:w w:val="97"/>
              </w:rPr>
              <w:t>means, at any time, the International Financial Reporting Standards promulgated</w:t>
            </w:r>
          </w:p>
        </w:tc>
      </w:tr>
      <w:tr>
        <w:trPr>
          <w:trHeight w:val="220"/>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w w:val="97"/>
              </w:rPr>
              <w:t>by the International Accounting Standards Board, as amended, supplemented, or</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replaced from time to time and as endorsed by the European Union;</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1.108</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Investigational New Drug</w:t>
            </w:r>
          </w:p>
        </w:tc>
        <w:tc>
          <w:tcPr>
            <w:tcW w:w="5900" w:type="dxa"/>
            <w:vAlign w:val="bottom"/>
          </w:tcPr>
          <w:p>
            <w:pPr>
              <w:ind w:left="280"/>
              <w:spacing w:after="0"/>
              <w:rPr>
                <w:sz w:val="20"/>
                <w:szCs w:val="20"/>
                <w:color w:val="auto"/>
              </w:rPr>
            </w:pPr>
            <w:r>
              <w:rPr>
                <w:rFonts w:ascii="Arial" w:cs="Arial" w:eastAsia="Arial" w:hAnsi="Arial"/>
                <w:sz w:val="16"/>
                <w:szCs w:val="16"/>
                <w:color w:val="auto"/>
              </w:rPr>
              <w:t>means, an Investigational New Drug application in the US filed with the FDA or</w:t>
            </w:r>
          </w:p>
        </w:tc>
      </w:tr>
      <w:tr>
        <w:trPr>
          <w:trHeight w:val="240"/>
        </w:trPr>
        <w:tc>
          <w:tcPr>
            <w:tcW w:w="660" w:type="dxa"/>
            <w:vAlign w:val="bottom"/>
          </w:tcPr>
          <w:p>
            <w:pPr>
              <w:spacing w:after="0"/>
              <w:rPr>
                <w:sz w:val="20"/>
                <w:szCs w:val="20"/>
                <w:color w:val="auto"/>
              </w:rPr>
            </w:pP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Application or IND</w:t>
            </w:r>
          </w:p>
        </w:tc>
        <w:tc>
          <w:tcPr>
            <w:tcW w:w="5900" w:type="dxa"/>
            <w:vAlign w:val="bottom"/>
          </w:tcPr>
          <w:p>
            <w:pPr>
              <w:ind w:left="280"/>
              <w:spacing w:after="0"/>
              <w:rPr>
                <w:sz w:val="20"/>
                <w:szCs w:val="20"/>
                <w:color w:val="auto"/>
              </w:rPr>
            </w:pPr>
            <w:r>
              <w:rPr>
                <w:rFonts w:ascii="Arial" w:cs="Arial" w:eastAsia="Arial" w:hAnsi="Arial"/>
                <w:sz w:val="16"/>
                <w:szCs w:val="16"/>
                <w:color w:val="auto"/>
                <w:w w:val="98"/>
              </w:rPr>
              <w:t>an analogous application or submission with any analogous Regulatory Authority</w:t>
            </w:r>
          </w:p>
        </w:tc>
      </w:tr>
      <w:tr>
        <w:trPr>
          <w:trHeight w:val="208"/>
        </w:trPr>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w w:val="98"/>
              </w:rPr>
              <w:t>in other countries / regions / regulatory jurisdictions for the purposes of obtaining</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permission  to  conduct  Clinical  Trials,  including  Clinical  Trial  applications</w:t>
            </w:r>
          </w:p>
        </w:tc>
      </w:tr>
      <w:tr>
        <w:trPr>
          <w:trHeight w:val="228"/>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submitted to Regulatory Authorities in the EU via the CTIS;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1.109</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Improved Licensed Product</w:t>
            </w:r>
          </w:p>
        </w:tc>
        <w:tc>
          <w:tcPr>
            <w:tcW w:w="5900" w:type="dxa"/>
            <w:vAlign w:val="bottom"/>
          </w:tcPr>
          <w:p>
            <w:pPr>
              <w:ind w:left="280"/>
              <w:spacing w:after="0"/>
              <w:rPr>
                <w:sz w:val="20"/>
                <w:szCs w:val="20"/>
                <w:color w:val="auto"/>
              </w:rPr>
            </w:pPr>
            <w:r>
              <w:rPr>
                <w:rFonts w:ascii="Arial" w:cs="Arial" w:eastAsia="Arial" w:hAnsi="Arial"/>
                <w:sz w:val="16"/>
                <w:szCs w:val="16"/>
                <w:color w:val="auto"/>
              </w:rPr>
              <w:t>means a Licensed Product that is [***]. For clarity, a Preclinical Multispecific</w:t>
            </w:r>
          </w:p>
        </w:tc>
      </w:tr>
      <w:tr>
        <w:trPr>
          <w:trHeight w:val="220"/>
        </w:trPr>
        <w:tc>
          <w:tcPr>
            <w:tcW w:w="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6"/>
                <w:szCs w:val="16"/>
                <w:color w:val="auto"/>
              </w:rPr>
              <w:t>Licensed Product shall not be deemed to be an Improved Licensed Product;</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1.110</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Improved Licensed Product</w:t>
            </w:r>
          </w:p>
        </w:tc>
        <w:tc>
          <w:tcPr>
            <w:tcW w:w="5900" w:type="dxa"/>
            <w:vAlign w:val="bottom"/>
          </w:tcPr>
          <w:p>
            <w:pPr>
              <w:ind w:left="280"/>
              <w:spacing w:after="0"/>
              <w:rPr>
                <w:sz w:val="20"/>
                <w:szCs w:val="20"/>
                <w:color w:val="auto"/>
              </w:rPr>
            </w:pPr>
            <w:r>
              <w:rPr>
                <w:rFonts w:ascii="Arial" w:cs="Arial" w:eastAsia="Arial" w:hAnsi="Arial"/>
                <w:sz w:val="16"/>
                <w:szCs w:val="16"/>
                <w:color w:val="auto"/>
              </w:rPr>
              <w:t>has the meaning set forth in Section 3.7 (BioNTech Exclusivity and Improved</w:t>
            </w:r>
          </w:p>
        </w:tc>
      </w:tr>
      <w:tr>
        <w:trPr>
          <w:trHeight w:val="240"/>
        </w:trPr>
        <w:tc>
          <w:tcPr>
            <w:tcW w:w="660" w:type="dxa"/>
            <w:vAlign w:val="bottom"/>
          </w:tcPr>
          <w:p>
            <w:pPr>
              <w:spacing w:after="0"/>
              <w:rPr>
                <w:sz w:val="20"/>
                <w:szCs w:val="20"/>
                <w:color w:val="auto"/>
              </w:rPr>
            </w:pPr>
          </w:p>
        </w:tc>
        <w:tc>
          <w:tcPr>
            <w:tcW w:w="2580" w:type="dxa"/>
            <w:vAlign w:val="bottom"/>
          </w:tcPr>
          <w:p>
            <w:pPr>
              <w:ind w:left="240"/>
              <w:spacing w:after="0"/>
              <w:rPr>
                <w:sz w:val="20"/>
                <w:szCs w:val="20"/>
                <w:color w:val="auto"/>
              </w:rPr>
            </w:pPr>
            <w:r>
              <w:rPr>
                <w:rFonts w:ascii="Arial" w:cs="Arial" w:eastAsia="Arial" w:hAnsi="Arial"/>
                <w:sz w:val="16"/>
                <w:szCs w:val="16"/>
                <w:b w:val="1"/>
                <w:bCs w:val="1"/>
                <w:color w:val="auto"/>
              </w:rPr>
              <w:t>Conditions</w:t>
            </w:r>
          </w:p>
        </w:tc>
        <w:tc>
          <w:tcPr>
            <w:tcW w:w="5900" w:type="dxa"/>
            <w:vAlign w:val="bottom"/>
          </w:tcPr>
          <w:p>
            <w:pPr>
              <w:ind w:left="280"/>
              <w:spacing w:after="0"/>
              <w:rPr>
                <w:sz w:val="20"/>
                <w:szCs w:val="20"/>
                <w:color w:val="auto"/>
              </w:rPr>
            </w:pPr>
            <w:r>
              <w:rPr>
                <w:rFonts w:ascii="Arial" w:cs="Arial" w:eastAsia="Arial" w:hAnsi="Arial"/>
                <w:sz w:val="16"/>
                <w:szCs w:val="16"/>
                <w:color w:val="auto"/>
              </w:rPr>
              <w:t>Licensed Product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40" w:orient="portrait"/>
          <w:cols w:equalWidth="0" w:num="1">
            <w:col w:w="9200"/>
          </w:cols>
          <w:pgMar w:left="1260" w:top="1440" w:right="1440" w:bottom="1440" w:gutter="0" w:footer="0" w:header="0"/>
        </w:sectPr>
      </w:pPr>
    </w:p>
    <w:bookmarkStart w:id="789" w:name="page790"/>
    <w:bookmarkEnd w:id="789"/>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1.111</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Indemnitee</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12.3 (Conditions to Indemnification);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1.112</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Indication</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1.113</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Indirect Taxes</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means value added, sales, consumption, goods, and services taxes or other</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w w:val="98"/>
              </w:rPr>
              <w:t>similar taxes required by Applicable Law to be disclosed as a separate item on the</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relevant invoice;</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1.114</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Infringement</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9.3(a) (Notification);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1.115</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Infringement Action</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9.3(b) (Infringement Actions);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1.116</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In-Licensed BioNTech Products</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means any compound or product the rights to which are owned by a Third Party</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w w:val="98"/>
              </w:rPr>
              <w:t>and either as at the Effective Date or during the Term are licensed to or otherwise</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acquired by BioNTech or its Affiliates;</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1.117</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Intellectual Property Rights</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w w:val="98"/>
              </w:rPr>
              <w:t>means any Know-How, Patent Rights, Trademarks, copyrights, trade secrets, and</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w w:val="99"/>
              </w:rPr>
              <w:t>any other intellectual property rights however denominated throughout the world;</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1.118</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Interest Rate</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has the meaning set forth in Section 8.14 (Late Fees);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1.119</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Internal Costs</w:t>
            </w: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means, for any period, the product obtained by multiplying:</w:t>
            </w:r>
          </w:p>
        </w:tc>
      </w:tr>
      <w:tr>
        <w:trPr>
          <w:trHeight w:val="508"/>
        </w:trPr>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(a)</w:t>
            </w:r>
          </w:p>
        </w:tc>
        <w:tc>
          <w:tcPr>
            <w:tcW w:w="5340" w:type="dxa"/>
            <w:vAlign w:val="bottom"/>
          </w:tcPr>
          <w:p>
            <w:pPr>
              <w:ind w:left="200"/>
              <w:spacing w:after="0"/>
              <w:rPr>
                <w:sz w:val="20"/>
                <w:szCs w:val="20"/>
                <w:color w:val="auto"/>
              </w:rPr>
            </w:pPr>
            <w:r>
              <w:rPr>
                <w:rFonts w:ascii="Arial" w:cs="Arial" w:eastAsia="Arial" w:hAnsi="Arial"/>
                <w:sz w:val="16"/>
                <w:szCs w:val="16"/>
                <w:color w:val="auto"/>
                <w:w w:val="97"/>
              </w:rPr>
              <w:t>the actual total FTEs (or portion thereof) devoted to the performance of an</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gridSpan w:val="2"/>
          </w:tcPr>
          <w:p>
            <w:pPr>
              <w:ind w:left="80"/>
              <w:spacing w:after="0"/>
              <w:rPr>
                <w:sz w:val="20"/>
                <w:szCs w:val="20"/>
                <w:color w:val="auto"/>
              </w:rPr>
            </w:pPr>
            <w:r>
              <w:rPr>
                <w:rFonts w:ascii="Arial" w:cs="Arial" w:eastAsia="Arial" w:hAnsi="Arial"/>
                <w:sz w:val="16"/>
                <w:szCs w:val="16"/>
                <w:color w:val="auto"/>
              </w:rPr>
              <w:t>activity under this Agreement during such period, by</w:t>
            </w:r>
          </w:p>
        </w:tc>
      </w:tr>
      <w:tr>
        <w:trPr>
          <w:trHeight w:val="516"/>
        </w:trPr>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(b)</w:t>
            </w:r>
          </w:p>
        </w:tc>
        <w:tc>
          <w:tcPr>
            <w:tcW w:w="5340" w:type="dxa"/>
            <w:vAlign w:val="bottom"/>
          </w:tcPr>
          <w:p>
            <w:pPr>
              <w:ind w:left="200"/>
              <w:spacing w:after="0"/>
              <w:rPr>
                <w:sz w:val="20"/>
                <w:szCs w:val="20"/>
                <w:color w:val="auto"/>
              </w:rPr>
            </w:pPr>
            <w:r>
              <w:rPr>
                <w:rFonts w:ascii="Arial" w:cs="Arial" w:eastAsia="Arial" w:hAnsi="Arial"/>
                <w:sz w:val="16"/>
                <w:szCs w:val="16"/>
                <w:color w:val="auto"/>
              </w:rPr>
              <w:t>the applicable FTE Rate;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20</w:t>
      </w:r>
    </w:p>
    <w:p>
      <w:pPr>
        <w:sectPr>
          <w:pgSz w:w="11900" w:h="16840" w:orient="portrait"/>
          <w:cols w:equalWidth="0" w:num="1">
            <w:col w:w="9200"/>
          </w:cols>
          <w:pgMar w:left="1260" w:top="1440" w:right="1440" w:bottom="1440" w:gutter="0" w:footer="0" w:header="0"/>
        </w:sectPr>
      </w:pPr>
    </w:p>
    <w:bookmarkStart w:id="790" w:name="page791"/>
    <w:bookmarkEnd w:id="79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1.120</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Invention</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any invention, discovery, or Know-How that is discovered, generated or</w:t>
            </w:r>
          </w:p>
        </w:tc>
      </w:tr>
      <w:tr>
        <w:trPr>
          <w:trHeight w:val="220"/>
        </w:trPr>
        <w:tc>
          <w:tcPr>
            <w:tcW w:w="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conceived by or on behalf of a Party or its Affiliate or Sublicensee in the</w:t>
            </w:r>
          </w:p>
        </w:tc>
      </w:tr>
      <w:tr>
        <w:trPr>
          <w:trHeight w:val="228"/>
        </w:trPr>
        <w:tc>
          <w:tcPr>
            <w:tcW w:w="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performance of activities under this Agreement;</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1.121</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JCWG</w:t>
            </w:r>
          </w:p>
        </w:tc>
        <w:tc>
          <w:tcPr>
            <w:tcW w:w="5960" w:type="dxa"/>
            <w:vAlign w:val="bottom"/>
          </w:tcPr>
          <w:p>
            <w:pPr>
              <w:ind w:left="260"/>
              <w:spacing w:after="0"/>
              <w:rPr>
                <w:sz w:val="20"/>
                <w:szCs w:val="20"/>
                <w:color w:val="auto"/>
              </w:rPr>
            </w:pPr>
            <w:r>
              <w:rPr>
                <w:rFonts w:ascii="Arial" w:cs="Arial" w:eastAsia="Arial" w:hAnsi="Arial"/>
                <w:sz w:val="16"/>
                <w:szCs w:val="16"/>
                <w:color w:val="auto"/>
                <w:w w:val="98"/>
              </w:rPr>
              <w:t>has the meaning set forth in Section 5.1(b) (Formation of Joint Commercialization</w:t>
            </w:r>
          </w:p>
        </w:tc>
      </w:tr>
      <w:tr>
        <w:trPr>
          <w:trHeight w:val="220"/>
        </w:trPr>
        <w:tc>
          <w:tcPr>
            <w:tcW w:w="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Working Group);</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1.122</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CDP</w:t>
            </w:r>
          </w:p>
        </w:tc>
        <w:tc>
          <w:tcPr>
            <w:tcW w:w="5960" w:type="dxa"/>
            <w:vAlign w:val="bottom"/>
          </w:tcPr>
          <w:p>
            <w:pPr>
              <w:ind w:left="260"/>
              <w:spacing w:after="0"/>
              <w:rPr>
                <w:sz w:val="20"/>
                <w:szCs w:val="20"/>
                <w:color w:val="auto"/>
              </w:rPr>
            </w:pPr>
            <w:r>
              <w:rPr>
                <w:rFonts w:ascii="Arial" w:cs="Arial" w:eastAsia="Arial" w:hAnsi="Arial"/>
                <w:sz w:val="16"/>
                <w:szCs w:val="16"/>
                <w:color w:val="auto"/>
              </w:rPr>
              <w:t>has the meaning set forth in Section 5.3(b) (Joint CDP);</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1.123</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CDP Activities</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the activities to be conducted by the Parties pursuant to the Joint CDP;</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1.124</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Development and</w:t>
            </w:r>
          </w:p>
        </w:tc>
        <w:tc>
          <w:tcPr>
            <w:tcW w:w="5960" w:type="dxa"/>
            <w:vAlign w:val="bottom"/>
          </w:tcPr>
          <w:p>
            <w:pPr>
              <w:ind w:left="260"/>
              <w:spacing w:after="0"/>
              <w:rPr>
                <w:sz w:val="20"/>
                <w:szCs w:val="20"/>
                <w:color w:val="auto"/>
              </w:rPr>
            </w:pPr>
            <w:r>
              <w:rPr>
                <w:rFonts w:ascii="Arial" w:cs="Arial" w:eastAsia="Arial" w:hAnsi="Arial"/>
                <w:sz w:val="16"/>
                <w:szCs w:val="16"/>
                <w:color w:val="auto"/>
              </w:rPr>
              <w:t>has the meaning set forth in Section 4.2(b) (Joint Development and Operations</w:t>
            </w:r>
          </w:p>
        </w:tc>
      </w:tr>
      <w:tr>
        <w:trPr>
          <w:trHeight w:val="240"/>
        </w:trPr>
        <w:tc>
          <w:tcPr>
            <w:tcW w:w="66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Operations Working Group</w:t>
            </w:r>
          </w:p>
        </w:tc>
        <w:tc>
          <w:tcPr>
            <w:tcW w:w="5960" w:type="dxa"/>
            <w:vAlign w:val="bottom"/>
          </w:tcPr>
          <w:p>
            <w:pPr>
              <w:ind w:left="260"/>
              <w:spacing w:after="0"/>
              <w:rPr>
                <w:sz w:val="20"/>
                <w:szCs w:val="20"/>
                <w:color w:val="auto"/>
              </w:rPr>
            </w:pPr>
            <w:r>
              <w:rPr>
                <w:rFonts w:ascii="Arial" w:cs="Arial" w:eastAsia="Arial" w:hAnsi="Arial"/>
                <w:sz w:val="16"/>
                <w:szCs w:val="16"/>
                <w:color w:val="auto"/>
              </w:rPr>
              <w:t>Working Group);</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1.125</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IP</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all Joint Know-How and Joint Patent Rights;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1.126</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IP Committee</w:t>
            </w:r>
          </w:p>
        </w:tc>
        <w:tc>
          <w:tcPr>
            <w:tcW w:w="5960" w:type="dxa"/>
            <w:vAlign w:val="bottom"/>
          </w:tcPr>
          <w:p>
            <w:pPr>
              <w:ind w:left="260"/>
              <w:spacing w:after="0"/>
              <w:rPr>
                <w:sz w:val="20"/>
                <w:szCs w:val="20"/>
                <w:color w:val="auto"/>
              </w:rPr>
            </w:pPr>
            <w:r>
              <w:rPr>
                <w:rFonts w:ascii="Arial" w:cs="Arial" w:eastAsia="Arial" w:hAnsi="Arial"/>
                <w:sz w:val="16"/>
                <w:szCs w:val="16"/>
                <w:color w:val="auto"/>
              </w:rPr>
              <w:t>has the meaning set forth in Section 4.2(c) (Joint IP Committee);</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1.127</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Know-How</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1.128</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Patent Rights</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any Patent Rights that Cover or otherwise claim Joint Know-How;</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1.129</w:t>
            </w:r>
          </w:p>
        </w:tc>
        <w:tc>
          <w:tcPr>
            <w:tcW w:w="8460" w:type="dxa"/>
            <w:vAlign w:val="bottom"/>
            <w:gridSpan w:val="2"/>
          </w:tcPr>
          <w:p>
            <w:pPr>
              <w:ind w:left="240"/>
              <w:spacing w:after="0"/>
              <w:rPr>
                <w:sz w:val="20"/>
                <w:szCs w:val="20"/>
                <w:color w:val="auto"/>
              </w:rPr>
            </w:pPr>
            <w:r>
              <w:rPr>
                <w:rFonts w:ascii="Arial" w:cs="Arial" w:eastAsia="Arial" w:hAnsi="Arial"/>
                <w:sz w:val="16"/>
                <w:szCs w:val="16"/>
                <w:b w:val="1"/>
                <w:bCs w:val="1"/>
                <w:color w:val="auto"/>
                <w:w w:val="99"/>
              </w:rPr>
              <w:t xml:space="preserve">Joint Steering Committee or JSC </w:t>
            </w:r>
            <w:r>
              <w:rPr>
                <w:rFonts w:ascii="Arial" w:cs="Arial" w:eastAsia="Arial" w:hAnsi="Arial"/>
                <w:sz w:val="16"/>
                <w:szCs w:val="16"/>
                <w:color w:val="auto"/>
                <w:w w:val="99"/>
              </w:rPr>
              <w:t>has the meaning set forth in Section 4.1(a) (Formation and Purpose of the JSC);</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1.130</w:t>
            </w:r>
          </w:p>
        </w:tc>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Joint Trial</w:t>
            </w:r>
          </w:p>
        </w:tc>
        <w:tc>
          <w:tcPr>
            <w:tcW w:w="5960" w:type="dxa"/>
            <w:vAlign w:val="bottom"/>
          </w:tcPr>
          <w:p>
            <w:pPr>
              <w:ind w:left="260"/>
              <w:spacing w:after="0"/>
              <w:rPr>
                <w:sz w:val="20"/>
                <w:szCs w:val="20"/>
                <w:color w:val="auto"/>
              </w:rPr>
            </w:pPr>
            <w:r>
              <w:rPr>
                <w:rFonts w:ascii="Arial" w:cs="Arial" w:eastAsia="Arial" w:hAnsi="Arial"/>
                <w:sz w:val="16"/>
                <w:szCs w:val="16"/>
                <w:color w:val="auto"/>
              </w:rPr>
              <w:t>has the meaning set forth in Section 5.3(b) (Joint CDP);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21</w:t>
      </w:r>
    </w:p>
    <w:p>
      <w:pPr>
        <w:sectPr>
          <w:pgSz w:w="11900" w:h="16840" w:orient="portrait"/>
          <w:cols w:equalWidth="0" w:num="1">
            <w:col w:w="9200"/>
          </w:cols>
          <w:pgMar w:left="1260" w:top="1440" w:right="1440" w:bottom="1440" w:gutter="0" w:footer="0" w:header="0"/>
        </w:sectPr>
      </w:pPr>
    </w:p>
    <w:bookmarkStart w:id="791" w:name="page792"/>
    <w:bookmarkEnd w:id="79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1.131</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Know-How</w:t>
            </w: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means any proprietary records, know-how, processes, techniques, show-how,</w:t>
            </w:r>
          </w:p>
        </w:tc>
      </w:tr>
      <w:tr>
        <w:trPr>
          <w:trHeight w:val="220"/>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design information, information, biomarkers, formulations, technology, practices,</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trade secrets, inventions, methods, data (including animal data, clinical data, and</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quality control data), standard operating procedures, algorithms, research tools,</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reports, batch records, chemical structures, composition of matter, formulae and</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results in any form whatsoever, whether or not patented or patentable;</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1.132</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Licensed Compound</w:t>
            </w: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means any and all of the following:</w:t>
            </w:r>
          </w:p>
        </w:tc>
      </w:tr>
      <w:tr>
        <w:trPr>
          <w:trHeight w:val="508"/>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6"/>
                <w:szCs w:val="16"/>
                <w:color w:val="auto"/>
              </w:rPr>
              <w:t>(a)</w:t>
            </w:r>
          </w:p>
        </w:tc>
        <w:tc>
          <w:tcPr>
            <w:tcW w:w="5400" w:type="dxa"/>
            <w:vAlign w:val="bottom"/>
          </w:tcPr>
          <w:p>
            <w:pPr>
              <w:ind w:left="200"/>
              <w:spacing w:after="0"/>
              <w:rPr>
                <w:sz w:val="20"/>
                <w:szCs w:val="20"/>
                <w:color w:val="auto"/>
              </w:rPr>
            </w:pPr>
            <w:r>
              <w:rPr>
                <w:rFonts w:ascii="Arial" w:cs="Arial" w:eastAsia="Arial" w:hAnsi="Arial"/>
                <w:sz w:val="16"/>
                <w:szCs w:val="16"/>
                <w:color w:val="auto"/>
              </w:rPr>
              <w:t>a PM8002 Licensed Compound;</w:t>
            </w:r>
          </w:p>
        </w:tc>
      </w:tr>
      <w:tr>
        <w:trPr>
          <w:trHeight w:val="516"/>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6"/>
                <w:szCs w:val="16"/>
                <w:color w:val="auto"/>
              </w:rPr>
              <w:t>(b)</w:t>
            </w:r>
          </w:p>
        </w:tc>
        <w:tc>
          <w:tcPr>
            <w:tcW w:w="5400" w:type="dxa"/>
            <w:vAlign w:val="bottom"/>
          </w:tcPr>
          <w:p>
            <w:pPr>
              <w:ind w:left="200"/>
              <w:spacing w:after="0"/>
              <w:rPr>
                <w:sz w:val="20"/>
                <w:szCs w:val="20"/>
                <w:color w:val="auto"/>
              </w:rPr>
            </w:pPr>
            <w:r>
              <w:rPr>
                <w:rFonts w:ascii="Arial" w:cs="Arial" w:eastAsia="Arial" w:hAnsi="Arial"/>
                <w:sz w:val="16"/>
                <w:szCs w:val="16"/>
                <w:color w:val="auto"/>
              </w:rPr>
              <w:t>a PM8003 Licensed Compound, provided that this item (b) shall only</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become a Licensed Compound after the PM8003 Option Exercise Date; or</w:t>
            </w:r>
          </w:p>
        </w:tc>
      </w:tr>
      <w:tr>
        <w:trPr>
          <w:trHeight w:val="516"/>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6"/>
                <w:szCs w:val="16"/>
                <w:color w:val="auto"/>
              </w:rPr>
              <w:t>(c)</w:t>
            </w:r>
          </w:p>
        </w:tc>
        <w:tc>
          <w:tcPr>
            <w:tcW w:w="5400" w:type="dxa"/>
            <w:vAlign w:val="bottom"/>
          </w:tcPr>
          <w:p>
            <w:pPr>
              <w:ind w:left="200"/>
              <w:spacing w:after="0"/>
              <w:rPr>
                <w:sz w:val="20"/>
                <w:szCs w:val="20"/>
                <w:color w:val="auto"/>
              </w:rPr>
            </w:pPr>
            <w:r>
              <w:rPr>
                <w:rFonts w:ascii="Arial" w:cs="Arial" w:eastAsia="Arial" w:hAnsi="Arial"/>
                <w:sz w:val="16"/>
                <w:szCs w:val="16"/>
                <w:color w:val="auto"/>
              </w:rPr>
              <w:t>a Preclinical Multispecific Licensed Compound, provided that this item (c)</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w w:val="99"/>
              </w:rPr>
              <w:t>shall only become a Licensed Compound after the Preclinical Multispecific Option</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Exercise Date;</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1.133</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Licensed IP</w:t>
            </w: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means all Licensed Know-How and Licensed Patent Rights;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1.134</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Licensed Know-How</w:t>
            </w: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w w:val="98"/>
              </w:rPr>
              <w:t>means the Know-How that is Controlled by Biotheus or any of its Affiliates as of the</w:t>
            </w:r>
          </w:p>
        </w:tc>
      </w:tr>
      <w:tr>
        <w:trPr>
          <w:trHeight w:val="220"/>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440"/>
              <w:spacing w:after="0"/>
              <w:rPr>
                <w:sz w:val="20"/>
                <w:szCs w:val="20"/>
                <w:color w:val="auto"/>
              </w:rPr>
            </w:pPr>
            <w:r>
              <w:rPr>
                <w:rFonts w:ascii="Arial" w:cs="Arial" w:eastAsia="Arial" w:hAnsi="Arial"/>
                <w:sz w:val="16"/>
                <w:szCs w:val="16"/>
                <w:color w:val="auto"/>
              </w:rPr>
              <w:t>Effective Date or during the Term (including Inventions solely owned by Biotheus</w:t>
            </w:r>
          </w:p>
        </w:tc>
      </w:tr>
    </w:tbl>
    <w:p>
      <w:pPr>
        <w:spacing w:after="0" w:line="23" w:lineRule="exact"/>
        <w:rPr>
          <w:sz w:val="20"/>
          <w:szCs w:val="20"/>
          <w:color w:val="auto"/>
        </w:rPr>
      </w:pPr>
    </w:p>
    <w:p>
      <w:pPr>
        <w:jc w:val="both"/>
        <w:ind w:left="3360" w:right="60"/>
        <w:spacing w:after="0" w:line="300" w:lineRule="auto"/>
        <w:rPr>
          <w:sz w:val="20"/>
          <w:szCs w:val="20"/>
          <w:color w:val="auto"/>
        </w:rPr>
      </w:pPr>
      <w:r>
        <w:rPr>
          <w:rFonts w:ascii="Arial" w:cs="Arial" w:eastAsia="Arial" w:hAnsi="Arial"/>
          <w:sz w:val="16"/>
          <w:szCs w:val="16"/>
          <w:color w:val="auto"/>
        </w:rPr>
        <w:t>pursuant to Section 9.1(a) (Ownership), and including Biotheus' interest in Joint Know-How) that is necessary or useful for the Exploitation of Licensed Products in the Field in the Territory. Notwithstanding the foregoing, Licensed Know-How shall not include (i) any Know-How that is Controlled by any Third Party that acquires more than fifty percent (50%) of the issued share capital of Biotheus and thereby becomes an Affiliate of Biotheus after the Effective Date as a result of a merger, acquisition or other similar transaction, or (ii) any Know-How that is related to any other proprietary compound, component or product Controlled by Biotheus or any of its Affiliates and is not necessary or useful for the Exploitation of the applicable Licensed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22</w:t>
      </w:r>
    </w:p>
    <w:p>
      <w:pPr>
        <w:sectPr>
          <w:pgSz w:w="11900" w:h="16840" w:orient="portrait"/>
          <w:cols w:equalWidth="0" w:num="1">
            <w:col w:w="9200"/>
          </w:cols>
          <w:pgMar w:left="1260" w:top="1440" w:right="1440" w:bottom="1440" w:gutter="0" w:footer="0" w:header="0"/>
        </w:sectPr>
      </w:pPr>
    </w:p>
    <w:bookmarkStart w:id="792" w:name="page793"/>
    <w:bookmarkEnd w:id="79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1.135</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Licensed Patent Right</w:t>
            </w: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means the Patent Rights Controlled by Biotheus or any of its Affiliates as of the</w:t>
            </w:r>
          </w:p>
        </w:tc>
      </w:tr>
      <w:tr>
        <w:trPr>
          <w:trHeight w:val="220"/>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8"/>
              </w:rPr>
              <w:t>Effective Date or during the Term (including Patent Rights which Cover or otherwise</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9"/>
              </w:rPr>
              <w:t>claim Inventions solely owned by Biotheus pursuant to Section 9.1(a) (Ownership),</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9"/>
              </w:rPr>
              <w:t>and including Biotheus’ interest in Joint Patent Rights) that are necessary or useful</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for the Exploitation of any Licensed Products in the Field in the Territory including,</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but not limited to, the Patent Rights listed in Schedule 3. Notwithstanding the</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foregoing, Licensed Patent Rights shall not include (i) any Patent Right that is</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Controlled by any Third Party that acquires more than fifty percent (50%) of the</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9"/>
              </w:rPr>
              <w:t>issued share capital of Biotheus and thereby becomes an Affiliate of Biotheus after</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8"/>
              </w:rPr>
              <w:t>the Effective Date as a result of a merger, acquisition or other similar transaction, or</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(ii) any Patent Right that Covers any other proprietary compound, component or</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w w:val="99"/>
              </w:rPr>
              <w:t>product Controlled by Biotheus or any of its Affiliates and is not necessary or useful</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for the Exploitation of any Licensed Products in the Field in the Territory;</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1.136</w:t>
            </w:r>
          </w:p>
        </w:tc>
        <w:tc>
          <w:tcPr>
            <w:tcW w:w="2260" w:type="dxa"/>
            <w:vAlign w:val="bottom"/>
          </w:tcPr>
          <w:p>
            <w:pPr>
              <w:ind w:left="260"/>
              <w:spacing w:after="0"/>
              <w:rPr>
                <w:sz w:val="20"/>
                <w:szCs w:val="20"/>
                <w:color w:val="auto"/>
              </w:rPr>
            </w:pPr>
            <w:r>
              <w:rPr>
                <w:rFonts w:ascii="Arial" w:cs="Arial" w:eastAsia="Arial" w:hAnsi="Arial"/>
                <w:sz w:val="16"/>
                <w:szCs w:val="16"/>
                <w:b w:val="1"/>
                <w:bCs w:val="1"/>
                <w:color w:val="auto"/>
              </w:rPr>
              <w:t>Licensed Product</w:t>
            </w: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means any and all of the following:</w:t>
            </w:r>
          </w:p>
        </w:tc>
      </w:tr>
      <w:tr>
        <w:trPr>
          <w:trHeight w:val="508"/>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6"/>
                <w:szCs w:val="16"/>
                <w:color w:val="auto"/>
              </w:rPr>
              <w:t>(a)</w:t>
            </w:r>
          </w:p>
        </w:tc>
        <w:tc>
          <w:tcPr>
            <w:tcW w:w="5380" w:type="dxa"/>
            <w:vAlign w:val="bottom"/>
          </w:tcPr>
          <w:p>
            <w:pPr>
              <w:ind w:left="100"/>
              <w:spacing w:after="0"/>
              <w:rPr>
                <w:sz w:val="20"/>
                <w:szCs w:val="20"/>
                <w:color w:val="auto"/>
              </w:rPr>
            </w:pPr>
            <w:r>
              <w:rPr>
                <w:rFonts w:ascii="Arial" w:cs="Arial" w:eastAsia="Arial" w:hAnsi="Arial"/>
                <w:sz w:val="16"/>
                <w:szCs w:val="16"/>
                <w:color w:val="auto"/>
              </w:rPr>
              <w:t>a PM8002 Licensed Product;</w:t>
            </w:r>
          </w:p>
        </w:tc>
      </w:tr>
      <w:tr>
        <w:trPr>
          <w:trHeight w:val="516"/>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6"/>
                <w:szCs w:val="16"/>
                <w:color w:val="auto"/>
              </w:rPr>
              <w:t>(b)</w:t>
            </w:r>
          </w:p>
        </w:tc>
        <w:tc>
          <w:tcPr>
            <w:tcW w:w="5380" w:type="dxa"/>
            <w:vAlign w:val="bottom"/>
          </w:tcPr>
          <w:p>
            <w:pPr>
              <w:ind w:left="100"/>
              <w:spacing w:after="0"/>
              <w:rPr>
                <w:sz w:val="20"/>
                <w:szCs w:val="20"/>
                <w:color w:val="auto"/>
              </w:rPr>
            </w:pPr>
            <w:r>
              <w:rPr>
                <w:rFonts w:ascii="Arial" w:cs="Arial" w:eastAsia="Arial" w:hAnsi="Arial"/>
                <w:sz w:val="16"/>
                <w:szCs w:val="16"/>
                <w:color w:val="auto"/>
                <w:w w:val="98"/>
              </w:rPr>
              <w:t>a PM8003 Licensed Product, provided that this item (b) shall only become a</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Licensed Product after the PM8003 Option Exercise Date; or</w:t>
            </w:r>
          </w:p>
        </w:tc>
      </w:tr>
      <w:tr>
        <w:trPr>
          <w:trHeight w:val="516"/>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6"/>
                <w:szCs w:val="16"/>
                <w:color w:val="auto"/>
              </w:rPr>
              <w:t>(c)</w:t>
            </w:r>
          </w:p>
        </w:tc>
        <w:tc>
          <w:tcPr>
            <w:tcW w:w="5380" w:type="dxa"/>
            <w:vAlign w:val="bottom"/>
          </w:tcPr>
          <w:p>
            <w:pPr>
              <w:ind w:left="100"/>
              <w:spacing w:after="0"/>
              <w:rPr>
                <w:sz w:val="20"/>
                <w:szCs w:val="20"/>
                <w:color w:val="auto"/>
              </w:rPr>
            </w:pPr>
            <w:r>
              <w:rPr>
                <w:rFonts w:ascii="Arial" w:cs="Arial" w:eastAsia="Arial" w:hAnsi="Arial"/>
                <w:sz w:val="16"/>
                <w:szCs w:val="16"/>
                <w:color w:val="auto"/>
                <w:w w:val="98"/>
              </w:rPr>
              <w:t>a Preclinical Multispecific Licensed Product, provided that this item (c) shall</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20" w:type="dxa"/>
            <w:vAlign w:val="bottom"/>
            <w:gridSpan w:val="2"/>
          </w:tcPr>
          <w:p>
            <w:pPr>
              <w:ind w:left="380"/>
              <w:spacing w:after="0"/>
              <w:rPr>
                <w:sz w:val="20"/>
                <w:szCs w:val="20"/>
                <w:color w:val="auto"/>
              </w:rPr>
            </w:pPr>
            <w:r>
              <w:rPr>
                <w:rFonts w:ascii="Arial" w:cs="Arial" w:eastAsia="Arial" w:hAnsi="Arial"/>
                <w:sz w:val="16"/>
                <w:szCs w:val="16"/>
                <w:color w:val="auto"/>
              </w:rPr>
              <w:t>only become a Licensed Product after the Preclinical Multispecific Option Exercise</w:t>
            </w:r>
          </w:p>
        </w:tc>
      </w:tr>
      <w:tr>
        <w:trPr>
          <w:trHeight w:val="228"/>
        </w:trPr>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6"/>
                <w:szCs w:val="16"/>
                <w:color w:val="auto"/>
              </w:rPr>
              <w:t>Date.</w:t>
            </w:r>
          </w:p>
        </w:tc>
        <w:tc>
          <w:tcPr>
            <w:tcW w:w="5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9200"/>
          </w:cols>
          <w:pgMar w:left="1260" w:top="1440" w:right="1440" w:bottom="1440" w:gutter="0" w:footer="0" w:header="0"/>
        </w:sectPr>
      </w:pPr>
    </w:p>
    <w:bookmarkStart w:id="793" w:name="page794"/>
    <w:bookmarkEnd w:id="79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1.137</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 License</w:t>
            </w:r>
          </w:p>
        </w:tc>
        <w:tc>
          <w:tcPr>
            <w:tcW w:w="5800" w:type="dxa"/>
            <w:vAlign w:val="bottom"/>
          </w:tcPr>
          <w:p>
            <w:pPr>
              <w:ind w:left="160"/>
              <w:spacing w:after="0"/>
              <w:rPr>
                <w:sz w:val="20"/>
                <w:szCs w:val="20"/>
                <w:color w:val="auto"/>
              </w:rPr>
            </w:pPr>
            <w:r>
              <w:rPr>
                <w:rFonts w:ascii="Arial" w:cs="Arial" w:eastAsia="Arial" w:hAnsi="Arial"/>
                <w:sz w:val="16"/>
                <w:szCs w:val="16"/>
                <w:color w:val="auto"/>
                <w:w w:val="99"/>
              </w:rPr>
              <w:t>has the meaning set forth in Section 7.2 (Manufacturing Technology Transfer for</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PM8002 Licensed Products);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1.138</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580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1.139</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Losses</w:t>
            </w:r>
          </w:p>
        </w:tc>
        <w:tc>
          <w:tcPr>
            <w:tcW w:w="5800" w:type="dxa"/>
            <w:vAlign w:val="bottom"/>
          </w:tcPr>
          <w:p>
            <w:pPr>
              <w:ind w:left="160"/>
              <w:spacing w:after="0"/>
              <w:rPr>
                <w:sz w:val="20"/>
                <w:szCs w:val="20"/>
                <w:color w:val="auto"/>
              </w:rPr>
            </w:pPr>
            <w:r>
              <w:rPr>
                <w:rFonts w:ascii="Arial" w:cs="Arial" w:eastAsia="Arial" w:hAnsi="Arial"/>
                <w:sz w:val="16"/>
                <w:szCs w:val="16"/>
                <w:color w:val="auto"/>
              </w:rPr>
              <w:t>has the meaning set forth in Section 12.1 (Indemnification of Biotheus by</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BioNTech);</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1.140</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Major Markets</w:t>
            </w:r>
          </w:p>
        </w:tc>
        <w:tc>
          <w:tcPr>
            <w:tcW w:w="5800" w:type="dxa"/>
            <w:vAlign w:val="bottom"/>
          </w:tcPr>
          <w:p>
            <w:pPr>
              <w:ind w:left="16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1.141</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Manufacture or Manufacturing</w:t>
            </w:r>
          </w:p>
        </w:tc>
        <w:tc>
          <w:tcPr>
            <w:tcW w:w="5800" w:type="dxa"/>
            <w:vAlign w:val="bottom"/>
          </w:tcPr>
          <w:p>
            <w:pPr>
              <w:ind w:left="160"/>
              <w:spacing w:after="0"/>
              <w:rPr>
                <w:sz w:val="20"/>
                <w:szCs w:val="20"/>
                <w:color w:val="auto"/>
              </w:rPr>
            </w:pPr>
            <w:r>
              <w:rPr>
                <w:rFonts w:ascii="Arial" w:cs="Arial" w:eastAsia="Arial" w:hAnsi="Arial"/>
                <w:sz w:val="16"/>
                <w:szCs w:val="16"/>
                <w:color w:val="auto"/>
                <w:w w:val="97"/>
              </w:rPr>
              <w:t>means, with respect to a Licensed Product, activities directed to the sourcing and</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purchasing of materials, producing, manufacturing, processing, compounding,</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w w:val="97"/>
              </w:rPr>
              <w:t>filling, finishing, packing, packaging, labelling, leafleting, quality assurance, quality</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control testing and release, shipping, storage, and sample retention of such</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Licensed   Product. "Manufacturing"  and  "Manufactured"  will  be  construed</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accordingly;</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1.142</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Manufacturing Technology</w:t>
            </w:r>
          </w:p>
        </w:tc>
        <w:tc>
          <w:tcPr>
            <w:tcW w:w="5800" w:type="dxa"/>
            <w:vAlign w:val="bottom"/>
          </w:tcPr>
          <w:p>
            <w:pPr>
              <w:ind w:left="160"/>
              <w:spacing w:after="0"/>
              <w:rPr>
                <w:sz w:val="20"/>
                <w:szCs w:val="20"/>
                <w:color w:val="auto"/>
              </w:rPr>
            </w:pPr>
            <w:r>
              <w:rPr>
                <w:rFonts w:ascii="Arial" w:cs="Arial" w:eastAsia="Arial" w:hAnsi="Arial"/>
                <w:sz w:val="16"/>
                <w:szCs w:val="16"/>
                <w:color w:val="auto"/>
                <w:w w:val="99"/>
              </w:rPr>
              <w:t>has the meaning set forth in Section 7.2 (Manufacturing Technology Transfer for</w:t>
            </w:r>
          </w:p>
        </w:tc>
      </w:tr>
      <w:tr>
        <w:trPr>
          <w:trHeight w:val="240"/>
        </w:trPr>
        <w:tc>
          <w:tcPr>
            <w:tcW w:w="660" w:type="dxa"/>
            <w:vAlign w:val="bottom"/>
          </w:tcPr>
          <w:p>
            <w:pPr>
              <w:spacing w:after="0"/>
              <w:rPr>
                <w:sz w:val="20"/>
                <w:szCs w:val="20"/>
                <w:color w:val="auto"/>
              </w:rPr>
            </w:pP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Transfer</w:t>
            </w:r>
          </w:p>
        </w:tc>
        <w:tc>
          <w:tcPr>
            <w:tcW w:w="5800" w:type="dxa"/>
            <w:vAlign w:val="bottom"/>
          </w:tcPr>
          <w:p>
            <w:pPr>
              <w:ind w:left="160"/>
              <w:spacing w:after="0"/>
              <w:rPr>
                <w:sz w:val="20"/>
                <w:szCs w:val="20"/>
                <w:color w:val="auto"/>
              </w:rPr>
            </w:pPr>
            <w:r>
              <w:rPr>
                <w:rFonts w:ascii="Arial" w:cs="Arial" w:eastAsia="Arial" w:hAnsi="Arial"/>
                <w:sz w:val="16"/>
                <w:szCs w:val="16"/>
                <w:color w:val="auto"/>
              </w:rPr>
              <w:t>PM8002 Licensed Products);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1.143</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Marketing Authorization or MA</w:t>
            </w:r>
          </w:p>
        </w:tc>
        <w:tc>
          <w:tcPr>
            <w:tcW w:w="5800" w:type="dxa"/>
            <w:vAlign w:val="bottom"/>
          </w:tcPr>
          <w:p>
            <w:pPr>
              <w:ind w:left="160"/>
              <w:spacing w:after="0"/>
              <w:rPr>
                <w:sz w:val="20"/>
                <w:szCs w:val="20"/>
                <w:color w:val="auto"/>
              </w:rPr>
            </w:pPr>
            <w:r>
              <w:rPr>
                <w:rFonts w:ascii="Arial" w:cs="Arial" w:eastAsia="Arial" w:hAnsi="Arial"/>
                <w:sz w:val="16"/>
                <w:szCs w:val="16"/>
                <w:color w:val="auto"/>
              </w:rPr>
              <w:t>means the authorization by all relevant Regulatory Authorities of a Marketing</w:t>
            </w:r>
          </w:p>
        </w:tc>
      </w:tr>
      <w:tr>
        <w:trPr>
          <w:trHeight w:val="220"/>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w w:val="98"/>
              </w:rPr>
              <w:t>Authorization Application in a given country or regulatory region / jurisdiction and</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the granting of the required authorization;</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1.144</w:t>
            </w: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Marketing Authorization</w:t>
            </w:r>
          </w:p>
        </w:tc>
        <w:tc>
          <w:tcPr>
            <w:tcW w:w="5800" w:type="dxa"/>
            <w:vAlign w:val="bottom"/>
          </w:tcPr>
          <w:p>
            <w:pPr>
              <w:ind w:left="160"/>
              <w:spacing w:after="0"/>
              <w:rPr>
                <w:sz w:val="20"/>
                <w:szCs w:val="20"/>
                <w:color w:val="auto"/>
              </w:rPr>
            </w:pPr>
            <w:r>
              <w:rPr>
                <w:rFonts w:ascii="Arial" w:cs="Arial" w:eastAsia="Arial" w:hAnsi="Arial"/>
                <w:sz w:val="16"/>
                <w:szCs w:val="16"/>
                <w:color w:val="auto"/>
              </w:rPr>
              <w:t>means an application to a Regulatory Authority for authorization to place a</w:t>
            </w:r>
          </w:p>
        </w:tc>
      </w:tr>
      <w:tr>
        <w:trPr>
          <w:trHeight w:val="240"/>
        </w:trPr>
        <w:tc>
          <w:tcPr>
            <w:tcW w:w="660" w:type="dxa"/>
            <w:vAlign w:val="bottom"/>
          </w:tcPr>
          <w:p>
            <w:pPr>
              <w:spacing w:after="0"/>
              <w:rPr>
                <w:sz w:val="20"/>
                <w:szCs w:val="20"/>
                <w:color w:val="auto"/>
              </w:rPr>
            </w:pPr>
          </w:p>
        </w:tc>
        <w:tc>
          <w:tcPr>
            <w:tcW w:w="2680" w:type="dxa"/>
            <w:vAlign w:val="bottom"/>
          </w:tcPr>
          <w:p>
            <w:pPr>
              <w:ind w:left="240"/>
              <w:spacing w:after="0"/>
              <w:rPr>
                <w:sz w:val="20"/>
                <w:szCs w:val="20"/>
                <w:color w:val="auto"/>
              </w:rPr>
            </w:pPr>
            <w:r>
              <w:rPr>
                <w:rFonts w:ascii="Arial" w:cs="Arial" w:eastAsia="Arial" w:hAnsi="Arial"/>
                <w:sz w:val="16"/>
                <w:szCs w:val="16"/>
                <w:b w:val="1"/>
                <w:bCs w:val="1"/>
                <w:color w:val="auto"/>
              </w:rPr>
              <w:t>Application or MAA</w:t>
            </w:r>
          </w:p>
        </w:tc>
        <w:tc>
          <w:tcPr>
            <w:tcW w:w="5800" w:type="dxa"/>
            <w:vAlign w:val="bottom"/>
          </w:tcPr>
          <w:p>
            <w:pPr>
              <w:ind w:left="160"/>
              <w:spacing w:after="0"/>
              <w:rPr>
                <w:sz w:val="20"/>
                <w:szCs w:val="20"/>
                <w:color w:val="auto"/>
              </w:rPr>
            </w:pPr>
            <w:r>
              <w:rPr>
                <w:rFonts w:ascii="Arial" w:cs="Arial" w:eastAsia="Arial" w:hAnsi="Arial"/>
                <w:sz w:val="16"/>
                <w:szCs w:val="16"/>
                <w:color w:val="auto"/>
                <w:w w:val="97"/>
              </w:rPr>
              <w:t>Licensed Product on the market (including Pricing and Reimbursement Approval)</w:t>
            </w:r>
          </w:p>
        </w:tc>
      </w:tr>
      <w:tr>
        <w:trPr>
          <w:trHeight w:val="208"/>
        </w:trPr>
        <w:tc>
          <w:tcPr>
            <w:tcW w:w="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in a country, region or a regulatory jurisdiction (including for example an NDA /</w:t>
            </w:r>
          </w:p>
        </w:tc>
      </w:tr>
      <w:tr>
        <w:trPr>
          <w:trHeight w:val="228"/>
        </w:trPr>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BLA in the US and the comparable applications in other jurisdictions);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24</w:t>
      </w:r>
    </w:p>
    <w:p>
      <w:pPr>
        <w:sectPr>
          <w:pgSz w:w="11900" w:h="16840" w:orient="portrait"/>
          <w:cols w:equalWidth="0" w:num="1">
            <w:col w:w="9200"/>
          </w:cols>
          <w:pgMar w:left="1260" w:top="1440" w:right="1440" w:bottom="1440" w:gutter="0" w:footer="0" w:header="0"/>
        </w:sectPr>
      </w:pPr>
    </w:p>
    <w:bookmarkStart w:id="794" w:name="page795"/>
    <w:bookmarkEnd w:id="79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1.145</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Materials</w:t>
            </w:r>
          </w:p>
        </w:tc>
        <w:tc>
          <w:tcPr>
            <w:tcW w:w="5820" w:type="dxa"/>
            <w:vAlign w:val="bottom"/>
          </w:tcPr>
          <w:p>
            <w:pPr>
              <w:ind w:left="180"/>
              <w:spacing w:after="0"/>
              <w:rPr>
                <w:sz w:val="20"/>
                <w:szCs w:val="20"/>
                <w:color w:val="auto"/>
              </w:rPr>
            </w:pPr>
            <w:r>
              <w:rPr>
                <w:rFonts w:ascii="Arial" w:cs="Arial" w:eastAsia="Arial" w:hAnsi="Arial"/>
                <w:sz w:val="16"/>
                <w:szCs w:val="16"/>
                <w:color w:val="auto"/>
              </w:rPr>
              <w:t>means any tangible compositions of matter, articles of manufacture, assays,</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Arial" w:cs="Arial" w:eastAsia="Arial" w:hAnsi="Arial"/>
                <w:sz w:val="16"/>
                <w:szCs w:val="16"/>
                <w:color w:val="auto"/>
              </w:rPr>
              <w:t>chemical, biological or physical materials, and other similar materials;</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1.146</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Multispecific Antibody</w:t>
            </w:r>
          </w:p>
        </w:tc>
        <w:tc>
          <w:tcPr>
            <w:tcW w:w="5820" w:type="dxa"/>
            <w:vAlign w:val="bottom"/>
          </w:tcPr>
          <w:p>
            <w:pPr>
              <w:ind w:left="180"/>
              <w:spacing w:after="0"/>
              <w:rPr>
                <w:sz w:val="20"/>
                <w:szCs w:val="20"/>
                <w:color w:val="auto"/>
              </w:rPr>
            </w:pPr>
            <w:r>
              <w:rPr>
                <w:rFonts w:ascii="Arial" w:cs="Arial" w:eastAsia="Arial" w:hAnsi="Arial"/>
                <w:sz w:val="16"/>
                <w:szCs w:val="16"/>
                <w:color w:val="auto"/>
              </w:rPr>
              <w:t>means an Antibody that is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1.147</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Multispecific Antibody Option</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2.2 (Option to Biotheus);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1.148</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Multispecific Antibody Option</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2.2 (Option to Biotheus);</w:t>
            </w:r>
          </w:p>
        </w:tc>
      </w:tr>
      <w:tr>
        <w:trPr>
          <w:trHeight w:val="240"/>
        </w:trPr>
        <w:tc>
          <w:tcPr>
            <w:tcW w:w="660" w:type="dxa"/>
            <w:vAlign w:val="bottom"/>
          </w:tcPr>
          <w:p>
            <w:pPr>
              <w:spacing w:after="0"/>
              <w:rPr>
                <w:sz w:val="20"/>
                <w:szCs w:val="20"/>
                <w:color w:val="auto"/>
              </w:rPr>
            </w:pP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Exercise Date</w:t>
            </w:r>
          </w:p>
        </w:tc>
        <w:tc>
          <w:tcPr>
            <w:tcW w:w="5820" w:type="dxa"/>
            <w:vAlign w:val="bottom"/>
          </w:tcPr>
          <w:p>
            <w:pPr>
              <w:spacing w:after="0"/>
              <w:rPr>
                <w:sz w:val="20"/>
                <w:szCs w:val="20"/>
                <w:color w:val="auto"/>
              </w:rPr>
            </w:pP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1.149</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Multispecific Antibody Option</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2.2 (Option to Biotheus);</w:t>
            </w:r>
          </w:p>
        </w:tc>
      </w:tr>
      <w:tr>
        <w:trPr>
          <w:trHeight w:val="240"/>
        </w:trPr>
        <w:tc>
          <w:tcPr>
            <w:tcW w:w="660" w:type="dxa"/>
            <w:vAlign w:val="bottom"/>
          </w:tcPr>
          <w:p>
            <w:pPr>
              <w:spacing w:after="0"/>
              <w:rPr>
                <w:sz w:val="20"/>
                <w:szCs w:val="20"/>
                <w:color w:val="auto"/>
              </w:rPr>
            </w:pP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Exercise Notice</w:t>
            </w:r>
          </w:p>
        </w:tc>
        <w:tc>
          <w:tcPr>
            <w:tcW w:w="5820" w:type="dxa"/>
            <w:vAlign w:val="bottom"/>
          </w:tcPr>
          <w:p>
            <w:pPr>
              <w:spacing w:after="0"/>
              <w:rPr>
                <w:sz w:val="20"/>
                <w:szCs w:val="20"/>
                <w:color w:val="auto"/>
              </w:rPr>
            </w:pP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1.150</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Multispecific Antibody Option</w:t>
            </w:r>
          </w:p>
        </w:tc>
        <w:tc>
          <w:tcPr>
            <w:tcW w:w="5820" w:type="dxa"/>
            <w:vAlign w:val="bottom"/>
          </w:tcPr>
          <w:p>
            <w:pPr>
              <w:ind w:left="180"/>
              <w:spacing w:after="0"/>
              <w:rPr>
                <w:sz w:val="20"/>
                <w:szCs w:val="20"/>
                <w:color w:val="auto"/>
              </w:rPr>
            </w:pPr>
            <w:r>
              <w:rPr>
                <w:rFonts w:ascii="Arial" w:cs="Arial" w:eastAsia="Arial" w:hAnsi="Arial"/>
                <w:sz w:val="16"/>
                <w:szCs w:val="16"/>
                <w:color w:val="auto"/>
                <w:w w:val="99"/>
              </w:rPr>
              <w:t>means the period from the [***] with respect to a Licensed Product in the form of</w:t>
            </w:r>
          </w:p>
        </w:tc>
      </w:tr>
      <w:tr>
        <w:trPr>
          <w:trHeight w:val="240"/>
        </w:trPr>
        <w:tc>
          <w:tcPr>
            <w:tcW w:w="660" w:type="dxa"/>
            <w:vAlign w:val="bottom"/>
          </w:tcPr>
          <w:p>
            <w:pPr>
              <w:spacing w:after="0"/>
              <w:rPr>
                <w:sz w:val="20"/>
                <w:szCs w:val="20"/>
                <w:color w:val="auto"/>
              </w:rPr>
            </w:pP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Period</w:t>
            </w:r>
          </w:p>
        </w:tc>
        <w:tc>
          <w:tcPr>
            <w:tcW w:w="5820" w:type="dxa"/>
            <w:vAlign w:val="bottom"/>
          </w:tcPr>
          <w:p>
            <w:pPr>
              <w:ind w:left="180"/>
              <w:spacing w:after="0"/>
              <w:rPr>
                <w:sz w:val="20"/>
                <w:szCs w:val="20"/>
                <w:color w:val="auto"/>
              </w:rPr>
            </w:pPr>
            <w:r>
              <w:rPr>
                <w:rFonts w:ascii="Arial" w:cs="Arial" w:eastAsia="Arial" w:hAnsi="Arial"/>
                <w:sz w:val="16"/>
                <w:szCs w:val="16"/>
                <w:color w:val="auto"/>
              </w:rPr>
              <w:t>a Multispecific Antibody;</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1.151</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Net Sales</w:t>
            </w:r>
          </w:p>
        </w:tc>
        <w:tc>
          <w:tcPr>
            <w:tcW w:w="5820" w:type="dxa"/>
            <w:vAlign w:val="bottom"/>
          </w:tcPr>
          <w:p>
            <w:pPr>
              <w:ind w:left="18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1.152</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Non-Bankrupt Party</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13.2(d) (Termination for Bankruptcy);</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1.153</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Non-Withholding Party</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8.17 (Withholding Taxes);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1.154</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Opted-Out Indication</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5.6 (Data Sharing);</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1.155</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Opted-Out Trial</w:t>
            </w:r>
          </w:p>
        </w:tc>
        <w:tc>
          <w:tcPr>
            <w:tcW w:w="5820" w:type="dxa"/>
            <w:vAlign w:val="bottom"/>
          </w:tcPr>
          <w:p>
            <w:pPr>
              <w:ind w:left="180"/>
              <w:spacing w:after="0"/>
              <w:rPr>
                <w:sz w:val="20"/>
                <w:szCs w:val="20"/>
                <w:color w:val="auto"/>
              </w:rPr>
            </w:pPr>
            <w:r>
              <w:rPr>
                <w:rFonts w:ascii="Arial" w:cs="Arial" w:eastAsia="Arial" w:hAnsi="Arial"/>
                <w:sz w:val="16"/>
                <w:szCs w:val="16"/>
                <w:color w:val="auto"/>
              </w:rPr>
              <w:t>has the meaning set forth in Section 5.6 (Data Sharing);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ectPr>
          <w:pgSz w:w="11900" w:h="16840" w:orient="portrait"/>
          <w:cols w:equalWidth="0" w:num="1">
            <w:col w:w="9200"/>
          </w:cols>
          <w:pgMar w:left="1260" w:top="1440" w:right="1440" w:bottom="1440" w:gutter="0" w:footer="0" w:header="0"/>
        </w:sectPr>
      </w:pPr>
    </w:p>
    <w:bookmarkStart w:id="795" w:name="page796"/>
    <w:bookmarkEnd w:id="79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1.156</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Orphan Drug Designation</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w w:val="98"/>
              </w:rPr>
              <w:t>means a drug intended for use in a rare disease or condition as defined in section</w:t>
            </w:r>
          </w:p>
        </w:tc>
      </w:tr>
      <w:tr>
        <w:trPr>
          <w:trHeight w:val="220"/>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w w:val="99"/>
              </w:rPr>
              <w:t>526 of the Federal Food, Drug, and Cosmetic Act as amended by section 2 of the</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Orphan Drug Act (sections 525–528 (21 U.S.C. 360aa–360dd));</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1.157</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Other Component</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Section 1.68 (Combination Product);</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1.158</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Outside Date</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Section 14.16 (HSR);</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1.159</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Party</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the Preamble;</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1.160</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1.161</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Patent Rights</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means all rights, title and interests in and to</w:t>
            </w:r>
          </w:p>
        </w:tc>
      </w:tr>
      <w:tr>
        <w:trPr>
          <w:trHeight w:val="508"/>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(a)</w:t>
            </w:r>
          </w:p>
        </w:tc>
        <w:tc>
          <w:tcPr>
            <w:tcW w:w="5340" w:type="dxa"/>
            <w:vAlign w:val="bottom"/>
          </w:tcPr>
          <w:p>
            <w:pPr>
              <w:ind w:left="180"/>
              <w:spacing w:after="0"/>
              <w:rPr>
                <w:sz w:val="20"/>
                <w:szCs w:val="20"/>
                <w:color w:val="auto"/>
              </w:rPr>
            </w:pPr>
            <w:r>
              <w:rPr>
                <w:rFonts w:ascii="Arial" w:cs="Arial" w:eastAsia="Arial" w:hAnsi="Arial"/>
                <w:sz w:val="16"/>
                <w:szCs w:val="16"/>
                <w:color w:val="auto"/>
                <w:w w:val="97"/>
              </w:rPr>
              <w:t>all national, regional, and international patents and patent applications filed</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in  any  country,  region  or  territory  of  the  world  including  provisional  patent</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applications and all supplementary protection certificates;</w:t>
            </w:r>
          </w:p>
        </w:tc>
      </w:tr>
      <w:tr>
        <w:trPr>
          <w:trHeight w:val="516"/>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(b)</w:t>
            </w:r>
          </w:p>
        </w:tc>
        <w:tc>
          <w:tcPr>
            <w:tcW w:w="5340" w:type="dxa"/>
            <w:vAlign w:val="bottom"/>
          </w:tcPr>
          <w:p>
            <w:pPr>
              <w:ind w:left="180"/>
              <w:spacing w:after="0"/>
              <w:rPr>
                <w:sz w:val="20"/>
                <w:szCs w:val="20"/>
                <w:color w:val="auto"/>
              </w:rPr>
            </w:pPr>
            <w:r>
              <w:rPr>
                <w:rFonts w:ascii="Arial" w:cs="Arial" w:eastAsia="Arial" w:hAnsi="Arial"/>
                <w:sz w:val="16"/>
                <w:szCs w:val="16"/>
                <w:color w:val="auto"/>
                <w:w w:val="97"/>
              </w:rPr>
              <w:t>all patent applications filed either from such patents, patent applications or</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provisional applications or from an application claiming priority to any of the</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foregoing, including any continuation, continuation-in part, divisional, provisional,</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converted provisionals and continued prosecution applications, or any substitute</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applications;</w:t>
            </w:r>
          </w:p>
        </w:tc>
      </w:tr>
      <w:tr>
        <w:trPr>
          <w:trHeight w:val="516"/>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(c)</w:t>
            </w:r>
          </w:p>
        </w:tc>
        <w:tc>
          <w:tcPr>
            <w:tcW w:w="5340" w:type="dxa"/>
            <w:vAlign w:val="bottom"/>
          </w:tcPr>
          <w:p>
            <w:pPr>
              <w:ind w:left="180"/>
              <w:spacing w:after="0"/>
              <w:rPr>
                <w:sz w:val="20"/>
                <w:szCs w:val="20"/>
                <w:color w:val="auto"/>
              </w:rPr>
            </w:pPr>
            <w:r>
              <w:rPr>
                <w:rFonts w:ascii="Arial" w:cs="Arial" w:eastAsia="Arial" w:hAnsi="Arial"/>
                <w:sz w:val="16"/>
                <w:szCs w:val="16"/>
                <w:color w:val="auto"/>
              </w:rPr>
              <w:t>any patent issued with respect to or in the future issued from any such</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patent applications, including utility models, petty patents, design patents and</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certificates of invention; and</w:t>
            </w:r>
          </w:p>
        </w:tc>
      </w:tr>
      <w:tr>
        <w:trPr>
          <w:trHeight w:val="516"/>
        </w:trPr>
        <w:tc>
          <w:tcPr>
            <w:tcW w:w="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(d)</w:t>
            </w:r>
          </w:p>
        </w:tc>
        <w:tc>
          <w:tcPr>
            <w:tcW w:w="5340" w:type="dxa"/>
            <w:vAlign w:val="bottom"/>
          </w:tcPr>
          <w:p>
            <w:pPr>
              <w:ind w:left="180"/>
              <w:spacing w:after="0"/>
              <w:rPr>
                <w:sz w:val="20"/>
                <w:szCs w:val="20"/>
                <w:color w:val="auto"/>
              </w:rPr>
            </w:pPr>
            <w:r>
              <w:rPr>
                <w:rFonts w:ascii="Arial" w:cs="Arial" w:eastAsia="Arial" w:hAnsi="Arial"/>
                <w:sz w:val="16"/>
                <w:szCs w:val="16"/>
                <w:color w:val="auto"/>
              </w:rPr>
              <w:t>any and all extensions or restorations by existing or future extension or</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restoration mechanisms, including revalidations, reissues, reexaminations and</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w w:val="98"/>
              </w:rPr>
              <w:t>extensions (including any supplementary protection certificates and the like) of the</w:t>
            </w:r>
          </w:p>
        </w:tc>
      </w:tr>
      <w:tr>
        <w:trPr>
          <w:trHeight w:val="228"/>
        </w:trPr>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foregoing patents or patent applications;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1.162</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Payments</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has the meaning set forth in Section 8.17 (Withholding Taxes);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1.163</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PDL1 Patent Right</w:t>
            </w:r>
          </w:p>
        </w:tc>
        <w:tc>
          <w:tcPr>
            <w:tcW w:w="6020" w:type="dxa"/>
            <w:vAlign w:val="bottom"/>
            <w:gridSpan w:val="2"/>
          </w:tcPr>
          <w:p>
            <w:pPr>
              <w:ind w:left="30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40" w:orient="portrait"/>
          <w:cols w:equalWidth="0" w:num="1">
            <w:col w:w="9200"/>
          </w:cols>
          <w:pgMar w:left="1260" w:top="1440" w:right="1440" w:bottom="1440" w:gutter="0" w:footer="0" w:header="0"/>
        </w:sectPr>
      </w:pPr>
    </w:p>
    <w:bookmarkStart w:id="796" w:name="page797"/>
    <w:bookmarkEnd w:id="79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1.164</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Person</w:t>
            </w:r>
          </w:p>
        </w:tc>
        <w:tc>
          <w:tcPr>
            <w:tcW w:w="5940" w:type="dxa"/>
            <w:vAlign w:val="bottom"/>
          </w:tcPr>
          <w:p>
            <w:pPr>
              <w:ind w:left="120"/>
              <w:spacing w:after="0"/>
              <w:rPr>
                <w:sz w:val="20"/>
                <w:szCs w:val="20"/>
                <w:color w:val="auto"/>
              </w:rPr>
            </w:pPr>
            <w:r>
              <w:rPr>
                <w:rFonts w:ascii="Arial" w:cs="Arial" w:eastAsia="Arial" w:hAnsi="Arial"/>
                <w:sz w:val="16"/>
                <w:szCs w:val="16"/>
                <w:color w:val="auto"/>
              </w:rPr>
              <w:t>means an individual, sole proprietorship, partnership, limited partnership, limited</w:t>
            </w:r>
          </w:p>
        </w:tc>
      </w:tr>
      <w:tr>
        <w:trPr>
          <w:trHeight w:val="220"/>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8"/>
              </w:rPr>
              <w:t>liability partnership, corporation, limited liability company, business trust, joint stock</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company,  trust,  incorporated  association,  joint  venture  or  similar  entity  or</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9"/>
              </w:rPr>
              <w:t>organization, including any Governmental Authority (or any department, agency, or</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political subdivision thereof);</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1.165</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Phase I Clinical Trial</w:t>
            </w:r>
          </w:p>
        </w:tc>
        <w:tc>
          <w:tcPr>
            <w:tcW w:w="5940" w:type="dxa"/>
            <w:vAlign w:val="bottom"/>
          </w:tcPr>
          <w:p>
            <w:pPr>
              <w:ind w:left="120"/>
              <w:spacing w:after="0"/>
              <w:rPr>
                <w:sz w:val="20"/>
                <w:szCs w:val="20"/>
                <w:color w:val="auto"/>
              </w:rPr>
            </w:pPr>
            <w:r>
              <w:rPr>
                <w:rFonts w:ascii="Arial" w:cs="Arial" w:eastAsia="Arial" w:hAnsi="Arial"/>
                <w:sz w:val="16"/>
                <w:szCs w:val="16"/>
                <w:color w:val="auto"/>
                <w:w w:val="97"/>
              </w:rPr>
              <w:t>means a Clinical Trial that generally provides for the first introduction into humans of</w:t>
            </w:r>
          </w:p>
        </w:tc>
      </w:tr>
      <w:tr>
        <w:trPr>
          <w:trHeight w:val="220"/>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a  Licensed  Product  with  the  primary  purpose  of  determining  initial  safety  or</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tolerance, metabolism and PK/PD properties of such product, in a manner that is</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generally consistent with 21 CFR § 312.21(a), as amended (or its successor</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regulation);</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1.166</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Phase II Clinical Trial</w:t>
            </w:r>
          </w:p>
        </w:tc>
        <w:tc>
          <w:tcPr>
            <w:tcW w:w="5940" w:type="dxa"/>
            <w:vAlign w:val="bottom"/>
          </w:tcPr>
          <w:p>
            <w:pPr>
              <w:ind w:left="120"/>
              <w:spacing w:after="0"/>
              <w:rPr>
                <w:sz w:val="20"/>
                <w:szCs w:val="20"/>
                <w:color w:val="auto"/>
              </w:rPr>
            </w:pPr>
            <w:r>
              <w:rPr>
                <w:rFonts w:ascii="Arial" w:cs="Arial" w:eastAsia="Arial" w:hAnsi="Arial"/>
                <w:sz w:val="16"/>
                <w:szCs w:val="16"/>
                <w:color w:val="auto"/>
              </w:rPr>
              <w:t>means a Clinical Trial, the principal purpose of which is to make a preliminary</w:t>
            </w:r>
          </w:p>
        </w:tc>
      </w:tr>
      <w:tr>
        <w:trPr>
          <w:trHeight w:val="220"/>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determination as to whether a pharmaceutical product is safe for its intended use</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7"/>
              </w:rPr>
              <w:t>and to obtain sufficient information about such product's efficacy for its intended use</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8"/>
              </w:rPr>
              <w:t>(proof of concept) in a manner that is generally consistent with 21 CFR § 312.21(b),</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as amended (or its successor regulation), to permit the design of further Clinical</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Trials;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1.167</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Phase III Clinical Trial</w:t>
            </w:r>
          </w:p>
        </w:tc>
        <w:tc>
          <w:tcPr>
            <w:tcW w:w="5940" w:type="dxa"/>
            <w:vAlign w:val="bottom"/>
          </w:tcPr>
          <w:p>
            <w:pPr>
              <w:ind w:left="120"/>
              <w:spacing w:after="0"/>
              <w:rPr>
                <w:sz w:val="20"/>
                <w:szCs w:val="20"/>
                <w:color w:val="auto"/>
              </w:rPr>
            </w:pPr>
            <w:r>
              <w:rPr>
                <w:rFonts w:ascii="Arial" w:cs="Arial" w:eastAsia="Arial" w:hAnsi="Arial"/>
                <w:sz w:val="16"/>
                <w:szCs w:val="16"/>
                <w:color w:val="auto"/>
              </w:rPr>
              <w:t>means a pivotal/registrational Clinical Trial with a defined dose or a set of defined</w:t>
            </w:r>
          </w:p>
        </w:tc>
      </w:tr>
      <w:tr>
        <w:trPr>
          <w:trHeight w:val="220"/>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doses of a Licensed Product designed to ascertain efficacy and safety of such</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7"/>
              </w:rPr>
              <w:t>Licensed Product, in a manner that is generally consistent with 21 CFR § 312.21(c),</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as  amended  (or  its  successor  regulation),  for  the  purpose  of  enabling  the</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w w:val="98"/>
              </w:rPr>
              <w:t>preparation and submission of an application for Regulatory Authorization. This can</w:t>
            </w:r>
          </w:p>
        </w:tc>
      </w:tr>
      <w:tr>
        <w:trPr>
          <w:trHeight w:val="228"/>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include Phase IIb Clinical Trials;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1.168</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PM8002 Licensed Compound</w:t>
            </w:r>
          </w:p>
        </w:tc>
        <w:tc>
          <w:tcPr>
            <w:tcW w:w="5940" w:type="dxa"/>
            <w:vAlign w:val="bottom"/>
          </w:tcPr>
          <w:p>
            <w:pPr>
              <w:ind w:left="12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1.169</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auto"/>
              </w:rPr>
              <w:t>PM8002 Licensed Product</w:t>
            </w:r>
          </w:p>
        </w:tc>
        <w:tc>
          <w:tcPr>
            <w:tcW w:w="5940" w:type="dxa"/>
            <w:vAlign w:val="bottom"/>
          </w:tcPr>
          <w:p>
            <w:pPr>
              <w:ind w:left="12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27</w:t>
      </w:r>
    </w:p>
    <w:p>
      <w:pPr>
        <w:sectPr>
          <w:pgSz w:w="11900" w:h="16840" w:orient="portrait"/>
          <w:cols w:equalWidth="0" w:num="1">
            <w:col w:w="9200"/>
          </w:cols>
          <w:pgMar w:left="1260" w:top="1440" w:right="1440" w:bottom="1440" w:gutter="0" w:footer="0" w:header="0"/>
        </w:sectPr>
      </w:pPr>
    </w:p>
    <w:bookmarkStart w:id="797" w:name="page798"/>
    <w:bookmarkEnd w:id="79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1.170</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PM8002 Product-Specific Patent</w:t>
            </w:r>
          </w:p>
        </w:tc>
        <w:tc>
          <w:tcPr>
            <w:tcW w:w="5680" w:type="dxa"/>
            <w:vAlign w:val="bottom"/>
          </w:tcPr>
          <w:p>
            <w:pPr>
              <w:ind w:left="40"/>
              <w:spacing w:after="0"/>
              <w:rPr>
                <w:sz w:val="20"/>
                <w:szCs w:val="20"/>
                <w:color w:val="auto"/>
              </w:rPr>
            </w:pPr>
            <w:r>
              <w:rPr>
                <w:rFonts w:ascii="Arial" w:cs="Arial" w:eastAsia="Arial" w:hAnsi="Arial"/>
                <w:sz w:val="16"/>
                <w:szCs w:val="16"/>
                <w:color w:val="auto"/>
                <w:w w:val="99"/>
              </w:rPr>
              <w:t>means any Licensed Patent Right (including any Joint Patent Rights) that solely</w:t>
            </w:r>
          </w:p>
        </w:tc>
      </w:tr>
      <w:tr>
        <w:trPr>
          <w:trHeight w:val="240"/>
        </w:trPr>
        <w:tc>
          <w:tcPr>
            <w:tcW w:w="660" w:type="dxa"/>
            <w:vAlign w:val="bottom"/>
          </w:tcPr>
          <w:p>
            <w:pPr>
              <w:spacing w:after="0"/>
              <w:rPr>
                <w:sz w:val="20"/>
                <w:szCs w:val="20"/>
                <w:color w:val="auto"/>
              </w:rPr>
            </w:pP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Right</w:t>
            </w:r>
          </w:p>
        </w:tc>
        <w:tc>
          <w:tcPr>
            <w:tcW w:w="5680" w:type="dxa"/>
            <w:vAlign w:val="bottom"/>
          </w:tcPr>
          <w:p>
            <w:pPr>
              <w:ind w:left="40"/>
              <w:spacing w:after="0"/>
              <w:rPr>
                <w:sz w:val="20"/>
                <w:szCs w:val="20"/>
                <w:color w:val="auto"/>
              </w:rPr>
            </w:pPr>
            <w:r>
              <w:rPr>
                <w:rFonts w:ascii="Arial" w:cs="Arial" w:eastAsia="Arial" w:hAnsi="Arial"/>
                <w:sz w:val="16"/>
                <w:szCs w:val="16"/>
                <w:color w:val="auto"/>
              </w:rPr>
              <w:t>identifies or discloses or solely Covers a  PM8002 Licensed Product(s) or its or</w:t>
            </w:r>
          </w:p>
        </w:tc>
      </w:tr>
      <w:tr>
        <w:trPr>
          <w:trHeight w:val="208"/>
        </w:trPr>
        <w:tc>
          <w:tcPr>
            <w:tcW w:w="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w w:val="99"/>
              </w:rPr>
              <w:t>their use or process of manufacture and does not claim or Cover any proprietary</w:t>
            </w:r>
          </w:p>
        </w:tc>
      </w:tr>
      <w:tr>
        <w:trPr>
          <w:trHeight w:val="228"/>
        </w:trPr>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products Controlled by Biotheus other than  such PM8002 Licensed Product(s).</w:t>
            </w:r>
          </w:p>
        </w:tc>
      </w:tr>
      <w:tr>
        <w:trPr>
          <w:trHeight w:val="228"/>
        </w:trPr>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1.171</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Licensed Compound</w:t>
            </w:r>
          </w:p>
        </w:tc>
        <w:tc>
          <w:tcPr>
            <w:tcW w:w="5680" w:type="dxa"/>
            <w:vAlign w:val="bottom"/>
          </w:tcPr>
          <w:p>
            <w:pPr>
              <w:ind w:left="40"/>
              <w:spacing w:after="0"/>
              <w:rPr>
                <w:sz w:val="20"/>
                <w:szCs w:val="20"/>
                <w:color w:val="auto"/>
              </w:rPr>
            </w:pPr>
            <w:r>
              <w:rPr>
                <w:rFonts w:ascii="Arial" w:cs="Arial" w:eastAsia="Arial" w:hAnsi="Arial"/>
                <w:sz w:val="16"/>
                <w:szCs w:val="16"/>
                <w:color w:val="auto"/>
              </w:rPr>
              <w:t>means Biotheus’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1.172</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Licensed Product</w:t>
            </w:r>
          </w:p>
        </w:tc>
        <w:tc>
          <w:tcPr>
            <w:tcW w:w="5680" w:type="dxa"/>
            <w:vAlign w:val="bottom"/>
          </w:tcPr>
          <w:p>
            <w:pPr>
              <w:ind w:left="4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1.173</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Option</w:t>
            </w:r>
          </w:p>
        </w:tc>
        <w:tc>
          <w:tcPr>
            <w:tcW w:w="5680" w:type="dxa"/>
            <w:vAlign w:val="bottom"/>
          </w:tcPr>
          <w:p>
            <w:pPr>
              <w:ind w:left="40"/>
              <w:spacing w:after="0"/>
              <w:rPr>
                <w:sz w:val="20"/>
                <w:szCs w:val="20"/>
                <w:color w:val="auto"/>
              </w:rPr>
            </w:pPr>
            <w:r>
              <w:rPr>
                <w:rFonts w:ascii="Arial" w:cs="Arial" w:eastAsia="Arial" w:hAnsi="Arial"/>
                <w:sz w:val="16"/>
                <w:szCs w:val="16"/>
                <w:color w:val="auto"/>
              </w:rPr>
              <w:t>has the meaning set forth in Section 2.1(a) (PM8003 Option);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1.174</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Option Exercise Date</w:t>
            </w:r>
          </w:p>
        </w:tc>
        <w:tc>
          <w:tcPr>
            <w:tcW w:w="5680" w:type="dxa"/>
            <w:vAlign w:val="bottom"/>
          </w:tcPr>
          <w:p>
            <w:pPr>
              <w:ind w:left="40"/>
              <w:spacing w:after="0"/>
              <w:rPr>
                <w:sz w:val="20"/>
                <w:szCs w:val="20"/>
                <w:color w:val="auto"/>
              </w:rPr>
            </w:pPr>
            <w:r>
              <w:rPr>
                <w:rFonts w:ascii="Arial" w:cs="Arial" w:eastAsia="Arial" w:hAnsi="Arial"/>
                <w:sz w:val="16"/>
                <w:szCs w:val="16"/>
                <w:color w:val="auto"/>
              </w:rPr>
              <w:t>has the meaning set forth in Section 2.1(a) (PM8003 Option);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1.175</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Option Exercise Notice</w:t>
            </w:r>
          </w:p>
        </w:tc>
        <w:tc>
          <w:tcPr>
            <w:tcW w:w="5680" w:type="dxa"/>
            <w:vAlign w:val="bottom"/>
          </w:tcPr>
          <w:p>
            <w:pPr>
              <w:ind w:left="40"/>
              <w:spacing w:after="0"/>
              <w:rPr>
                <w:sz w:val="20"/>
                <w:szCs w:val="20"/>
                <w:color w:val="auto"/>
              </w:rPr>
            </w:pPr>
            <w:r>
              <w:rPr>
                <w:rFonts w:ascii="Arial" w:cs="Arial" w:eastAsia="Arial" w:hAnsi="Arial"/>
                <w:sz w:val="16"/>
                <w:szCs w:val="16"/>
                <w:color w:val="auto"/>
              </w:rPr>
              <w:t>has the meaning set forth in Section 2.1(a) (PM8003 Option);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1.176</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Option Period</w:t>
            </w:r>
          </w:p>
        </w:tc>
        <w:tc>
          <w:tcPr>
            <w:tcW w:w="5680" w:type="dxa"/>
            <w:vAlign w:val="bottom"/>
          </w:tcPr>
          <w:p>
            <w:pPr>
              <w:ind w:left="40"/>
              <w:spacing w:after="0"/>
              <w:rPr>
                <w:sz w:val="20"/>
                <w:szCs w:val="20"/>
                <w:color w:val="auto"/>
              </w:rPr>
            </w:pPr>
            <w:r>
              <w:rPr>
                <w:rFonts w:ascii="Arial" w:cs="Arial" w:eastAsia="Arial" w:hAnsi="Arial"/>
                <w:sz w:val="16"/>
                <w:szCs w:val="16"/>
                <w:color w:val="auto"/>
              </w:rPr>
              <w:t>means the period from the [***] until [***] days after the Improved Licensed</w:t>
            </w:r>
          </w:p>
        </w:tc>
      </w:tr>
      <w:tr>
        <w:trPr>
          <w:trHeight w:val="220"/>
        </w:trPr>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Product Conditions are met;</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1.177</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PM8003 Product-Specific Patent</w:t>
            </w:r>
          </w:p>
        </w:tc>
        <w:tc>
          <w:tcPr>
            <w:tcW w:w="5680" w:type="dxa"/>
            <w:vAlign w:val="bottom"/>
          </w:tcPr>
          <w:p>
            <w:pPr>
              <w:ind w:left="40"/>
              <w:spacing w:after="0"/>
              <w:rPr>
                <w:sz w:val="20"/>
                <w:szCs w:val="20"/>
                <w:color w:val="auto"/>
              </w:rPr>
            </w:pPr>
            <w:r>
              <w:rPr>
                <w:rFonts w:ascii="Arial" w:cs="Arial" w:eastAsia="Arial" w:hAnsi="Arial"/>
                <w:sz w:val="16"/>
                <w:szCs w:val="16"/>
                <w:color w:val="auto"/>
                <w:w w:val="99"/>
              </w:rPr>
              <w:t>means any Licensed Patent Right (including any Joint Patent Rights) that solely</w:t>
            </w:r>
          </w:p>
        </w:tc>
      </w:tr>
      <w:tr>
        <w:trPr>
          <w:trHeight w:val="240"/>
        </w:trPr>
        <w:tc>
          <w:tcPr>
            <w:tcW w:w="660" w:type="dxa"/>
            <w:vAlign w:val="bottom"/>
          </w:tcPr>
          <w:p>
            <w:pPr>
              <w:spacing w:after="0"/>
              <w:rPr>
                <w:sz w:val="20"/>
                <w:szCs w:val="20"/>
                <w:color w:val="auto"/>
              </w:rPr>
            </w:pP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Right</w:t>
            </w:r>
          </w:p>
        </w:tc>
        <w:tc>
          <w:tcPr>
            <w:tcW w:w="5680" w:type="dxa"/>
            <w:vAlign w:val="bottom"/>
          </w:tcPr>
          <w:p>
            <w:pPr>
              <w:ind w:left="40"/>
              <w:spacing w:after="0"/>
              <w:rPr>
                <w:sz w:val="20"/>
                <w:szCs w:val="20"/>
                <w:color w:val="auto"/>
              </w:rPr>
            </w:pPr>
            <w:r>
              <w:rPr>
                <w:rFonts w:ascii="Arial" w:cs="Arial" w:eastAsia="Arial" w:hAnsi="Arial"/>
                <w:sz w:val="16"/>
                <w:szCs w:val="16"/>
                <w:color w:val="auto"/>
              </w:rPr>
              <w:t>identifies or discloses or solely Covers a  PM8003 Licensed Product(s) or its or</w:t>
            </w:r>
          </w:p>
        </w:tc>
      </w:tr>
      <w:tr>
        <w:trPr>
          <w:trHeight w:val="208"/>
        </w:trPr>
        <w:tc>
          <w:tcPr>
            <w:tcW w:w="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w w:val="99"/>
              </w:rPr>
              <w:t>their use or process of manufacture and does not claim or Cover any proprietary</w:t>
            </w:r>
          </w:p>
        </w:tc>
      </w:tr>
      <w:tr>
        <w:trPr>
          <w:trHeight w:val="228"/>
        </w:trPr>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products Controlled by Biotheus other than  such PM8003 Licensed Product(s).</w:t>
            </w:r>
          </w:p>
        </w:tc>
      </w:tr>
      <w:tr>
        <w:trPr>
          <w:trHeight w:val="228"/>
        </w:trPr>
        <w:tc>
          <w:tcPr>
            <w:tcW w:w="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1.178</w:t>
            </w: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w w:val="97"/>
              </w:rPr>
              <w:t>Preclinical Multispecific Licensed</w:t>
            </w:r>
          </w:p>
        </w:tc>
        <w:tc>
          <w:tcPr>
            <w:tcW w:w="5680" w:type="dxa"/>
            <w:vAlign w:val="bottom"/>
          </w:tcPr>
          <w:p>
            <w:pPr>
              <w:ind w:left="40"/>
              <w:spacing w:after="0"/>
              <w:rPr>
                <w:sz w:val="20"/>
                <w:szCs w:val="20"/>
                <w:color w:val="auto"/>
              </w:rPr>
            </w:pPr>
            <w:r>
              <w:rPr>
                <w:rFonts w:ascii="Arial" w:cs="Arial" w:eastAsia="Arial" w:hAnsi="Arial"/>
                <w:sz w:val="16"/>
                <w:szCs w:val="16"/>
                <w:color w:val="auto"/>
              </w:rPr>
              <w:t>means [***];</w:t>
            </w:r>
          </w:p>
        </w:tc>
      </w:tr>
      <w:tr>
        <w:trPr>
          <w:trHeight w:val="240"/>
        </w:trPr>
        <w:tc>
          <w:tcPr>
            <w:tcW w:w="660" w:type="dxa"/>
            <w:vAlign w:val="bottom"/>
          </w:tcPr>
          <w:p>
            <w:pPr>
              <w:spacing w:after="0"/>
              <w:rPr>
                <w:sz w:val="20"/>
                <w:szCs w:val="20"/>
                <w:color w:val="auto"/>
              </w:rPr>
            </w:pPr>
          </w:p>
        </w:tc>
        <w:tc>
          <w:tcPr>
            <w:tcW w:w="2780" w:type="dxa"/>
            <w:vAlign w:val="bottom"/>
          </w:tcPr>
          <w:p>
            <w:pPr>
              <w:ind w:left="260"/>
              <w:spacing w:after="0"/>
              <w:rPr>
                <w:sz w:val="20"/>
                <w:szCs w:val="20"/>
                <w:color w:val="auto"/>
              </w:rPr>
            </w:pPr>
            <w:r>
              <w:rPr>
                <w:rFonts w:ascii="Arial" w:cs="Arial" w:eastAsia="Arial" w:hAnsi="Arial"/>
                <w:sz w:val="16"/>
                <w:szCs w:val="16"/>
                <w:b w:val="1"/>
                <w:bCs w:val="1"/>
                <w:color w:val="auto"/>
              </w:rPr>
              <w:t>Compound</w:t>
            </w:r>
          </w:p>
        </w:tc>
        <w:tc>
          <w:tcPr>
            <w:tcW w:w="56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40" w:orient="portrait"/>
          <w:cols w:equalWidth="0" w:num="1">
            <w:col w:w="9200"/>
          </w:cols>
          <w:pgMar w:left="1260" w:top="1440" w:right="1440" w:bottom="1440" w:gutter="0" w:footer="0" w:header="0"/>
        </w:sectPr>
      </w:pPr>
    </w:p>
    <w:bookmarkStart w:id="798" w:name="page799"/>
    <w:bookmarkEnd w:id="79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1.179</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Licensed</w:t>
            </w:r>
          </w:p>
        </w:tc>
        <w:tc>
          <w:tcPr>
            <w:tcW w:w="5640" w:type="dxa"/>
            <w:vAlign w:val="bottom"/>
          </w:tcPr>
          <w:p>
            <w:pPr>
              <w:ind w:left="100"/>
              <w:spacing w:after="0"/>
              <w:rPr>
                <w:sz w:val="20"/>
                <w:szCs w:val="20"/>
                <w:color w:val="auto"/>
              </w:rPr>
            </w:pPr>
            <w:r>
              <w:rPr>
                <w:rFonts w:ascii="Arial" w:cs="Arial" w:eastAsia="Arial" w:hAnsi="Arial"/>
                <w:sz w:val="16"/>
                <w:szCs w:val="16"/>
                <w:color w:val="auto"/>
              </w:rPr>
              <w:t>means, from and after the Preclinical Multispecific Option Exercise Date only,</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Product</w:t>
            </w:r>
          </w:p>
        </w:tc>
        <w:tc>
          <w:tcPr>
            <w:tcW w:w="564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1.180</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Option</w:t>
            </w:r>
          </w:p>
        </w:tc>
        <w:tc>
          <w:tcPr>
            <w:tcW w:w="5640" w:type="dxa"/>
            <w:vAlign w:val="bottom"/>
          </w:tcPr>
          <w:p>
            <w:pPr>
              <w:ind w:left="100"/>
              <w:spacing w:after="0"/>
              <w:rPr>
                <w:sz w:val="20"/>
                <w:szCs w:val="20"/>
                <w:color w:val="auto"/>
              </w:rPr>
            </w:pPr>
            <w:r>
              <w:rPr>
                <w:rFonts w:ascii="Arial" w:cs="Arial" w:eastAsia="Arial" w:hAnsi="Arial"/>
                <w:sz w:val="16"/>
                <w:szCs w:val="16"/>
                <w:color w:val="auto"/>
              </w:rPr>
              <w:t>has the meaning set forth in Section 2.1(b) (Preclinical Multispecific Option);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1.181</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Option</w:t>
            </w:r>
          </w:p>
        </w:tc>
        <w:tc>
          <w:tcPr>
            <w:tcW w:w="5640" w:type="dxa"/>
            <w:vAlign w:val="bottom"/>
          </w:tcPr>
          <w:p>
            <w:pPr>
              <w:ind w:left="100"/>
              <w:spacing w:after="0"/>
              <w:rPr>
                <w:sz w:val="20"/>
                <w:szCs w:val="20"/>
                <w:color w:val="auto"/>
              </w:rPr>
            </w:pPr>
            <w:r>
              <w:rPr>
                <w:rFonts w:ascii="Arial" w:cs="Arial" w:eastAsia="Arial" w:hAnsi="Arial"/>
                <w:sz w:val="16"/>
                <w:szCs w:val="16"/>
                <w:color w:val="auto"/>
              </w:rPr>
              <w:t>has the meaning set forth in Section 2.1(b) (Preclinical Multispecific Option);</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Exercise Date</w:t>
            </w:r>
          </w:p>
        </w:tc>
        <w:tc>
          <w:tcPr>
            <w:tcW w:w="5640" w:type="dxa"/>
            <w:vAlign w:val="bottom"/>
          </w:tcPr>
          <w:p>
            <w:pPr>
              <w:spacing w:after="0"/>
              <w:rPr>
                <w:sz w:val="20"/>
                <w:szCs w:val="20"/>
                <w:color w:val="auto"/>
              </w:rPr>
            </w:pP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1.182</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Option</w:t>
            </w:r>
          </w:p>
        </w:tc>
        <w:tc>
          <w:tcPr>
            <w:tcW w:w="5640" w:type="dxa"/>
            <w:vAlign w:val="bottom"/>
          </w:tcPr>
          <w:p>
            <w:pPr>
              <w:ind w:left="100"/>
              <w:spacing w:after="0"/>
              <w:rPr>
                <w:sz w:val="20"/>
                <w:szCs w:val="20"/>
                <w:color w:val="auto"/>
              </w:rPr>
            </w:pPr>
            <w:r>
              <w:rPr>
                <w:rFonts w:ascii="Arial" w:cs="Arial" w:eastAsia="Arial" w:hAnsi="Arial"/>
                <w:sz w:val="16"/>
                <w:szCs w:val="16"/>
                <w:color w:val="auto"/>
              </w:rPr>
              <w:t>has the meaning set forth in Section 2.1(b) (Preclinical Multispecific Option);</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Exercise Notice</w:t>
            </w:r>
          </w:p>
        </w:tc>
        <w:tc>
          <w:tcPr>
            <w:tcW w:w="5640" w:type="dxa"/>
            <w:vAlign w:val="bottom"/>
          </w:tcPr>
          <w:p>
            <w:pPr>
              <w:spacing w:after="0"/>
              <w:rPr>
                <w:sz w:val="20"/>
                <w:szCs w:val="20"/>
                <w:color w:val="auto"/>
              </w:rPr>
            </w:pP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1.183</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Option</w:t>
            </w:r>
          </w:p>
        </w:tc>
        <w:tc>
          <w:tcPr>
            <w:tcW w:w="5640" w:type="dxa"/>
            <w:vAlign w:val="bottom"/>
          </w:tcPr>
          <w:p>
            <w:pPr>
              <w:ind w:left="100"/>
              <w:spacing w:after="0"/>
              <w:rPr>
                <w:sz w:val="20"/>
                <w:szCs w:val="20"/>
                <w:color w:val="auto"/>
              </w:rPr>
            </w:pPr>
            <w:r>
              <w:rPr>
                <w:rFonts w:ascii="Arial" w:cs="Arial" w:eastAsia="Arial" w:hAnsi="Arial"/>
                <w:sz w:val="16"/>
                <w:szCs w:val="16"/>
                <w:color w:val="auto"/>
              </w:rPr>
              <w:t>means,  on  a  Preclinical  Multispecific  Licensed  Compound-by  Preclinical</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Period</w:t>
            </w:r>
          </w:p>
        </w:tc>
        <w:tc>
          <w:tcPr>
            <w:tcW w:w="5640" w:type="dxa"/>
            <w:vAlign w:val="bottom"/>
          </w:tcPr>
          <w:p>
            <w:pPr>
              <w:ind w:left="100"/>
              <w:spacing w:after="0"/>
              <w:rPr>
                <w:sz w:val="20"/>
                <w:szCs w:val="20"/>
                <w:color w:val="auto"/>
              </w:rPr>
            </w:pPr>
            <w:r>
              <w:rPr>
                <w:rFonts w:ascii="Arial" w:cs="Arial" w:eastAsia="Arial" w:hAnsi="Arial"/>
                <w:sz w:val="16"/>
                <w:szCs w:val="16"/>
                <w:color w:val="auto"/>
              </w:rPr>
              <w:t>Multispecific Licensed Compound basis, the period from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1.184</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Preclinical Multispecific Product-</w:t>
            </w:r>
          </w:p>
        </w:tc>
        <w:tc>
          <w:tcPr>
            <w:tcW w:w="5640" w:type="dxa"/>
            <w:vAlign w:val="bottom"/>
          </w:tcPr>
          <w:p>
            <w:pPr>
              <w:ind w:left="100"/>
              <w:spacing w:after="0"/>
              <w:rPr>
                <w:sz w:val="20"/>
                <w:szCs w:val="20"/>
                <w:color w:val="auto"/>
              </w:rPr>
            </w:pPr>
            <w:r>
              <w:rPr>
                <w:rFonts w:ascii="Arial" w:cs="Arial" w:eastAsia="Arial" w:hAnsi="Arial"/>
                <w:sz w:val="16"/>
                <w:szCs w:val="16"/>
                <w:color w:val="auto"/>
              </w:rPr>
              <w:t>means,  on  a  Preclinical  Multispecific  Licensed  Product-by-Preclinical</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Specific Patent Right</w:t>
            </w:r>
          </w:p>
        </w:tc>
        <w:tc>
          <w:tcPr>
            <w:tcW w:w="5640" w:type="dxa"/>
            <w:vAlign w:val="bottom"/>
          </w:tcPr>
          <w:p>
            <w:pPr>
              <w:ind w:left="100"/>
              <w:spacing w:after="0"/>
              <w:rPr>
                <w:sz w:val="20"/>
                <w:szCs w:val="20"/>
                <w:color w:val="auto"/>
              </w:rPr>
            </w:pPr>
            <w:r>
              <w:rPr>
                <w:rFonts w:ascii="Arial" w:cs="Arial" w:eastAsia="Arial" w:hAnsi="Arial"/>
                <w:sz w:val="16"/>
                <w:szCs w:val="16"/>
                <w:color w:val="auto"/>
                <w:w w:val="99"/>
              </w:rPr>
              <w:t>Multispecific Licensed Product basis, any Licensed Patent Right (including any</w:t>
            </w:r>
          </w:p>
        </w:tc>
      </w:tr>
      <w:tr>
        <w:trPr>
          <w:trHeight w:val="208"/>
        </w:trPr>
        <w:tc>
          <w:tcPr>
            <w:tcW w:w="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Joint Patent Rights) that solely identifies  or discloses  or  solely  Covers  a</w:t>
            </w:r>
          </w:p>
        </w:tc>
      </w:tr>
      <w:tr>
        <w:trPr>
          <w:trHeight w:val="228"/>
        </w:trPr>
        <w:tc>
          <w:tcPr>
            <w:tcW w:w="6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Preclinical Multispecific Licensed Product(s) or its or their use or process of</w:t>
            </w:r>
          </w:p>
        </w:tc>
      </w:tr>
      <w:tr>
        <w:trPr>
          <w:trHeight w:val="228"/>
        </w:trPr>
        <w:tc>
          <w:tcPr>
            <w:tcW w:w="6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w w:val="96"/>
              </w:rPr>
              <w:t>manufacture and does not claim or Cover any proprietary products Controlled by</w:t>
            </w:r>
          </w:p>
        </w:tc>
      </w:tr>
      <w:tr>
        <w:trPr>
          <w:trHeight w:val="228"/>
        </w:trPr>
        <w:tc>
          <w:tcPr>
            <w:tcW w:w="6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Biotheus other than such Preclinical Multispecific Licensed Product(s). [***]</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1.185</w:t>
            </w: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Pricing and Reimbursement</w:t>
            </w:r>
          </w:p>
        </w:tc>
        <w:tc>
          <w:tcPr>
            <w:tcW w:w="5640" w:type="dxa"/>
            <w:vAlign w:val="bottom"/>
          </w:tcPr>
          <w:p>
            <w:pPr>
              <w:ind w:left="100"/>
              <w:spacing w:after="0"/>
              <w:rPr>
                <w:sz w:val="20"/>
                <w:szCs w:val="20"/>
                <w:color w:val="auto"/>
              </w:rPr>
            </w:pPr>
            <w:r>
              <w:rPr>
                <w:rFonts w:ascii="Arial" w:cs="Arial" w:eastAsia="Arial" w:hAnsi="Arial"/>
                <w:sz w:val="16"/>
                <w:szCs w:val="16"/>
                <w:color w:val="auto"/>
              </w:rPr>
              <w:t>means in any country where a Regulatory Authority authorizes, approves or</w:t>
            </w:r>
          </w:p>
        </w:tc>
      </w:tr>
      <w:tr>
        <w:trPr>
          <w:trHeight w:val="240"/>
        </w:trPr>
        <w:tc>
          <w:tcPr>
            <w:tcW w:w="660" w:type="dxa"/>
            <w:vAlign w:val="bottom"/>
          </w:tcPr>
          <w:p>
            <w:pPr>
              <w:spacing w:after="0"/>
              <w:rPr>
                <w:sz w:val="20"/>
                <w:szCs w:val="20"/>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Approval</w:t>
            </w:r>
          </w:p>
        </w:tc>
        <w:tc>
          <w:tcPr>
            <w:tcW w:w="5640" w:type="dxa"/>
            <w:vAlign w:val="bottom"/>
          </w:tcPr>
          <w:p>
            <w:pPr>
              <w:ind w:left="100"/>
              <w:spacing w:after="0"/>
              <w:rPr>
                <w:sz w:val="20"/>
                <w:szCs w:val="20"/>
                <w:color w:val="auto"/>
              </w:rPr>
            </w:pPr>
            <w:r>
              <w:rPr>
                <w:rFonts w:ascii="Arial" w:cs="Arial" w:eastAsia="Arial" w:hAnsi="Arial"/>
                <w:sz w:val="16"/>
                <w:szCs w:val="16"/>
                <w:color w:val="auto"/>
              </w:rPr>
              <w:t>determines reimbursement for or use of, and / or pricing for, pharmaceutical</w:t>
            </w:r>
          </w:p>
        </w:tc>
      </w:tr>
      <w:tr>
        <w:trPr>
          <w:trHeight w:val="208"/>
        </w:trPr>
        <w:tc>
          <w:tcPr>
            <w:tcW w:w="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products,  receipt  (or,  if  required  to  make  such  authorization,  approval  or</w:t>
            </w:r>
          </w:p>
        </w:tc>
      </w:tr>
    </w:tbl>
    <w:p>
      <w:pPr>
        <w:spacing w:after="0" w:line="23" w:lineRule="exact"/>
        <w:rPr>
          <w:sz w:val="20"/>
          <w:szCs w:val="20"/>
          <w:color w:val="auto"/>
        </w:rPr>
      </w:pPr>
    </w:p>
    <w:p>
      <w:pPr>
        <w:ind w:left="3580" w:right="80"/>
        <w:spacing w:after="0" w:line="325" w:lineRule="auto"/>
        <w:rPr>
          <w:sz w:val="20"/>
          <w:szCs w:val="20"/>
          <w:color w:val="auto"/>
        </w:rPr>
      </w:pPr>
      <w:r>
        <w:rPr>
          <w:rFonts w:ascii="Arial" w:cs="Arial" w:eastAsia="Arial" w:hAnsi="Arial"/>
          <w:sz w:val="16"/>
          <w:szCs w:val="16"/>
          <w:color w:val="auto"/>
        </w:rPr>
        <w:t>determination as effective, publication) of such reimbursement and / or pricing approval or determination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29</w:t>
      </w:r>
    </w:p>
    <w:p>
      <w:pPr>
        <w:sectPr>
          <w:pgSz w:w="11900" w:h="16840" w:orient="portrait"/>
          <w:cols w:equalWidth="0" w:num="1">
            <w:col w:w="9200"/>
          </w:cols>
          <w:pgMar w:left="1260" w:top="1440" w:right="1440" w:bottom="1440" w:gutter="0" w:footer="0" w:header="0"/>
        </w:sectPr>
      </w:pPr>
    </w:p>
    <w:bookmarkStart w:id="799" w:name="page800"/>
    <w:bookmarkEnd w:id="799"/>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1.186</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Product-Specific IP</w:t>
            </w:r>
          </w:p>
        </w:tc>
        <w:tc>
          <w:tcPr>
            <w:tcW w:w="5860" w:type="dxa"/>
            <w:vAlign w:val="bottom"/>
          </w:tcPr>
          <w:p>
            <w:pPr>
              <w:ind w:left="140"/>
              <w:spacing w:after="0"/>
              <w:rPr>
                <w:sz w:val="20"/>
                <w:szCs w:val="20"/>
                <w:color w:val="auto"/>
              </w:rPr>
            </w:pPr>
            <w:r>
              <w:rPr>
                <w:rFonts w:ascii="Arial" w:cs="Arial" w:eastAsia="Arial" w:hAnsi="Arial"/>
                <w:sz w:val="16"/>
                <w:szCs w:val="16"/>
                <w:color w:val="auto"/>
              </w:rPr>
              <w:t>means, all Product-Specific Know-How and Product-Specific Patent Rights;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1.187</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Product-Specific Know-How</w:t>
            </w:r>
          </w:p>
        </w:tc>
        <w:tc>
          <w:tcPr>
            <w:tcW w:w="5860" w:type="dxa"/>
            <w:vAlign w:val="bottom"/>
          </w:tcPr>
          <w:p>
            <w:pPr>
              <w:ind w:left="140"/>
              <w:spacing w:after="0"/>
              <w:rPr>
                <w:sz w:val="20"/>
                <w:szCs w:val="20"/>
                <w:color w:val="auto"/>
              </w:rPr>
            </w:pPr>
            <w:r>
              <w:rPr>
                <w:rFonts w:ascii="Arial" w:cs="Arial" w:eastAsia="Arial" w:hAnsi="Arial"/>
                <w:sz w:val="16"/>
                <w:szCs w:val="16"/>
                <w:color w:val="auto"/>
              </w:rPr>
              <w:t>means, for the purpose of Section 1.72 (Confidential Information) and Article 10</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w w:val="98"/>
              </w:rPr>
              <w:t>(Confidentiality), with respect to a Licensed Product any Licensed Know-How that</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rPr>
              <w:t>solely relates to such Licensed Product;</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1.188</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Product-Specific Patent Right</w:t>
            </w:r>
          </w:p>
        </w:tc>
        <w:tc>
          <w:tcPr>
            <w:tcW w:w="5860" w:type="dxa"/>
            <w:vAlign w:val="bottom"/>
          </w:tcPr>
          <w:p>
            <w:pPr>
              <w:ind w:left="140"/>
              <w:spacing w:after="0"/>
              <w:rPr>
                <w:sz w:val="20"/>
                <w:szCs w:val="20"/>
                <w:color w:val="auto"/>
              </w:rPr>
            </w:pPr>
            <w:r>
              <w:rPr>
                <w:rFonts w:ascii="Arial" w:cs="Arial" w:eastAsia="Arial" w:hAnsi="Arial"/>
                <w:sz w:val="16"/>
                <w:szCs w:val="16"/>
                <w:color w:val="auto"/>
              </w:rPr>
              <w:t>means, on a Licensed Product-by-Licensed Product basis, any Licensed Patent</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w w:val="98"/>
              </w:rPr>
              <w:t>Right (including any Joint Patent Rights) that solely identifies or discloses or solely</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rPr>
              <w:t>Covers a Licensed Product(s) or its or their use or process of manufacture and</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rPr>
              <w:t>does not claim or Cover any proprietary products Controlled by Biotheus other</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w w:val="99"/>
              </w:rPr>
              <w:t>than such Licensed Product(s), including PM8002 Product-Specific Patent Right,</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rPr>
              <w:t>PM8003  Product-Specific  Patent  Right  and  Preclinical  Multispecific  Product-</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60" w:type="dxa"/>
            <w:vAlign w:val="bottom"/>
          </w:tcPr>
          <w:p>
            <w:pPr>
              <w:ind w:left="140"/>
              <w:spacing w:after="0"/>
              <w:rPr>
                <w:sz w:val="20"/>
                <w:szCs w:val="20"/>
                <w:color w:val="auto"/>
              </w:rPr>
            </w:pPr>
            <w:r>
              <w:rPr>
                <w:rFonts w:ascii="Arial" w:cs="Arial" w:eastAsia="Arial" w:hAnsi="Arial"/>
                <w:sz w:val="16"/>
                <w:szCs w:val="16"/>
                <w:color w:val="auto"/>
              </w:rPr>
              <w:t>Specific Patent Right;</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1.189</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Prohibited Conduct</w:t>
            </w:r>
          </w:p>
        </w:tc>
        <w:tc>
          <w:tcPr>
            <w:tcW w:w="5860" w:type="dxa"/>
            <w:vAlign w:val="bottom"/>
          </w:tcPr>
          <w:p>
            <w:pPr>
              <w:ind w:left="140"/>
              <w:spacing w:after="0"/>
              <w:rPr>
                <w:sz w:val="20"/>
                <w:szCs w:val="20"/>
                <w:color w:val="auto"/>
              </w:rPr>
            </w:pPr>
            <w:r>
              <w:rPr>
                <w:rFonts w:ascii="Arial" w:cs="Arial" w:eastAsia="Arial" w:hAnsi="Arial"/>
                <w:sz w:val="16"/>
                <w:szCs w:val="16"/>
                <w:color w:val="auto"/>
              </w:rPr>
              <w:t>has the meaning set forth in Section 11.3(c) (No Bribery);</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1.190</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Project Manager</w:t>
            </w:r>
          </w:p>
        </w:tc>
        <w:tc>
          <w:tcPr>
            <w:tcW w:w="5860" w:type="dxa"/>
            <w:vAlign w:val="bottom"/>
          </w:tcPr>
          <w:p>
            <w:pPr>
              <w:ind w:left="140"/>
              <w:spacing w:after="0"/>
              <w:rPr>
                <w:sz w:val="20"/>
                <w:szCs w:val="20"/>
                <w:color w:val="auto"/>
              </w:rPr>
            </w:pPr>
            <w:r>
              <w:rPr>
                <w:rFonts w:ascii="Arial" w:cs="Arial" w:eastAsia="Arial" w:hAnsi="Arial"/>
                <w:sz w:val="16"/>
                <w:szCs w:val="16"/>
                <w:color w:val="auto"/>
              </w:rPr>
              <w:t>has the meaning set forth in Section 4.3 (Alliance and Project Managers);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1.191</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Proposed In-Licensed Rights</w:t>
            </w:r>
          </w:p>
        </w:tc>
        <w:tc>
          <w:tcPr>
            <w:tcW w:w="5860" w:type="dxa"/>
            <w:vAlign w:val="bottom"/>
          </w:tcPr>
          <w:p>
            <w:pPr>
              <w:ind w:left="140"/>
              <w:spacing w:after="0"/>
              <w:rPr>
                <w:sz w:val="20"/>
                <w:szCs w:val="20"/>
                <w:color w:val="auto"/>
              </w:rPr>
            </w:pPr>
            <w:r>
              <w:rPr>
                <w:rFonts w:ascii="Arial" w:cs="Arial" w:eastAsia="Arial" w:hAnsi="Arial"/>
                <w:sz w:val="16"/>
                <w:szCs w:val="16"/>
                <w:color w:val="auto"/>
              </w:rPr>
              <w:t>has the meaning set forth in Section 3.8 (New Biotheus In-Licenses);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1.192</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Prosecution and Maintenance</w:t>
            </w:r>
          </w:p>
        </w:tc>
        <w:tc>
          <w:tcPr>
            <w:tcW w:w="5860" w:type="dxa"/>
            <w:vAlign w:val="bottom"/>
          </w:tcPr>
          <w:p>
            <w:pPr>
              <w:ind w:left="140"/>
              <w:spacing w:after="0"/>
              <w:rPr>
                <w:sz w:val="20"/>
                <w:szCs w:val="20"/>
                <w:color w:val="auto"/>
              </w:rPr>
            </w:pPr>
            <w:r>
              <w:rPr>
                <w:rFonts w:ascii="Arial" w:cs="Arial" w:eastAsia="Arial" w:hAnsi="Arial"/>
                <w:sz w:val="16"/>
                <w:szCs w:val="16"/>
                <w:color w:val="auto"/>
                <w:w w:val="98"/>
              </w:rPr>
              <w:t>has the meaning set forth in Section 9.2(d) (BioNTech-Prosecuted Patent Rights);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1.193</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Qualification Date</w:t>
            </w:r>
          </w:p>
        </w:tc>
        <w:tc>
          <w:tcPr>
            <w:tcW w:w="5860" w:type="dxa"/>
            <w:vAlign w:val="bottom"/>
          </w:tcPr>
          <w:p>
            <w:pPr>
              <w:ind w:left="140"/>
              <w:spacing w:after="0"/>
              <w:rPr>
                <w:sz w:val="20"/>
                <w:szCs w:val="20"/>
                <w:color w:val="auto"/>
              </w:rPr>
            </w:pPr>
            <w:r>
              <w:rPr>
                <w:rFonts w:ascii="Arial" w:cs="Arial" w:eastAsia="Arial" w:hAnsi="Arial"/>
                <w:sz w:val="16"/>
                <w:szCs w:val="16"/>
                <w:color w:val="auto"/>
              </w:rPr>
              <w:t>has the meaning set forth in Article 8 (Financial Terms);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1.194</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Receiving Party</w:t>
            </w:r>
          </w:p>
        </w:tc>
        <w:tc>
          <w:tcPr>
            <w:tcW w:w="5860" w:type="dxa"/>
            <w:vAlign w:val="bottom"/>
          </w:tcPr>
          <w:p>
            <w:pPr>
              <w:ind w:left="140"/>
              <w:spacing w:after="0"/>
              <w:rPr>
                <w:sz w:val="20"/>
                <w:szCs w:val="20"/>
                <w:color w:val="auto"/>
              </w:rPr>
            </w:pPr>
            <w:r>
              <w:rPr>
                <w:rFonts w:ascii="Arial" w:cs="Arial" w:eastAsia="Arial" w:hAnsi="Arial"/>
                <w:sz w:val="16"/>
                <w:szCs w:val="16"/>
                <w:color w:val="auto"/>
              </w:rPr>
              <w:t>has the meaning set forth in Section 10.1(a) (General);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40" w:orient="portrait"/>
          <w:cols w:equalWidth="0" w:num="1">
            <w:col w:w="9200"/>
          </w:cols>
          <w:pgMar w:left="1260" w:top="1440" w:right="1440" w:bottom="1440" w:gutter="0" w:footer="0" w:header="0"/>
        </w:sectPr>
      </w:pPr>
    </w:p>
    <w:bookmarkStart w:id="800" w:name="page801"/>
    <w:bookmarkEnd w:id="80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1.195</w:t>
            </w:r>
          </w:p>
        </w:tc>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Registrational Clinical Trial</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a Clinical Trial of a product that is designed to, and for which the</w:t>
            </w:r>
          </w:p>
        </w:tc>
      </w:tr>
      <w:tr>
        <w:trPr>
          <w:trHeight w:val="220"/>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competent Regulatory Authority has provided guidance that the design of such</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Clinical Trial is sufficient to, ascertain efficacy and safety of such product in</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support of the preparation and submission of an MAA for such product to the</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w w:val="97"/>
              </w:rPr>
              <w:t>competent Regulatory Authority, regardless of whether such trial is referred to as a</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w w:val="99"/>
              </w:rPr>
              <w:t>Phase II Trial, Phase IIb Trial or Phase III Trial or otherwise. If a Clinical Trial of a</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product is not initially designed as a Registrational Clinical Trial but is later re-</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w w:val="98"/>
              </w:rPr>
              <w:t>designed, converted or expanded into such a trial, then it shall be deemed to be a</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Registrational Clinical Trial as of the date of such re-design, conversion or</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expansion;</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1.196</w:t>
            </w:r>
          </w:p>
        </w:tc>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Regulatory Authority</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with respect to a country in the Territory, any national (e.g., the FDA),</w:t>
            </w:r>
          </w:p>
        </w:tc>
      </w:tr>
      <w:tr>
        <w:trPr>
          <w:trHeight w:val="220"/>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supra-national (e.g., the European Commission, the Council of the European</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Union, or the European Medicines Agency), regional, state or local regulatory</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authority, department, bureau, commission, council or other competent authority</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involved in the granting of any IND, Marketing Authorization, or other Regulatory</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Authorization including China’s Human Genetic Resources Office, and China</w:t>
            </w:r>
          </w:p>
        </w:tc>
      </w:tr>
      <w:tr>
        <w:trPr>
          <w:trHeight w:val="228"/>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rPr>
              <w:t>General Customs Administration;</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1.197</w:t>
            </w:r>
          </w:p>
        </w:tc>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Regulatory Authorization</w:t>
            </w:r>
          </w:p>
        </w:tc>
        <w:tc>
          <w:tcPr>
            <w:tcW w:w="5960" w:type="dxa"/>
            <w:vAlign w:val="bottom"/>
          </w:tcPr>
          <w:p>
            <w:pPr>
              <w:ind w:left="260"/>
              <w:spacing w:after="0"/>
              <w:rPr>
                <w:sz w:val="20"/>
                <w:szCs w:val="20"/>
                <w:color w:val="auto"/>
              </w:rPr>
            </w:pPr>
            <w:r>
              <w:rPr>
                <w:rFonts w:ascii="Arial" w:cs="Arial" w:eastAsia="Arial" w:hAnsi="Arial"/>
                <w:sz w:val="16"/>
                <w:szCs w:val="16"/>
                <w:color w:val="auto"/>
              </w:rPr>
              <w:t>means all technical, medical and scientific licenses, registrations, authorizations</w:t>
            </w:r>
          </w:p>
        </w:tc>
      </w:tr>
      <w:tr>
        <w:trPr>
          <w:trHeight w:val="220"/>
        </w:trPr>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960" w:type="dxa"/>
            <w:vAlign w:val="bottom"/>
          </w:tcPr>
          <w:p>
            <w:pPr>
              <w:ind w:left="260"/>
              <w:spacing w:after="0"/>
              <w:rPr>
                <w:sz w:val="20"/>
                <w:szCs w:val="20"/>
                <w:color w:val="auto"/>
              </w:rPr>
            </w:pPr>
            <w:r>
              <w:rPr>
                <w:rFonts w:ascii="Arial" w:cs="Arial" w:eastAsia="Arial" w:hAnsi="Arial"/>
                <w:sz w:val="16"/>
                <w:szCs w:val="16"/>
                <w:color w:val="auto"/>
                <w:w w:val="99"/>
              </w:rPr>
              <w:t>and approvals (including approvals of INDs, MAAs, BLAs, variations, extensions,</w:t>
            </w:r>
          </w:p>
        </w:tc>
      </w:tr>
    </w:tbl>
    <w:p>
      <w:pPr>
        <w:spacing w:after="0" w:line="23" w:lineRule="exact"/>
        <w:rPr>
          <w:sz w:val="20"/>
          <w:szCs w:val="20"/>
          <w:color w:val="auto"/>
        </w:rPr>
      </w:pPr>
    </w:p>
    <w:p>
      <w:pPr>
        <w:jc w:val="both"/>
        <w:ind w:left="3440" w:right="60"/>
        <w:spacing w:after="0" w:line="304" w:lineRule="auto"/>
        <w:rPr>
          <w:sz w:val="20"/>
          <w:szCs w:val="20"/>
          <w:color w:val="auto"/>
        </w:rPr>
      </w:pPr>
      <w:r>
        <w:rPr>
          <w:rFonts w:ascii="Arial" w:cs="Arial" w:eastAsia="Arial" w:hAnsi="Arial"/>
          <w:sz w:val="16"/>
          <w:szCs w:val="16"/>
          <w:color w:val="auto"/>
        </w:rPr>
        <w:t>supplements and amendments, and labelling approvals and licences and permissions for the export of data and materials) of any Regulatory Authority, necessary or useful for the use, Development, Manufacture, and Commercialization of a pharmaceutical or biopharmaceutical product in a regulatory jurisdiction, including Pricing and Reimbursement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31</w:t>
      </w:r>
    </w:p>
    <w:p>
      <w:pPr>
        <w:sectPr>
          <w:pgSz w:w="11900" w:h="16840" w:orient="portrait"/>
          <w:cols w:equalWidth="0" w:num="1">
            <w:col w:w="9200"/>
          </w:cols>
          <w:pgMar w:left="1260" w:top="1440" w:right="1440" w:bottom="1440" w:gutter="0" w:footer="0" w:header="0"/>
        </w:sectPr>
      </w:pPr>
    </w:p>
    <w:bookmarkStart w:id="801" w:name="page802"/>
    <w:bookmarkEnd w:id="80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1.198</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Regulatory Documentation</w:t>
            </w:r>
          </w:p>
        </w:tc>
        <w:tc>
          <w:tcPr>
            <w:tcW w:w="5920" w:type="dxa"/>
            <w:vAlign w:val="bottom"/>
          </w:tcPr>
          <w:p>
            <w:pPr>
              <w:ind w:left="320"/>
              <w:spacing w:after="0"/>
              <w:rPr>
                <w:sz w:val="20"/>
                <w:szCs w:val="20"/>
                <w:color w:val="auto"/>
              </w:rPr>
            </w:pPr>
            <w:r>
              <w:rPr>
                <w:rFonts w:ascii="Arial" w:cs="Arial" w:eastAsia="Arial" w:hAnsi="Arial"/>
                <w:sz w:val="16"/>
                <w:szCs w:val="16"/>
                <w:color w:val="auto"/>
              </w:rPr>
              <w:t>means  all  applications,  filings,  registrations,  licenses,  authorizations  and</w:t>
            </w:r>
          </w:p>
        </w:tc>
      </w:tr>
      <w:tr>
        <w:trPr>
          <w:trHeight w:val="220"/>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8"/>
              </w:rPr>
              <w:t>approvals, including all Regulatory Authorizations, all correspondence submitted</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8"/>
              </w:rPr>
              <w:t>to or received from Regulatory Authorities and all supporting documents relating</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7"/>
              </w:rPr>
              <w:t>to the Licensed Products and all data contained in any of the foregoing, including</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7"/>
              </w:rPr>
              <w:t>all IND, NDA, BLA, MAA, Pricing and Reimbursement Approvals, regulatory drug</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8"/>
              </w:rPr>
              <w:t>list, advertising and promotion documents, clinical data, adverse events files and</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complaint files;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1.199</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5920" w:type="dxa"/>
            <w:vAlign w:val="bottom"/>
          </w:tcPr>
          <w:p>
            <w:pPr>
              <w:ind w:left="320"/>
              <w:spacing w:after="0"/>
              <w:rPr>
                <w:sz w:val="20"/>
                <w:szCs w:val="20"/>
                <w:color w:val="auto"/>
              </w:rPr>
            </w:pPr>
            <w:r>
              <w:rPr>
                <w:rFonts w:ascii="Arial" w:cs="Arial" w:eastAsia="Arial" w:hAnsi="Arial"/>
                <w:sz w:val="16"/>
                <w:szCs w:val="16"/>
                <w:color w:val="auto"/>
              </w:rPr>
              <w:t>[***]</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1.200</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Regulatory Filing</w:t>
            </w:r>
          </w:p>
        </w:tc>
        <w:tc>
          <w:tcPr>
            <w:tcW w:w="5920" w:type="dxa"/>
            <w:vAlign w:val="bottom"/>
          </w:tcPr>
          <w:p>
            <w:pPr>
              <w:ind w:left="320"/>
              <w:spacing w:after="0"/>
              <w:rPr>
                <w:sz w:val="20"/>
                <w:szCs w:val="20"/>
                <w:color w:val="auto"/>
              </w:rPr>
            </w:pPr>
            <w:r>
              <w:rPr>
                <w:rFonts w:ascii="Arial" w:cs="Arial" w:eastAsia="Arial" w:hAnsi="Arial"/>
                <w:sz w:val="16"/>
                <w:szCs w:val="16"/>
                <w:color w:val="auto"/>
              </w:rPr>
              <w:t>means, with respect to the Licensed Product, any submission to a Regulatory</w:t>
            </w:r>
          </w:p>
        </w:tc>
      </w:tr>
      <w:tr>
        <w:trPr>
          <w:trHeight w:val="220"/>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8"/>
              </w:rPr>
              <w:t>Authority of any appropriate regulatory application with respect to such Licensed</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w w:val="98"/>
              </w:rPr>
              <w:t>Product, including any submission to a regulatory advisory board, MAA, and any</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variation, extension, supplement or amendment thereto. For the avoidance of</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doubt,  Regulatory  Filing  shall  include  any  IND,  NDA,  BLA,  MAA  or  the</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corresponding applications in any other country or group of countries with</w:t>
            </w:r>
          </w:p>
        </w:tc>
      </w:tr>
      <w:tr>
        <w:trPr>
          <w:trHeight w:val="228"/>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respect to the Licensed Product;</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1.201</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Retained Territory</w:t>
            </w:r>
          </w:p>
        </w:tc>
        <w:tc>
          <w:tcPr>
            <w:tcW w:w="5920" w:type="dxa"/>
            <w:vAlign w:val="bottom"/>
          </w:tcPr>
          <w:p>
            <w:pPr>
              <w:ind w:left="320"/>
              <w:spacing w:after="0"/>
              <w:rPr>
                <w:sz w:val="20"/>
                <w:szCs w:val="20"/>
                <w:color w:val="auto"/>
              </w:rPr>
            </w:pPr>
            <w:r>
              <w:rPr>
                <w:rFonts w:ascii="Arial" w:cs="Arial" w:eastAsia="Arial" w:hAnsi="Arial"/>
                <w:sz w:val="16"/>
                <w:szCs w:val="16"/>
                <w:color w:val="auto"/>
              </w:rPr>
              <w:t>means China;</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1.202</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Royalties</w:t>
            </w:r>
          </w:p>
        </w:tc>
        <w:tc>
          <w:tcPr>
            <w:tcW w:w="5920" w:type="dxa"/>
            <w:vAlign w:val="bottom"/>
          </w:tcPr>
          <w:p>
            <w:pPr>
              <w:ind w:left="320"/>
              <w:spacing w:after="0"/>
              <w:rPr>
                <w:sz w:val="20"/>
                <w:szCs w:val="20"/>
                <w:color w:val="auto"/>
              </w:rPr>
            </w:pPr>
            <w:r>
              <w:rPr>
                <w:rFonts w:ascii="Arial" w:cs="Arial" w:eastAsia="Arial" w:hAnsi="Arial"/>
                <w:sz w:val="16"/>
                <w:szCs w:val="16"/>
                <w:color w:val="auto"/>
              </w:rPr>
              <w:t>has  the  meaning  set  forth  in  Section  8.5(a)  (Royalty  Rates  for Licensed</w:t>
            </w:r>
          </w:p>
        </w:tc>
      </w:tr>
      <w:tr>
        <w:trPr>
          <w:trHeight w:val="220"/>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Products);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1.203</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Royalty Rates</w:t>
            </w:r>
          </w:p>
        </w:tc>
        <w:tc>
          <w:tcPr>
            <w:tcW w:w="5920" w:type="dxa"/>
            <w:vAlign w:val="bottom"/>
          </w:tcPr>
          <w:p>
            <w:pPr>
              <w:ind w:left="320"/>
              <w:spacing w:after="0"/>
              <w:rPr>
                <w:sz w:val="20"/>
                <w:szCs w:val="20"/>
                <w:color w:val="auto"/>
              </w:rPr>
            </w:pPr>
            <w:r>
              <w:rPr>
                <w:rFonts w:ascii="Arial" w:cs="Arial" w:eastAsia="Arial" w:hAnsi="Arial"/>
                <w:sz w:val="16"/>
                <w:szCs w:val="16"/>
                <w:color w:val="auto"/>
              </w:rPr>
              <w:t>has  the  meaning  set  forth  in  Section  8.5(a)  (Royalty  Rates  for  Licensed</w:t>
            </w:r>
          </w:p>
        </w:tc>
      </w:tr>
      <w:tr>
        <w:trPr>
          <w:trHeight w:val="220"/>
        </w:trPr>
        <w:tc>
          <w:tcPr>
            <w:tcW w:w="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Products);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1.204</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Royalty Report</w:t>
            </w:r>
          </w:p>
        </w:tc>
        <w:tc>
          <w:tcPr>
            <w:tcW w:w="5920" w:type="dxa"/>
            <w:vAlign w:val="bottom"/>
          </w:tcPr>
          <w:p>
            <w:pPr>
              <w:ind w:left="320"/>
              <w:spacing w:after="0"/>
              <w:rPr>
                <w:sz w:val="20"/>
                <w:szCs w:val="20"/>
                <w:color w:val="auto"/>
              </w:rPr>
            </w:pPr>
            <w:r>
              <w:rPr>
                <w:rFonts w:ascii="Arial" w:cs="Arial" w:eastAsia="Arial" w:hAnsi="Arial"/>
                <w:sz w:val="16"/>
                <w:szCs w:val="16"/>
                <w:color w:val="auto"/>
              </w:rPr>
              <w:t>has the meaning set forth in Section 8.10 (Royalty Reports; Payments);</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1.205</w:t>
            </w:r>
          </w:p>
        </w:tc>
        <w:tc>
          <w:tcPr>
            <w:tcW w:w="2560" w:type="dxa"/>
            <w:vAlign w:val="bottom"/>
          </w:tcPr>
          <w:p>
            <w:pPr>
              <w:ind w:left="240"/>
              <w:spacing w:after="0"/>
              <w:rPr>
                <w:sz w:val="20"/>
                <w:szCs w:val="20"/>
                <w:color w:val="auto"/>
              </w:rPr>
            </w:pPr>
            <w:r>
              <w:rPr>
                <w:rFonts w:ascii="Arial" w:cs="Arial" w:eastAsia="Arial" w:hAnsi="Arial"/>
                <w:sz w:val="16"/>
                <w:szCs w:val="16"/>
                <w:b w:val="1"/>
                <w:bCs w:val="1"/>
                <w:color w:val="auto"/>
              </w:rPr>
              <w:t>Royalty Term</w:t>
            </w:r>
          </w:p>
        </w:tc>
        <w:tc>
          <w:tcPr>
            <w:tcW w:w="5920" w:type="dxa"/>
            <w:vAlign w:val="bottom"/>
          </w:tcPr>
          <w:p>
            <w:pPr>
              <w:ind w:left="32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32</w:t>
      </w:r>
    </w:p>
    <w:p>
      <w:pPr>
        <w:sectPr>
          <w:pgSz w:w="11900" w:h="16840" w:orient="portrait"/>
          <w:cols w:equalWidth="0" w:num="1">
            <w:col w:w="9200"/>
          </w:cols>
          <w:pgMar w:left="1260" w:top="1440" w:right="1440" w:bottom="1440" w:gutter="0" w:footer="0" w:header="0"/>
        </w:sectPr>
      </w:pPr>
    </w:p>
    <w:bookmarkStart w:id="802" w:name="page803"/>
    <w:bookmarkEnd w:id="80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1.206</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Sales Milestone Event</w:t>
            </w:r>
          </w:p>
        </w:tc>
        <w:tc>
          <w:tcPr>
            <w:tcW w:w="5820" w:type="dxa"/>
            <w:vAlign w:val="bottom"/>
          </w:tcPr>
          <w:p>
            <w:pPr>
              <w:ind w:left="160"/>
              <w:spacing w:after="0"/>
              <w:rPr>
                <w:sz w:val="20"/>
                <w:szCs w:val="20"/>
                <w:color w:val="auto"/>
              </w:rPr>
            </w:pPr>
            <w:r>
              <w:rPr>
                <w:rFonts w:ascii="Arial" w:cs="Arial" w:eastAsia="Arial" w:hAnsi="Arial"/>
                <w:sz w:val="16"/>
                <w:szCs w:val="16"/>
                <w:color w:val="auto"/>
                <w:w w:val="98"/>
              </w:rPr>
              <w:t>has the meaning set forth in Section 8.4 (Sales Milestone Payments for Licensed</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Products);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1.207</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Sales Milestone Payment</w:t>
            </w:r>
          </w:p>
        </w:tc>
        <w:tc>
          <w:tcPr>
            <w:tcW w:w="5820" w:type="dxa"/>
            <w:vAlign w:val="bottom"/>
          </w:tcPr>
          <w:p>
            <w:pPr>
              <w:ind w:left="160"/>
              <w:spacing w:after="0"/>
              <w:rPr>
                <w:sz w:val="20"/>
                <w:szCs w:val="20"/>
                <w:color w:val="auto"/>
              </w:rPr>
            </w:pPr>
            <w:r>
              <w:rPr>
                <w:rFonts w:ascii="Arial" w:cs="Arial" w:eastAsia="Arial" w:hAnsi="Arial"/>
                <w:sz w:val="16"/>
                <w:szCs w:val="16"/>
                <w:color w:val="auto"/>
                <w:w w:val="98"/>
              </w:rPr>
              <w:t>has the meaning set forth in Section 8.4 (Sales Milestone Payments for Licensed</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Products);</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1.208</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Single Agent Activity</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1.209</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Sublicensee</w:t>
            </w:r>
          </w:p>
        </w:tc>
        <w:tc>
          <w:tcPr>
            <w:tcW w:w="5820" w:type="dxa"/>
            <w:vAlign w:val="bottom"/>
          </w:tcPr>
          <w:p>
            <w:pPr>
              <w:ind w:left="160"/>
              <w:spacing w:after="0"/>
              <w:rPr>
                <w:sz w:val="20"/>
                <w:szCs w:val="20"/>
                <w:color w:val="auto"/>
              </w:rPr>
            </w:pPr>
            <w:r>
              <w:rPr>
                <w:rFonts w:ascii="Arial" w:cs="Arial" w:eastAsia="Arial" w:hAnsi="Arial"/>
                <w:sz w:val="16"/>
                <w:szCs w:val="16"/>
                <w:color w:val="auto"/>
                <w:w w:val="97"/>
              </w:rPr>
              <w:t>means any Person, other than a Party or an Affiliate or Third Party Distributor of a</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w w:val="99"/>
              </w:rPr>
              <w:t>Party, to whom a Party grants a sublicense of the licenses granted to such Party</w:t>
            </w:r>
          </w:p>
        </w:tc>
      </w:tr>
      <w:tr>
        <w:trPr>
          <w:trHeight w:val="228"/>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under this Agreement;</w:t>
            </w:r>
          </w:p>
        </w:tc>
      </w:tr>
      <w:tr>
        <w:trPr>
          <w:trHeight w:val="284"/>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1.210</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Target</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1.211</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Tax or Taxation</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any form of tax or taxation, levy, duty, charge, social security charge,</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w w:val="98"/>
              </w:rPr>
              <w:t>contribution or withholding of whatever nature (including any related fine, penalty,</w:t>
            </w:r>
          </w:p>
        </w:tc>
      </w:tr>
      <w:tr>
        <w:trPr>
          <w:trHeight w:val="228"/>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surcharge, or interest) imposed by, or payable to, a tax authority;</w:t>
            </w:r>
          </w:p>
        </w:tc>
      </w:tr>
      <w:tr>
        <w:trPr>
          <w:trHeight w:val="572"/>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1.212</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Technology Transfer Payment</w:t>
            </w:r>
          </w:p>
        </w:tc>
        <w:tc>
          <w:tcPr>
            <w:tcW w:w="5820" w:type="dxa"/>
            <w:vAlign w:val="bottom"/>
          </w:tcPr>
          <w:p>
            <w:pPr>
              <w:ind w:left="160"/>
              <w:spacing w:after="0"/>
              <w:rPr>
                <w:sz w:val="20"/>
                <w:szCs w:val="20"/>
                <w:color w:val="auto"/>
              </w:rPr>
            </w:pPr>
            <w:r>
              <w:rPr>
                <w:rFonts w:ascii="Arial" w:cs="Arial" w:eastAsia="Arial" w:hAnsi="Arial"/>
                <w:sz w:val="16"/>
                <w:szCs w:val="16"/>
                <w:color w:val="auto"/>
              </w:rPr>
              <w:t>has the meaning set forth in Section 8.2 (Technology Transfer Payment);</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1.213</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Term</w:t>
            </w:r>
          </w:p>
        </w:tc>
        <w:tc>
          <w:tcPr>
            <w:tcW w:w="5820" w:type="dxa"/>
            <w:vAlign w:val="bottom"/>
          </w:tcPr>
          <w:p>
            <w:pPr>
              <w:ind w:left="160"/>
              <w:spacing w:after="0"/>
              <w:rPr>
                <w:sz w:val="20"/>
                <w:szCs w:val="20"/>
                <w:color w:val="auto"/>
              </w:rPr>
            </w:pPr>
            <w:r>
              <w:rPr>
                <w:rFonts w:ascii="Arial" w:cs="Arial" w:eastAsia="Arial" w:hAnsi="Arial"/>
                <w:sz w:val="16"/>
                <w:szCs w:val="16"/>
                <w:color w:val="auto"/>
              </w:rPr>
              <w:t>has the meaning set forth in Section 13.1 (Term);</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1.214</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Terminated Products</w:t>
            </w:r>
          </w:p>
        </w:tc>
        <w:tc>
          <w:tcPr>
            <w:tcW w:w="5820" w:type="dxa"/>
            <w:vAlign w:val="bottom"/>
          </w:tcPr>
          <w:p>
            <w:pPr>
              <w:ind w:left="160"/>
              <w:spacing w:after="0"/>
              <w:rPr>
                <w:sz w:val="20"/>
                <w:szCs w:val="20"/>
                <w:color w:val="auto"/>
              </w:rPr>
            </w:pPr>
            <w:r>
              <w:rPr>
                <w:rFonts w:ascii="Arial" w:cs="Arial" w:eastAsia="Arial" w:hAnsi="Arial"/>
                <w:sz w:val="16"/>
                <w:szCs w:val="16"/>
                <w:color w:val="auto"/>
              </w:rPr>
              <w:t>has the meaning set forth in Section 13.3 (Effects of Termination);</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1.215</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Territory</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all countries of the world and all territories and possessions thereof</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excluding the Retained Territory;</w:t>
            </w:r>
          </w:p>
        </w:tc>
      </w:tr>
      <w:tr>
        <w:trPr>
          <w:trHeight w:val="35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1.216</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Third Party</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any Person other than a Party or an Affiliate of a Party;</w:t>
            </w:r>
          </w:p>
        </w:tc>
      </w:tr>
      <w:tr>
        <w:trPr>
          <w:trHeight w:val="576"/>
        </w:trPr>
        <w:tc>
          <w:tcPr>
            <w:tcW w:w="660" w:type="dxa"/>
            <w:vAlign w:val="bottom"/>
          </w:tcPr>
          <w:p>
            <w:pPr>
              <w:jc w:val="right"/>
              <w:ind w:right="182"/>
              <w:spacing w:after="0"/>
              <w:rPr>
                <w:sz w:val="20"/>
                <w:szCs w:val="20"/>
                <w:color w:val="auto"/>
              </w:rPr>
            </w:pPr>
            <w:r>
              <w:rPr>
                <w:rFonts w:ascii="Arial" w:cs="Arial" w:eastAsia="Arial" w:hAnsi="Arial"/>
                <w:sz w:val="16"/>
                <w:szCs w:val="16"/>
                <w:color w:val="auto"/>
                <w:w w:val="94"/>
              </w:rPr>
              <w:t>1.217</w:t>
            </w:r>
          </w:p>
        </w:tc>
        <w:tc>
          <w:tcPr>
            <w:tcW w:w="2640" w:type="dxa"/>
            <w:vAlign w:val="bottom"/>
          </w:tcPr>
          <w:p>
            <w:pPr>
              <w:ind w:left="260"/>
              <w:spacing w:after="0"/>
              <w:rPr>
                <w:sz w:val="20"/>
                <w:szCs w:val="20"/>
                <w:color w:val="auto"/>
              </w:rPr>
            </w:pPr>
            <w:r>
              <w:rPr>
                <w:rFonts w:ascii="Arial" w:cs="Arial" w:eastAsia="Arial" w:hAnsi="Arial"/>
                <w:sz w:val="16"/>
                <w:szCs w:val="16"/>
                <w:b w:val="1"/>
                <w:bCs w:val="1"/>
                <w:color w:val="auto"/>
              </w:rPr>
              <w:t>Third Party Distributor</w:t>
            </w:r>
          </w:p>
        </w:tc>
        <w:tc>
          <w:tcPr>
            <w:tcW w:w="5820" w:type="dxa"/>
            <w:vAlign w:val="bottom"/>
          </w:tcPr>
          <w:p>
            <w:pPr>
              <w:ind w:left="160"/>
              <w:spacing w:after="0"/>
              <w:rPr>
                <w:sz w:val="20"/>
                <w:szCs w:val="20"/>
                <w:color w:val="auto"/>
              </w:rPr>
            </w:pPr>
            <w:r>
              <w:rPr>
                <w:rFonts w:ascii="Arial" w:cs="Arial" w:eastAsia="Arial" w:hAnsi="Arial"/>
                <w:sz w:val="16"/>
                <w:szCs w:val="16"/>
                <w:color w:val="auto"/>
              </w:rPr>
              <w:t>means any Third Party, other than a Sublicensee, that distributes (but does not</w:t>
            </w:r>
          </w:p>
        </w:tc>
      </w:tr>
      <w:tr>
        <w:trPr>
          <w:trHeight w:val="220"/>
        </w:trPr>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Develop or Manufacture) a Licensed Product directly to customers;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ectPr>
          <w:pgSz w:w="11900" w:h="16840" w:orient="portrait"/>
          <w:cols w:equalWidth="0" w:num="1">
            <w:col w:w="9200"/>
          </w:cols>
          <w:pgMar w:left="1260" w:top="1440" w:right="1440" w:bottom="1440" w:gutter="0" w:footer="0" w:header="0"/>
        </w:sectPr>
      </w:pPr>
    </w:p>
    <w:bookmarkStart w:id="803" w:name="page804"/>
    <w:bookmarkEnd w:id="80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1.218</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Third Party License</w:t>
            </w:r>
          </w:p>
        </w:tc>
        <w:tc>
          <w:tcPr>
            <w:tcW w:w="5840" w:type="dxa"/>
            <w:vAlign w:val="bottom"/>
          </w:tcPr>
          <w:p>
            <w:pPr>
              <w:ind w:left="80"/>
              <w:spacing w:after="0"/>
              <w:rPr>
                <w:sz w:val="20"/>
                <w:szCs w:val="20"/>
                <w:color w:val="auto"/>
              </w:rPr>
            </w:pPr>
            <w:r>
              <w:rPr>
                <w:rFonts w:ascii="Arial" w:cs="Arial" w:eastAsia="Arial" w:hAnsi="Arial"/>
                <w:sz w:val="16"/>
                <w:szCs w:val="16"/>
                <w:color w:val="auto"/>
              </w:rPr>
              <w:t>means a written agreement between a Party or its Affiliates and a Third Party to</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w w:val="97"/>
              </w:rPr>
              <w:t>license or acquire Third Party Intellectual Property Rights for use in connection with</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the Development, Manufacture or Commercialization of a Licensed Product, but</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excluding any agreements with Third Party Distributors;</w:t>
            </w:r>
          </w:p>
        </w:tc>
      </w:tr>
      <w:tr>
        <w:trPr>
          <w:trHeight w:val="284"/>
        </w:trPr>
        <w:tc>
          <w:tcPr>
            <w:tcW w:w="660" w:type="dxa"/>
            <w:vAlign w:val="bottom"/>
          </w:tcPr>
          <w:p>
            <w:pPr>
              <w:spacing w:after="0"/>
              <w:rPr>
                <w:sz w:val="20"/>
                <w:szCs w:val="20"/>
                <w:color w:val="auto"/>
              </w:rPr>
            </w:pPr>
            <w:r>
              <w:rPr>
                <w:rFonts w:ascii="Arial" w:cs="Arial" w:eastAsia="Arial" w:hAnsi="Arial"/>
                <w:sz w:val="16"/>
                <w:szCs w:val="16"/>
                <w:color w:val="auto"/>
              </w:rPr>
              <w:t>1.219</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Third Party Upstream Licensor</w:t>
            </w:r>
          </w:p>
        </w:tc>
        <w:tc>
          <w:tcPr>
            <w:tcW w:w="5840" w:type="dxa"/>
            <w:vAlign w:val="bottom"/>
          </w:tcPr>
          <w:p>
            <w:pPr>
              <w:ind w:left="80"/>
              <w:spacing w:after="0"/>
              <w:rPr>
                <w:sz w:val="20"/>
                <w:szCs w:val="20"/>
                <w:color w:val="auto"/>
              </w:rPr>
            </w:pPr>
            <w:r>
              <w:rPr>
                <w:rFonts w:ascii="Arial" w:cs="Arial" w:eastAsia="Arial" w:hAnsi="Arial"/>
                <w:sz w:val="16"/>
                <w:szCs w:val="16"/>
                <w:color w:val="auto"/>
              </w:rPr>
              <w:t>has the meaning set forth in Section 8.10 (Royalty Reports; Payments);</w:t>
            </w:r>
          </w:p>
        </w:tc>
      </w:tr>
      <w:tr>
        <w:trPr>
          <w:trHeight w:val="576"/>
        </w:trPr>
        <w:tc>
          <w:tcPr>
            <w:tcW w:w="660" w:type="dxa"/>
            <w:vAlign w:val="bottom"/>
          </w:tcPr>
          <w:p>
            <w:pPr>
              <w:spacing w:after="0"/>
              <w:rPr>
                <w:sz w:val="20"/>
                <w:szCs w:val="20"/>
                <w:color w:val="auto"/>
              </w:rPr>
            </w:pPr>
            <w:r>
              <w:rPr>
                <w:rFonts w:ascii="Arial" w:cs="Arial" w:eastAsia="Arial" w:hAnsi="Arial"/>
                <w:sz w:val="16"/>
                <w:szCs w:val="16"/>
                <w:color w:val="auto"/>
              </w:rPr>
              <w:t>1.22</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Trademarks</w:t>
            </w:r>
          </w:p>
        </w:tc>
        <w:tc>
          <w:tcPr>
            <w:tcW w:w="5840" w:type="dxa"/>
            <w:vAlign w:val="bottom"/>
          </w:tcPr>
          <w:p>
            <w:pPr>
              <w:ind w:left="80"/>
              <w:spacing w:after="0"/>
              <w:rPr>
                <w:sz w:val="20"/>
                <w:szCs w:val="20"/>
                <w:color w:val="auto"/>
              </w:rPr>
            </w:pPr>
            <w:r>
              <w:rPr>
                <w:rFonts w:ascii="Arial" w:cs="Arial" w:eastAsia="Arial" w:hAnsi="Arial"/>
                <w:sz w:val="16"/>
                <w:szCs w:val="16"/>
                <w:color w:val="auto"/>
              </w:rPr>
              <w:t>means all registered and unregistered trademarks, service marks, trade dress,</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w w:val="98"/>
              </w:rPr>
              <w:t>trade names, logos, insignias, symbols, designs, and all other indicia of ownership,</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and combinations thereof;</w:t>
            </w:r>
          </w:p>
        </w:tc>
      </w:tr>
      <w:tr>
        <w:trPr>
          <w:trHeight w:val="284"/>
        </w:trPr>
        <w:tc>
          <w:tcPr>
            <w:tcW w:w="660" w:type="dxa"/>
            <w:vAlign w:val="bottom"/>
          </w:tcPr>
          <w:p>
            <w:pPr>
              <w:spacing w:after="0"/>
              <w:rPr>
                <w:sz w:val="20"/>
                <w:szCs w:val="20"/>
                <w:color w:val="auto"/>
              </w:rPr>
            </w:pPr>
            <w:r>
              <w:rPr>
                <w:rFonts w:ascii="Arial" w:cs="Arial" w:eastAsia="Arial" w:hAnsi="Arial"/>
                <w:sz w:val="16"/>
                <w:szCs w:val="16"/>
                <w:color w:val="auto"/>
              </w:rPr>
              <w:t>1.221</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Trispecific Patent Right</w:t>
            </w:r>
          </w:p>
        </w:tc>
        <w:tc>
          <w:tcPr>
            <w:tcW w:w="5840" w:type="dxa"/>
            <w:vAlign w:val="bottom"/>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spacing w:after="0"/>
              <w:rPr>
                <w:sz w:val="20"/>
                <w:szCs w:val="20"/>
                <w:color w:val="auto"/>
              </w:rPr>
            </w:pPr>
            <w:r>
              <w:rPr>
                <w:rFonts w:ascii="Arial" w:cs="Arial" w:eastAsia="Arial" w:hAnsi="Arial"/>
                <w:sz w:val="16"/>
                <w:szCs w:val="16"/>
                <w:color w:val="auto"/>
              </w:rPr>
              <w:t>1.222</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United States or U.S.</w:t>
            </w:r>
          </w:p>
        </w:tc>
        <w:tc>
          <w:tcPr>
            <w:tcW w:w="5840" w:type="dxa"/>
            <w:vAlign w:val="bottom"/>
          </w:tcPr>
          <w:p>
            <w:pPr>
              <w:ind w:left="80"/>
              <w:spacing w:after="0"/>
              <w:rPr>
                <w:sz w:val="20"/>
                <w:szCs w:val="20"/>
                <w:color w:val="auto"/>
              </w:rPr>
            </w:pPr>
            <w:r>
              <w:rPr>
                <w:rFonts w:ascii="Arial" w:cs="Arial" w:eastAsia="Arial" w:hAnsi="Arial"/>
                <w:sz w:val="16"/>
                <w:szCs w:val="16"/>
                <w:color w:val="auto"/>
              </w:rPr>
              <w:t>means  the  United  States  of America  and  all  of  its  districts,  territories  and</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possessions;</w:t>
            </w:r>
          </w:p>
        </w:tc>
      </w:tr>
      <w:tr>
        <w:trPr>
          <w:trHeight w:val="356"/>
        </w:trPr>
        <w:tc>
          <w:tcPr>
            <w:tcW w:w="660" w:type="dxa"/>
            <w:vAlign w:val="bottom"/>
          </w:tcPr>
          <w:p>
            <w:pPr>
              <w:spacing w:after="0"/>
              <w:rPr>
                <w:sz w:val="20"/>
                <w:szCs w:val="20"/>
                <w:color w:val="auto"/>
              </w:rPr>
            </w:pPr>
            <w:r>
              <w:rPr>
                <w:rFonts w:ascii="Arial" w:cs="Arial" w:eastAsia="Arial" w:hAnsi="Arial"/>
                <w:sz w:val="16"/>
                <w:szCs w:val="16"/>
                <w:color w:val="auto"/>
              </w:rPr>
              <w:t>1.223</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Upfront Payment</w:t>
            </w:r>
          </w:p>
        </w:tc>
        <w:tc>
          <w:tcPr>
            <w:tcW w:w="5840" w:type="dxa"/>
            <w:vAlign w:val="bottom"/>
          </w:tcPr>
          <w:p>
            <w:pPr>
              <w:ind w:left="80"/>
              <w:spacing w:after="0"/>
              <w:rPr>
                <w:sz w:val="20"/>
                <w:szCs w:val="20"/>
                <w:color w:val="auto"/>
              </w:rPr>
            </w:pPr>
            <w:r>
              <w:rPr>
                <w:rFonts w:ascii="Arial" w:cs="Arial" w:eastAsia="Arial" w:hAnsi="Arial"/>
                <w:sz w:val="16"/>
                <w:szCs w:val="16"/>
                <w:color w:val="auto"/>
              </w:rPr>
              <w:t>has the meaning set forth in Section 8.1 (Upfront Payment);</w:t>
            </w:r>
          </w:p>
        </w:tc>
      </w:tr>
      <w:tr>
        <w:trPr>
          <w:trHeight w:val="576"/>
        </w:trPr>
        <w:tc>
          <w:tcPr>
            <w:tcW w:w="660" w:type="dxa"/>
            <w:vAlign w:val="bottom"/>
          </w:tcPr>
          <w:p>
            <w:pPr>
              <w:spacing w:after="0"/>
              <w:rPr>
                <w:sz w:val="20"/>
                <w:szCs w:val="20"/>
                <w:color w:val="auto"/>
              </w:rPr>
            </w:pPr>
            <w:r>
              <w:rPr>
                <w:rFonts w:ascii="Arial" w:cs="Arial" w:eastAsia="Arial" w:hAnsi="Arial"/>
                <w:sz w:val="16"/>
                <w:szCs w:val="16"/>
                <w:color w:val="auto"/>
              </w:rPr>
              <w:t>1.224</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Valid Claim</w:t>
            </w:r>
          </w:p>
        </w:tc>
        <w:tc>
          <w:tcPr>
            <w:tcW w:w="5840" w:type="dxa"/>
            <w:vAlign w:val="bottom"/>
          </w:tcPr>
          <w:p>
            <w:pPr>
              <w:ind w:left="80"/>
              <w:spacing w:after="0"/>
              <w:rPr>
                <w:sz w:val="20"/>
                <w:szCs w:val="20"/>
                <w:color w:val="auto"/>
              </w:rPr>
            </w:pPr>
            <w:r>
              <w:rPr>
                <w:rFonts w:ascii="Arial" w:cs="Arial" w:eastAsia="Arial" w:hAnsi="Arial"/>
                <w:sz w:val="16"/>
                <w:szCs w:val="16"/>
                <w:color w:val="auto"/>
              </w:rPr>
              <w:t>means [***];</w:t>
            </w:r>
          </w:p>
        </w:tc>
      </w:tr>
      <w:tr>
        <w:trPr>
          <w:trHeight w:val="576"/>
        </w:trPr>
        <w:tc>
          <w:tcPr>
            <w:tcW w:w="660" w:type="dxa"/>
            <w:vAlign w:val="bottom"/>
          </w:tcPr>
          <w:p>
            <w:pPr>
              <w:spacing w:after="0"/>
              <w:rPr>
                <w:sz w:val="20"/>
                <w:szCs w:val="20"/>
                <w:color w:val="auto"/>
              </w:rPr>
            </w:pPr>
            <w:r>
              <w:rPr>
                <w:rFonts w:ascii="Arial" w:cs="Arial" w:eastAsia="Arial" w:hAnsi="Arial"/>
                <w:sz w:val="16"/>
                <w:szCs w:val="16"/>
                <w:color w:val="auto"/>
              </w:rPr>
              <w:t>1.225</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VDR</w:t>
            </w:r>
          </w:p>
        </w:tc>
        <w:tc>
          <w:tcPr>
            <w:tcW w:w="5840" w:type="dxa"/>
            <w:vAlign w:val="bottom"/>
          </w:tcPr>
          <w:p>
            <w:pPr>
              <w:ind w:left="80"/>
              <w:spacing w:after="0"/>
              <w:rPr>
                <w:sz w:val="20"/>
                <w:szCs w:val="20"/>
                <w:color w:val="auto"/>
              </w:rPr>
            </w:pPr>
            <w:r>
              <w:rPr>
                <w:rFonts w:ascii="Arial" w:cs="Arial" w:eastAsia="Arial" w:hAnsi="Arial"/>
                <w:sz w:val="16"/>
                <w:szCs w:val="16"/>
                <w:color w:val="auto"/>
                <w:w w:val="97"/>
              </w:rPr>
              <w:t>means the virtual data room containing information, documents and data relating to</w:t>
            </w: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the Licensed Compounds and Licensed Products made available by Biotheus to</w:t>
            </w:r>
          </w:p>
        </w:tc>
      </w:tr>
      <w:tr>
        <w:trPr>
          <w:trHeight w:val="228"/>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BioNTech prior to the Execution Date;</w:t>
            </w:r>
          </w:p>
        </w:tc>
      </w:tr>
      <w:tr>
        <w:trPr>
          <w:trHeight w:val="324"/>
        </w:trPr>
        <w:tc>
          <w:tcPr>
            <w:tcW w:w="660" w:type="dxa"/>
            <w:vAlign w:val="bottom"/>
          </w:tcPr>
          <w:p>
            <w:pPr>
              <w:spacing w:after="0"/>
              <w:rPr>
                <w:sz w:val="20"/>
                <w:szCs w:val="20"/>
                <w:color w:val="auto"/>
              </w:rPr>
            </w:pPr>
            <w:r>
              <w:rPr>
                <w:rFonts w:ascii="Arial" w:cs="Arial" w:eastAsia="Arial" w:hAnsi="Arial"/>
                <w:sz w:val="16"/>
                <w:szCs w:val="16"/>
                <w:color w:val="auto"/>
              </w:rPr>
              <w:t>1.226</w:t>
            </w:r>
          </w:p>
        </w:tc>
        <w:tc>
          <w:tcPr>
            <w:tcW w:w="2620" w:type="dxa"/>
            <w:vAlign w:val="bottom"/>
          </w:tcPr>
          <w:p>
            <w:pPr>
              <w:ind w:left="240"/>
              <w:spacing w:after="0"/>
              <w:rPr>
                <w:sz w:val="20"/>
                <w:szCs w:val="20"/>
                <w:color w:val="auto"/>
              </w:rPr>
            </w:pPr>
            <w:r>
              <w:rPr>
                <w:rFonts w:ascii="Arial" w:cs="Arial" w:eastAsia="Arial" w:hAnsi="Arial"/>
                <w:sz w:val="16"/>
                <w:szCs w:val="16"/>
                <w:b w:val="1"/>
                <w:bCs w:val="1"/>
                <w:color w:val="auto"/>
              </w:rPr>
              <w:t>Withholding Party</w:t>
            </w:r>
          </w:p>
        </w:tc>
        <w:tc>
          <w:tcPr>
            <w:tcW w:w="5840" w:type="dxa"/>
            <w:vAlign w:val="bottom"/>
          </w:tcPr>
          <w:p>
            <w:pPr>
              <w:ind w:left="80"/>
              <w:spacing w:after="0"/>
              <w:rPr>
                <w:sz w:val="20"/>
                <w:szCs w:val="20"/>
                <w:color w:val="auto"/>
              </w:rPr>
            </w:pPr>
            <w:r>
              <w:rPr>
                <w:rFonts w:ascii="Arial" w:cs="Arial" w:eastAsia="Arial" w:hAnsi="Arial"/>
                <w:sz w:val="16"/>
                <w:szCs w:val="16"/>
                <w:color w:val="auto"/>
              </w:rPr>
              <w:t>has the meaning set forth in Section 8.17 (Withholding Taxes);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34</w:t>
      </w:r>
    </w:p>
    <w:p>
      <w:pPr>
        <w:sectPr>
          <w:pgSz w:w="11900" w:h="16840" w:orient="portrait"/>
          <w:cols w:equalWidth="0" w:num="1">
            <w:col w:w="9200"/>
          </w:cols>
          <w:pgMar w:left="1260" w:top="1440" w:right="1440" w:bottom="1440" w:gutter="0" w:footer="0" w:header="0"/>
        </w:sectPr>
      </w:pPr>
    </w:p>
    <w:bookmarkStart w:id="804" w:name="page805"/>
    <w:bookmarkEnd w:id="80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55"/>
        </w:trPr>
        <w:tc>
          <w:tcPr>
            <w:tcW w:w="680" w:type="dxa"/>
            <w:vAlign w:val="bottom"/>
          </w:tcPr>
          <w:p>
            <w:pPr>
              <w:jc w:val="right"/>
              <w:ind w:right="202"/>
              <w:spacing w:after="0"/>
              <w:rPr>
                <w:sz w:val="20"/>
                <w:szCs w:val="20"/>
                <w:color w:val="auto"/>
              </w:rPr>
            </w:pPr>
            <w:r>
              <w:rPr>
                <w:rFonts w:ascii="Arial" w:cs="Arial" w:eastAsia="Arial" w:hAnsi="Arial"/>
                <w:sz w:val="16"/>
                <w:szCs w:val="16"/>
                <w:color w:val="auto"/>
                <w:w w:val="94"/>
              </w:rPr>
              <w:t>1.227</w:t>
            </w:r>
          </w:p>
        </w:tc>
        <w:tc>
          <w:tcPr>
            <w:tcW w:w="1560" w:type="dxa"/>
            <w:vAlign w:val="bottom"/>
          </w:tcPr>
          <w:p>
            <w:pPr>
              <w:jc w:val="right"/>
              <w:ind w:right="902"/>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000"/>
              <w:spacing w:after="0"/>
              <w:rPr>
                <w:sz w:val="20"/>
                <w:szCs w:val="20"/>
                <w:color w:val="auto"/>
              </w:rPr>
            </w:pPr>
            <w:r>
              <w:rPr>
                <w:rFonts w:ascii="Arial" w:cs="Arial" w:eastAsia="Arial" w:hAnsi="Arial"/>
                <w:sz w:val="16"/>
                <w:szCs w:val="16"/>
                <w:color w:val="auto"/>
                <w:w w:val="96"/>
              </w:rPr>
              <w:t>means [***]; and</w:t>
            </w:r>
          </w:p>
        </w:tc>
      </w:tr>
      <w:tr>
        <w:trPr>
          <w:trHeight w:val="576"/>
        </w:trPr>
        <w:tc>
          <w:tcPr>
            <w:tcW w:w="680" w:type="dxa"/>
            <w:vAlign w:val="bottom"/>
          </w:tcPr>
          <w:p>
            <w:pPr>
              <w:jc w:val="right"/>
              <w:ind w:right="202"/>
              <w:spacing w:after="0"/>
              <w:rPr>
                <w:sz w:val="20"/>
                <w:szCs w:val="20"/>
                <w:color w:val="auto"/>
              </w:rPr>
            </w:pPr>
            <w:r>
              <w:rPr>
                <w:rFonts w:ascii="Arial" w:cs="Arial" w:eastAsia="Arial" w:hAnsi="Arial"/>
                <w:sz w:val="16"/>
                <w:szCs w:val="16"/>
                <w:color w:val="auto"/>
                <w:w w:val="94"/>
              </w:rPr>
              <w:t>1.228</w:t>
            </w:r>
          </w:p>
        </w:tc>
        <w:tc>
          <w:tcPr>
            <w:tcW w:w="1560" w:type="dxa"/>
            <w:vAlign w:val="bottom"/>
          </w:tcPr>
          <w:p>
            <w:pPr>
              <w:jc w:val="right"/>
              <w:ind w:right="902"/>
              <w:spacing w:after="0"/>
              <w:rPr>
                <w:sz w:val="20"/>
                <w:szCs w:val="20"/>
                <w:color w:val="auto"/>
              </w:rPr>
            </w:pPr>
            <w:r>
              <w:rPr>
                <w:rFonts w:ascii="Arial" w:cs="Arial" w:eastAsia="Arial" w:hAnsi="Arial"/>
                <w:sz w:val="16"/>
                <w:szCs w:val="16"/>
                <w:b w:val="1"/>
                <w:bCs w:val="1"/>
                <w:color w:val="auto"/>
              </w:rPr>
              <w:t>[***]</w:t>
            </w:r>
          </w:p>
        </w:tc>
        <w:tc>
          <w:tcPr>
            <w:tcW w:w="2140" w:type="dxa"/>
            <w:vAlign w:val="bottom"/>
          </w:tcPr>
          <w:p>
            <w:pPr>
              <w:ind w:left="1000"/>
              <w:spacing w:after="0"/>
              <w:rPr>
                <w:sz w:val="20"/>
                <w:szCs w:val="20"/>
                <w:color w:val="auto"/>
              </w:rPr>
            </w:pPr>
            <w:r>
              <w:rPr>
                <w:rFonts w:ascii="Arial" w:cs="Arial" w:eastAsia="Arial" w:hAnsi="Arial"/>
                <w:sz w:val="16"/>
                <w:szCs w:val="16"/>
                <w:color w:val="auto"/>
              </w:rPr>
              <w:t>means [***].</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hanging="554"/>
        <w:spacing w:after="0"/>
        <w:tabs>
          <w:tab w:leader="none" w:pos="560" w:val="left"/>
        </w:tabs>
        <w:numPr>
          <w:ilvl w:val="0"/>
          <w:numId w:val="801"/>
        </w:numPr>
        <w:rPr>
          <w:rFonts w:ascii="Arial" w:cs="Arial" w:eastAsia="Arial" w:hAnsi="Arial"/>
          <w:sz w:val="16"/>
          <w:szCs w:val="16"/>
          <w:b w:val="1"/>
          <w:bCs w:val="1"/>
          <w:color w:val="auto"/>
        </w:rPr>
      </w:pPr>
      <w:r>
        <w:rPr>
          <w:rFonts w:ascii="Arial" w:cs="Arial" w:eastAsia="Arial" w:hAnsi="Arial"/>
          <w:sz w:val="16"/>
          <w:szCs w:val="16"/>
          <w:b w:val="1"/>
          <w:bCs w:val="1"/>
          <w:color w:val="auto"/>
        </w:rPr>
        <w:t>OPTIONS</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b w:val="1"/>
          <w:bCs w:val="1"/>
          <w:color w:val="auto"/>
        </w:rPr>
        <w:t>Options to BioNTech</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02"/>
        </w:numPr>
        <w:rPr>
          <w:rFonts w:ascii="Arial" w:cs="Arial" w:eastAsia="Arial" w:hAnsi="Arial"/>
          <w:sz w:val="16"/>
          <w:szCs w:val="16"/>
          <w:color w:val="auto"/>
        </w:rPr>
      </w:pPr>
      <w:r>
        <w:rPr>
          <w:rFonts w:ascii="Arial" w:cs="Arial" w:eastAsia="Arial" w:hAnsi="Arial"/>
          <w:sz w:val="16"/>
          <w:szCs w:val="16"/>
          <w:b w:val="1"/>
          <w:bCs w:val="1"/>
          <w:color w:val="auto"/>
        </w:rPr>
        <w:t>PM8003 Option</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jc w:val="both"/>
        <w:ind w:left="1140"/>
        <w:spacing w:after="0" w:line="383" w:lineRule="auto"/>
        <w:rPr>
          <w:rFonts w:ascii="Arial" w:cs="Arial" w:eastAsia="Arial" w:hAnsi="Arial"/>
          <w:sz w:val="16"/>
          <w:szCs w:val="16"/>
          <w:color w:val="auto"/>
        </w:rPr>
      </w:pPr>
      <w:r>
        <w:rPr>
          <w:rFonts w:ascii="Arial" w:cs="Arial" w:eastAsia="Arial" w:hAnsi="Arial"/>
          <w:sz w:val="16"/>
          <w:szCs w:val="16"/>
          <w:color w:val="auto"/>
        </w:rPr>
        <w:t>As of the Effective Date Biotheus shall and shall procure that its Affiliates pause all clinical Development activities in relation to PM8003 Licensed Products until the expiry of the PM8003 Option Period. As of the Effective Date, Biotheus hereby grants to BioNTech the exclusive option, free of charge, exercisable at BioNTech's sole discretion during the PM8003 Option Period, to obtain the exclusive license set forth in Section 3.1(b) (PM8003 Licensed Products) with respect to PM8003 Licensed Products (</w:t>
      </w:r>
      <w:r>
        <w:rPr>
          <w:rFonts w:ascii="Arial" w:cs="Arial" w:eastAsia="Arial" w:hAnsi="Arial"/>
          <w:sz w:val="16"/>
          <w:szCs w:val="16"/>
          <w:b w:val="1"/>
          <w:bCs w:val="1"/>
          <w:color w:val="auto"/>
        </w:rPr>
        <w:t>"PM8003 Option"</w:t>
      </w:r>
      <w:r>
        <w:rPr>
          <w:rFonts w:ascii="Arial" w:cs="Arial" w:eastAsia="Arial" w:hAnsi="Arial"/>
          <w:sz w:val="16"/>
          <w:szCs w:val="16"/>
          <w:color w:val="auto"/>
        </w:rPr>
        <w:t>). BioNTech may exercise the PM8003 Option by delivering written notice of such exercise to Biotheus within the PM8003 Option Period (</w:t>
      </w:r>
      <w:r>
        <w:rPr>
          <w:rFonts w:ascii="Arial" w:cs="Arial" w:eastAsia="Arial" w:hAnsi="Arial"/>
          <w:sz w:val="16"/>
          <w:szCs w:val="16"/>
          <w:b w:val="1"/>
          <w:bCs w:val="1"/>
          <w:color w:val="auto"/>
        </w:rPr>
        <w:t>"PM8003 Option Exercise Notice</w:t>
      </w:r>
      <w:r>
        <w:rPr>
          <w:rFonts w:ascii="Arial" w:cs="Arial" w:eastAsia="Arial" w:hAnsi="Arial"/>
          <w:sz w:val="16"/>
          <w:szCs w:val="16"/>
          <w:color w:val="auto"/>
        </w:rPr>
        <w:t xml:space="preserve"> "). [***] Upon BioNTech's delivery to Biotheus within the PM8003 Option Period of a PM8003 Option Exercise Notice the Parties shall determine whether filings are required under the HSR Act in connection therewith and, subject to the termination or expiration of any applicable waiting period or other applicable clearance under the HSR Act if any such filings are required ("</w:t>
      </w:r>
      <w:r>
        <w:rPr>
          <w:rFonts w:ascii="Arial" w:cs="Arial" w:eastAsia="Arial" w:hAnsi="Arial"/>
          <w:sz w:val="16"/>
          <w:szCs w:val="16"/>
          <w:b w:val="1"/>
          <w:bCs w:val="1"/>
          <w:color w:val="auto"/>
        </w:rPr>
        <w:t>PM8003 Option Exercise Date</w:t>
      </w:r>
      <w:r>
        <w:rPr>
          <w:rFonts w:ascii="Arial" w:cs="Arial" w:eastAsia="Arial" w:hAnsi="Arial"/>
          <w:sz w:val="16"/>
          <w:szCs w:val="16"/>
          <w:color w:val="auto"/>
        </w:rPr>
        <w:t>”), BioNTech will be granted the license set forth in Section 3.1(b) (PM8003 Licensed Products) with respect to the PM8003 Licensed Products. The exercise of the PM8003 Option shall not involve any upfront or option exercise payments being due to Biotheus and any milestones that have already been triggered by a Licensed Product(s) prior to the PM8003 Option Exercise Date shall not be due in respect of the PM8003 Licensed Product PROVIDED THAT any applicable milestones and royalties set forth in Article 8 (Financial Terms) will be reduced in accordance with the terms and conditions set forth in Section 8.7 (PM8003 Licensed Products). If the Parties determine that a filing is required under the HSR Act they will cooperate in good faith with the respect to the preparation and submission of such a filing as soon as reasonably possible and with respect to responding promptly to any questions raised in relation to such filing. BioNTech will be responsible for paying 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40" w:orient="portrait"/>
          <w:cols w:equalWidth="0" w:num="1">
            <w:col w:w="10580"/>
          </w:cols>
          <w:pgMar w:left="660" w:top="1440" w:right="660" w:bottom="1440" w:gutter="0" w:footer="0" w:header="0"/>
        </w:sectPr>
      </w:pPr>
    </w:p>
    <w:bookmarkStart w:id="805" w:name="page806"/>
    <w:bookmarkEnd w:id="805"/>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70"/>
        <w:spacing w:after="0" w:line="379" w:lineRule="auto"/>
        <w:rPr>
          <w:sz w:val="20"/>
          <w:szCs w:val="20"/>
          <w:color w:val="auto"/>
        </w:rPr>
      </w:pPr>
      <w:r>
        <w:rPr>
          <w:rFonts w:ascii="Arial" w:cs="Arial" w:eastAsia="Arial" w:hAnsi="Arial"/>
          <w:sz w:val="16"/>
          <w:szCs w:val="16"/>
          <w:color w:val="auto"/>
        </w:rPr>
        <w:t>filing fees required to be paid in connection with such a filing. [***] After the PM8003 Option Exercise Date, BioNTech will be responsible for all Development, Manufacturing, regulatory activities for and Exploitation of PM8003 Licensed Products in the Territory and the costs and expenses in connection therewith and Biotheus will transfer to BioNTech the ownership of the IND for PM8003 Licensed Product for the Territory and any other Regulatory Filings for PM8003 Licensed Product for the Territory that are possessed or controlled by Biotheus or its Affiliates no more than [***] days following the PM8003 Option Exercise Date. At BioNTech's discretion, following the PM8003 Option Exercise Date and subject to Biotheus’ then-current capacity, BioNTech may request that Biotheus continues certain activities in relation to PM8003 Licensed Product, [***] and in accordance with a PM8003 Licensed Product development plan as approved by the Parties in the JSC, following the PM8003 Option Exercise Date.</w:t>
      </w:r>
    </w:p>
    <w:p>
      <w:pPr>
        <w:spacing w:after="0" w:line="290" w:lineRule="exact"/>
        <w:rPr>
          <w:sz w:val="20"/>
          <w:szCs w:val="20"/>
          <w:color w:val="auto"/>
        </w:rPr>
      </w:pPr>
    </w:p>
    <w:p>
      <w:pPr>
        <w:ind w:left="550" w:hanging="550"/>
        <w:spacing w:after="0"/>
        <w:tabs>
          <w:tab w:leader="none" w:pos="550" w:val="left"/>
        </w:tabs>
        <w:numPr>
          <w:ilvl w:val="0"/>
          <w:numId w:val="803"/>
        </w:numPr>
        <w:rPr>
          <w:rFonts w:ascii="Arial" w:cs="Arial" w:eastAsia="Arial" w:hAnsi="Arial"/>
          <w:sz w:val="16"/>
          <w:szCs w:val="16"/>
          <w:color w:val="auto"/>
        </w:rPr>
      </w:pPr>
      <w:r>
        <w:rPr>
          <w:rFonts w:ascii="Arial" w:cs="Arial" w:eastAsia="Arial" w:hAnsi="Arial"/>
          <w:sz w:val="16"/>
          <w:szCs w:val="16"/>
          <w:b w:val="1"/>
          <w:bCs w:val="1"/>
          <w:color w:val="auto"/>
        </w:rPr>
        <w:t>Preclinical Multispecific Option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91" w:lineRule="auto"/>
        <w:rPr>
          <w:rFonts w:ascii="Arial" w:cs="Arial" w:eastAsia="Arial" w:hAnsi="Arial"/>
          <w:sz w:val="16"/>
          <w:szCs w:val="16"/>
          <w:color w:val="auto"/>
        </w:rPr>
      </w:pPr>
      <w:r>
        <w:rPr>
          <w:rFonts w:ascii="Arial" w:cs="Arial" w:eastAsia="Arial" w:hAnsi="Arial"/>
          <w:sz w:val="14"/>
          <w:szCs w:val="14"/>
          <w:color w:val="auto"/>
        </w:rPr>
        <w:t>As of the Effective Date, Biotheus hereby grants to BioNTech the exclusive option, free of charge, exercisable at BioNTech's sole discretion during the Preclinical Multispecific Option Period, to obtain the exclusive license set forth in Section 3.1(c) (Preclinical Multispecific Licensed Products) with respect to Preclinical Multispecific Licensed Products (</w:t>
      </w:r>
      <w:r>
        <w:rPr>
          <w:rFonts w:ascii="Arial" w:cs="Arial" w:eastAsia="Arial" w:hAnsi="Arial"/>
          <w:sz w:val="14"/>
          <w:szCs w:val="14"/>
          <w:b w:val="1"/>
          <w:bCs w:val="1"/>
          <w:color w:val="auto"/>
        </w:rPr>
        <w:t>"Preclinical Multispecific Option"</w:t>
      </w:r>
      <w:r>
        <w:rPr>
          <w:rFonts w:ascii="Arial" w:cs="Arial" w:eastAsia="Arial" w:hAnsi="Arial"/>
          <w:sz w:val="14"/>
          <w:szCs w:val="14"/>
          <w:color w:val="auto"/>
        </w:rPr>
        <w:t>). BioNTech may exercise the Preclinical Multispecific Option by delivering written notice of such exercise to Biotheus within the Preclinical Multispecific Option Period (</w:t>
      </w:r>
      <w:r>
        <w:rPr>
          <w:rFonts w:ascii="Arial" w:cs="Arial" w:eastAsia="Arial" w:hAnsi="Arial"/>
          <w:sz w:val="14"/>
          <w:szCs w:val="14"/>
          <w:b w:val="1"/>
          <w:bCs w:val="1"/>
          <w:color w:val="auto"/>
        </w:rPr>
        <w:t>"Preclinical Multispecific Option Exercise Notice</w:t>
      </w:r>
      <w:r>
        <w:rPr>
          <w:rFonts w:ascii="Arial" w:cs="Arial" w:eastAsia="Arial" w:hAnsi="Arial"/>
          <w:sz w:val="14"/>
          <w:szCs w:val="14"/>
          <w:color w:val="auto"/>
        </w:rPr>
        <w:t xml:space="preserve"> "). [***] Biotheus shall keep BioNTech regularly updated via the JSC of all Preclinical Multispecific Licensed Compounds and Preclinical Multispecific Licensed Products it is currently working on and provide updates on Development activities in respect of the same at each meeting of the JSC. The exercise of the Preclinical Multispecific Option shall not involve the payment to Biotheus of any upfront or option exercise payments and any milestones that have already been triggered by a Licensed Product(s) prior to the Preclinical Multispecific Option Exercise Date shall not be due in respect of Preclinical Multispecific Licensed Products, provided that any applicable milestones and royalties payable under Article 8 (Financial Terms) shall be reduced in accordance with the terms and conditions set forth in Section 8.8 (Preclinical Multispecific Licensed Products). Upon BioNTech's delivery to Biotheus within the Preclinical Multispecific Option Period of a Preclinical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36</w:t>
      </w:r>
    </w:p>
    <w:p>
      <w:pPr>
        <w:sectPr>
          <w:pgSz w:w="11900" w:h="16840" w:orient="portrait"/>
          <w:cols w:equalWidth="0" w:num="1">
            <w:col w:w="10010"/>
          </w:cols>
          <w:pgMar w:left="1230" w:top="1440" w:right="660" w:bottom="1440" w:gutter="0" w:footer="0" w:header="0"/>
        </w:sectPr>
      </w:pPr>
    </w:p>
    <w:bookmarkStart w:id="806" w:name="page807"/>
    <w:bookmarkEnd w:id="80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70"/>
        <w:spacing w:after="0" w:line="424" w:lineRule="auto"/>
        <w:rPr>
          <w:sz w:val="20"/>
          <w:szCs w:val="20"/>
          <w:color w:val="auto"/>
        </w:rPr>
      </w:pPr>
      <w:r>
        <w:rPr>
          <w:rFonts w:ascii="Arial" w:cs="Arial" w:eastAsia="Arial" w:hAnsi="Arial"/>
          <w:sz w:val="16"/>
          <w:szCs w:val="16"/>
          <w:color w:val="auto"/>
        </w:rPr>
        <w:t>Multispecific Option Exercise Notice the Parties shall determine whether filings are required under the HSR Act in connection therewith and, subject to the termination or expiration of any applicable waiting period or other applicable clearance under the HSR Act if any such filings are required ("</w:t>
      </w:r>
      <w:r>
        <w:rPr>
          <w:rFonts w:ascii="Arial" w:cs="Arial" w:eastAsia="Arial" w:hAnsi="Arial"/>
          <w:sz w:val="16"/>
          <w:szCs w:val="16"/>
          <w:b w:val="1"/>
          <w:bCs w:val="1"/>
          <w:color w:val="auto"/>
        </w:rPr>
        <w:t>Preclinical Multispecific Option Exercise Date</w:t>
      </w:r>
      <w:r>
        <w:rPr>
          <w:rFonts w:ascii="Arial" w:cs="Arial" w:eastAsia="Arial" w:hAnsi="Arial"/>
          <w:sz w:val="16"/>
          <w:szCs w:val="16"/>
          <w:color w:val="auto"/>
        </w:rPr>
        <w:t xml:space="preserve"> ”), BioNTech will be granted the license set forth in Section 3.1(c) (Preclinical Multispecific Licensed Products) with respect to the Preclinical Multispecific Licensed Products. If the Parties determine that a filing is required under the HSR Act they will cooperate in good faith with the respect to the preparation and submission of such a filing as soon as reasonably possible and with respect to responding promptly to any questions raised in relation to such filing. BioNTech will be responsible for paying any filing fees required to be paid in connection with such a filing. Promptly and in any event within [***] days of the Preclinical Multispecific Option Exercise Date, Biotheus will at its cost and expense, provide BioNTech with the equivalent of the information set out in Section 3.4(a) (Knowledge and Technology Transfer) in respect of each such Preclinical Multispecific Licensed Product. After the Preclinical Multispecific Option Exercise Date, BioNTech will be responsible for all Development, Manufacturing, regulatory activities for and Exploitation of Preclinical Multispecific Licensed Products in the Territory and the costs and expenses in connection therewith. At BioNTech's discretion, following the Preclinical Multispecific Option Exercise and subject to Biotheus’ then-current capacity, BioNTech may request that Biotheus continues certain activities in relation to Preclinical Multispecific Licensed Compound, [***] and in accordance with a Preclinical Multispecific Licensed Product development plan as approved by the Parties in the JSC, following the Preclinical Multispecific Option Exercise Date.</w:t>
      </w:r>
    </w:p>
    <w:p>
      <w:pPr>
        <w:spacing w:after="0" w:line="272" w:lineRule="exact"/>
        <w:rPr>
          <w:sz w:val="20"/>
          <w:szCs w:val="20"/>
          <w:color w:val="auto"/>
        </w:rPr>
      </w:pPr>
    </w:p>
    <w:p>
      <w:pPr>
        <w:ind w:left="550" w:hanging="550"/>
        <w:spacing w:after="0"/>
        <w:tabs>
          <w:tab w:leader="none" w:pos="550" w:val="left"/>
        </w:tabs>
        <w:numPr>
          <w:ilvl w:val="0"/>
          <w:numId w:val="804"/>
        </w:numPr>
        <w:rPr>
          <w:rFonts w:ascii="Arial" w:cs="Arial" w:eastAsia="Arial" w:hAnsi="Arial"/>
          <w:sz w:val="16"/>
          <w:szCs w:val="16"/>
          <w:color w:val="auto"/>
        </w:rPr>
      </w:pPr>
      <w:r>
        <w:rPr>
          <w:rFonts w:ascii="Arial" w:cs="Arial" w:eastAsia="Arial" w:hAnsi="Arial"/>
          <w:sz w:val="16"/>
          <w:szCs w:val="16"/>
          <w:b w:val="1"/>
          <w:bCs w:val="1"/>
          <w:color w:val="auto"/>
        </w:rPr>
        <w:t>Biotheus Obligations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505" w:lineRule="auto"/>
        <w:rPr>
          <w:rFonts w:ascii="Arial" w:cs="Arial" w:eastAsia="Arial" w:hAnsi="Arial"/>
          <w:sz w:val="16"/>
          <w:szCs w:val="16"/>
          <w:color w:val="auto"/>
        </w:rPr>
      </w:pPr>
      <w:r>
        <w:rPr>
          <w:rFonts w:ascii="Arial" w:cs="Arial" w:eastAsia="Arial" w:hAnsi="Arial"/>
          <w:sz w:val="14"/>
          <w:szCs w:val="14"/>
          <w:color w:val="auto"/>
        </w:rPr>
        <w:t>During the PM8003 Option Period and Preclinical Multispecific Option Period (as the case may be) Biotheus shall not and shall procure that its Affiliates shall not enter into or discuss entering into any agreement or other arrangement with any Third Party pursuant to which such Third Party is granted rights or an option to obtain rights in relation to the PM8003 Licensed Compound or PM8003 Licensed Product or Preclinical Multispecific Licensed Compound or Preclinical Multispecific Licensed Product, as the case may be.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37</w:t>
      </w:r>
    </w:p>
    <w:p>
      <w:pPr>
        <w:sectPr>
          <w:pgSz w:w="11900" w:h="16840" w:orient="portrait"/>
          <w:cols w:equalWidth="0" w:num="1">
            <w:col w:w="10010"/>
          </w:cols>
          <w:pgMar w:left="1230" w:top="1440" w:right="660" w:bottom="1440" w:gutter="0" w:footer="0" w:header="0"/>
        </w:sectPr>
      </w:pPr>
    </w:p>
    <w:bookmarkStart w:id="807" w:name="page808"/>
    <w:bookmarkEnd w:id="80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05"/>
        </w:numPr>
        <w:rPr>
          <w:rFonts w:ascii="Arial" w:cs="Arial" w:eastAsia="Arial" w:hAnsi="Arial"/>
          <w:sz w:val="16"/>
          <w:szCs w:val="16"/>
          <w:color w:val="auto"/>
        </w:rPr>
      </w:pPr>
      <w:r>
        <w:rPr>
          <w:rFonts w:ascii="Arial" w:cs="Arial" w:eastAsia="Arial" w:hAnsi="Arial"/>
          <w:sz w:val="16"/>
          <w:szCs w:val="16"/>
          <w:b w:val="1"/>
          <w:bCs w:val="1"/>
          <w:color w:val="auto"/>
        </w:rPr>
        <w:t>Option Exercise</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820" w:right="20" w:hanging="566"/>
        <w:spacing w:after="0" w:line="429" w:lineRule="auto"/>
        <w:tabs>
          <w:tab w:leader="none" w:pos="1820" w:val="left"/>
        </w:tabs>
        <w:numPr>
          <w:ilvl w:val="1"/>
          <w:numId w:val="805"/>
        </w:numPr>
        <w:rPr>
          <w:rFonts w:ascii="Arial" w:cs="Arial" w:eastAsia="Arial" w:hAnsi="Arial"/>
          <w:sz w:val="16"/>
          <w:szCs w:val="16"/>
          <w:color w:val="auto"/>
        </w:rPr>
      </w:pPr>
      <w:r>
        <w:rPr>
          <w:rFonts w:ascii="Arial" w:cs="Arial" w:eastAsia="Arial" w:hAnsi="Arial"/>
          <w:sz w:val="16"/>
          <w:szCs w:val="16"/>
          <w:color w:val="auto"/>
        </w:rPr>
        <w:t>If BioNTech does not exercise the PM8003 Option during the PM8003 Option Period then BioNTech will not receive the license set forth in Section 3.1(b) (PM8003 Licensed Products), BioNTech will have no further rights or obligations with respect to PM8003 Licensed Compounds or PM8003 Licensed Products, PROVIDED THAT Biotheus may not resume Development and other Exploitation of PM8003 Licensed Compounds and PM8003 Licensed Products until the expiry of the PM8003 Option Period;</w:t>
      </w:r>
    </w:p>
    <w:p>
      <w:pPr>
        <w:spacing w:after="0" w:line="264" w:lineRule="exact"/>
        <w:rPr>
          <w:rFonts w:ascii="Arial" w:cs="Arial" w:eastAsia="Arial" w:hAnsi="Arial"/>
          <w:sz w:val="16"/>
          <w:szCs w:val="16"/>
          <w:color w:val="auto"/>
        </w:rPr>
      </w:pPr>
    </w:p>
    <w:p>
      <w:pPr>
        <w:jc w:val="both"/>
        <w:ind w:left="1820" w:right="20" w:hanging="566"/>
        <w:spacing w:after="0" w:line="428" w:lineRule="auto"/>
        <w:tabs>
          <w:tab w:leader="none" w:pos="1808" w:val="left"/>
        </w:tabs>
        <w:numPr>
          <w:ilvl w:val="1"/>
          <w:numId w:val="805"/>
        </w:numPr>
        <w:rPr>
          <w:rFonts w:ascii="Arial" w:cs="Arial" w:eastAsia="Arial" w:hAnsi="Arial"/>
          <w:sz w:val="16"/>
          <w:szCs w:val="16"/>
          <w:color w:val="auto"/>
        </w:rPr>
      </w:pPr>
      <w:r>
        <w:rPr>
          <w:rFonts w:ascii="Arial" w:cs="Arial" w:eastAsia="Arial" w:hAnsi="Arial"/>
          <w:sz w:val="16"/>
          <w:szCs w:val="16"/>
          <w:color w:val="auto"/>
        </w:rPr>
        <w:t>If BioNTech does not exercise the Preclinical Multispecific Option during the Preclinical Multispecific Option Period, then BioNTech will not receive the license set forth in Section 3.1(c) (Preclinical Multispecific Licensed Products), BioNTech will have no further rights or obligations with respect to such Preclinical Multispecific Licensed Compounds or Preclinical Multispecific Licensed Products, PROVIDED THAT Biotheus may not resume Development and other Exploitation of such Preclinical Multispecific Licensed Compounds and Preclinical Multispecific Licensed Products until the First Commercial Sale of a Licensed Product pursuant to this Agreement by or on behalf of BioNTech, its Affiliate or Sublicensee.</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b w:val="1"/>
          <w:bCs w:val="1"/>
          <w:color w:val="auto"/>
        </w:rPr>
        <w:t>Option to Biotheus</w:t>
      </w:r>
    </w:p>
    <w:p>
      <w:pPr>
        <w:spacing w:after="0" w:line="200" w:lineRule="exact"/>
        <w:rPr>
          <w:sz w:val="20"/>
          <w:szCs w:val="20"/>
          <w:color w:val="auto"/>
        </w:r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560" w:hanging="554"/>
        <w:spacing w:after="0"/>
        <w:tabs>
          <w:tab w:leader="none" w:pos="560" w:val="left"/>
        </w:tabs>
        <w:numPr>
          <w:ilvl w:val="0"/>
          <w:numId w:val="806"/>
        </w:numPr>
        <w:rPr>
          <w:rFonts w:ascii="Arial" w:cs="Arial" w:eastAsia="Arial" w:hAnsi="Arial"/>
          <w:sz w:val="16"/>
          <w:szCs w:val="16"/>
          <w:b w:val="1"/>
          <w:bCs w:val="1"/>
          <w:color w:val="auto"/>
        </w:rPr>
      </w:pPr>
      <w:r>
        <w:rPr>
          <w:rFonts w:ascii="Arial" w:cs="Arial" w:eastAsia="Arial" w:hAnsi="Arial"/>
          <w:sz w:val="16"/>
          <w:szCs w:val="16"/>
          <w:b w:val="1"/>
          <w:bCs w:val="1"/>
          <w:color w:val="auto"/>
        </w:rPr>
        <w:t>LICENSES; EXCLUSIVITY</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b w:val="1"/>
          <w:bCs w:val="1"/>
          <w:color w:val="auto"/>
        </w:rPr>
        <w:t>License Grants to BioNTech</w:t>
      </w:r>
      <w:r>
        <w:rPr>
          <w:rFonts w:ascii="Arial" w:cs="Arial" w:eastAsia="Arial" w:hAnsi="Arial"/>
          <w:sz w:val="14"/>
          <w:szCs w:val="14"/>
          <w:color w:val="auto"/>
        </w:rPr>
        <w:t>. Subject to terms and conditions of this Agreement,</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07"/>
        </w:numPr>
        <w:rPr>
          <w:rFonts w:ascii="Arial" w:cs="Arial" w:eastAsia="Arial" w:hAnsi="Arial"/>
          <w:sz w:val="16"/>
          <w:szCs w:val="16"/>
          <w:color w:val="auto"/>
        </w:rPr>
      </w:pPr>
      <w:r>
        <w:rPr>
          <w:rFonts w:ascii="Arial" w:cs="Arial" w:eastAsia="Arial" w:hAnsi="Arial"/>
          <w:sz w:val="16"/>
          <w:szCs w:val="16"/>
          <w:b w:val="1"/>
          <w:bCs w:val="1"/>
          <w:color w:val="auto"/>
        </w:rPr>
        <w:t>PM8002 Licensed Products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36" w:lineRule="auto"/>
        <w:rPr>
          <w:rFonts w:ascii="Arial" w:cs="Arial" w:eastAsia="Arial" w:hAnsi="Arial"/>
          <w:sz w:val="16"/>
          <w:szCs w:val="16"/>
          <w:color w:val="auto"/>
        </w:rPr>
      </w:pPr>
      <w:r>
        <w:rPr>
          <w:rFonts w:ascii="Arial" w:cs="Arial" w:eastAsia="Arial" w:hAnsi="Arial"/>
          <w:sz w:val="16"/>
          <w:szCs w:val="16"/>
          <w:color w:val="auto"/>
        </w:rPr>
        <w:t>Effective as of the Effective Date, Biotheus hereby grants BioNTech an exclusive, royalty-bearing, sublicensable through multiple tiers (in accordance with Section 3.2 (Sublicensing Rights)) license under the Licensed IP to Exploit PM8002 Licensed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40" w:orient="portrait"/>
          <w:cols w:equalWidth="0" w:num="1">
            <w:col w:w="10580"/>
          </w:cols>
          <w:pgMar w:left="660" w:top="1440" w:right="660" w:bottom="1440" w:gutter="0" w:footer="0" w:header="0"/>
        </w:sectPr>
      </w:pPr>
    </w:p>
    <w:bookmarkStart w:id="808" w:name="page809"/>
    <w:bookmarkEnd w:id="80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08"/>
        </w:numPr>
        <w:rPr>
          <w:rFonts w:ascii="Arial" w:cs="Arial" w:eastAsia="Arial" w:hAnsi="Arial"/>
          <w:sz w:val="16"/>
          <w:szCs w:val="16"/>
          <w:color w:val="auto"/>
        </w:rPr>
      </w:pPr>
      <w:r>
        <w:rPr>
          <w:rFonts w:ascii="Arial" w:cs="Arial" w:eastAsia="Arial" w:hAnsi="Arial"/>
          <w:sz w:val="16"/>
          <w:szCs w:val="16"/>
          <w:b w:val="1"/>
          <w:bCs w:val="1"/>
          <w:color w:val="auto"/>
        </w:rPr>
        <w:t>PM8003 Licensed Products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36" w:lineRule="auto"/>
        <w:rPr>
          <w:rFonts w:ascii="Arial" w:cs="Arial" w:eastAsia="Arial" w:hAnsi="Arial"/>
          <w:sz w:val="16"/>
          <w:szCs w:val="16"/>
          <w:color w:val="auto"/>
        </w:rPr>
      </w:pPr>
      <w:r>
        <w:rPr>
          <w:rFonts w:ascii="Arial" w:cs="Arial" w:eastAsia="Arial" w:hAnsi="Arial"/>
          <w:sz w:val="16"/>
          <w:szCs w:val="16"/>
          <w:color w:val="auto"/>
        </w:rPr>
        <w:t>Effective as of the PM8003 Option Exercise Date, Biotheus hereby grants BioNTech an exclusive, royalty-bearing, sublicensable through multiple tiers (in accordance with Section 3.2 (Sublicensing Rights)) license under the Licensed IP to Exploit PM8003 Licensed Products in the Field in the Territory.</w:t>
      </w:r>
    </w:p>
    <w:p>
      <w:pPr>
        <w:spacing w:after="0" w:line="255" w:lineRule="exact"/>
        <w:rPr>
          <w:rFonts w:ascii="Arial" w:cs="Arial" w:eastAsia="Arial" w:hAnsi="Arial"/>
          <w:sz w:val="16"/>
          <w:szCs w:val="16"/>
          <w:color w:val="auto"/>
        </w:rPr>
      </w:pPr>
    </w:p>
    <w:p>
      <w:pPr>
        <w:ind w:left="550" w:hanging="550"/>
        <w:spacing w:after="0"/>
        <w:tabs>
          <w:tab w:leader="none" w:pos="550" w:val="left"/>
        </w:tabs>
        <w:numPr>
          <w:ilvl w:val="0"/>
          <w:numId w:val="808"/>
        </w:numPr>
        <w:rPr>
          <w:rFonts w:ascii="Arial" w:cs="Arial" w:eastAsia="Arial" w:hAnsi="Arial"/>
          <w:sz w:val="16"/>
          <w:szCs w:val="16"/>
          <w:color w:val="auto"/>
        </w:rPr>
      </w:pPr>
      <w:r>
        <w:rPr>
          <w:rFonts w:ascii="Arial" w:cs="Arial" w:eastAsia="Arial" w:hAnsi="Arial"/>
          <w:sz w:val="16"/>
          <w:szCs w:val="16"/>
          <w:b w:val="1"/>
          <w:bCs w:val="1"/>
          <w:color w:val="auto"/>
        </w:rPr>
        <w:t>Preclinical Multispecific Licensed Products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31" w:lineRule="auto"/>
        <w:rPr>
          <w:rFonts w:ascii="Arial" w:cs="Arial" w:eastAsia="Arial" w:hAnsi="Arial"/>
          <w:sz w:val="16"/>
          <w:szCs w:val="16"/>
          <w:color w:val="auto"/>
        </w:rPr>
      </w:pPr>
      <w:r>
        <w:rPr>
          <w:rFonts w:ascii="Arial" w:cs="Arial" w:eastAsia="Arial" w:hAnsi="Arial"/>
          <w:sz w:val="16"/>
          <w:szCs w:val="16"/>
          <w:color w:val="auto"/>
        </w:rPr>
        <w:t>Effective as of the Preclinical Multispecific Option Exercise Date with respect to a Preclinical Multispecific Licensed Product and on a Preclinical Multispecific Licensed Product -by -Preclinical Multispecific Licensed Product basis, Biotheus hereby grants BioNTech an exclusive, royalty-bearing, sublicensable through multiple tiers (in accordance with Section 3.2 (Sublicensing Rights)) license under the Licensed IP to Exploit any applicable Preclinical Multispecific Licensed Product in the Field in the Territory.</w:t>
      </w:r>
    </w:p>
    <w:p>
      <w:pPr>
        <w:spacing w:after="0" w:line="260" w:lineRule="exact"/>
        <w:rPr>
          <w:rFonts w:ascii="Arial" w:cs="Arial" w:eastAsia="Arial" w:hAnsi="Arial"/>
          <w:sz w:val="16"/>
          <w:szCs w:val="16"/>
          <w:color w:val="auto"/>
        </w:rPr>
      </w:pPr>
    </w:p>
    <w:p>
      <w:pPr>
        <w:ind w:left="550" w:hanging="550"/>
        <w:spacing w:after="0"/>
        <w:tabs>
          <w:tab w:leader="none" w:pos="550" w:val="left"/>
        </w:tabs>
        <w:numPr>
          <w:ilvl w:val="0"/>
          <w:numId w:val="808"/>
        </w:numPr>
        <w:rPr>
          <w:rFonts w:ascii="Arial" w:cs="Arial" w:eastAsia="Arial" w:hAnsi="Arial"/>
          <w:sz w:val="16"/>
          <w:szCs w:val="16"/>
          <w:color w:val="auto"/>
        </w:rPr>
      </w:pPr>
      <w:r>
        <w:rPr>
          <w:rFonts w:ascii="Arial" w:cs="Arial" w:eastAsia="Arial" w:hAnsi="Arial"/>
          <w:sz w:val="16"/>
          <w:szCs w:val="16"/>
          <w:b w:val="1"/>
          <w:bCs w:val="1"/>
          <w:color w:val="auto"/>
        </w:rPr>
        <w:t>Product License Exclusivity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36" w:lineRule="auto"/>
        <w:rPr>
          <w:rFonts w:ascii="Arial" w:cs="Arial" w:eastAsia="Arial" w:hAnsi="Arial"/>
          <w:sz w:val="16"/>
          <w:szCs w:val="16"/>
          <w:color w:val="auto"/>
        </w:rPr>
      </w:pPr>
      <w:r>
        <w:rPr>
          <w:rFonts w:ascii="Arial" w:cs="Arial" w:eastAsia="Arial" w:hAnsi="Arial"/>
          <w:sz w:val="16"/>
          <w:szCs w:val="16"/>
          <w:color w:val="auto"/>
        </w:rPr>
        <w:t>The licenses granted in Sections 3.1(a) (PM8002 Licensed Products), 3.1(b) (PM8003 Licensed Products) and 3.1(c) (Preclinical Multispecific Licensed Products) shall be exclusive in the Territory, even as to Biotheus, except as required for Biotheus to perform its obligations under the Global CDP and Joint CDP in accordance with the terms of this Agreement.</w:t>
      </w:r>
    </w:p>
    <w:p>
      <w:pPr>
        <w:spacing w:after="0" w:line="255" w:lineRule="exact"/>
        <w:rPr>
          <w:rFonts w:ascii="Arial" w:cs="Arial" w:eastAsia="Arial" w:hAnsi="Arial"/>
          <w:sz w:val="16"/>
          <w:szCs w:val="16"/>
          <w:color w:val="auto"/>
        </w:rPr>
      </w:pPr>
    </w:p>
    <w:p>
      <w:pPr>
        <w:ind w:left="550" w:hanging="550"/>
        <w:spacing w:after="0"/>
        <w:tabs>
          <w:tab w:leader="none" w:pos="550" w:val="left"/>
        </w:tabs>
        <w:numPr>
          <w:ilvl w:val="0"/>
          <w:numId w:val="808"/>
        </w:numPr>
        <w:rPr>
          <w:rFonts w:ascii="Arial" w:cs="Arial" w:eastAsia="Arial" w:hAnsi="Arial"/>
          <w:sz w:val="16"/>
          <w:szCs w:val="16"/>
          <w:color w:val="auto"/>
        </w:rPr>
      </w:pPr>
      <w:r>
        <w:rPr>
          <w:rFonts w:ascii="Arial" w:cs="Arial" w:eastAsia="Arial" w:hAnsi="Arial"/>
          <w:sz w:val="16"/>
          <w:szCs w:val="16"/>
          <w:b w:val="1"/>
          <w:bCs w:val="1"/>
          <w:color w:val="auto"/>
        </w:rPr>
        <w:t>Retained Rights in the Retained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250" w:hanging="566"/>
        <w:spacing w:after="0"/>
        <w:tabs>
          <w:tab w:leader="none" w:pos="1250" w:val="left"/>
        </w:tabs>
        <w:numPr>
          <w:ilvl w:val="1"/>
          <w:numId w:val="808"/>
        </w:numPr>
        <w:rPr>
          <w:rFonts w:ascii="Arial" w:cs="Arial" w:eastAsia="Arial" w:hAnsi="Arial"/>
          <w:sz w:val="16"/>
          <w:szCs w:val="16"/>
          <w:color w:val="auto"/>
        </w:rPr>
      </w:pPr>
      <w:r>
        <w:rPr>
          <w:rFonts w:ascii="Arial" w:cs="Arial" w:eastAsia="Arial" w:hAnsi="Arial"/>
          <w:sz w:val="16"/>
          <w:szCs w:val="16"/>
          <w:color w:val="auto"/>
        </w:rPr>
        <w:t>Following the Effective Date and during the Term:</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710" w:hanging="569"/>
        <w:spacing w:after="0" w:line="450" w:lineRule="auto"/>
        <w:tabs>
          <w:tab w:leader="none" w:pos="1698" w:val="left"/>
        </w:tabs>
        <w:numPr>
          <w:ilvl w:val="2"/>
          <w:numId w:val="808"/>
        </w:numPr>
        <w:rPr>
          <w:rFonts w:ascii="Arial" w:cs="Arial" w:eastAsia="Arial" w:hAnsi="Arial"/>
          <w:sz w:val="16"/>
          <w:szCs w:val="16"/>
          <w:color w:val="auto"/>
        </w:rPr>
      </w:pPr>
      <w:r>
        <w:rPr>
          <w:rFonts w:ascii="Arial" w:cs="Arial" w:eastAsia="Arial" w:hAnsi="Arial"/>
          <w:sz w:val="16"/>
          <w:szCs w:val="16"/>
          <w:color w:val="auto"/>
        </w:rPr>
        <w:t>Biotheus may not license, assign, transfer or grant any rights relating to the Licensed Compounds or Licensed Products in the Retained Territory to a BioNTech Retained Territory Competitor; and</w:t>
      </w:r>
    </w:p>
    <w:p>
      <w:pPr>
        <w:spacing w:after="0" w:line="246" w:lineRule="exact"/>
        <w:rPr>
          <w:rFonts w:ascii="Arial" w:cs="Arial" w:eastAsia="Arial" w:hAnsi="Arial"/>
          <w:sz w:val="16"/>
          <w:szCs w:val="16"/>
          <w:color w:val="auto"/>
        </w:rPr>
      </w:pPr>
    </w:p>
    <w:p>
      <w:pPr>
        <w:ind w:left="1710" w:hanging="569"/>
        <w:spacing w:after="0" w:line="450" w:lineRule="auto"/>
        <w:tabs>
          <w:tab w:leader="none" w:pos="1698" w:val="left"/>
        </w:tabs>
        <w:numPr>
          <w:ilvl w:val="2"/>
          <w:numId w:val="808"/>
        </w:numPr>
        <w:rPr>
          <w:rFonts w:ascii="Arial" w:cs="Arial" w:eastAsia="Arial" w:hAnsi="Arial"/>
          <w:sz w:val="16"/>
          <w:szCs w:val="16"/>
          <w:color w:val="auto"/>
        </w:rPr>
      </w:pPr>
      <w:r>
        <w:rPr>
          <w:rFonts w:ascii="Arial" w:cs="Arial" w:eastAsia="Arial" w:hAnsi="Arial"/>
          <w:sz w:val="16"/>
          <w:szCs w:val="16"/>
          <w:color w:val="auto"/>
        </w:rPr>
        <w:t>Biotheus shall ensure that any transfer, licence or other grant of rights relating to the Licensed Compounds or Licensed Products in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39</w:t>
      </w:r>
    </w:p>
    <w:p>
      <w:pPr>
        <w:sectPr>
          <w:pgSz w:w="11900" w:h="16840" w:orient="portrait"/>
          <w:cols w:equalWidth="0" w:num="1">
            <w:col w:w="9990"/>
          </w:cols>
          <w:pgMar w:left="1230" w:top="1440" w:right="680" w:bottom="1440" w:gutter="0" w:footer="0" w:header="0"/>
        </w:sectPr>
      </w:pPr>
    </w:p>
    <w:bookmarkStart w:id="809" w:name="page810"/>
    <w:bookmarkEnd w:id="80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500"/>
        <w:spacing w:after="0" w:line="424" w:lineRule="auto"/>
        <w:rPr>
          <w:sz w:val="20"/>
          <w:szCs w:val="20"/>
          <w:color w:val="auto"/>
        </w:rPr>
      </w:pPr>
      <w:r>
        <w:rPr>
          <w:rFonts w:ascii="Arial" w:cs="Arial" w:eastAsia="Arial" w:hAnsi="Arial"/>
          <w:sz w:val="16"/>
          <w:szCs w:val="16"/>
          <w:color w:val="auto"/>
        </w:rPr>
        <w:t>Retained Territory to a Third Party that is not a BioNTech Retained Territory Competitor shall be subject to the rights granted to BioNTech pursuant to this Agreement. Biotheus will ensure that any such transfer, licence or other grant of rights: (1) is consistent with the terms of this Agreement, and (2) requires the relevant transferee, licensee or other assignee or partner to comply with Biotheus' relevant obligations under this Agreement, including in relation to intellectual property, confidentiality and publications. Biotheus will remain responsible and liable for the performance of all its transferees, licensees and other assignees or partners under their respective licensed, assigned or transferred or partnered rights to the same extent as if such activities were conducted by Biotheus. Biotheus will deliver to BioNTech prompt written notice of any license or other partnering, assignment or transfer agreement relating to the Licensed Products in the Retained Territory with a Third Party no later than [***] days following the execution thereof and shall provide BioNTech with a copy of each such license or other agreement (and any amendment thereto) within [***] days after execution thereof (which copy may be redacted of any confidential or proprietary information that is not necessary for BioNTech to confirm or verify Biotheus' compliance with this Agreement). Subject to Section 3.1(e)(i) (Retained Rights in the Retained Territory), Biotheus retains the right to Exploit Licensed Products in the Field in the Retained Territory, except as required for BioNTech to (i) perform its obligations under the Global CDP and Joint CDP in accordance with the terms of this Agreement and (ii) exercise its rights pursuant to Section 3.1(f) (Manufacture in the Retained Territory).</w:t>
      </w:r>
    </w:p>
    <w:p>
      <w:pPr>
        <w:spacing w:after="0" w:line="273" w:lineRule="exact"/>
        <w:rPr>
          <w:sz w:val="20"/>
          <w:szCs w:val="20"/>
          <w:color w:val="auto"/>
        </w:rPr>
      </w:pPr>
    </w:p>
    <w:p>
      <w:pPr>
        <w:jc w:val="both"/>
        <w:ind w:left="1500" w:hanging="569"/>
        <w:spacing w:after="0" w:line="431" w:lineRule="auto"/>
        <w:tabs>
          <w:tab w:leader="none" w:pos="1488" w:val="left"/>
        </w:tabs>
        <w:numPr>
          <w:ilvl w:val="0"/>
          <w:numId w:val="809"/>
        </w:numPr>
        <w:rPr>
          <w:rFonts w:ascii="Arial" w:cs="Arial" w:eastAsia="Arial" w:hAnsi="Arial"/>
          <w:sz w:val="16"/>
          <w:szCs w:val="16"/>
          <w:color w:val="auto"/>
        </w:rPr>
      </w:pPr>
      <w:r>
        <w:rPr>
          <w:rFonts w:ascii="Arial" w:cs="Arial" w:eastAsia="Arial" w:hAnsi="Arial"/>
          <w:sz w:val="16"/>
          <w:szCs w:val="16"/>
          <w:color w:val="auto"/>
        </w:rPr>
        <w:t>For clarity, subject to Section 3.3 (Subcontractors) and Section 4.5(b) (Escalation) the provisions of Sections 3.1(e)(i)(A) and 3.1(e)(i)(B) above shall not prevent Biotheus [***] to conduct any activities with respect to the Exploitation of the Licensed Products in the Retained Territory and the restrictions in Section 3.1(e)(i)(A) and the reporting requirements in Section 3.1(e)(i)(B) shall not apply to [***].</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40</w:t>
      </w:r>
    </w:p>
    <w:p>
      <w:pPr>
        <w:sectPr>
          <w:pgSz w:w="11900" w:h="16840" w:orient="portrait"/>
          <w:cols w:equalWidth="0" w:num="1">
            <w:col w:w="9800"/>
          </w:cols>
          <w:pgMar w:left="1440" w:top="1440" w:right="660" w:bottom="1440" w:gutter="0" w:footer="0" w:header="0"/>
        </w:sectPr>
      </w:pPr>
    </w:p>
    <w:bookmarkStart w:id="810" w:name="page811"/>
    <w:bookmarkEnd w:id="81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10"/>
        </w:numPr>
        <w:rPr>
          <w:rFonts w:ascii="Arial" w:cs="Arial" w:eastAsia="Arial" w:hAnsi="Arial"/>
          <w:sz w:val="16"/>
          <w:szCs w:val="16"/>
          <w:color w:val="auto"/>
        </w:rPr>
      </w:pPr>
      <w:r>
        <w:rPr>
          <w:rFonts w:ascii="Arial" w:cs="Arial" w:eastAsia="Arial" w:hAnsi="Arial"/>
          <w:sz w:val="16"/>
          <w:szCs w:val="16"/>
          <w:b w:val="1"/>
          <w:bCs w:val="1"/>
          <w:color w:val="auto"/>
        </w:rPr>
        <w:t>Manufacture in the Retained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5" w:lineRule="auto"/>
        <w:rPr>
          <w:rFonts w:ascii="Arial" w:cs="Arial" w:eastAsia="Arial" w:hAnsi="Arial"/>
          <w:sz w:val="16"/>
          <w:szCs w:val="16"/>
          <w:color w:val="auto"/>
        </w:rPr>
      </w:pPr>
      <w:r>
        <w:rPr>
          <w:rFonts w:ascii="Arial" w:cs="Arial" w:eastAsia="Arial" w:hAnsi="Arial"/>
          <w:sz w:val="16"/>
          <w:szCs w:val="16"/>
          <w:color w:val="auto"/>
        </w:rPr>
        <w:t>Effective as of the Effective Date in respect of PM8002 Licensed Compounds, as of the PM8003 Option Exercise Date in respect of PM8003 Licensed Compounds, and as of the Preclinical Multispecific Option Exercise Date in respect of Preclinical Multispecific Licensed Products, Biotheus hereby grants BioNTech a co-exclusive royalty-free, sublicensable through multiple tiers (in accordance with Section 3.2 (Sublicensing Rights)) license under the Licensed IP (and any equivalent Patent Rights and Know-How Controlled by Biotheus and its Affiliates in the Retained Territory) to Manufacture the Licensed Compounds and Licensed Products in the Retained Territory; PROVIDED THAT: (i) such Manufacture is solely for the purpose of Developing and Commercialising the Licensed Compounds and Licensed Products in the Field in the Territory; and [***] and acting reasonably and in good faith, subject to Biotheus demonstrating it has sufficient then-current capacity and capability, and the Parties shall for a period of [***] days thereafter discuss [***] terms for a manufacture and supply agreement under which Biotheus will manufacture and supply BioNTech's requirements for such Licensed Compounds and/or Licensed Products in the Retained Territory. For clarity, if the Parties do not agree the terms of such manufacture and supply agreement within [***] days then BioNTech will be free to use a Third Party to Manufacture such Licensed Compounds and Licensed Products in the Retained Territory, [***]. [***].</w:t>
      </w:r>
    </w:p>
    <w:p>
      <w:pPr>
        <w:spacing w:after="0" w:line="26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b w:val="1"/>
          <w:bCs w:val="1"/>
          <w:color w:val="auto"/>
        </w:rPr>
        <w:t>Sublicensing Rights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11"/>
        </w:numPr>
        <w:rPr>
          <w:rFonts w:ascii="Arial" w:cs="Arial" w:eastAsia="Arial" w:hAnsi="Arial"/>
          <w:sz w:val="16"/>
          <w:szCs w:val="16"/>
          <w:color w:val="auto"/>
        </w:rPr>
      </w:pPr>
      <w:r>
        <w:rPr>
          <w:rFonts w:ascii="Arial" w:cs="Arial" w:eastAsia="Arial" w:hAnsi="Arial"/>
          <w:sz w:val="16"/>
          <w:szCs w:val="16"/>
          <w:b w:val="1"/>
          <w:bCs w:val="1"/>
          <w:color w:val="auto"/>
        </w:rPr>
        <w:t>Sublicenses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40"/>
        <w:spacing w:after="0" w:line="436" w:lineRule="auto"/>
        <w:rPr>
          <w:rFonts w:ascii="Arial" w:cs="Arial" w:eastAsia="Arial" w:hAnsi="Arial"/>
          <w:sz w:val="16"/>
          <w:szCs w:val="16"/>
          <w:color w:val="auto"/>
        </w:rPr>
      </w:pPr>
      <w:r>
        <w:rPr>
          <w:rFonts w:ascii="Arial" w:cs="Arial" w:eastAsia="Arial" w:hAnsi="Arial"/>
          <w:sz w:val="16"/>
          <w:szCs w:val="16"/>
          <w:color w:val="auto"/>
        </w:rPr>
        <w:t>Subject to the terms of this Agreement, including Section 3.2(b) (Sublicense Requirements), BioNTech may grant sublicenses of any rights granted by Biotheus under Section 3.1 (License Grants to BioNTech) through multiple tiers to any of its Affiliates or to one or more Sublicensees.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40" w:orient="portrait"/>
          <w:cols w:equalWidth="0" w:num="1">
            <w:col w:w="10580"/>
          </w:cols>
          <w:pgMar w:left="660" w:top="1440" w:right="660" w:bottom="1440" w:gutter="0" w:footer="0" w:header="0"/>
        </w:sectPr>
      </w:pPr>
    </w:p>
    <w:bookmarkStart w:id="811" w:name="page812"/>
    <w:bookmarkEnd w:id="81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12"/>
        </w:numPr>
        <w:rPr>
          <w:rFonts w:ascii="Arial" w:cs="Arial" w:eastAsia="Arial" w:hAnsi="Arial"/>
          <w:sz w:val="16"/>
          <w:szCs w:val="16"/>
          <w:color w:val="auto"/>
        </w:rPr>
      </w:pPr>
      <w:r>
        <w:rPr>
          <w:rFonts w:ascii="Arial" w:cs="Arial" w:eastAsia="Arial" w:hAnsi="Arial"/>
          <w:sz w:val="16"/>
          <w:szCs w:val="16"/>
          <w:b w:val="1"/>
          <w:bCs w:val="1"/>
          <w:color w:val="auto"/>
        </w:rPr>
        <w:t>Sublicense Requirements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28" w:lineRule="auto"/>
        <w:rPr>
          <w:rFonts w:ascii="Arial" w:cs="Arial" w:eastAsia="Arial" w:hAnsi="Arial"/>
          <w:sz w:val="16"/>
          <w:szCs w:val="16"/>
          <w:color w:val="auto"/>
        </w:rPr>
      </w:pPr>
      <w:r>
        <w:rPr>
          <w:rFonts w:ascii="Arial" w:cs="Arial" w:eastAsia="Arial" w:hAnsi="Arial"/>
          <w:sz w:val="16"/>
          <w:szCs w:val="16"/>
          <w:color w:val="auto"/>
        </w:rPr>
        <w:t>BioNTech will ensure that all permitted sublicenses granted under this Agreement: (a) are consistent with the terms of this Agreement, and (b) require the Sublicensee to comply with BioNTech's obligations under this Agreement, including the confidentiality and non-use obligations set forth in Section 10.1 (Confidentiality). BioNTech will remain responsible and liable for the performance of all Affiliates and Sublicensees under their respective sublicensed rights to the same extent as if such activities were conducted by BioNTech. [***]. If BioNTech or any of its Affiliates grants a sublicense to any Sublicensee under the rights granted hereunder in relation to the Licensed Compounds, [***].</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b w:val="1"/>
          <w:bCs w:val="1"/>
          <w:color w:val="auto"/>
        </w:rPr>
        <w:t>Subcontractors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91" w:lineRule="auto"/>
        <w:rPr>
          <w:sz w:val="20"/>
          <w:szCs w:val="20"/>
          <w:color w:val="auto"/>
        </w:rPr>
      </w:pPr>
      <w:r>
        <w:rPr>
          <w:rFonts w:ascii="Arial" w:cs="Arial" w:eastAsia="Arial" w:hAnsi="Arial"/>
          <w:sz w:val="14"/>
          <w:szCs w:val="14"/>
          <w:color w:val="auto"/>
        </w:rPr>
        <w:t>Each Party may perform any of its obligations or exercise its rights under this Agreement through one or more subcontractors; provided that (a) the subcontracting Party will not engage any subcontractor that has been debarred by any Regulatory Authority; (b) the subcontracting Party remains fully responsible for the work allocated to, and payment to, such subcontractors to the same extent it would if it had done such work itself; (c) the subcontractor undertakes in writing obligations of confidentiality and non-use applicable to the Confidential Information that are at least as stringent as those set forth in Section 10.1 (Confidentiality); (d) in the case of Biotheus any such subcontractor appointed by Biotheus in connection with performing services for Biotheus under the Global CDP or the Joint CDP under this Agreement in the Retained Territory or the Manufacturing activities contemplated to be conducted by Biotheus under Article 7 (Manufacturing and Technology Transfer) has been both successfully qualified and prior approved by BioNTech in writing (unless otherwise agreed by the Parties in writing); (e) the subcontractor agrees in writing to assign or grant a sublicensable license to the subcontracting Party to all Know-How and Patent Rights developed or invented by the subcontractor in performing services for the Party under this Agreement that are necessary or useful for the Development, Manufacture or Commercialization of any Licensed Product; and (f) the subcontracting Party will be liable for any act or omission of any subcontractor that is a breach of any of the subcontracting Party's obligations under this Agreement as though the same were a breach by the subcontracting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40" w:orient="portrait"/>
          <w:cols w:equalWidth="0" w:num="1">
            <w:col w:w="10580"/>
          </w:cols>
          <w:pgMar w:left="660" w:top="1440" w:right="660" w:bottom="1440" w:gutter="0" w:footer="0" w:header="0"/>
        </w:sectPr>
      </w:pPr>
    </w:p>
    <w:bookmarkStart w:id="812" w:name="page813"/>
    <w:bookmarkEnd w:id="81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right="20"/>
        <w:spacing w:after="0" w:line="450" w:lineRule="auto"/>
        <w:rPr>
          <w:sz w:val="20"/>
          <w:szCs w:val="20"/>
          <w:color w:val="auto"/>
        </w:rPr>
      </w:pPr>
      <w:r>
        <w:rPr>
          <w:rFonts w:ascii="Arial" w:cs="Arial" w:eastAsia="Arial" w:hAnsi="Arial"/>
          <w:sz w:val="16"/>
          <w:szCs w:val="16"/>
          <w:color w:val="auto"/>
        </w:rPr>
        <w:t>Party, and the non-subcontracting Party will have the right to proceed directly against the subcontracting Party without any obligation to first proceed against such subcontractor.</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b w:val="1"/>
          <w:bCs w:val="1"/>
          <w:color w:val="auto"/>
        </w:rPr>
        <w:t>Knowledge and Technology Transfer</w:t>
      </w:r>
    </w:p>
    <w:p>
      <w:pPr>
        <w:spacing w:after="0" w:line="200" w:lineRule="exact"/>
        <w:rPr>
          <w:sz w:val="20"/>
          <w:szCs w:val="20"/>
          <w:color w:val="auto"/>
        </w:rPr>
      </w:pPr>
    </w:p>
    <w:p>
      <w:pPr>
        <w:spacing w:after="0" w:line="230" w:lineRule="exact"/>
        <w:rPr>
          <w:sz w:val="20"/>
          <w:szCs w:val="20"/>
          <w:color w:val="auto"/>
        </w:rPr>
      </w:pPr>
    </w:p>
    <w:p>
      <w:pPr>
        <w:jc w:val="both"/>
        <w:ind w:left="1140" w:hanging="570"/>
        <w:spacing w:after="0" w:line="431" w:lineRule="auto"/>
        <w:tabs>
          <w:tab w:leader="none" w:pos="1128" w:val="left"/>
        </w:tabs>
        <w:numPr>
          <w:ilvl w:val="0"/>
          <w:numId w:val="813"/>
        </w:numPr>
        <w:rPr>
          <w:rFonts w:ascii="Arial" w:cs="Arial" w:eastAsia="Arial" w:hAnsi="Arial"/>
          <w:sz w:val="16"/>
          <w:szCs w:val="16"/>
          <w:color w:val="auto"/>
        </w:rPr>
      </w:pPr>
      <w:r>
        <w:rPr>
          <w:rFonts w:ascii="Arial" w:cs="Arial" w:eastAsia="Arial" w:hAnsi="Arial"/>
          <w:sz w:val="16"/>
          <w:szCs w:val="16"/>
          <w:color w:val="auto"/>
        </w:rPr>
        <w:t>Within [***] days of the Effective Date, (1) Biotheus will deliver to BioNTech and cause its Affiliates to deliver: (i) [***] copies of the VDR with the content as it existed at the Execution Date; and (ii) any information, documents or data in the possession or control of Biotheus or its Affiliates relating to the Licensed Compounds and Licensed Products that are not included in the VDR and (2) Biotheus will share such information [***] as agreed between the Parties.</w:t>
      </w:r>
    </w:p>
    <w:p>
      <w:pPr>
        <w:spacing w:after="0" w:line="262" w:lineRule="exact"/>
        <w:rPr>
          <w:rFonts w:ascii="Arial" w:cs="Arial" w:eastAsia="Arial" w:hAnsi="Arial"/>
          <w:sz w:val="16"/>
          <w:szCs w:val="16"/>
          <w:color w:val="auto"/>
        </w:rPr>
      </w:pPr>
    </w:p>
    <w:p>
      <w:pPr>
        <w:jc w:val="both"/>
        <w:ind w:left="1140" w:right="20" w:hanging="570"/>
        <w:spacing w:after="0" w:line="429" w:lineRule="auto"/>
        <w:tabs>
          <w:tab w:leader="none" w:pos="1128" w:val="left"/>
        </w:tabs>
        <w:numPr>
          <w:ilvl w:val="0"/>
          <w:numId w:val="813"/>
        </w:numPr>
        <w:rPr>
          <w:rFonts w:ascii="Arial" w:cs="Arial" w:eastAsia="Arial" w:hAnsi="Arial"/>
          <w:sz w:val="16"/>
          <w:szCs w:val="16"/>
          <w:color w:val="auto"/>
        </w:rPr>
      </w:pPr>
      <w:r>
        <w:rPr>
          <w:rFonts w:ascii="Arial" w:cs="Arial" w:eastAsia="Arial" w:hAnsi="Arial"/>
          <w:sz w:val="16"/>
          <w:szCs w:val="16"/>
          <w:color w:val="auto"/>
        </w:rPr>
        <w:t>Throughout the Term, Biotheus will to BioNTech, and cause its Affiliates to deliver, copies of (a) the written Licensed Know-How related to each Licensed Product, (b) documents and files related to the Licensed Patent Rights related to each Licensed Product, and (c) any other Licensed Know-How that is necessary or useful for the Exploitation of any Licensed Product in accordance with this Agreement; PROVIDED THAT any Licensed Know-How relating to Manufacturing will be disclosed to BioNTech in accordance with Article 7 (Manufacturing and Technology Transfer).</w:t>
      </w:r>
    </w:p>
    <w:p>
      <w:pPr>
        <w:spacing w:after="0" w:line="264" w:lineRule="exact"/>
        <w:rPr>
          <w:rFonts w:ascii="Arial" w:cs="Arial" w:eastAsia="Arial" w:hAnsi="Arial"/>
          <w:sz w:val="16"/>
          <w:szCs w:val="16"/>
          <w:color w:val="auto"/>
        </w:rPr>
      </w:pPr>
    </w:p>
    <w:p>
      <w:pPr>
        <w:jc w:val="both"/>
        <w:ind w:left="1140" w:hanging="570"/>
        <w:spacing w:after="0" w:line="499" w:lineRule="auto"/>
        <w:tabs>
          <w:tab w:leader="none" w:pos="1128" w:val="left"/>
        </w:tabs>
        <w:numPr>
          <w:ilvl w:val="0"/>
          <w:numId w:val="813"/>
        </w:numPr>
        <w:rPr>
          <w:rFonts w:ascii="Arial" w:cs="Arial" w:eastAsia="Arial" w:hAnsi="Arial"/>
          <w:sz w:val="14"/>
          <w:szCs w:val="14"/>
          <w:color w:val="auto"/>
        </w:rPr>
      </w:pPr>
      <w:r>
        <w:rPr>
          <w:rFonts w:ascii="Arial" w:cs="Arial" w:eastAsia="Arial" w:hAnsi="Arial"/>
          <w:sz w:val="14"/>
          <w:szCs w:val="14"/>
          <w:color w:val="auto"/>
        </w:rPr>
        <w:t>As part of any Know-How transfer in accordance with Section 3.4(a) (Knowledge and Technology Transfer), and as otherwise required by the Global CDP and Joint CDP, (a) Biotheus will transfer to BioNTech Biotheus Materials, and (b) BioNTech will transfer to Biotheus BioNTech Materials, in each case related to any Licensed Product to the extent necessary or useful for the Parties to perform their respective obligations, and in the case of BioNTech to exercise the rights granted to it, under this Agreement. Any Materials provided by a Party in accordance with this Section 3.4(c) (Knowledge and Technology Transfer) will remain the sole property of the supplying Party.</w:t>
      </w:r>
    </w:p>
    <w:p>
      <w:pPr>
        <w:spacing w:after="0" w:line="234" w:lineRule="exact"/>
        <w:rPr>
          <w:rFonts w:ascii="Arial" w:cs="Arial" w:eastAsia="Arial" w:hAnsi="Arial"/>
          <w:sz w:val="14"/>
          <w:szCs w:val="14"/>
          <w:color w:val="auto"/>
        </w:rPr>
      </w:pPr>
    </w:p>
    <w:p>
      <w:pPr>
        <w:jc w:val="both"/>
        <w:ind w:left="1140" w:right="20" w:hanging="570"/>
        <w:spacing w:after="0" w:line="436" w:lineRule="auto"/>
        <w:tabs>
          <w:tab w:leader="none" w:pos="1128" w:val="left"/>
        </w:tabs>
        <w:numPr>
          <w:ilvl w:val="0"/>
          <w:numId w:val="813"/>
        </w:numPr>
        <w:rPr>
          <w:rFonts w:ascii="Arial" w:cs="Arial" w:eastAsia="Arial" w:hAnsi="Arial"/>
          <w:sz w:val="16"/>
          <w:szCs w:val="16"/>
          <w:color w:val="auto"/>
        </w:rPr>
      </w:pPr>
      <w:r>
        <w:rPr>
          <w:rFonts w:ascii="Arial" w:cs="Arial" w:eastAsia="Arial" w:hAnsi="Arial"/>
          <w:sz w:val="16"/>
          <w:szCs w:val="16"/>
          <w:color w:val="auto"/>
        </w:rPr>
        <w:t>Biotheus will be responsible for all costs and expenses associated with the transfer to BioNTech of documentation and Materials and any Licensed Know-How in accordance with Sections 3.4(a) to 3.4(c) (Knowledge and Technology Transfer). Unless otherwise agreed by the Parties in writing, Biotheus will make appropriate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40" w:orient="portrait"/>
          <w:cols w:equalWidth="0" w:num="1">
            <w:col w:w="10580"/>
          </w:cols>
          <w:pgMar w:left="660" w:top="1440" w:right="660" w:bottom="1440" w:gutter="0" w:footer="0" w:header="0"/>
        </w:sectPr>
      </w:pPr>
    </w:p>
    <w:bookmarkStart w:id="813" w:name="page814"/>
    <w:bookmarkEnd w:id="81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right="20"/>
        <w:spacing w:after="0" w:line="450" w:lineRule="auto"/>
        <w:rPr>
          <w:sz w:val="20"/>
          <w:szCs w:val="20"/>
          <w:color w:val="auto"/>
        </w:rPr>
      </w:pPr>
      <w:r>
        <w:rPr>
          <w:rFonts w:ascii="Arial" w:cs="Arial" w:eastAsia="Arial" w:hAnsi="Arial"/>
          <w:sz w:val="16"/>
          <w:szCs w:val="16"/>
          <w:color w:val="auto"/>
        </w:rPr>
        <w:t>personnel who are fluent in English available to BioNTech at reasonable times and upon reasonable prior notice at no cost for the purpose of assisting BioNTech in understanding and using the Licensed Know-How in accordance with this Agreement.</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b w:val="1"/>
          <w:bCs w:val="1"/>
          <w:color w:val="auto"/>
        </w:rPr>
        <w:t>No Implied Licenses; Retained Rights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Each Party acknowledges that the rights and licenses granted under this Agreement are limited to the scope expressly granted herein, and Biotheus expressly reserves the rights under the Licensed IP to exercise its rights in the Retained Territory and perform its obligations under the Global CDP and Joint CDP. Except for the rights expressly granted under this Agreement, no rights, title, licenses, or other interests of any nature whatsoever are granted whether by implication, estoppel, reliance, or otherwise, by either Party to the other Party. Accordingly, BioNTech will not practice or Exploit the Licensed Know-How and Licensed Patent Rights other than as expressly licensed in this Agreement, and Biotheus will not practice or Exploit the BioNTech Background IP or the BioNTech Foreground IP other than as expressly licensed in this Agreement. For clarity, (a) the licenses granted by Biotheus to BioNTech under this Agreement shall not include any license to Exploit any Biotheus propietary component or product in combination with a Licensed Product; and (b) Biotheus shall not be entitled to Exploit the Licensed Products in the Retained Territory in combination with any BioNTech proprietary product or In-Licensed BioNTech Product without BioNTech’s prior consent, which shall not be unreasonably withheld or conditioned.</w:t>
      </w:r>
    </w:p>
    <w:p>
      <w:pPr>
        <w:spacing w:after="0" w:line="26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b w:val="1"/>
          <w:bCs w:val="1"/>
          <w:color w:val="auto"/>
        </w:rPr>
        <w:t>Biotheus Exclusivity</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14"/>
        </w:numPr>
        <w:rPr>
          <w:rFonts w:ascii="Arial" w:cs="Arial" w:eastAsia="Arial" w:hAnsi="Arial"/>
          <w:sz w:val="16"/>
          <w:szCs w:val="16"/>
          <w:color w:val="auto"/>
        </w:rPr>
      </w:pPr>
      <w:r>
        <w:rPr>
          <w:rFonts w:ascii="Arial" w:cs="Arial" w:eastAsia="Arial" w:hAnsi="Arial"/>
          <w:sz w:val="16"/>
          <w:szCs w:val="16"/>
          <w:b w:val="1"/>
          <w:bCs w:val="1"/>
          <w:color w:val="auto"/>
        </w:rPr>
        <w:t>Biotheus Exclusivity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31" w:lineRule="auto"/>
        <w:rPr>
          <w:rFonts w:ascii="Arial" w:cs="Arial" w:eastAsia="Arial" w:hAnsi="Arial"/>
          <w:sz w:val="16"/>
          <w:szCs w:val="16"/>
          <w:color w:val="auto"/>
        </w:rPr>
      </w:pPr>
      <w:r>
        <w:rPr>
          <w:rFonts w:ascii="Arial" w:cs="Arial" w:eastAsia="Arial" w:hAnsi="Arial"/>
          <w:sz w:val="16"/>
          <w:szCs w:val="16"/>
          <w:color w:val="auto"/>
        </w:rPr>
        <w:t>During the period from the Effective Date until the First Commercial Sale of a Licensed Product, except for the Exploitation of Licensed Products in the Retained Territory, Biotheus shall not (and shall procure that its Affiliates do not) either on its own or with a Third Party (i) research, Develop, Manufacture or Commercialize [***]; or (ii) clinically Develop, Manufacture or Commercialize any [***]. For clarity, the foregoing shall not restrict Biotheus from Developing or otherwise Exploiting any products containing [***].</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40" w:orient="portrait"/>
          <w:cols w:equalWidth="0" w:num="1">
            <w:col w:w="10580"/>
          </w:cols>
          <w:pgMar w:left="660" w:top="1440" w:right="660" w:bottom="1440" w:gutter="0" w:footer="0" w:header="0"/>
        </w:sectPr>
      </w:pPr>
    </w:p>
    <w:bookmarkStart w:id="814" w:name="page815"/>
    <w:bookmarkEnd w:id="81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15"/>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120" w:hanging="550"/>
        <w:spacing w:after="0"/>
        <w:tabs>
          <w:tab w:leader="none" w:pos="1120" w:val="left"/>
        </w:tabs>
        <w:numPr>
          <w:ilvl w:val="0"/>
          <w:numId w:val="815"/>
        </w:numPr>
        <w:rPr>
          <w:rFonts w:ascii="Arial" w:cs="Arial" w:eastAsia="Arial" w:hAnsi="Arial"/>
          <w:sz w:val="16"/>
          <w:szCs w:val="16"/>
          <w:color w:val="auto"/>
        </w:rPr>
      </w:pPr>
      <w:r>
        <w:rPr>
          <w:rFonts w:ascii="Arial" w:cs="Arial" w:eastAsia="Arial" w:hAnsi="Arial"/>
          <w:sz w:val="16"/>
          <w:szCs w:val="16"/>
          <w:b w:val="1"/>
          <w:bCs w:val="1"/>
          <w:color w:val="auto"/>
        </w:rPr>
        <w:t>BioNTech Competitor</w:t>
      </w:r>
    </w:p>
    <w:p>
      <w:pPr>
        <w:spacing w:after="0" w:line="200" w:lineRule="exact"/>
        <w:rPr>
          <w:sz w:val="20"/>
          <w:szCs w:val="20"/>
          <w:color w:val="auto"/>
        </w:rPr>
      </w:pPr>
    </w:p>
    <w:p>
      <w:pPr>
        <w:spacing w:after="0" w:line="230" w:lineRule="exact"/>
        <w:rPr>
          <w:sz w:val="20"/>
          <w:szCs w:val="20"/>
          <w:color w:val="auto"/>
        </w:rPr>
      </w:pPr>
    </w:p>
    <w:p>
      <w:pPr>
        <w:jc w:val="both"/>
        <w:ind w:left="1140" w:right="20"/>
        <w:spacing w:after="0" w:line="429" w:lineRule="auto"/>
        <w:rPr>
          <w:sz w:val="20"/>
          <w:szCs w:val="20"/>
          <w:color w:val="auto"/>
        </w:rPr>
      </w:pPr>
      <w:r>
        <w:rPr>
          <w:rFonts w:ascii="Arial" w:cs="Arial" w:eastAsia="Arial" w:hAnsi="Arial"/>
          <w:sz w:val="16"/>
          <w:szCs w:val="16"/>
          <w:color w:val="auto"/>
        </w:rPr>
        <w:t>If a BioNTech Competitor becomes an Affiliate of Biotheus after the Execution Date (i) such Affiliate shall not have any access to any BioNTech Background IP or BioNTech Foreground IP or any Confidential Information of BioNTech; and (ii) Biotheus and such Affiliate shall institute commercially reasonable technical and administrative procedures and safeguards designed to ensure that the requirements set forth in the foregoing Section 3.6(c)(i) are met, including by creating "firewalls" between (X) the personnel working on any activities of such Affiliate and (Y) the personnel working on activities under this Agreement.</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b w:val="1"/>
          <w:bCs w:val="1"/>
          <w:color w:val="auto"/>
        </w:rPr>
        <w:t>BioNTech Exclusivity and Improved Licensed Product Conditions</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4"/>
          <w:szCs w:val="14"/>
          <w:b w:val="1"/>
          <w:bCs w:val="1"/>
          <w:color w:val="auto"/>
        </w:rPr>
        <w:t>New Biotheus In-Licenses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If Biotheus or any of its Affiliates intends to become a party to a license, sublicense or other agreement for additional rights that are necessary or reasonably useful for the Exploitation of any Licensed Product in the Field in the Territory, then Biotheus shall provide BioNTech with the proposed details of the applicable rights and Biotheus' proposal for the terms of the applicable agreement in advance (“</w:t>
      </w:r>
      <w:r>
        <w:rPr>
          <w:rFonts w:ascii="Arial" w:cs="Arial" w:eastAsia="Arial" w:hAnsi="Arial"/>
          <w:sz w:val="16"/>
          <w:szCs w:val="16"/>
          <w:b w:val="1"/>
          <w:bCs w:val="1"/>
          <w:color w:val="auto"/>
        </w:rPr>
        <w:t>Proposed In-Licensed</w:t>
      </w:r>
      <w:r>
        <w:rPr>
          <w:rFonts w:ascii="Arial" w:cs="Arial" w:eastAsia="Arial" w:hAnsi="Arial"/>
          <w:sz w:val="16"/>
          <w:szCs w:val="16"/>
          <w:color w:val="auto"/>
        </w:rPr>
        <w:t xml:space="preserve"> </w:t>
      </w:r>
      <w:r>
        <w:rPr>
          <w:rFonts w:ascii="Arial" w:cs="Arial" w:eastAsia="Arial" w:hAnsi="Arial"/>
          <w:sz w:val="16"/>
          <w:szCs w:val="16"/>
          <w:b w:val="1"/>
          <w:bCs w:val="1"/>
          <w:color w:val="auto"/>
        </w:rPr>
        <w:t>Rights</w:t>
      </w:r>
      <w:r>
        <w:rPr>
          <w:rFonts w:ascii="Arial" w:cs="Arial" w:eastAsia="Arial" w:hAnsi="Arial"/>
          <w:sz w:val="16"/>
          <w:szCs w:val="16"/>
          <w:color w:val="auto"/>
        </w:rPr>
        <w:t>”). Where such Proposed In-Licensed Rights are necessary for the Exploitation of any Licensed Product in the Field in the Territory, (a)</w:t>
      </w:r>
      <w:r>
        <w:rPr>
          <w:rFonts w:ascii="Arial" w:cs="Arial" w:eastAsia="Arial" w:hAnsi="Arial"/>
          <w:sz w:val="16"/>
          <w:szCs w:val="16"/>
          <w:b w:val="1"/>
          <w:bCs w:val="1"/>
          <w:color w:val="auto"/>
        </w:rPr>
        <w:t xml:space="preserve"> </w:t>
      </w:r>
      <w:r>
        <w:rPr>
          <w:rFonts w:ascii="Arial" w:cs="Arial" w:eastAsia="Arial" w:hAnsi="Arial"/>
          <w:sz w:val="16"/>
          <w:szCs w:val="16"/>
          <w:color w:val="auto"/>
        </w:rPr>
        <w:t>BioNTech shall have the first right to negotiate and execute such license PROVIDED THAT in relation to (i) PM8003 Licensed Products prior to the PM8003 Option Exercise Date or (ii) Preclinical Multispecific Licensed Products prior to the Preclinical Multispecific Option Exercise Date, the Parties shall mutually agree on whether to negotiate such a license and which Party should take the lead in such negotiations; and (b) if BioNTech does not negotiate and execute such license, Biotheus shall obtain BioNTech's prior written consent to such Proposed In-Licensed Rights in advance in writing and shall consult and take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40" w:orient="portrait"/>
          <w:cols w:equalWidth="0" w:num="1">
            <w:col w:w="10580"/>
          </w:cols>
          <w:pgMar w:left="660" w:top="1440" w:right="660" w:bottom="1440" w:gutter="0" w:footer="0" w:header="0"/>
        </w:sectPr>
      </w:pPr>
    </w:p>
    <w:bookmarkStart w:id="815" w:name="page816"/>
    <w:bookmarkEnd w:id="81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82" w:lineRule="auto"/>
        <w:rPr>
          <w:sz w:val="20"/>
          <w:szCs w:val="20"/>
          <w:color w:val="auto"/>
        </w:rPr>
      </w:pPr>
      <w:r>
        <w:rPr>
          <w:rFonts w:ascii="Arial" w:cs="Arial" w:eastAsia="Arial" w:hAnsi="Arial"/>
          <w:sz w:val="14"/>
          <w:szCs w:val="14"/>
          <w:color w:val="auto"/>
        </w:rPr>
        <w:t>account of BioNTech's comments in the negotiation of any agreement relating to such Proposed In-Licensed Rights. In the case of the foregoing (b), Biotheus shall ensure that Proposed In-Licensed Rights are sublicensable to BioNTech pursuant to this Agreement. Promptly following execution of any agreement relating to any Proposed In-Licensed Rights, Biotheus shall provide BioNTech with such agreement, subject to customary and reasonable redaction. If BioNTech notifies Biotheus in writing that it wishes to take a sublicense under Proposed In-Licensed Rights pursuant to this Agreement, then (1) the Proposed In-Licensed Rights shall automatically be included in the Licensed IP hereunder; and</w:t>
      </w:r>
    </w:p>
    <w:p>
      <w:pPr>
        <w:spacing w:after="0" w:line="2" w:lineRule="exact"/>
        <w:rPr>
          <w:sz w:val="20"/>
          <w:szCs w:val="20"/>
          <w:color w:val="auto"/>
        </w:rPr>
      </w:pPr>
    </w:p>
    <w:p>
      <w:pPr>
        <w:jc w:val="both"/>
        <w:ind w:left="580" w:right="20" w:hanging="10"/>
        <w:spacing w:after="0" w:line="437" w:lineRule="auto"/>
        <w:tabs>
          <w:tab w:leader="none" w:pos="847" w:val="left"/>
        </w:tabs>
        <w:numPr>
          <w:ilvl w:val="0"/>
          <w:numId w:val="816"/>
        </w:numPr>
        <w:rPr>
          <w:rFonts w:ascii="Arial" w:cs="Arial" w:eastAsia="Arial" w:hAnsi="Arial"/>
          <w:sz w:val="16"/>
          <w:szCs w:val="16"/>
          <w:color w:val="auto"/>
        </w:rPr>
      </w:pPr>
      <w:r>
        <w:rPr>
          <w:rFonts w:ascii="Arial" w:cs="Arial" w:eastAsia="Arial" w:hAnsi="Arial"/>
          <w:sz w:val="16"/>
          <w:szCs w:val="16"/>
          <w:color w:val="auto"/>
        </w:rPr>
        <w:t>such license, sublicense or other agreement shall be a “</w:t>
      </w:r>
      <w:r>
        <w:rPr>
          <w:rFonts w:ascii="Arial" w:cs="Arial" w:eastAsia="Arial" w:hAnsi="Arial"/>
          <w:sz w:val="16"/>
          <w:szCs w:val="16"/>
          <w:b w:val="1"/>
          <w:bCs w:val="1"/>
          <w:color w:val="auto"/>
        </w:rPr>
        <w:t>Biotheus In-License</w:t>
      </w:r>
      <w:r>
        <w:rPr>
          <w:rFonts w:ascii="Arial" w:cs="Arial" w:eastAsia="Arial" w:hAnsi="Arial"/>
          <w:sz w:val="16"/>
          <w:szCs w:val="16"/>
          <w:color w:val="auto"/>
        </w:rPr>
        <w:t>” hereunder. Otherwise, notwithstanding anything to the contrary in this Agreement, the Proposed In-Licensed Rights will not be included within the Licensed IP and such license, sublicense or other agreement shall not be a “Biotheus In-License” hereunder.</w:t>
      </w:r>
    </w:p>
    <w:p>
      <w:pPr>
        <w:spacing w:after="0" w:line="25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560" w:hanging="554"/>
        <w:spacing w:after="0"/>
        <w:tabs>
          <w:tab w:leader="none" w:pos="560" w:val="left"/>
        </w:tabs>
        <w:numPr>
          <w:ilvl w:val="0"/>
          <w:numId w:val="817"/>
        </w:numPr>
        <w:rPr>
          <w:rFonts w:ascii="Arial" w:cs="Arial" w:eastAsia="Arial" w:hAnsi="Arial"/>
          <w:sz w:val="16"/>
          <w:szCs w:val="16"/>
          <w:b w:val="1"/>
          <w:bCs w:val="1"/>
          <w:color w:val="auto"/>
        </w:rPr>
      </w:pPr>
      <w:r>
        <w:rPr>
          <w:rFonts w:ascii="Arial" w:cs="Arial" w:eastAsia="Arial" w:hAnsi="Arial"/>
          <w:sz w:val="16"/>
          <w:szCs w:val="16"/>
          <w:b w:val="1"/>
          <w:bCs w:val="1"/>
          <w:color w:val="auto"/>
        </w:rPr>
        <w:t>GOVERNANCE.</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b w:val="1"/>
          <w:bCs w:val="1"/>
          <w:color w:val="auto"/>
        </w:rPr>
        <w:t>Joint Steering Committee</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18"/>
        </w:numPr>
        <w:rPr>
          <w:rFonts w:ascii="Arial" w:cs="Arial" w:eastAsia="Arial" w:hAnsi="Arial"/>
          <w:sz w:val="16"/>
          <w:szCs w:val="16"/>
          <w:color w:val="auto"/>
        </w:rPr>
      </w:pPr>
      <w:r>
        <w:rPr>
          <w:rFonts w:ascii="Arial" w:cs="Arial" w:eastAsia="Arial" w:hAnsi="Arial"/>
          <w:sz w:val="16"/>
          <w:szCs w:val="16"/>
          <w:b w:val="1"/>
          <w:bCs w:val="1"/>
          <w:color w:val="auto"/>
        </w:rPr>
        <w:t>Formation and Purpose of the JSC</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both"/>
        <w:ind w:left="1140"/>
        <w:spacing w:after="0" w:line="430" w:lineRule="auto"/>
        <w:rPr>
          <w:rFonts w:ascii="Arial" w:cs="Arial" w:eastAsia="Arial" w:hAnsi="Arial"/>
          <w:sz w:val="16"/>
          <w:szCs w:val="16"/>
          <w:color w:val="auto"/>
        </w:rPr>
      </w:pPr>
      <w:r>
        <w:rPr>
          <w:rFonts w:ascii="Arial" w:cs="Arial" w:eastAsia="Arial" w:hAnsi="Arial"/>
          <w:sz w:val="16"/>
          <w:szCs w:val="16"/>
          <w:color w:val="auto"/>
        </w:rPr>
        <w:t xml:space="preserve">Promptly, but no later than [***] days after the Effective Date, the Parties will establish a Joint Steering Committee (" </w:t>
      </w:r>
      <w:r>
        <w:rPr>
          <w:rFonts w:ascii="Arial" w:cs="Arial" w:eastAsia="Arial" w:hAnsi="Arial"/>
          <w:sz w:val="16"/>
          <w:szCs w:val="16"/>
          <w:b w:val="1"/>
          <w:bCs w:val="1"/>
          <w:color w:val="auto"/>
        </w:rPr>
        <w:t>JSC</w:t>
      </w:r>
      <w:r>
        <w:rPr>
          <w:rFonts w:ascii="Arial" w:cs="Arial" w:eastAsia="Arial" w:hAnsi="Arial"/>
          <w:sz w:val="16"/>
          <w:szCs w:val="16"/>
          <w:color w:val="auto"/>
        </w:rPr>
        <w:t>"), which JSC will coordinate and oversee the Parties' activities hereunder in accordance with this Section 4.1 (Joint Steering Committee). The JSC will have the responsibilities set forth herein and will continue in operation for the Term unless dissolved earlier by the mutual agreement of the Parties.. Notwithstanding the foregoing, [***] may at its option and by prior written notice to [***] determine that the JSC under this Agreement (and any applicable Subcommittees) [***].</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40" w:orient="portrait"/>
          <w:cols w:equalWidth="0" w:num="1">
            <w:col w:w="10580"/>
          </w:cols>
          <w:pgMar w:left="660" w:top="1440" w:right="660" w:bottom="1440" w:gutter="0" w:footer="0" w:header="0"/>
        </w:sectPr>
      </w:pPr>
    </w:p>
    <w:bookmarkStart w:id="816" w:name="page817"/>
    <w:bookmarkEnd w:id="81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19"/>
        </w:numPr>
        <w:rPr>
          <w:rFonts w:ascii="Arial" w:cs="Arial" w:eastAsia="Arial" w:hAnsi="Arial"/>
          <w:sz w:val="16"/>
          <w:szCs w:val="16"/>
          <w:color w:val="auto"/>
        </w:rPr>
      </w:pPr>
      <w:r>
        <w:rPr>
          <w:rFonts w:ascii="Arial" w:cs="Arial" w:eastAsia="Arial" w:hAnsi="Arial"/>
          <w:sz w:val="16"/>
          <w:szCs w:val="16"/>
          <w:b w:val="1"/>
          <w:bCs w:val="1"/>
          <w:color w:val="auto"/>
        </w:rPr>
        <w:t>Membership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7" w:lineRule="auto"/>
        <w:rPr>
          <w:rFonts w:ascii="Arial" w:cs="Arial" w:eastAsia="Arial" w:hAnsi="Arial"/>
          <w:sz w:val="16"/>
          <w:szCs w:val="16"/>
          <w:color w:val="auto"/>
        </w:rPr>
      </w:pPr>
      <w:r>
        <w:rPr>
          <w:rFonts w:ascii="Arial" w:cs="Arial" w:eastAsia="Arial" w:hAnsi="Arial"/>
          <w:sz w:val="16"/>
          <w:szCs w:val="16"/>
          <w:color w:val="auto"/>
        </w:rPr>
        <w:t>Each Party will designate [***] representatives with appropriate expertise and seniority to serve as members of the JSC, and who have the authority to bind such Party with respect to matters within the purview of the JSC. Each Party may replace its JSC representatives at any time upon written notice to the other Party. [***] will designate [***] of its JSC members as the chairperson of the JSC. The Parties, through the Alliance Managers, will alternate in calling meetings and preparing and circulating an agenda in advance of each meeting. The Party that was not responsible for preparing the meeting agenda will prepare and circulate for review and approval by the other Party written minutes of such meeting within [***] days after such meeting. The Parties will agree on the minutes of each meeting promptly, but in no event later than [***] Business Days after receipt of such minutes.</w:t>
      </w:r>
    </w:p>
    <w:p>
      <w:pPr>
        <w:spacing w:after="0" w:line="263" w:lineRule="exact"/>
        <w:rPr>
          <w:rFonts w:ascii="Arial" w:cs="Arial" w:eastAsia="Arial" w:hAnsi="Arial"/>
          <w:sz w:val="16"/>
          <w:szCs w:val="16"/>
          <w:color w:val="auto"/>
        </w:rPr>
      </w:pPr>
    </w:p>
    <w:p>
      <w:pPr>
        <w:ind w:left="550" w:hanging="550"/>
        <w:spacing w:after="0"/>
        <w:tabs>
          <w:tab w:leader="none" w:pos="550" w:val="left"/>
        </w:tabs>
        <w:numPr>
          <w:ilvl w:val="0"/>
          <w:numId w:val="819"/>
        </w:numPr>
        <w:rPr>
          <w:rFonts w:ascii="Arial" w:cs="Arial" w:eastAsia="Arial" w:hAnsi="Arial"/>
          <w:sz w:val="16"/>
          <w:szCs w:val="16"/>
          <w:color w:val="auto"/>
        </w:rPr>
      </w:pPr>
      <w:r>
        <w:rPr>
          <w:rFonts w:ascii="Arial" w:cs="Arial" w:eastAsia="Arial" w:hAnsi="Arial"/>
          <w:sz w:val="16"/>
          <w:szCs w:val="16"/>
          <w:b w:val="1"/>
          <w:bCs w:val="1"/>
          <w:color w:val="auto"/>
        </w:rPr>
        <w:t>Meetings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505" w:lineRule="auto"/>
        <w:rPr>
          <w:rFonts w:ascii="Arial" w:cs="Arial" w:eastAsia="Arial" w:hAnsi="Arial"/>
          <w:sz w:val="16"/>
          <w:szCs w:val="16"/>
          <w:color w:val="auto"/>
        </w:rPr>
      </w:pPr>
      <w:r>
        <w:rPr>
          <w:rFonts w:ascii="Arial" w:cs="Arial" w:eastAsia="Arial" w:hAnsi="Arial"/>
          <w:sz w:val="14"/>
          <w:szCs w:val="14"/>
          <w:color w:val="auto"/>
        </w:rPr>
        <w:t>It is the intention of the Parties that the JSC will hold meetings [***], save that each Party may request and convene a JSC meeting and propose agenda therefor at any time. The JSC will meet virtually save that the JSC will have the option of meeting in person once per year alternately at a location agreed by the Parties. The Alliance Manager of each Party or his or her designee will attend each meeting of the JSC as a non-voting participant. Each Party will be responsible for all of its own expenses of participating in any JSC meeting.</w:t>
      </w:r>
    </w:p>
    <w:p>
      <w:pPr>
        <w:spacing w:after="0" w:line="227" w:lineRule="exact"/>
        <w:rPr>
          <w:rFonts w:ascii="Arial" w:cs="Arial" w:eastAsia="Arial" w:hAnsi="Arial"/>
          <w:sz w:val="16"/>
          <w:szCs w:val="16"/>
          <w:color w:val="auto"/>
        </w:rPr>
      </w:pPr>
    </w:p>
    <w:p>
      <w:pPr>
        <w:ind w:left="550" w:hanging="550"/>
        <w:spacing w:after="0"/>
        <w:tabs>
          <w:tab w:leader="none" w:pos="550" w:val="left"/>
        </w:tabs>
        <w:numPr>
          <w:ilvl w:val="0"/>
          <w:numId w:val="819"/>
        </w:numPr>
        <w:rPr>
          <w:rFonts w:ascii="Arial" w:cs="Arial" w:eastAsia="Arial" w:hAnsi="Arial"/>
          <w:sz w:val="16"/>
          <w:szCs w:val="16"/>
          <w:color w:val="auto"/>
        </w:rPr>
      </w:pPr>
      <w:r>
        <w:rPr>
          <w:rFonts w:ascii="Arial" w:cs="Arial" w:eastAsia="Arial" w:hAnsi="Arial"/>
          <w:sz w:val="16"/>
          <w:szCs w:val="16"/>
          <w:b w:val="1"/>
          <w:bCs w:val="1"/>
          <w:color w:val="auto"/>
        </w:rPr>
        <w:t>Meeting Agendas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9" w:lineRule="auto"/>
        <w:rPr>
          <w:rFonts w:ascii="Arial" w:cs="Arial" w:eastAsia="Arial" w:hAnsi="Arial"/>
          <w:sz w:val="16"/>
          <w:szCs w:val="16"/>
          <w:color w:val="auto"/>
        </w:rPr>
      </w:pPr>
      <w:r>
        <w:rPr>
          <w:rFonts w:ascii="Arial" w:cs="Arial" w:eastAsia="Arial" w:hAnsi="Arial"/>
          <w:sz w:val="16"/>
          <w:szCs w:val="16"/>
          <w:color w:val="auto"/>
        </w:rPr>
        <w:t>Each Party will disclose to the other Party the proposed agenda items along with appropriate information at least [***] Business Days in advance of each meeting of the JSC. Notwithstanding the foregoing, under exigent circumstances requiring JSC input, a Party may provide its agenda items to the other Party within a lesser period of time in advance of the meeting, or may propose that there not be a specific agenda for a particular meeting, so long as such other Party consents to such later addition of such agenda items or the absence of a specific agenda for such JSC meeting.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47</w:t>
      </w:r>
    </w:p>
    <w:p>
      <w:pPr>
        <w:sectPr>
          <w:pgSz w:w="11900" w:h="16840" w:orient="portrait"/>
          <w:cols w:equalWidth="0" w:num="1">
            <w:col w:w="10010"/>
          </w:cols>
          <w:pgMar w:left="1230" w:top="1440" w:right="660" w:bottom="1440" w:gutter="0" w:footer="0" w:header="0"/>
        </w:sectPr>
      </w:pPr>
    </w:p>
    <w:bookmarkStart w:id="817" w:name="page818"/>
    <w:bookmarkEnd w:id="81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40" w:right="6640" w:hanging="570"/>
        <w:spacing w:after="0" w:line="914" w:lineRule="auto"/>
        <w:tabs>
          <w:tab w:leader="none" w:pos="1128" w:val="left"/>
        </w:tabs>
        <w:numPr>
          <w:ilvl w:val="0"/>
          <w:numId w:val="820"/>
        </w:numPr>
        <w:rPr>
          <w:rFonts w:ascii="Arial" w:cs="Arial" w:eastAsia="Arial" w:hAnsi="Arial"/>
          <w:sz w:val="14"/>
          <w:szCs w:val="14"/>
          <w:color w:val="auto"/>
        </w:rPr>
      </w:pPr>
      <w:r>
        <w:rPr>
          <w:rFonts w:ascii="Arial" w:cs="Arial" w:eastAsia="Arial" w:hAnsi="Arial"/>
          <w:sz w:val="14"/>
          <w:szCs w:val="14"/>
          <w:b w:val="1"/>
          <w:bCs w:val="1"/>
          <w:color w:val="auto"/>
        </w:rPr>
        <w:t xml:space="preserve">Specific Responsibilities of the JSC </w:t>
      </w:r>
      <w:r>
        <w:rPr>
          <w:rFonts w:ascii="Arial" w:cs="Arial" w:eastAsia="Arial" w:hAnsi="Arial"/>
          <w:sz w:val="14"/>
          <w:szCs w:val="14"/>
          <w:color w:val="auto"/>
        </w:rPr>
        <w:t>The responsibilities of the JSC will be to:</w:t>
      </w:r>
    </w:p>
    <w:p>
      <w:pPr>
        <w:ind w:left="1820" w:hanging="566"/>
        <w:spacing w:after="0" w:line="450" w:lineRule="auto"/>
        <w:tabs>
          <w:tab w:leader="none" w:pos="1820" w:val="left"/>
        </w:tabs>
        <w:numPr>
          <w:ilvl w:val="1"/>
          <w:numId w:val="820"/>
        </w:numPr>
        <w:rPr>
          <w:rFonts w:ascii="Arial" w:cs="Arial" w:eastAsia="Arial" w:hAnsi="Arial"/>
          <w:sz w:val="16"/>
          <w:szCs w:val="16"/>
          <w:color w:val="auto"/>
        </w:rPr>
      </w:pPr>
      <w:r>
        <w:rPr>
          <w:rFonts w:ascii="Arial" w:cs="Arial" w:eastAsia="Arial" w:hAnsi="Arial"/>
          <w:sz w:val="16"/>
          <w:szCs w:val="16"/>
          <w:color w:val="auto"/>
        </w:rPr>
        <w:t>oversee the overall strategic relationship between the Parties and the Development, Manufacturing and Commercialization of Licensed Products in the Territory and the Retained Territory;</w:t>
      </w:r>
    </w:p>
    <w:p>
      <w:pPr>
        <w:spacing w:after="0" w:line="246" w:lineRule="exact"/>
        <w:rPr>
          <w:rFonts w:ascii="Arial" w:cs="Arial" w:eastAsia="Arial" w:hAnsi="Arial"/>
          <w:sz w:val="16"/>
          <w:szCs w:val="16"/>
          <w:color w:val="auto"/>
        </w:rPr>
      </w:pPr>
    </w:p>
    <w:p>
      <w:pPr>
        <w:ind w:left="1800" w:hanging="546"/>
        <w:spacing w:after="0"/>
        <w:tabs>
          <w:tab w:leader="none" w:pos="1800" w:val="left"/>
        </w:tabs>
        <w:numPr>
          <w:ilvl w:val="1"/>
          <w:numId w:val="820"/>
        </w:numPr>
        <w:rPr>
          <w:rFonts w:ascii="Arial" w:cs="Arial" w:eastAsia="Arial" w:hAnsi="Arial"/>
          <w:sz w:val="16"/>
          <w:szCs w:val="16"/>
          <w:color w:val="auto"/>
        </w:rPr>
      </w:pPr>
      <w:r>
        <w:rPr>
          <w:rFonts w:ascii="Arial" w:cs="Arial" w:eastAsia="Arial" w:hAnsi="Arial"/>
          <w:sz w:val="16"/>
          <w:szCs w:val="16"/>
          <w:color w:val="auto"/>
        </w:rPr>
        <w:t>review and discuss the Development of Licensed Products pursuant to the Global CDP and Joint CDP;</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800" w:hanging="546"/>
        <w:spacing w:after="0"/>
        <w:tabs>
          <w:tab w:leader="none" w:pos="1800" w:val="left"/>
        </w:tabs>
        <w:numPr>
          <w:ilvl w:val="1"/>
          <w:numId w:val="820"/>
        </w:numPr>
        <w:rPr>
          <w:rFonts w:ascii="Arial" w:cs="Arial" w:eastAsia="Arial" w:hAnsi="Arial"/>
          <w:sz w:val="16"/>
          <w:szCs w:val="16"/>
          <w:color w:val="auto"/>
        </w:rPr>
      </w:pPr>
      <w:r>
        <w:rPr>
          <w:rFonts w:ascii="Arial" w:cs="Arial" w:eastAsia="Arial" w:hAnsi="Arial"/>
          <w:sz w:val="16"/>
          <w:szCs w:val="16"/>
          <w:color w:val="auto"/>
        </w:rPr>
        <w:t>review, discuss and approve the Global CDP and Joint CDP and any updates thereto;</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both"/>
        <w:ind w:left="1820" w:hanging="566"/>
        <w:spacing w:after="0" w:line="436" w:lineRule="auto"/>
        <w:tabs>
          <w:tab w:leader="none" w:pos="1808" w:val="left"/>
        </w:tabs>
        <w:numPr>
          <w:ilvl w:val="1"/>
          <w:numId w:val="820"/>
        </w:numPr>
        <w:rPr>
          <w:rFonts w:ascii="Arial" w:cs="Arial" w:eastAsia="Arial" w:hAnsi="Arial"/>
          <w:sz w:val="16"/>
          <w:szCs w:val="16"/>
          <w:color w:val="auto"/>
        </w:rPr>
      </w:pPr>
      <w:r>
        <w:rPr>
          <w:rFonts w:ascii="Arial" w:cs="Arial" w:eastAsia="Arial" w:hAnsi="Arial"/>
          <w:sz w:val="16"/>
          <w:szCs w:val="16"/>
          <w:color w:val="auto"/>
        </w:rPr>
        <w:t>provide a forum to discuss and coordinate the Parties' respective activities in the Territory and the Retained Territory in respect of Licensed Products (including but not limited to the adoption of and amendments to clinical development plans and clinical protocols specific to the Territory or the Retained Territory); and</w:t>
      </w:r>
    </w:p>
    <w:p>
      <w:pPr>
        <w:spacing w:after="0" w:line="257" w:lineRule="exact"/>
        <w:rPr>
          <w:rFonts w:ascii="Arial" w:cs="Arial" w:eastAsia="Arial" w:hAnsi="Arial"/>
          <w:sz w:val="16"/>
          <w:szCs w:val="16"/>
          <w:color w:val="auto"/>
        </w:rPr>
      </w:pPr>
    </w:p>
    <w:p>
      <w:pPr>
        <w:ind w:left="1800" w:hanging="546"/>
        <w:spacing w:after="0"/>
        <w:tabs>
          <w:tab w:leader="none" w:pos="1800" w:val="left"/>
        </w:tabs>
        <w:numPr>
          <w:ilvl w:val="1"/>
          <w:numId w:val="820"/>
        </w:numPr>
        <w:rPr>
          <w:rFonts w:ascii="Arial" w:cs="Arial" w:eastAsia="Arial" w:hAnsi="Arial"/>
          <w:sz w:val="16"/>
          <w:szCs w:val="16"/>
          <w:color w:val="auto"/>
        </w:rPr>
      </w:pPr>
      <w:r>
        <w:rPr>
          <w:rFonts w:ascii="Arial" w:cs="Arial" w:eastAsia="Arial" w:hAnsi="Arial"/>
          <w:sz w:val="16"/>
          <w:szCs w:val="16"/>
          <w:color w:val="auto"/>
        </w:rPr>
        <w:t>perform such other functions as appropriate to further the purposes of this Agreement as determined by the Parties.</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b w:val="1"/>
          <w:bCs w:val="1"/>
          <w:color w:val="auto"/>
        </w:rPr>
        <w:t>Subcommittees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21"/>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516" w:lineRule="auto"/>
        <w:rPr>
          <w:rFonts w:ascii="Arial" w:cs="Arial" w:eastAsia="Arial" w:hAnsi="Arial"/>
          <w:sz w:val="16"/>
          <w:szCs w:val="16"/>
          <w:color w:val="auto"/>
        </w:rPr>
      </w:pPr>
      <w:r>
        <w:rPr>
          <w:rFonts w:ascii="Arial" w:cs="Arial" w:eastAsia="Arial" w:hAnsi="Arial"/>
          <w:sz w:val="14"/>
          <w:szCs w:val="14"/>
          <w:color w:val="auto"/>
        </w:rPr>
        <w:t>The JSC will be entitled to form subcommittees or working groups to which it may delegate responsibilities to carry out certain activities allocated by the JSC; any such subcommittees will be governed by the rules established by the JSC and may make such decisions in lieu of the JSC as delegated by the JSC. Any disputes arising from such a subcommittee shall be escalated to the JSC for resolution.</w:t>
      </w:r>
    </w:p>
    <w:p>
      <w:pPr>
        <w:spacing w:after="0" w:line="219" w:lineRule="exact"/>
        <w:rPr>
          <w:rFonts w:ascii="Arial" w:cs="Arial" w:eastAsia="Arial" w:hAnsi="Arial"/>
          <w:sz w:val="16"/>
          <w:szCs w:val="16"/>
          <w:color w:val="auto"/>
        </w:rPr>
      </w:pPr>
    </w:p>
    <w:p>
      <w:pPr>
        <w:ind w:left="1120" w:hanging="550"/>
        <w:spacing w:after="0"/>
        <w:tabs>
          <w:tab w:leader="none" w:pos="1120" w:val="left"/>
        </w:tabs>
        <w:numPr>
          <w:ilvl w:val="0"/>
          <w:numId w:val="821"/>
        </w:numPr>
        <w:rPr>
          <w:rFonts w:ascii="Arial" w:cs="Arial" w:eastAsia="Arial" w:hAnsi="Arial"/>
          <w:sz w:val="16"/>
          <w:szCs w:val="16"/>
          <w:color w:val="auto"/>
        </w:rPr>
      </w:pPr>
      <w:r>
        <w:rPr>
          <w:rFonts w:ascii="Arial" w:cs="Arial" w:eastAsia="Arial" w:hAnsi="Arial"/>
          <w:sz w:val="16"/>
          <w:szCs w:val="16"/>
          <w:b w:val="1"/>
          <w:bCs w:val="1"/>
          <w:color w:val="auto"/>
        </w:rPr>
        <w:t>Joint Development and Operations Working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40" w:orient="portrait"/>
          <w:cols w:equalWidth="0" w:num="1">
            <w:col w:w="10580"/>
          </w:cols>
          <w:pgMar w:left="660" w:top="1440" w:right="660" w:bottom="1440" w:gutter="0" w:footer="0" w:header="0"/>
        </w:sectPr>
      </w:pPr>
    </w:p>
    <w:bookmarkStart w:id="818" w:name="page819"/>
    <w:bookmarkEnd w:id="81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70"/>
        <w:spacing w:after="0"/>
        <w:rPr>
          <w:sz w:val="20"/>
          <w:szCs w:val="20"/>
          <w:color w:val="auto"/>
        </w:rPr>
      </w:pPr>
      <w:r>
        <w:rPr>
          <w:rFonts w:ascii="Arial" w:cs="Arial" w:eastAsia="Arial" w:hAnsi="Arial"/>
          <w:sz w:val="16"/>
          <w:szCs w:val="16"/>
          <w:color w:val="auto"/>
        </w:rPr>
        <w:t>Without limiting Section 4.2(a) (Subcommittees):</w:t>
      </w:r>
    </w:p>
    <w:p>
      <w:pPr>
        <w:spacing w:after="0" w:line="200" w:lineRule="exact"/>
        <w:rPr>
          <w:sz w:val="20"/>
          <w:szCs w:val="20"/>
          <w:color w:val="auto"/>
        </w:rPr>
      </w:pPr>
    </w:p>
    <w:p>
      <w:pPr>
        <w:spacing w:after="0" w:line="226" w:lineRule="exact"/>
        <w:rPr>
          <w:sz w:val="20"/>
          <w:szCs w:val="20"/>
          <w:color w:val="auto"/>
        </w:rPr>
      </w:pPr>
    </w:p>
    <w:p>
      <w:pPr>
        <w:jc w:val="both"/>
        <w:ind w:left="1250" w:right="20" w:hanging="566"/>
        <w:spacing w:after="0" w:line="427" w:lineRule="auto"/>
        <w:tabs>
          <w:tab w:leader="none" w:pos="1250" w:val="left"/>
        </w:tabs>
        <w:numPr>
          <w:ilvl w:val="1"/>
          <w:numId w:val="822"/>
        </w:numPr>
        <w:rPr>
          <w:rFonts w:ascii="Arial" w:cs="Arial" w:eastAsia="Arial" w:hAnsi="Arial"/>
          <w:sz w:val="16"/>
          <w:szCs w:val="16"/>
          <w:color w:val="auto"/>
        </w:rPr>
      </w:pPr>
      <w:r>
        <w:rPr>
          <w:rFonts w:ascii="Arial" w:cs="Arial" w:eastAsia="Arial" w:hAnsi="Arial"/>
          <w:sz w:val="16"/>
          <w:szCs w:val="16"/>
          <w:color w:val="auto"/>
        </w:rPr>
        <w:t xml:space="preserve">Promptly after the Effective Date, the JSC shall establish a joint development and operations working group (the “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Development and Operations Working Group</w:t>
      </w:r>
      <w:r>
        <w:rPr>
          <w:rFonts w:ascii="Arial" w:cs="Arial" w:eastAsia="Arial" w:hAnsi="Arial"/>
          <w:sz w:val="16"/>
          <w:szCs w:val="16"/>
          <w:color w:val="auto"/>
        </w:rPr>
        <w:t>”) chaired by BioNTech comprised of an equal number of representatives from</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The Joint Development and Operations Working Group shall act as a forum for the Parties to (A) discuss and align on Development activities in their respective territories; (B) oversee the implementation and progress of the Global CDP and the Joint CDP; (C) to discuss and propose to the JSC for approval any amendments to the Global CDP or Joint CDP; and (D) oversee any Global Trials. The Joint Development and Operations Working Group will continue in operation for the Term unless dissolved earlier by the mutual agreement of the Parties.</w:t>
      </w:r>
    </w:p>
    <w:p>
      <w:pPr>
        <w:spacing w:after="0" w:line="267" w:lineRule="exact"/>
        <w:rPr>
          <w:rFonts w:ascii="Arial" w:cs="Arial" w:eastAsia="Arial" w:hAnsi="Arial"/>
          <w:sz w:val="16"/>
          <w:szCs w:val="16"/>
          <w:color w:val="auto"/>
        </w:rPr>
      </w:pPr>
    </w:p>
    <w:p>
      <w:pPr>
        <w:jc w:val="both"/>
        <w:ind w:left="1250" w:hanging="566"/>
        <w:spacing w:after="0" w:line="431" w:lineRule="auto"/>
        <w:tabs>
          <w:tab w:leader="none" w:pos="1238" w:val="left"/>
        </w:tabs>
        <w:numPr>
          <w:ilvl w:val="1"/>
          <w:numId w:val="822"/>
        </w:numPr>
        <w:rPr>
          <w:rFonts w:ascii="Arial" w:cs="Arial" w:eastAsia="Arial" w:hAnsi="Arial"/>
          <w:sz w:val="16"/>
          <w:szCs w:val="16"/>
          <w:color w:val="auto"/>
        </w:rPr>
      </w:pPr>
      <w:r>
        <w:rPr>
          <w:rFonts w:ascii="Arial" w:cs="Arial" w:eastAsia="Arial" w:hAnsi="Arial"/>
          <w:sz w:val="16"/>
          <w:szCs w:val="16"/>
          <w:color w:val="auto"/>
        </w:rPr>
        <w:t>The JSC shall determine the desired membership of the Joint Development and Operations Working Group and once formed, the Parties shall mutually determine the time, place and procedure of meetings. The Parties, through their designated lead individuals, will alternate in calling meetings and preparing and circulating an agenda in advance of each meeting of the Joint Development and Operation Working Group. [***]</w:t>
      </w:r>
    </w:p>
    <w:p>
      <w:pPr>
        <w:spacing w:after="0" w:line="260" w:lineRule="exact"/>
        <w:rPr>
          <w:rFonts w:ascii="Arial" w:cs="Arial" w:eastAsia="Arial" w:hAnsi="Arial"/>
          <w:sz w:val="16"/>
          <w:szCs w:val="16"/>
          <w:color w:val="auto"/>
        </w:rPr>
      </w:pPr>
    </w:p>
    <w:p>
      <w:pPr>
        <w:ind w:left="550" w:hanging="550"/>
        <w:spacing w:after="0"/>
        <w:tabs>
          <w:tab w:leader="none" w:pos="550" w:val="left"/>
        </w:tabs>
        <w:numPr>
          <w:ilvl w:val="0"/>
          <w:numId w:val="823"/>
        </w:numPr>
        <w:rPr>
          <w:rFonts w:ascii="Arial" w:cs="Arial" w:eastAsia="Arial" w:hAnsi="Arial"/>
          <w:sz w:val="16"/>
          <w:szCs w:val="16"/>
          <w:color w:val="auto"/>
        </w:rPr>
      </w:pPr>
      <w:r>
        <w:rPr>
          <w:rFonts w:ascii="Arial" w:cs="Arial" w:eastAsia="Arial" w:hAnsi="Arial"/>
          <w:sz w:val="16"/>
          <w:szCs w:val="16"/>
          <w:b w:val="1"/>
          <w:bCs w:val="1"/>
          <w:color w:val="auto"/>
        </w:rPr>
        <w:t>Joint IP Committee</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spacing w:after="0"/>
        <w:rPr>
          <w:rFonts w:ascii="Arial" w:cs="Arial" w:eastAsia="Arial" w:hAnsi="Arial"/>
          <w:sz w:val="16"/>
          <w:szCs w:val="16"/>
          <w:color w:val="auto"/>
        </w:rPr>
      </w:pPr>
      <w:r>
        <w:rPr>
          <w:rFonts w:ascii="Arial" w:cs="Arial" w:eastAsia="Arial" w:hAnsi="Arial"/>
          <w:sz w:val="16"/>
          <w:szCs w:val="16"/>
          <w:color w:val="auto"/>
        </w:rPr>
        <w:t>Without limiting Section 4.2(a) (Subcommittees):</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both"/>
        <w:ind w:left="1250" w:right="20" w:hanging="566"/>
        <w:spacing w:after="0" w:line="428" w:lineRule="auto"/>
        <w:tabs>
          <w:tab w:leader="none" w:pos="1250" w:val="left"/>
        </w:tabs>
        <w:numPr>
          <w:ilvl w:val="1"/>
          <w:numId w:val="823"/>
        </w:numPr>
        <w:rPr>
          <w:rFonts w:ascii="Arial" w:cs="Arial" w:eastAsia="Arial" w:hAnsi="Arial"/>
          <w:sz w:val="16"/>
          <w:szCs w:val="16"/>
          <w:color w:val="auto"/>
        </w:rPr>
      </w:pPr>
      <w:r>
        <w:rPr>
          <w:rFonts w:ascii="Arial" w:cs="Arial" w:eastAsia="Arial" w:hAnsi="Arial"/>
          <w:sz w:val="16"/>
          <w:szCs w:val="16"/>
          <w:color w:val="auto"/>
        </w:rPr>
        <w:t xml:space="preserve">No later than [***] days after the Effective Date, the JSC shall establish a joint intellectual property committee (the “ </w:t>
      </w:r>
      <w:r>
        <w:rPr>
          <w:rFonts w:ascii="Arial" w:cs="Arial" w:eastAsia="Arial" w:hAnsi="Arial"/>
          <w:sz w:val="16"/>
          <w:szCs w:val="16"/>
          <w:b w:val="1"/>
          <w:bCs w:val="1"/>
          <w:color w:val="auto"/>
        </w:rPr>
        <w:t>Joint IP</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w:t>
      </w:r>
      <w:r>
        <w:rPr>
          <w:rFonts w:ascii="Arial" w:cs="Arial" w:eastAsia="Arial" w:hAnsi="Arial"/>
          <w:sz w:val="16"/>
          <w:szCs w:val="16"/>
          <w:color w:val="auto"/>
        </w:rPr>
        <w:t>”) chaired by BioNTech and comprised of an equal number of representatives from each Party. The Joint IP</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shall act as a forum for the Parties to discuss and align on patenting strategies with regard to Licensed Products and coordinate the Parties' efforts in accordance with the provisions of Article 9 (Intellectual Property) and other matters related to the prosecution and maintenance of Intellectual Property Rights hereunder, including submissions to and addressing notices from Regulatory Authorities that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49</w:t>
      </w:r>
    </w:p>
    <w:p>
      <w:pPr>
        <w:sectPr>
          <w:pgSz w:w="11900" w:h="16840" w:orient="portrait"/>
          <w:cols w:equalWidth="0" w:num="1">
            <w:col w:w="10010"/>
          </w:cols>
          <w:pgMar w:left="1230" w:top="1440" w:right="660" w:bottom="1440" w:gutter="0" w:footer="0" w:header="0"/>
        </w:sectPr>
      </w:pPr>
    </w:p>
    <w:bookmarkStart w:id="819" w:name="page820"/>
    <w:bookmarkEnd w:id="81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20" w:right="20"/>
        <w:spacing w:after="0" w:line="450" w:lineRule="auto"/>
        <w:rPr>
          <w:sz w:val="20"/>
          <w:szCs w:val="20"/>
          <w:color w:val="auto"/>
        </w:rPr>
      </w:pPr>
      <w:r>
        <w:rPr>
          <w:rFonts w:ascii="Arial" w:cs="Arial" w:eastAsia="Arial" w:hAnsi="Arial"/>
          <w:sz w:val="16"/>
          <w:szCs w:val="16"/>
          <w:color w:val="auto"/>
        </w:rPr>
        <w:t>relate to regulatory-patent linkage procedures and proceedings. The Joint IP Committee will continue in operation for the Term unless dissolved earlier by the mutual agreement of the Parties.</w:t>
      </w:r>
    </w:p>
    <w:p>
      <w:pPr>
        <w:spacing w:after="0" w:line="246" w:lineRule="exact"/>
        <w:rPr>
          <w:sz w:val="20"/>
          <w:szCs w:val="20"/>
          <w:color w:val="auto"/>
        </w:rPr>
      </w:pPr>
    </w:p>
    <w:p>
      <w:pPr>
        <w:jc w:val="both"/>
        <w:ind w:left="1820" w:right="20" w:hanging="566"/>
        <w:spacing w:after="0" w:line="429" w:lineRule="auto"/>
        <w:tabs>
          <w:tab w:leader="none" w:pos="1808" w:val="left"/>
        </w:tabs>
        <w:numPr>
          <w:ilvl w:val="0"/>
          <w:numId w:val="824"/>
        </w:numPr>
        <w:rPr>
          <w:rFonts w:ascii="Arial" w:cs="Arial" w:eastAsia="Arial" w:hAnsi="Arial"/>
          <w:sz w:val="16"/>
          <w:szCs w:val="16"/>
          <w:color w:val="auto"/>
        </w:rPr>
      </w:pPr>
      <w:r>
        <w:rPr>
          <w:rFonts w:ascii="Arial" w:cs="Arial" w:eastAsia="Arial" w:hAnsi="Arial"/>
          <w:sz w:val="16"/>
          <w:szCs w:val="16"/>
          <w:color w:val="auto"/>
        </w:rPr>
        <w:t>The JSC shall determine the desired membership of the Joint IP Committee and once formed, the Parties, through their designated IP leads, shall determine the time, frequency, place and procedure of meetings. The Parties, through their designated IP leads, will alternate in calling meetings and preparing and circulating an agenda in advance of each meeting of the Joint IP Committee and will also alternate in preparing and circulating meeting minutes of each meeting of the Joint IP Committee. [***]</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b w:val="1"/>
          <w:bCs w:val="1"/>
          <w:color w:val="auto"/>
        </w:rPr>
        <w:t>Alliance and Project Managers</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93" w:lineRule="auto"/>
        <w:rPr>
          <w:sz w:val="20"/>
          <w:szCs w:val="20"/>
          <w:color w:val="auto"/>
        </w:rPr>
      </w:pPr>
      <w:r>
        <w:rPr>
          <w:rFonts w:ascii="Arial" w:cs="Arial" w:eastAsia="Arial" w:hAnsi="Arial"/>
          <w:sz w:val="14"/>
          <w:szCs w:val="14"/>
          <w:color w:val="auto"/>
        </w:rPr>
        <w:t xml:space="preserve">Each of the Parties will appoint a project manager (the " </w:t>
      </w:r>
      <w:r>
        <w:rPr>
          <w:rFonts w:ascii="Arial" w:cs="Arial" w:eastAsia="Arial" w:hAnsi="Arial"/>
          <w:sz w:val="14"/>
          <w:szCs w:val="14"/>
          <w:b w:val="1"/>
          <w:bCs w:val="1"/>
          <w:color w:val="auto"/>
        </w:rPr>
        <w:t>Project Manager</w:t>
      </w:r>
      <w:r>
        <w:rPr>
          <w:rFonts w:ascii="Arial" w:cs="Arial" w:eastAsia="Arial" w:hAnsi="Arial"/>
          <w:sz w:val="14"/>
          <w:szCs w:val="14"/>
          <w:color w:val="auto"/>
        </w:rPr>
        <w:t>") who shall be responsible for implementing and coordinating activities and facilitating the exchange of information between the Parties. Each of the Parties will also appoint a single individual to ensure clear and responsive communication between the Parties and the effective exchange of information (each, an "</w:t>
      </w:r>
      <w:r>
        <w:rPr>
          <w:rFonts w:ascii="Arial" w:cs="Arial" w:eastAsia="Arial" w:hAnsi="Arial"/>
          <w:sz w:val="14"/>
          <w:szCs w:val="14"/>
          <w:b w:val="1"/>
          <w:bCs w:val="1"/>
          <w:color w:val="auto"/>
        </w:rPr>
        <w:t>Alliance Manager</w:t>
      </w:r>
      <w:r>
        <w:rPr>
          <w:rFonts w:ascii="Arial" w:cs="Arial" w:eastAsia="Arial" w:hAnsi="Arial"/>
          <w:sz w:val="14"/>
          <w:szCs w:val="14"/>
          <w:color w:val="auto"/>
        </w:rPr>
        <w:t xml:space="preserve">") . The role of the Alliance Manager is to act as a single point of contact between the Parties to ensure a successful relationship under this Agreement. The Alliance Managers will attend any JSC meetings. Alliance Managers will be non-voting participants in all JSC meetings that they attend;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 Alliance Manager may bring any matter to the attention of the JSC if such Alliance Manager reasonably believes that such</w:t>
      </w:r>
      <w:r>
        <w:rPr>
          <w:rFonts w:ascii="Arial" w:cs="Arial" w:eastAsia="Arial" w:hAnsi="Arial"/>
          <w:sz w:val="14"/>
          <w:szCs w:val="14"/>
          <w:i w:val="1"/>
          <w:iCs w:val="1"/>
          <w:color w:val="auto"/>
        </w:rPr>
        <w:t xml:space="preserve"> </w:t>
      </w:r>
      <w:r>
        <w:rPr>
          <w:rFonts w:ascii="Arial" w:cs="Arial" w:eastAsia="Arial" w:hAnsi="Arial"/>
          <w:sz w:val="14"/>
          <w:szCs w:val="14"/>
          <w:color w:val="auto"/>
        </w:rPr>
        <w:t>matter warrants such attention. Each Party will designate its initial Alliance Manager promptly after the Effective Date and each Party may change its designated Alliance Manager at any time upon written notice to the other Party. Any Alliance Manager may designate a substitute to temporarily perform the functions of that Alliance Manager by written notice to the other Party. Each Alliance Manager will also: (a) be the point of first referral in all matters of conflict resolution; and (b) identify and bring disputes to the attention of the JSC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40" w:orient="portrait"/>
          <w:cols w:equalWidth="0" w:num="1">
            <w:col w:w="10580"/>
          </w:cols>
          <w:pgMar w:left="660" w:top="1440" w:right="660" w:bottom="1440" w:gutter="0" w:footer="0" w:header="0"/>
        </w:sectPr>
      </w:pPr>
    </w:p>
    <w:bookmarkStart w:id="820" w:name="page821"/>
    <w:bookmarkEnd w:id="82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b w:val="1"/>
          <w:bCs w:val="1"/>
          <w:color w:val="auto"/>
        </w:rPr>
        <w:t>Additional Participants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8" w:lineRule="auto"/>
        <w:rPr>
          <w:sz w:val="20"/>
          <w:szCs w:val="20"/>
          <w:color w:val="auto"/>
        </w:rPr>
      </w:pPr>
      <w:r>
        <w:rPr>
          <w:rFonts w:ascii="Arial" w:cs="Arial" w:eastAsia="Arial" w:hAnsi="Arial"/>
          <w:sz w:val="16"/>
          <w:szCs w:val="16"/>
          <w:color w:val="auto"/>
        </w:rPr>
        <w:t xml:space="preserve">With the consent of the other Party, not to be unreasonably withheld, conditioned, or delayed, other employees of either Party or any of its Affiliates involved in the Development, Manufacturing or Commercialization of any Licensed Products may attend meetings of the JSC as non-voting participants. In addition, with the consent of each Party, consultants, representatives, or advisors involved in the Development, Manufacturing or Commercialization of any Licensed Products may attend meetings of the JSC as non-voting observers;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Third Party participants and observers are under written obligations of confidentiality and non-use applicable to the Confidential Information of each Party that are at least as stringent as those set forth in Section 10.1 (Confidentiality).</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b w:val="1"/>
          <w:bCs w:val="1"/>
          <w:color w:val="auto"/>
        </w:rPr>
        <w:t>Decision-Making</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25"/>
        </w:numPr>
        <w:rPr>
          <w:rFonts w:ascii="Arial" w:cs="Arial" w:eastAsia="Arial" w:hAnsi="Arial"/>
          <w:sz w:val="16"/>
          <w:szCs w:val="16"/>
          <w:color w:val="auto"/>
        </w:rPr>
      </w:pPr>
      <w:r>
        <w:rPr>
          <w:rFonts w:ascii="Arial" w:cs="Arial" w:eastAsia="Arial" w:hAnsi="Arial"/>
          <w:sz w:val="16"/>
          <w:szCs w:val="16"/>
          <w:b w:val="1"/>
          <w:bCs w:val="1"/>
          <w:color w:val="auto"/>
        </w:rPr>
        <w:t>Committee Decisions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31" w:lineRule="auto"/>
        <w:rPr>
          <w:rFonts w:ascii="Arial" w:cs="Arial" w:eastAsia="Arial" w:hAnsi="Arial"/>
          <w:sz w:val="16"/>
          <w:szCs w:val="16"/>
          <w:color w:val="auto"/>
        </w:rPr>
      </w:pPr>
      <w:r>
        <w:rPr>
          <w:rFonts w:ascii="Arial" w:cs="Arial" w:eastAsia="Arial" w:hAnsi="Arial"/>
          <w:sz w:val="16"/>
          <w:szCs w:val="16"/>
          <w:color w:val="auto"/>
        </w:rPr>
        <w:t>Each Party's representatives on the JSC will[***] on all matters brought before such committee for a decision by consensus. The JSC will make decisions as to matters within its jurisdiction by unanimous vote, which vote may either be reflected in the minutes of the committee meeting or by written consent signed by the chairperson or his or her designee identified in writing. No vote will be binding on either Party unless each Party has [***] members of JSC as representatives in attendance.</w:t>
      </w:r>
    </w:p>
    <w:p>
      <w:pPr>
        <w:spacing w:after="0" w:line="260" w:lineRule="exact"/>
        <w:rPr>
          <w:rFonts w:ascii="Arial" w:cs="Arial" w:eastAsia="Arial" w:hAnsi="Arial"/>
          <w:sz w:val="16"/>
          <w:szCs w:val="16"/>
          <w:color w:val="auto"/>
        </w:rPr>
      </w:pPr>
    </w:p>
    <w:p>
      <w:pPr>
        <w:ind w:left="1120" w:hanging="550"/>
        <w:spacing w:after="0"/>
        <w:tabs>
          <w:tab w:leader="none" w:pos="1120" w:val="left"/>
        </w:tabs>
        <w:numPr>
          <w:ilvl w:val="0"/>
          <w:numId w:val="825"/>
        </w:numPr>
        <w:rPr>
          <w:rFonts w:ascii="Arial" w:cs="Arial" w:eastAsia="Arial" w:hAnsi="Arial"/>
          <w:sz w:val="16"/>
          <w:szCs w:val="16"/>
          <w:color w:val="auto"/>
        </w:rPr>
      </w:pPr>
      <w:r>
        <w:rPr>
          <w:rFonts w:ascii="Arial" w:cs="Arial" w:eastAsia="Arial" w:hAnsi="Arial"/>
          <w:sz w:val="16"/>
          <w:szCs w:val="16"/>
          <w:b w:val="1"/>
          <w:bCs w:val="1"/>
          <w:color w:val="auto"/>
        </w:rPr>
        <w:t>Escalation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8" w:lineRule="auto"/>
        <w:rPr>
          <w:rFonts w:ascii="Arial" w:cs="Arial" w:eastAsia="Arial" w:hAnsi="Arial"/>
          <w:sz w:val="16"/>
          <w:szCs w:val="16"/>
          <w:color w:val="auto"/>
        </w:rPr>
      </w:pPr>
      <w:r>
        <w:rPr>
          <w:rFonts w:ascii="Arial" w:cs="Arial" w:eastAsia="Arial" w:hAnsi="Arial"/>
          <w:sz w:val="16"/>
          <w:szCs w:val="16"/>
          <w:color w:val="auto"/>
        </w:rPr>
        <w:t>In the event the JSC is unable to reach a decision by unanimous consensus, at the election of either Party, such Party may refer any other matters requiring the approval of the JSC to the Party's Executive Officer. The Executive Officers will use good faith efforts to resolve any such disagreement so referred to them as soon as practicable, and any final decision that the Executive Officers agree to in writing will be conclusive and binding on the Parties. If the Executive Officers are unable to resolve any disagreement so referred within a period of [***] days after such matter is referred to them (or such longer period as the Executive Officers may agree upon), then (i) BioNTech will have final decision-making authority with respect to the final resolution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580"/>
          </w:cols>
          <w:pgMar w:left="660" w:top="1440" w:right="660" w:bottom="1440" w:gutter="0" w:footer="0" w:header="0"/>
        </w:sectPr>
      </w:pPr>
    </w:p>
    <w:bookmarkStart w:id="821" w:name="page822"/>
    <w:bookmarkEnd w:id="82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spacing w:after="0" w:line="428" w:lineRule="auto"/>
        <w:rPr>
          <w:sz w:val="20"/>
          <w:szCs w:val="20"/>
          <w:color w:val="auto"/>
        </w:rPr>
      </w:pPr>
      <w:r>
        <w:rPr>
          <w:rFonts w:ascii="Arial" w:cs="Arial" w:eastAsia="Arial" w:hAnsi="Arial"/>
          <w:sz w:val="16"/>
          <w:szCs w:val="16"/>
          <w:color w:val="auto"/>
        </w:rPr>
        <w:t>of any disagreement requiring the approval of the JSC regarding activities in the Territory, all Global Trials, the Global CDP, the Joint CDP; [***] (ii) subject to Section 4.5(b)(i) above, Biotheus will have final decision-making authority with respect to the final resolution of any disagreement requiring the approval of the JSC regarding activities in the Retained Territory; and (iii) each Party will have final say in relation to the matters which such Party has final control over in Article 9 (Intellectual Property); PROVIDED THAT (A) both Biotheus and BioNTech shall conduct all Development and other Exploitation of the Licensed Products in the Retained Territory in accordance with the Global CDP and the Global Commercialization Strategy; [***].</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b w:val="1"/>
          <w:bCs w:val="1"/>
          <w:color w:val="auto"/>
        </w:rPr>
        <w:t>General Authority</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29" w:lineRule="auto"/>
        <w:rPr>
          <w:sz w:val="20"/>
          <w:szCs w:val="20"/>
          <w:color w:val="auto"/>
        </w:rPr>
      </w:pPr>
      <w:r>
        <w:rPr>
          <w:rFonts w:ascii="Arial" w:cs="Arial" w:eastAsia="Arial" w:hAnsi="Arial"/>
          <w:sz w:val="16"/>
          <w:szCs w:val="16"/>
          <w:color w:val="auto"/>
        </w:rPr>
        <w:t>The JSC and Alliance Manager will have solely the powers expressly assigned to them in this Article 4 (Governance) and elsewhere in this Agreement. In conducting themselves on the JSC and as Alliance Managers, and in exercising their rights under this Article 4 (Governance), all representatives of each Party will consider diligently, reasonably and in good faith all input received from the other Party, and will use good faith efforts to reach unanimity, where required, on all matters before them. Notwithstanding anything to the contrary set forth in this Agreement, the JSC will not have the right to make any decisions:</w:t>
      </w:r>
    </w:p>
    <w:p>
      <w:pPr>
        <w:spacing w:after="0" w:line="264" w:lineRule="exact"/>
        <w:rPr>
          <w:sz w:val="20"/>
          <w:szCs w:val="20"/>
          <w:color w:val="auto"/>
        </w:rPr>
      </w:pPr>
    </w:p>
    <w:p>
      <w:pPr>
        <w:ind w:left="1120" w:hanging="550"/>
        <w:spacing w:after="0"/>
        <w:tabs>
          <w:tab w:leader="none" w:pos="1120" w:val="left"/>
        </w:tabs>
        <w:numPr>
          <w:ilvl w:val="0"/>
          <w:numId w:val="826"/>
        </w:numPr>
        <w:rPr>
          <w:rFonts w:ascii="Arial" w:cs="Arial" w:eastAsia="Arial" w:hAnsi="Arial"/>
          <w:sz w:val="16"/>
          <w:szCs w:val="16"/>
          <w:color w:val="auto"/>
        </w:rPr>
      </w:pPr>
      <w:r>
        <w:rPr>
          <w:rFonts w:ascii="Arial" w:cs="Arial" w:eastAsia="Arial" w:hAnsi="Arial"/>
          <w:sz w:val="16"/>
          <w:szCs w:val="16"/>
          <w:color w:val="auto"/>
        </w:rPr>
        <w:t>to amend or modify this Agreement, or waive compliance with this Agreement;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26"/>
        </w:numPr>
        <w:rPr>
          <w:rFonts w:ascii="Arial" w:cs="Arial" w:eastAsia="Arial" w:hAnsi="Arial"/>
          <w:sz w:val="16"/>
          <w:szCs w:val="16"/>
          <w:color w:val="auto"/>
        </w:rPr>
      </w:pPr>
      <w:r>
        <w:rPr>
          <w:rFonts w:ascii="Arial" w:cs="Arial" w:eastAsia="Arial" w:hAnsi="Arial"/>
          <w:sz w:val="16"/>
          <w:szCs w:val="16"/>
          <w:color w:val="auto"/>
        </w:rPr>
        <w:t>in a manner that excuses such Party from any obligation specifically enumerated under this Agreement;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26"/>
        </w:numPr>
        <w:rPr>
          <w:rFonts w:ascii="Arial" w:cs="Arial" w:eastAsia="Arial" w:hAnsi="Arial"/>
          <w:sz w:val="16"/>
          <w:szCs w:val="16"/>
          <w:color w:val="auto"/>
        </w:rPr>
      </w:pPr>
      <w:r>
        <w:rPr>
          <w:rFonts w:ascii="Arial" w:cs="Arial" w:eastAsia="Arial" w:hAnsi="Arial"/>
          <w:sz w:val="16"/>
          <w:szCs w:val="16"/>
          <w:color w:val="auto"/>
        </w:rPr>
        <w:t>in a manner that negates any consent right or other right specifically allocated to the other Party under this Agreement;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26"/>
        </w:numPr>
        <w:rPr>
          <w:rFonts w:ascii="Arial" w:cs="Arial" w:eastAsia="Arial" w:hAnsi="Arial"/>
          <w:sz w:val="16"/>
          <w:szCs w:val="16"/>
          <w:color w:val="auto"/>
        </w:rPr>
      </w:pPr>
      <w:r>
        <w:rPr>
          <w:rFonts w:ascii="Arial" w:cs="Arial" w:eastAsia="Arial" w:hAnsi="Arial"/>
          <w:sz w:val="16"/>
          <w:szCs w:val="16"/>
          <w:color w:val="auto"/>
        </w:rPr>
        <w:t>to resolve any dispute involving the breach or alleged breach of this Agreement;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40" w:right="40" w:hanging="570"/>
        <w:spacing w:after="0" w:line="450" w:lineRule="auto"/>
        <w:tabs>
          <w:tab w:leader="none" w:pos="1128" w:val="left"/>
        </w:tabs>
        <w:numPr>
          <w:ilvl w:val="0"/>
          <w:numId w:val="826"/>
        </w:numPr>
        <w:rPr>
          <w:rFonts w:ascii="Arial" w:cs="Arial" w:eastAsia="Arial" w:hAnsi="Arial"/>
          <w:sz w:val="16"/>
          <w:szCs w:val="16"/>
          <w:color w:val="auto"/>
        </w:rPr>
      </w:pPr>
      <w:r>
        <w:rPr>
          <w:rFonts w:ascii="Arial" w:cs="Arial" w:eastAsia="Arial" w:hAnsi="Arial"/>
          <w:sz w:val="16"/>
          <w:szCs w:val="16"/>
          <w:color w:val="auto"/>
        </w:rPr>
        <w:t>to resolve a matter if the provisions of this Agreement specify that agreement of the Parties, including consent of each Party, is required for such matter;</w:t>
      </w:r>
    </w:p>
    <w:p>
      <w:pPr>
        <w:spacing w:after="0" w:line="246" w:lineRule="exact"/>
        <w:rPr>
          <w:rFonts w:ascii="Arial" w:cs="Arial" w:eastAsia="Arial" w:hAnsi="Arial"/>
          <w:sz w:val="16"/>
          <w:szCs w:val="16"/>
          <w:color w:val="auto"/>
        </w:rPr>
      </w:pPr>
    </w:p>
    <w:p>
      <w:pPr>
        <w:ind w:left="1140" w:hanging="570"/>
        <w:spacing w:after="0" w:line="450" w:lineRule="auto"/>
        <w:tabs>
          <w:tab w:leader="none" w:pos="1128" w:val="left"/>
        </w:tabs>
        <w:numPr>
          <w:ilvl w:val="0"/>
          <w:numId w:val="826"/>
        </w:numPr>
        <w:rPr>
          <w:rFonts w:ascii="Arial" w:cs="Arial" w:eastAsia="Arial" w:hAnsi="Arial"/>
          <w:sz w:val="16"/>
          <w:szCs w:val="16"/>
          <w:color w:val="auto"/>
        </w:rPr>
      </w:pPr>
      <w:r>
        <w:rPr>
          <w:rFonts w:ascii="Arial" w:cs="Arial" w:eastAsia="Arial" w:hAnsi="Arial"/>
          <w:sz w:val="16"/>
          <w:szCs w:val="16"/>
          <w:color w:val="auto"/>
        </w:rPr>
        <w:t>in a manner that the other Party reasonably believes would require such other Party to perform any act that would cause such Party to violate any Applicable Law or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40" w:orient="portrait"/>
          <w:cols w:equalWidth="0" w:num="1">
            <w:col w:w="10580"/>
          </w:cols>
          <w:pgMar w:left="660" w:top="1440" w:right="660" w:bottom="1440" w:gutter="0" w:footer="0" w:header="0"/>
        </w:sectPr>
      </w:pPr>
    </w:p>
    <w:bookmarkStart w:id="822" w:name="page823"/>
    <w:bookmarkEnd w:id="82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requirements of any Regulatory Authority, or otherwise breach any of its obligations hereunder; or</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27"/>
        </w:numPr>
        <w:rPr>
          <w:rFonts w:ascii="Arial" w:cs="Arial" w:eastAsia="Arial" w:hAnsi="Arial"/>
          <w:sz w:val="16"/>
          <w:szCs w:val="16"/>
          <w:color w:val="auto"/>
        </w:rPr>
      </w:pPr>
      <w:r>
        <w:rPr>
          <w:rFonts w:ascii="Arial" w:cs="Arial" w:eastAsia="Arial" w:hAnsi="Arial"/>
          <w:sz w:val="16"/>
          <w:szCs w:val="16"/>
          <w:color w:val="auto"/>
        </w:rPr>
        <w:t>otherwise expand the rights or reduce the obligations of either Party under this Agreement.</w:t>
      </w:r>
    </w:p>
    <w:p>
      <w:pPr>
        <w:spacing w:after="0" w:line="200" w:lineRule="exact"/>
        <w:rPr>
          <w:sz w:val="20"/>
          <w:szCs w:val="20"/>
          <w:color w:val="auto"/>
        </w:rPr>
      </w:pPr>
    </w:p>
    <w:p>
      <w:pPr>
        <w:spacing w:after="0" w:line="226" w:lineRule="exact"/>
        <w:rPr>
          <w:sz w:val="20"/>
          <w:szCs w:val="20"/>
          <w:color w:val="auto"/>
        </w:rPr>
      </w:pPr>
    </w:p>
    <w:p>
      <w:pPr>
        <w:ind w:left="560" w:hanging="554"/>
        <w:spacing w:after="0"/>
        <w:tabs>
          <w:tab w:leader="none" w:pos="560" w:val="left"/>
        </w:tabs>
        <w:numPr>
          <w:ilvl w:val="0"/>
          <w:numId w:val="828"/>
        </w:numPr>
        <w:rPr>
          <w:rFonts w:ascii="Arial" w:cs="Arial" w:eastAsia="Arial" w:hAnsi="Arial"/>
          <w:sz w:val="16"/>
          <w:szCs w:val="16"/>
          <w:b w:val="1"/>
          <w:bCs w:val="1"/>
          <w:color w:val="auto"/>
        </w:rPr>
      </w:pPr>
      <w:r>
        <w:rPr>
          <w:rFonts w:ascii="Arial" w:cs="Arial" w:eastAsia="Arial" w:hAnsi="Arial"/>
          <w:sz w:val="16"/>
          <w:szCs w:val="16"/>
          <w:b w:val="1"/>
          <w:bCs w:val="1"/>
          <w:color w:val="auto"/>
        </w:rPr>
        <w:t>DEVELOPMENT AND COMMERCIALIZATION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b w:val="1"/>
          <w:bCs w:val="1"/>
          <w:color w:val="auto"/>
        </w:rPr>
        <w:t>Responsibilities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29"/>
        </w:numPr>
        <w:rPr>
          <w:rFonts w:ascii="Arial" w:cs="Arial" w:eastAsia="Arial" w:hAnsi="Arial"/>
          <w:sz w:val="16"/>
          <w:szCs w:val="16"/>
          <w:color w:val="auto"/>
        </w:rPr>
      </w:pPr>
      <w:r>
        <w:rPr>
          <w:rFonts w:ascii="Arial" w:cs="Arial" w:eastAsia="Arial" w:hAnsi="Arial"/>
          <w:sz w:val="16"/>
          <w:szCs w:val="16"/>
          <w:b w:val="1"/>
          <w:bCs w:val="1"/>
          <w:color w:val="auto"/>
        </w:rPr>
        <w:t>Global Commercialization Strategy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5" w:lineRule="auto"/>
        <w:rPr>
          <w:rFonts w:ascii="Arial" w:cs="Arial" w:eastAsia="Arial" w:hAnsi="Arial"/>
          <w:sz w:val="16"/>
          <w:szCs w:val="16"/>
          <w:color w:val="auto"/>
        </w:rPr>
      </w:pPr>
      <w:r>
        <w:rPr>
          <w:rFonts w:ascii="Arial" w:cs="Arial" w:eastAsia="Arial" w:hAnsi="Arial"/>
          <w:sz w:val="16"/>
          <w:szCs w:val="16"/>
          <w:color w:val="auto"/>
        </w:rPr>
        <w:t>BioNTech shall prepare and have final say with regard to (including all updates thereto) a global commercialization strategy relating to the Commercialization of Licensed Products on a worldwide basis on the overall global branding (which is only applicable if the Parties agree to global branding), marketing, communication, positioning and medical strategies for Licensed Products, a description of any global level programs to be conducted and pricing guidelines and policy with respect to the Licensed Products ("</w:t>
      </w:r>
      <w:r>
        <w:rPr>
          <w:rFonts w:ascii="Arial" w:cs="Arial" w:eastAsia="Arial" w:hAnsi="Arial"/>
          <w:sz w:val="16"/>
          <w:szCs w:val="16"/>
          <w:b w:val="1"/>
          <w:bCs w:val="1"/>
          <w:color w:val="auto"/>
        </w:rPr>
        <w:t>Global</w:t>
      </w:r>
      <w:r>
        <w:rPr>
          <w:rFonts w:ascii="Arial" w:cs="Arial" w:eastAsia="Arial" w:hAnsi="Arial"/>
          <w:sz w:val="16"/>
          <w:szCs w:val="16"/>
          <w:color w:val="auto"/>
        </w:rPr>
        <w:t xml:space="preserve"> </w:t>
      </w:r>
      <w:r>
        <w:rPr>
          <w:rFonts w:ascii="Arial" w:cs="Arial" w:eastAsia="Arial" w:hAnsi="Arial"/>
          <w:sz w:val="16"/>
          <w:szCs w:val="16"/>
          <w:b w:val="1"/>
          <w:bCs w:val="1"/>
          <w:color w:val="auto"/>
        </w:rPr>
        <w:t>Commercialization Strategy</w:t>
      </w:r>
      <w:r>
        <w:rPr>
          <w:rFonts w:ascii="Arial" w:cs="Arial" w:eastAsia="Arial" w:hAnsi="Arial"/>
          <w:sz w:val="16"/>
          <w:szCs w:val="16"/>
          <w:color w:val="auto"/>
        </w:rPr>
        <w:t>"). [***] BioNTech shall provide Biotheus with its draft Global Commercialization Strategy and any draft</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thereto sufficiently in advance of the proposed adoption to afford Biotheus a reasonable opportunity to review and comment on the drafts and shall consider Biotheus’ comments and suggestions in good faith and shall incorporate any local requirements required by Applicable Law for the Retained Territory. Each Party will comply with the Global Commercialization Strategy in Commercializing Licensed Products in the Territory or the Retained Territory, as applicable. Notwithstanding the foregoing, Biotheus shall not be bound by any provisions in the Global Commercialization Strategy (as may be amended and supplemented) that are related to [***] of the Licensed Products in the Retained Territory.</w:t>
      </w:r>
    </w:p>
    <w:p>
      <w:pPr>
        <w:spacing w:after="0" w:line="267" w:lineRule="exact"/>
        <w:rPr>
          <w:rFonts w:ascii="Arial" w:cs="Arial" w:eastAsia="Arial" w:hAnsi="Arial"/>
          <w:sz w:val="16"/>
          <w:szCs w:val="16"/>
          <w:color w:val="auto"/>
        </w:rPr>
      </w:pPr>
    </w:p>
    <w:p>
      <w:pPr>
        <w:ind w:left="1120" w:hanging="550"/>
        <w:spacing w:after="0"/>
        <w:tabs>
          <w:tab w:leader="none" w:pos="1120" w:val="left"/>
        </w:tabs>
        <w:numPr>
          <w:ilvl w:val="0"/>
          <w:numId w:val="829"/>
        </w:numPr>
        <w:rPr>
          <w:rFonts w:ascii="Arial" w:cs="Arial" w:eastAsia="Arial" w:hAnsi="Arial"/>
          <w:sz w:val="16"/>
          <w:szCs w:val="16"/>
          <w:color w:val="auto"/>
        </w:rPr>
      </w:pPr>
      <w:r>
        <w:rPr>
          <w:rFonts w:ascii="Arial" w:cs="Arial" w:eastAsia="Arial" w:hAnsi="Arial"/>
          <w:sz w:val="16"/>
          <w:szCs w:val="16"/>
          <w:b w:val="1"/>
          <w:bCs w:val="1"/>
          <w:color w:val="auto"/>
        </w:rPr>
        <w:t>Formation of Joint Commercialization Working Group</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40" w:right="20"/>
        <w:spacing w:after="0" w:line="453" w:lineRule="auto"/>
        <w:rPr>
          <w:rFonts w:ascii="Arial" w:cs="Arial" w:eastAsia="Arial" w:hAnsi="Arial"/>
          <w:sz w:val="16"/>
          <w:szCs w:val="16"/>
          <w:color w:val="auto"/>
        </w:rPr>
      </w:pPr>
      <w:r>
        <w:rPr>
          <w:rFonts w:ascii="Arial" w:cs="Arial" w:eastAsia="Arial" w:hAnsi="Arial"/>
          <w:sz w:val="16"/>
          <w:szCs w:val="16"/>
          <w:color w:val="auto"/>
        </w:rPr>
        <w:t xml:space="preserve">The Parties will form a joint commercialization working group (" </w:t>
      </w:r>
      <w:r>
        <w:rPr>
          <w:rFonts w:ascii="Arial" w:cs="Arial" w:eastAsia="Arial" w:hAnsi="Arial"/>
          <w:sz w:val="16"/>
          <w:szCs w:val="16"/>
          <w:b w:val="1"/>
          <w:bCs w:val="1"/>
          <w:color w:val="auto"/>
        </w:rPr>
        <w:t>JCWG</w:t>
      </w:r>
      <w:r>
        <w:rPr>
          <w:rFonts w:ascii="Arial" w:cs="Arial" w:eastAsia="Arial" w:hAnsi="Arial"/>
          <w:sz w:val="16"/>
          <w:szCs w:val="16"/>
          <w:color w:val="auto"/>
        </w:rPr>
        <w:t>"). The working group will provide a forum for the Parties to coordinate Commercialization activities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40" w:orient="portrait"/>
          <w:cols w:equalWidth="0" w:num="1">
            <w:col w:w="10580"/>
          </w:cols>
          <w:pgMar w:left="660" w:top="1440" w:right="660" w:bottom="1440" w:gutter="0" w:footer="0" w:header="0"/>
        </w:sectPr>
      </w:pPr>
    </w:p>
    <w:bookmarkStart w:id="823" w:name="page824"/>
    <w:bookmarkEnd w:id="82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70" w:right="20"/>
        <w:spacing w:after="0" w:line="429" w:lineRule="auto"/>
        <w:rPr>
          <w:sz w:val="20"/>
          <w:szCs w:val="20"/>
          <w:color w:val="auto"/>
        </w:rPr>
      </w:pPr>
      <w:r>
        <w:rPr>
          <w:rFonts w:ascii="Arial" w:cs="Arial" w:eastAsia="Arial" w:hAnsi="Arial"/>
          <w:sz w:val="16"/>
          <w:szCs w:val="16"/>
          <w:color w:val="auto"/>
        </w:rPr>
        <w:t>relation to Licensed Products as between the Territory and the Retained Territory, for BioNTech to provide any updates to Biotheus with regards to the Global Commercialization Strategy, and for Biotheus to provide any updates to BioNTech on its Commercialization activities in the Retained Territory to as to demonstrate consistency with the Global Commercialization Strategy. The JCWG will consist of an equal number of representatives from each Party having experience in the Commercialization of pharmaceutical products. The JCWG will meet [***] or at such other frequency as the JCWG shall agree.</w:t>
      </w:r>
    </w:p>
    <w:p>
      <w:pPr>
        <w:spacing w:after="0" w:line="262" w:lineRule="exact"/>
        <w:rPr>
          <w:sz w:val="20"/>
          <w:szCs w:val="20"/>
          <w:color w:val="auto"/>
        </w:rPr>
      </w:pPr>
    </w:p>
    <w:p>
      <w:pPr>
        <w:ind w:left="550" w:hanging="550"/>
        <w:spacing w:after="0"/>
        <w:tabs>
          <w:tab w:leader="none" w:pos="550" w:val="left"/>
        </w:tabs>
        <w:numPr>
          <w:ilvl w:val="0"/>
          <w:numId w:val="830"/>
        </w:numPr>
        <w:rPr>
          <w:rFonts w:ascii="Arial" w:cs="Arial" w:eastAsia="Arial" w:hAnsi="Arial"/>
          <w:sz w:val="16"/>
          <w:szCs w:val="16"/>
          <w:color w:val="auto"/>
        </w:rPr>
      </w:pPr>
      <w:r>
        <w:rPr>
          <w:rFonts w:ascii="Arial" w:cs="Arial" w:eastAsia="Arial" w:hAnsi="Arial"/>
          <w:sz w:val="16"/>
          <w:szCs w:val="16"/>
          <w:b w:val="1"/>
          <w:bCs w:val="1"/>
          <w:color w:val="auto"/>
        </w:rPr>
        <w:t>Responsibilities in the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99" w:lineRule="auto"/>
        <w:rPr>
          <w:rFonts w:ascii="Arial" w:cs="Arial" w:eastAsia="Arial" w:hAnsi="Arial"/>
          <w:sz w:val="16"/>
          <w:szCs w:val="16"/>
          <w:color w:val="auto"/>
        </w:rPr>
      </w:pPr>
      <w:r>
        <w:rPr>
          <w:rFonts w:ascii="Arial" w:cs="Arial" w:eastAsia="Arial" w:hAnsi="Arial"/>
          <w:sz w:val="14"/>
          <w:szCs w:val="14"/>
          <w:color w:val="auto"/>
        </w:rPr>
        <w:t>Subject to the terms of this Agreement, BioNTech, either on its own or through Affiliates or Third Parties, shall have sole discretion over, and the sole right and responsibility for, at its sole cost and expense, the Development, Manufacture and Commercialization of Licensed Products in the Territory. Subject to Section 4.5 (Decision-Making), as between BioNTech and Biotheus, BioNTech shall have the sole decision-making authority for the operations, Development, Manufacture and Commercialization strategies and decisions, including funding and resourcing, related to the Development, Manufacture and Commercialization of Licensed Products in the Territory.</w:t>
      </w:r>
    </w:p>
    <w:p>
      <w:pPr>
        <w:spacing w:after="0" w:line="232" w:lineRule="exact"/>
        <w:rPr>
          <w:rFonts w:ascii="Arial" w:cs="Arial" w:eastAsia="Arial" w:hAnsi="Arial"/>
          <w:sz w:val="16"/>
          <w:szCs w:val="16"/>
          <w:color w:val="auto"/>
        </w:rPr>
      </w:pPr>
    </w:p>
    <w:p>
      <w:pPr>
        <w:ind w:left="550" w:hanging="550"/>
        <w:spacing w:after="0"/>
        <w:tabs>
          <w:tab w:leader="none" w:pos="550" w:val="left"/>
        </w:tabs>
        <w:numPr>
          <w:ilvl w:val="0"/>
          <w:numId w:val="830"/>
        </w:numPr>
        <w:rPr>
          <w:rFonts w:ascii="Arial" w:cs="Arial" w:eastAsia="Arial" w:hAnsi="Arial"/>
          <w:sz w:val="16"/>
          <w:szCs w:val="16"/>
          <w:color w:val="auto"/>
        </w:rPr>
      </w:pPr>
      <w:r>
        <w:rPr>
          <w:rFonts w:ascii="Arial" w:cs="Arial" w:eastAsia="Arial" w:hAnsi="Arial"/>
          <w:sz w:val="16"/>
          <w:szCs w:val="16"/>
          <w:b w:val="1"/>
          <w:bCs w:val="1"/>
          <w:color w:val="auto"/>
        </w:rPr>
        <w:t>Responsibilities in the Retained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8" w:lineRule="auto"/>
        <w:rPr>
          <w:rFonts w:ascii="Arial" w:cs="Arial" w:eastAsia="Arial" w:hAnsi="Arial"/>
          <w:sz w:val="16"/>
          <w:szCs w:val="16"/>
          <w:color w:val="auto"/>
        </w:rPr>
      </w:pPr>
      <w:r>
        <w:rPr>
          <w:rFonts w:ascii="Arial" w:cs="Arial" w:eastAsia="Arial" w:hAnsi="Arial"/>
          <w:sz w:val="16"/>
          <w:szCs w:val="16"/>
          <w:color w:val="auto"/>
        </w:rPr>
        <w:t>Subject to the terms of this Agreement, Biotheus, either on its own or through Affiliates or Third Parties, shall have sole discretion over, and the sole right and responsibility for, at its sole cost and expense, the Development, Manufacture and Commercialization of Licensed Products in the Retained Territory. Subject to Section 4.5 (Decision-Making), as between BioNTech and Biotheus, Biotheus shall have the sole decision-making authority for the operations, Development, Manufacture and Commercialization strategies and decisions, including funding and resourcing, related to the Development, Manufacture and Commercialization of Licensed Products in the Retained Territory.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54</w:t>
      </w:r>
    </w:p>
    <w:p>
      <w:pPr>
        <w:sectPr>
          <w:pgSz w:w="11900" w:h="16840" w:orient="portrait"/>
          <w:cols w:equalWidth="0" w:num="1">
            <w:col w:w="10010"/>
          </w:cols>
          <w:pgMar w:left="1230" w:top="1440" w:right="660" w:bottom="1440" w:gutter="0" w:footer="0" w:header="0"/>
        </w:sectPr>
      </w:pPr>
    </w:p>
    <w:bookmarkStart w:id="824" w:name="page825"/>
    <w:bookmarkEnd w:id="82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b w:val="1"/>
          <w:bCs w:val="1"/>
          <w:color w:val="auto"/>
        </w:rPr>
        <w:t>Diligence Obligation</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BioNTech shall use Commercially Reasonable Efforts to [***].</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b w:val="1"/>
          <w:bCs w:val="1"/>
          <w:color w:val="auto"/>
        </w:rPr>
        <w:t>Clinical Development Plans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31"/>
        </w:numPr>
        <w:rPr>
          <w:rFonts w:ascii="Arial" w:cs="Arial" w:eastAsia="Arial" w:hAnsi="Arial"/>
          <w:sz w:val="16"/>
          <w:szCs w:val="16"/>
          <w:color w:val="auto"/>
        </w:rPr>
      </w:pPr>
      <w:r>
        <w:rPr>
          <w:rFonts w:ascii="Arial" w:cs="Arial" w:eastAsia="Arial" w:hAnsi="Arial"/>
          <w:sz w:val="16"/>
          <w:szCs w:val="16"/>
          <w:b w:val="1"/>
          <w:bCs w:val="1"/>
          <w:color w:val="auto"/>
        </w:rPr>
        <w:t>Global CDP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5" w:lineRule="auto"/>
        <w:rPr>
          <w:rFonts w:ascii="Arial" w:cs="Arial" w:eastAsia="Arial" w:hAnsi="Arial"/>
          <w:sz w:val="16"/>
          <w:szCs w:val="16"/>
          <w:color w:val="auto"/>
        </w:rPr>
      </w:pPr>
      <w:r>
        <w:rPr>
          <w:rFonts w:ascii="Arial" w:cs="Arial" w:eastAsia="Arial" w:hAnsi="Arial"/>
          <w:sz w:val="16"/>
          <w:szCs w:val="16"/>
          <w:color w:val="auto"/>
        </w:rPr>
        <w:t>The Parties will agree in the JSC on a detailed clinical development plan (including any preclinical studies required to support clinical development activities) for any globally conducted trials for Licensed Products that recruit patients from both the Territory and the Retained Territory (the “</w:t>
      </w:r>
      <w:r>
        <w:rPr>
          <w:rFonts w:ascii="Arial" w:cs="Arial" w:eastAsia="Arial" w:hAnsi="Arial"/>
          <w:sz w:val="16"/>
          <w:szCs w:val="16"/>
          <w:b w:val="1"/>
          <w:bCs w:val="1"/>
          <w:color w:val="auto"/>
        </w:rPr>
        <w:t>Global Trials</w:t>
      </w:r>
      <w:r>
        <w:rPr>
          <w:rFonts w:ascii="Arial" w:cs="Arial" w:eastAsia="Arial" w:hAnsi="Arial"/>
          <w:sz w:val="16"/>
          <w:szCs w:val="16"/>
          <w:color w:val="auto"/>
        </w:rPr>
        <w:t xml:space="preserve">”), including a budget for development and manufacturing costs (the “ </w:t>
      </w:r>
      <w:r>
        <w:rPr>
          <w:rFonts w:ascii="Arial" w:cs="Arial" w:eastAsia="Arial" w:hAnsi="Arial"/>
          <w:sz w:val="16"/>
          <w:szCs w:val="16"/>
          <w:b w:val="1"/>
          <w:bCs w:val="1"/>
          <w:color w:val="auto"/>
        </w:rPr>
        <w:t>Global CDP</w:t>
      </w:r>
      <w:r>
        <w:rPr>
          <w:rFonts w:ascii="Arial" w:cs="Arial" w:eastAsia="Arial" w:hAnsi="Arial"/>
          <w:sz w:val="16"/>
          <w:szCs w:val="16"/>
          <w:color w:val="auto"/>
        </w:rPr>
        <w:t>”). BioNTech shall propose the draft of Global CDP to the JSC within [***] Business Days after the Effective Date and the Global CDP will be amended with new data/information as appropriate; [***]. An outline of the Global CDP is set out in Schedule 1. Pursuant to the Global CDP, [***] will be responsible for recruiting from the Retained Territory [***] of the total number of patients proposed for the applicable Global Trial, PROVIDED THAT such percentage may be adjusted by agreement of the Parties if required by a relevant Regulatory Authority. Any Global Trial will be run by or on behalf of BioNTech and BioNTech will be the regulatory sponsor of any Global Trial. Each Party will bear the costs associated with the conduct of any Global Trial in its respective territory, meaning that [***] shall bear the costs of recruiting from the Retained Territory [***] of the total number of patients for a Global Trial as set out in this Section 5.3(a) (Global CDP) (or, if applicable, any adjusted percentage agreed between the Parties if required by a relevant Regulatory Authority). [***] For clarity, Biotheus shall not be obligated to bear any costs or expenses of any Global Trials save as expressly contemplated by this Section 5.3(a) (Global CDP) (unless otherwise agreed between the Parties).</w:t>
      </w:r>
    </w:p>
    <w:p>
      <w:pPr>
        <w:spacing w:after="0" w:line="263" w:lineRule="exact"/>
        <w:rPr>
          <w:rFonts w:ascii="Arial" w:cs="Arial" w:eastAsia="Arial" w:hAnsi="Arial"/>
          <w:sz w:val="16"/>
          <w:szCs w:val="16"/>
          <w:color w:val="auto"/>
        </w:rPr>
      </w:pPr>
    </w:p>
    <w:p>
      <w:pPr>
        <w:ind w:left="1120" w:hanging="550"/>
        <w:spacing w:after="0"/>
        <w:tabs>
          <w:tab w:leader="none" w:pos="1120" w:val="left"/>
        </w:tabs>
        <w:numPr>
          <w:ilvl w:val="0"/>
          <w:numId w:val="831"/>
        </w:numPr>
        <w:rPr>
          <w:rFonts w:ascii="Arial" w:cs="Arial" w:eastAsia="Arial" w:hAnsi="Arial"/>
          <w:sz w:val="16"/>
          <w:szCs w:val="16"/>
          <w:color w:val="auto"/>
        </w:rPr>
      </w:pPr>
      <w:r>
        <w:rPr>
          <w:rFonts w:ascii="Arial" w:cs="Arial" w:eastAsia="Arial" w:hAnsi="Arial"/>
          <w:sz w:val="16"/>
          <w:szCs w:val="16"/>
          <w:b w:val="1"/>
          <w:bCs w:val="1"/>
          <w:color w:val="auto"/>
        </w:rPr>
        <w:t>Joint CDP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right="20"/>
        <w:spacing w:after="0" w:line="450" w:lineRule="auto"/>
        <w:rPr>
          <w:rFonts w:ascii="Arial" w:cs="Arial" w:eastAsia="Arial" w:hAnsi="Arial"/>
          <w:sz w:val="16"/>
          <w:szCs w:val="16"/>
          <w:color w:val="auto"/>
        </w:rPr>
      </w:pPr>
      <w:r>
        <w:rPr>
          <w:rFonts w:ascii="Arial" w:cs="Arial" w:eastAsia="Arial" w:hAnsi="Arial"/>
          <w:sz w:val="16"/>
          <w:szCs w:val="16"/>
          <w:color w:val="auto"/>
        </w:rPr>
        <w:t>Subject to Biotheus’ then-current capacity, the Parties will agree in the JSC on a detailed clinical development plan for any trials for Licensed Products to be conducted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40" w:orient="portrait"/>
          <w:cols w:equalWidth="0" w:num="1">
            <w:col w:w="10580"/>
          </w:cols>
          <w:pgMar w:left="660" w:top="1440" w:right="660" w:bottom="1440" w:gutter="0" w:footer="0" w:header="0"/>
        </w:sectPr>
      </w:pPr>
    </w:p>
    <w:bookmarkStart w:id="825" w:name="page826"/>
    <w:bookmarkEnd w:id="82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70"/>
        <w:spacing w:after="0" w:line="483" w:lineRule="auto"/>
        <w:rPr>
          <w:sz w:val="20"/>
          <w:szCs w:val="20"/>
          <w:color w:val="auto"/>
        </w:rPr>
      </w:pPr>
      <w:r>
        <w:rPr>
          <w:rFonts w:ascii="Arial" w:cs="Arial" w:eastAsia="Arial" w:hAnsi="Arial"/>
          <w:sz w:val="14"/>
          <w:szCs w:val="14"/>
          <w:color w:val="auto"/>
        </w:rPr>
        <w:t xml:space="preserve">by Biotheus on BioNTech’s behalf at BioNTech’s cost that recruit patients from the Territory (the “ </w:t>
      </w:r>
      <w:r>
        <w:rPr>
          <w:rFonts w:ascii="Arial" w:cs="Arial" w:eastAsia="Arial" w:hAnsi="Arial"/>
          <w:sz w:val="14"/>
          <w:szCs w:val="14"/>
          <w:b w:val="1"/>
          <w:bCs w:val="1"/>
          <w:color w:val="auto"/>
        </w:rPr>
        <w:t>Joint Trials</w:t>
      </w:r>
      <w:r>
        <w:rPr>
          <w:rFonts w:ascii="Arial" w:cs="Arial" w:eastAsia="Arial" w:hAnsi="Arial"/>
          <w:sz w:val="14"/>
          <w:szCs w:val="14"/>
          <w:color w:val="auto"/>
        </w:rPr>
        <w:t>”), including a budget for development and manufacturing costs (the “</w:t>
      </w:r>
      <w:r>
        <w:rPr>
          <w:rFonts w:ascii="Arial" w:cs="Arial" w:eastAsia="Arial" w:hAnsi="Arial"/>
          <w:sz w:val="14"/>
          <w:szCs w:val="14"/>
          <w:b w:val="1"/>
          <w:bCs w:val="1"/>
          <w:color w:val="auto"/>
        </w:rPr>
        <w:t>Joint CDP</w:t>
      </w:r>
      <w:r>
        <w:rPr>
          <w:rFonts w:ascii="Arial" w:cs="Arial" w:eastAsia="Arial" w:hAnsi="Arial"/>
          <w:sz w:val="14"/>
          <w:szCs w:val="14"/>
          <w:color w:val="auto"/>
        </w:rPr>
        <w:t>”). Such Joint CDP will be agreed between the Parties within two [***] after the Effective Date and will be amended from time to time. An outline of the [***]. The Joint CDP will include: (a) the principal Development objectives to be undertaken, (b) the specific activities to be performed by Biotheus and any activities to be performed by BioNTech, and</w:t>
      </w:r>
    </w:p>
    <w:p>
      <w:pPr>
        <w:spacing w:after="0" w:line="2" w:lineRule="exact"/>
        <w:rPr>
          <w:sz w:val="20"/>
          <w:szCs w:val="20"/>
          <w:color w:val="auto"/>
        </w:rPr>
      </w:pPr>
    </w:p>
    <w:p>
      <w:pPr>
        <w:jc w:val="both"/>
        <w:ind w:left="570" w:hanging="6"/>
        <w:spacing w:after="0" w:line="426" w:lineRule="auto"/>
        <w:tabs>
          <w:tab w:leader="none" w:pos="818" w:val="left"/>
        </w:tabs>
        <w:numPr>
          <w:ilvl w:val="1"/>
          <w:numId w:val="832"/>
        </w:numPr>
        <w:rPr>
          <w:rFonts w:ascii="Arial" w:cs="Arial" w:eastAsia="Arial" w:hAnsi="Arial"/>
          <w:sz w:val="16"/>
          <w:szCs w:val="16"/>
          <w:color w:val="auto"/>
        </w:rPr>
      </w:pPr>
      <w:r>
        <w:rPr>
          <w:rFonts w:ascii="Arial" w:cs="Arial" w:eastAsia="Arial" w:hAnsi="Arial"/>
          <w:sz w:val="16"/>
          <w:szCs w:val="16"/>
          <w:color w:val="auto"/>
        </w:rPr>
        <w:t>the estimated timelines and a budget for expected Internal Costs and estimated External Expenses for the performance of such activities by Biotheus. Biotheus will provide BioNTech with updates on material developments (including preclinical and clinical Development activities), findings and issues as soon as they arise in respect of activities undertaken by Biotheus pursuant to the Joint CDP in addition to regular updates in writing at least [***] on activities completed and progress made under such plan. Biotheus shall also provide with each update to BioNTech all data and results generated in carrying out the activities under the Joint CDP since the last update and shall make available Biotheus personnel to discuss such data and results. Any Joint Trial will be run by Biotheus on behalf of BioNTech and BioNTech will be the regulatory sponsor of any Joint Trial. The costs of such Joint Trials will be borne by BioNTech in accordance with Section 5.3(d) (Eligible Development Costs for the Joint CDP).</w:t>
      </w:r>
    </w:p>
    <w:p>
      <w:pPr>
        <w:spacing w:after="0" w:line="266" w:lineRule="exact"/>
        <w:rPr>
          <w:rFonts w:ascii="Arial" w:cs="Arial" w:eastAsia="Arial" w:hAnsi="Arial"/>
          <w:sz w:val="16"/>
          <w:szCs w:val="16"/>
          <w:color w:val="auto"/>
        </w:rPr>
      </w:pPr>
    </w:p>
    <w:p>
      <w:pPr>
        <w:ind w:left="550" w:hanging="550"/>
        <w:spacing w:after="0"/>
        <w:tabs>
          <w:tab w:leader="none" w:pos="550" w:val="left"/>
        </w:tabs>
        <w:numPr>
          <w:ilvl w:val="0"/>
          <w:numId w:val="833"/>
        </w:numPr>
        <w:rPr>
          <w:rFonts w:ascii="Arial" w:cs="Arial" w:eastAsia="Arial" w:hAnsi="Arial"/>
          <w:sz w:val="16"/>
          <w:szCs w:val="16"/>
          <w:color w:val="auto"/>
        </w:rPr>
      </w:pPr>
      <w:r>
        <w:rPr>
          <w:rFonts w:ascii="Arial" w:cs="Arial" w:eastAsia="Arial" w:hAnsi="Arial"/>
          <w:sz w:val="16"/>
          <w:szCs w:val="16"/>
          <w:b w:val="1"/>
          <w:bCs w:val="1"/>
          <w:color w:val="auto"/>
        </w:rPr>
        <w:t>Changes to Global CDP and Joint CDP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9" w:lineRule="auto"/>
        <w:rPr>
          <w:rFonts w:ascii="Arial" w:cs="Arial" w:eastAsia="Arial" w:hAnsi="Arial"/>
          <w:sz w:val="16"/>
          <w:szCs w:val="16"/>
          <w:color w:val="auto"/>
        </w:rPr>
      </w:pPr>
      <w:r>
        <w:rPr>
          <w:rFonts w:ascii="Arial" w:cs="Arial" w:eastAsia="Arial" w:hAnsi="Arial"/>
          <w:sz w:val="16"/>
          <w:szCs w:val="16"/>
          <w:color w:val="auto"/>
        </w:rPr>
        <w:t>The JSC shall review the Global CDP and the Joint CDP as appropriate and shall update the plan accordingly. Either Party may suggest to the JSC modifications to the Global CDP and the Joint CDP which modifications will be reviewed and agreed by the JSC. If the JSC cannot reach consensus with respect to changes to the Global CDP and the Joint CDP within [***] days of updates thereto being proposed to the JSC, subject to the restriction set forth in Sections 4.5(b) (Escalation) and 5.3(a) (Global CDP), BioNTech shall have final say with regard to setting the content of such Global CDP and the Joint CDP.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56</w:t>
      </w:r>
    </w:p>
    <w:p>
      <w:pPr>
        <w:sectPr>
          <w:pgSz w:w="11900" w:h="16840" w:orient="portrait"/>
          <w:cols w:equalWidth="0" w:num="1">
            <w:col w:w="10010"/>
          </w:cols>
          <w:pgMar w:left="1230" w:top="1440" w:right="660" w:bottom="1440" w:gutter="0" w:footer="0" w:header="0"/>
        </w:sectPr>
      </w:pPr>
    </w:p>
    <w:bookmarkStart w:id="826" w:name="page827"/>
    <w:bookmarkEnd w:id="82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34"/>
        </w:numPr>
        <w:rPr>
          <w:rFonts w:ascii="Arial" w:cs="Arial" w:eastAsia="Arial" w:hAnsi="Arial"/>
          <w:sz w:val="16"/>
          <w:szCs w:val="16"/>
          <w:color w:val="auto"/>
        </w:rPr>
      </w:pPr>
      <w:r>
        <w:rPr>
          <w:rFonts w:ascii="Arial" w:cs="Arial" w:eastAsia="Arial" w:hAnsi="Arial"/>
          <w:sz w:val="16"/>
          <w:szCs w:val="16"/>
          <w:b w:val="1"/>
          <w:bCs w:val="1"/>
          <w:color w:val="auto"/>
        </w:rPr>
        <w:t>Eligible Development Costs for the Joint CDP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6" w:lineRule="auto"/>
        <w:rPr>
          <w:rFonts w:ascii="Arial" w:cs="Arial" w:eastAsia="Arial" w:hAnsi="Arial"/>
          <w:sz w:val="16"/>
          <w:szCs w:val="16"/>
          <w:color w:val="auto"/>
        </w:rPr>
      </w:pPr>
      <w:r>
        <w:rPr>
          <w:rFonts w:ascii="Arial" w:cs="Arial" w:eastAsia="Arial" w:hAnsi="Arial"/>
          <w:sz w:val="16"/>
          <w:szCs w:val="16"/>
          <w:color w:val="auto"/>
        </w:rPr>
        <w:t>Subject to the provisions of Section 7.1(b) (Supplies of PM8002 Licensed Products for Global CDP and Joint CDP), BioNTech will be responsible for the Eligible Development Costs incurred by Biotheus in the performance of Joint CDP Activities allocated to Biotheus under the Joint CDP, unless agreed otherwise by the Parties. BioNTech shall reimburse Biotheus for such Eligible Development Costs incurred in accordance with the budget set out in the Joint CDP by quarterly payments in arrears. BioNTech shall have no obligation to reimburse Biotheus for Eligible Development Costs incurred by Biotheus that are not included in the budget set out in the Joint CDP. Biotheus shall submit invoices for Eligible Development Costs to BioNTech at [***] and BioNTech shall make payment for Eligible Development Costs within [***] days following the receipt of an undisputed invoice from Biotheus. Each such invoice shall be accompanied by reasonable supporting documentation with respect to the Eligible Development Costs included in such invoice.</w:t>
      </w:r>
    </w:p>
    <w:p>
      <w:pPr>
        <w:spacing w:after="0" w:line="266" w:lineRule="exact"/>
        <w:rPr>
          <w:rFonts w:ascii="Arial" w:cs="Arial" w:eastAsia="Arial" w:hAnsi="Arial"/>
          <w:sz w:val="16"/>
          <w:szCs w:val="16"/>
          <w:color w:val="auto"/>
        </w:rPr>
      </w:pPr>
    </w:p>
    <w:p>
      <w:pPr>
        <w:ind w:left="550" w:hanging="550"/>
        <w:spacing w:after="0"/>
        <w:tabs>
          <w:tab w:leader="none" w:pos="550" w:val="left"/>
        </w:tabs>
        <w:numPr>
          <w:ilvl w:val="0"/>
          <w:numId w:val="834"/>
        </w:numPr>
        <w:rPr>
          <w:rFonts w:ascii="Arial" w:cs="Arial" w:eastAsia="Arial" w:hAnsi="Arial"/>
          <w:sz w:val="16"/>
          <w:szCs w:val="16"/>
          <w:color w:val="auto"/>
        </w:rPr>
      </w:pPr>
      <w:r>
        <w:rPr>
          <w:rFonts w:ascii="Arial" w:cs="Arial" w:eastAsia="Arial" w:hAnsi="Arial"/>
          <w:sz w:val="16"/>
          <w:szCs w:val="16"/>
          <w:b w:val="1"/>
          <w:bCs w:val="1"/>
          <w:color w:val="auto"/>
        </w:rPr>
        <w:t>Eligible Development Costs for the Global CDP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516" w:lineRule="auto"/>
        <w:rPr>
          <w:rFonts w:ascii="Arial" w:cs="Arial" w:eastAsia="Arial" w:hAnsi="Arial"/>
          <w:sz w:val="16"/>
          <w:szCs w:val="16"/>
          <w:color w:val="auto"/>
        </w:rPr>
      </w:pPr>
      <w:r>
        <w:rPr>
          <w:rFonts w:ascii="Arial" w:cs="Arial" w:eastAsia="Arial" w:hAnsi="Arial"/>
          <w:sz w:val="14"/>
          <w:szCs w:val="14"/>
          <w:color w:val="auto"/>
        </w:rPr>
        <w:t>Subject to the provisions of Section 7.1(b) (Supplies of PM8002 Licensed Products for Global CDP and Joint CDP), each Party will bear the Eligible Development Costs incurred in carrying out the Global CDP Activities in its respective territory, which in the case of Biotheus shall include the costs of recruiting patients from the Retained Territory for a Global Trial as set out in Section 5.3(a) (Global CDP).</w:t>
      </w:r>
    </w:p>
    <w:p>
      <w:pPr>
        <w:spacing w:after="0" w:line="219" w:lineRule="exact"/>
        <w:rPr>
          <w:rFonts w:ascii="Arial" w:cs="Arial" w:eastAsia="Arial" w:hAnsi="Arial"/>
          <w:sz w:val="16"/>
          <w:szCs w:val="16"/>
          <w:color w:val="auto"/>
        </w:rPr>
      </w:pPr>
    </w:p>
    <w:p>
      <w:pPr>
        <w:ind w:left="550" w:hanging="550"/>
        <w:spacing w:after="0"/>
        <w:tabs>
          <w:tab w:leader="none" w:pos="550" w:val="left"/>
        </w:tabs>
        <w:numPr>
          <w:ilvl w:val="0"/>
          <w:numId w:val="834"/>
        </w:numPr>
        <w:rPr>
          <w:rFonts w:ascii="Arial" w:cs="Arial" w:eastAsia="Arial" w:hAnsi="Arial"/>
          <w:sz w:val="16"/>
          <w:szCs w:val="16"/>
          <w:color w:val="auto"/>
        </w:rPr>
      </w:pPr>
      <w:r>
        <w:rPr>
          <w:rFonts w:ascii="Arial" w:cs="Arial" w:eastAsia="Arial" w:hAnsi="Arial"/>
          <w:sz w:val="16"/>
          <w:szCs w:val="16"/>
          <w:b w:val="1"/>
          <w:bCs w:val="1"/>
          <w:color w:val="auto"/>
        </w:rPr>
        <w:t>BioNTech Right to Carry out Activities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9" w:lineRule="auto"/>
        <w:rPr>
          <w:rFonts w:ascii="Arial" w:cs="Arial" w:eastAsia="Arial" w:hAnsi="Arial"/>
          <w:sz w:val="16"/>
          <w:szCs w:val="16"/>
          <w:color w:val="auto"/>
        </w:rPr>
      </w:pPr>
      <w:r>
        <w:rPr>
          <w:rFonts w:ascii="Arial" w:cs="Arial" w:eastAsia="Arial" w:hAnsi="Arial"/>
          <w:sz w:val="16"/>
          <w:szCs w:val="16"/>
          <w:color w:val="auto"/>
        </w:rPr>
        <w:t>BioNTech shall have the right but not the obligation to carry out any Joint CDP Activities or Global CDP Activities that are allocated to Biotheus if Biotheus fails to carry out such Joint CDP Activities or Global CDP Activities in accordance with the Joint CDP or Global CDP and the terms of this Agreement. In such circumstances BioNTech shall have no obligation to reimburse Biotheus for the Eligible Development Costs incurred by Biotheus for the activities which Biotheus failed to carried out in accordance with the Joint CDP or Global CDP and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57</w:t>
      </w:r>
    </w:p>
    <w:p>
      <w:pPr>
        <w:sectPr>
          <w:pgSz w:w="11900" w:h="16840" w:orient="portrait"/>
          <w:cols w:equalWidth="0" w:num="1">
            <w:col w:w="9990"/>
          </w:cols>
          <w:pgMar w:left="1230" w:top="1440" w:right="680" w:bottom="1440" w:gutter="0" w:footer="0" w:header="0"/>
        </w:sectPr>
      </w:pPr>
    </w:p>
    <w:bookmarkStart w:id="827" w:name="page828"/>
    <w:bookmarkEnd w:id="82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b w:val="1"/>
          <w:bCs w:val="1"/>
          <w:color w:val="auto"/>
        </w:rPr>
        <w:t>Conduct of Global CDP and Joint CDP Activities</w:t>
      </w:r>
    </w:p>
    <w:p>
      <w:pPr>
        <w:spacing w:after="0" w:line="200" w:lineRule="exact"/>
        <w:rPr>
          <w:sz w:val="20"/>
          <w:szCs w:val="20"/>
          <w:color w:val="auto"/>
        </w:rPr>
      </w:pPr>
    </w:p>
    <w:p>
      <w:pPr>
        <w:spacing w:after="0" w:line="230" w:lineRule="exact"/>
        <w:rPr>
          <w:sz w:val="20"/>
          <w:szCs w:val="20"/>
          <w:color w:val="auto"/>
        </w:rPr>
      </w:pPr>
    </w:p>
    <w:p>
      <w:pPr>
        <w:jc w:val="both"/>
        <w:ind w:left="1140" w:right="20" w:hanging="570"/>
        <w:spacing w:after="0" w:line="436" w:lineRule="auto"/>
        <w:tabs>
          <w:tab w:leader="none" w:pos="1128" w:val="left"/>
        </w:tabs>
        <w:numPr>
          <w:ilvl w:val="0"/>
          <w:numId w:val="835"/>
        </w:numPr>
        <w:rPr>
          <w:rFonts w:ascii="Arial" w:cs="Arial" w:eastAsia="Arial" w:hAnsi="Arial"/>
          <w:sz w:val="16"/>
          <w:szCs w:val="16"/>
          <w:color w:val="auto"/>
        </w:rPr>
      </w:pPr>
      <w:r>
        <w:rPr>
          <w:rFonts w:ascii="Arial" w:cs="Arial" w:eastAsia="Arial" w:hAnsi="Arial"/>
          <w:sz w:val="16"/>
          <w:szCs w:val="16"/>
          <w:color w:val="auto"/>
        </w:rPr>
        <w:t>Following the Effective Date, BioNTech will take over as regulatory sponsor with respect to any Clinical Trials with respect to Licensed Products ongoing as at the Effective Date in the Territory. The Parties will discuss and agree the timing and process for such transfer via the JSC.</w:t>
      </w:r>
    </w:p>
    <w:p>
      <w:pPr>
        <w:spacing w:after="0" w:line="257" w:lineRule="exact"/>
        <w:rPr>
          <w:rFonts w:ascii="Arial" w:cs="Arial" w:eastAsia="Arial" w:hAnsi="Arial"/>
          <w:sz w:val="16"/>
          <w:szCs w:val="16"/>
          <w:color w:val="auto"/>
        </w:rPr>
      </w:pPr>
    </w:p>
    <w:p>
      <w:pPr>
        <w:ind w:left="1140" w:right="20" w:hanging="570"/>
        <w:spacing w:after="0" w:line="549" w:lineRule="auto"/>
        <w:tabs>
          <w:tab w:leader="none" w:pos="1128" w:val="left"/>
        </w:tabs>
        <w:numPr>
          <w:ilvl w:val="0"/>
          <w:numId w:val="835"/>
        </w:numPr>
        <w:rPr>
          <w:rFonts w:ascii="Arial" w:cs="Arial" w:eastAsia="Arial" w:hAnsi="Arial"/>
          <w:sz w:val="14"/>
          <w:szCs w:val="14"/>
          <w:color w:val="auto"/>
        </w:rPr>
      </w:pPr>
      <w:r>
        <w:rPr>
          <w:rFonts w:ascii="Arial" w:cs="Arial" w:eastAsia="Arial" w:hAnsi="Arial"/>
          <w:sz w:val="14"/>
          <w:szCs w:val="14"/>
          <w:color w:val="auto"/>
        </w:rPr>
        <w:t>Each Party will ensure that it allocates the appropriate number of suitably qualified staff to carry out the Global CDP Activities and Joint CDP Activities. All communications in respect of the Global CDP Activities and Joint CDP Activities will be carried out in English.</w:t>
      </w:r>
    </w:p>
    <w:p>
      <w:pPr>
        <w:spacing w:after="0" w:line="199" w:lineRule="exact"/>
        <w:rPr>
          <w:rFonts w:ascii="Arial" w:cs="Arial" w:eastAsia="Arial" w:hAnsi="Arial"/>
          <w:sz w:val="14"/>
          <w:szCs w:val="14"/>
          <w:color w:val="auto"/>
        </w:rPr>
      </w:pPr>
    </w:p>
    <w:p>
      <w:pPr>
        <w:jc w:val="both"/>
        <w:ind w:left="1140" w:right="20" w:hanging="570"/>
        <w:spacing w:after="0" w:line="436" w:lineRule="auto"/>
        <w:tabs>
          <w:tab w:leader="none" w:pos="1128" w:val="left"/>
        </w:tabs>
        <w:numPr>
          <w:ilvl w:val="0"/>
          <w:numId w:val="835"/>
        </w:numPr>
        <w:rPr>
          <w:rFonts w:ascii="Arial" w:cs="Arial" w:eastAsia="Arial" w:hAnsi="Arial"/>
          <w:sz w:val="16"/>
          <w:szCs w:val="16"/>
          <w:color w:val="auto"/>
        </w:rPr>
      </w:pPr>
      <w:r>
        <w:rPr>
          <w:rFonts w:ascii="Arial" w:cs="Arial" w:eastAsia="Arial" w:hAnsi="Arial"/>
          <w:sz w:val="16"/>
          <w:szCs w:val="16"/>
          <w:color w:val="auto"/>
        </w:rPr>
        <w:t>Each Party will execute (itself or through its Affiliates or any subcontractor) the Global CDP Activities and Joint CDP Activities allocated to it set forth therein in accordance with the Global CDP and Joint CDP to achieve the objectives in the Global CDP and Joint CDP as applicable.</w:t>
      </w:r>
    </w:p>
    <w:p>
      <w:pPr>
        <w:spacing w:after="0" w:line="257" w:lineRule="exact"/>
        <w:rPr>
          <w:rFonts w:ascii="Arial" w:cs="Arial" w:eastAsia="Arial" w:hAnsi="Arial"/>
          <w:sz w:val="16"/>
          <w:szCs w:val="16"/>
          <w:color w:val="auto"/>
        </w:rPr>
      </w:pPr>
    </w:p>
    <w:p>
      <w:pPr>
        <w:jc w:val="both"/>
        <w:ind w:left="1140" w:right="20" w:hanging="570"/>
        <w:spacing w:after="0" w:line="492" w:lineRule="auto"/>
        <w:tabs>
          <w:tab w:leader="none" w:pos="1128" w:val="left"/>
        </w:tabs>
        <w:numPr>
          <w:ilvl w:val="0"/>
          <w:numId w:val="835"/>
        </w:numPr>
        <w:rPr>
          <w:rFonts w:ascii="Arial" w:cs="Arial" w:eastAsia="Arial" w:hAnsi="Arial"/>
          <w:sz w:val="14"/>
          <w:szCs w:val="14"/>
          <w:color w:val="auto"/>
        </w:rPr>
      </w:pPr>
      <w:r>
        <w:rPr>
          <w:rFonts w:ascii="Arial" w:cs="Arial" w:eastAsia="Arial" w:hAnsi="Arial"/>
          <w:sz w:val="14"/>
          <w:szCs w:val="14"/>
          <w:color w:val="auto"/>
        </w:rPr>
        <w:t>Each Party: (a) will comply with all Applicable Laws in the performance of work under this Agreement and the Global CDP and Joint CDP and shall ensure that its Affiliates and subcontractors (as applicable) execute any Global CDP Activities and Joint CDP Activities on such Party's behalf under this Agreement and the Global CDP and Joint CDP in compliance with all Applicable Laws, and (b) shall, and shall procure that its Affiliates and subcontractors (as applicable), undertake the Global CDP Activities and Joint CDP Activities in good scientific manner and using appropriately skilled personnel. Without limiting the foregoing or any other provision of this Agreement, if a relevant Regulatory Authority finds (via an inspection or otherwise) that Biotheus, its Affiliates or subcontractors are not complying with the requirements of this Section 5.4(d) (Conduct of Global CDP and Joint CDP Activities) then the Parties shall via the JSC discuss and agree a remediation plan and Biotheus shall follow such plan so as to cure any non-compliance.</w:t>
      </w:r>
    </w:p>
    <w:p>
      <w:pPr>
        <w:spacing w:after="0" w:line="240" w:lineRule="exact"/>
        <w:rPr>
          <w:rFonts w:ascii="Arial" w:cs="Arial" w:eastAsia="Arial" w:hAnsi="Arial"/>
          <w:sz w:val="14"/>
          <w:szCs w:val="14"/>
          <w:color w:val="auto"/>
        </w:rPr>
      </w:pPr>
    </w:p>
    <w:p>
      <w:pPr>
        <w:ind w:left="1140" w:hanging="570"/>
        <w:spacing w:after="0" w:line="450" w:lineRule="auto"/>
        <w:tabs>
          <w:tab w:leader="none" w:pos="1128" w:val="left"/>
        </w:tabs>
        <w:numPr>
          <w:ilvl w:val="0"/>
          <w:numId w:val="835"/>
        </w:numPr>
        <w:rPr>
          <w:rFonts w:ascii="Arial" w:cs="Arial" w:eastAsia="Arial" w:hAnsi="Arial"/>
          <w:sz w:val="16"/>
          <w:szCs w:val="16"/>
          <w:color w:val="auto"/>
        </w:rPr>
      </w:pPr>
      <w:r>
        <w:rPr>
          <w:rFonts w:ascii="Arial" w:cs="Arial" w:eastAsia="Arial" w:hAnsi="Arial"/>
          <w:sz w:val="16"/>
          <w:szCs w:val="16"/>
          <w:color w:val="auto"/>
        </w:rPr>
        <w:t>Each Party will maintain laboratories, offices, and all other facilities at its own expense and risk necessary to carry out its responsibilities under the Global CDP and Joint CDP. Each Party agrees to make its employees reasonably available at their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40" w:orient="portrait"/>
          <w:cols w:equalWidth="0" w:num="1">
            <w:col w:w="10580"/>
          </w:cols>
          <w:pgMar w:left="660" w:top="1440" w:right="660" w:bottom="1440" w:gutter="0" w:footer="0" w:header="0"/>
        </w:sectPr>
      </w:pPr>
    </w:p>
    <w:bookmarkStart w:id="828" w:name="page829"/>
    <w:bookmarkEnd w:id="82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right="20"/>
        <w:spacing w:after="0" w:line="549" w:lineRule="auto"/>
        <w:rPr>
          <w:sz w:val="20"/>
          <w:szCs w:val="20"/>
          <w:color w:val="auto"/>
        </w:rPr>
      </w:pPr>
      <w:r>
        <w:rPr>
          <w:rFonts w:ascii="Arial" w:cs="Arial" w:eastAsia="Arial" w:hAnsi="Arial"/>
          <w:sz w:val="14"/>
          <w:szCs w:val="14"/>
          <w:color w:val="auto"/>
        </w:rPr>
        <w:t>respective places of employment to consult with the other Party on issues arising during the performance of any Global CDP Activities and Joint CDP Activities. BioNTech and Biotheus will cooperate with each other in carrying out the Global CDP and Joint CDP.</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b w:val="1"/>
          <w:bCs w:val="1"/>
          <w:color w:val="auto"/>
        </w:rPr>
        <w:t>Clinical Trials in the Territory and Combination Trials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50" w:lineRule="auto"/>
        <w:rPr>
          <w:sz w:val="20"/>
          <w:szCs w:val="20"/>
          <w:color w:val="auto"/>
        </w:rPr>
      </w:pPr>
      <w:r>
        <w:rPr>
          <w:rFonts w:ascii="Arial" w:cs="Arial" w:eastAsia="Arial" w:hAnsi="Arial"/>
          <w:sz w:val="16"/>
          <w:szCs w:val="16"/>
          <w:color w:val="auto"/>
        </w:rPr>
        <w:t>Biotheus may not conduct any Clinical Trials or other studies in relation to the Licensed Products in the Territory except pursuant to the Joint CDP or as set out in this Section 5.5 (Clinical Trials in the Territory and Combination Trials). [***]</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4"/>
          <w:szCs w:val="14"/>
          <w:b w:val="1"/>
          <w:bCs w:val="1"/>
          <w:color w:val="auto"/>
        </w:rPr>
        <w:t>Data Sharing</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4" w:lineRule="auto"/>
        <w:rPr>
          <w:sz w:val="20"/>
          <w:szCs w:val="20"/>
          <w:color w:val="auto"/>
        </w:rPr>
      </w:pPr>
      <w:r>
        <w:rPr>
          <w:rFonts w:ascii="Arial" w:cs="Arial" w:eastAsia="Arial" w:hAnsi="Arial"/>
          <w:sz w:val="16"/>
          <w:szCs w:val="16"/>
          <w:color w:val="auto"/>
        </w:rPr>
        <w:t>To the extent permitted under Applicable Law, each Party hereby grants to the other Party (and its Affiliates and their respective licensees (in case of Biotheus) or Sublicensees (in case of BioNTech)), [***] the right to access the clinical and non-clinical data Controlled by that Party or its Affiliates and to cross-reference such data in the Regulatory Fillings of the other Party or any of its Affiliates and their respective licensees (in case of Biotheus) or Sublicensees (in case of BioNTech) in the other Party’s territory. [***] where Biotheus uses the clinical data generated by or on behalf of BioNTech in an Opted-Out Trial in Biotheus’ Regulatory Filings with the Regulatory Authorities in the Retained Territory for the purpose of obtaining Regulatory Authorizations of a Licensed Product for the Opted-Out Indication with respect to such Opted-Out Trial, then such use by Biotheus shall be subject to reimbursement of [***] of BioNTech's costs incurred for generating such clinical data in an Opted-Out Trial for the relevant Opt-Out Indication, calculated in accordance with Section 5.3(e) (Eligible Development Costs for the Global CDP) multiplied by [***]. For the purpose of this Section 5.6 (Data Sharing), if BioNTech proposes to conduct a Global Trial for a given Indication and Biotheus does not share in the costs of such trial in accordance with Section 5.3 (Clinical Development Plans), then such Clinical Trial is an “</w:t>
      </w:r>
      <w:r>
        <w:rPr>
          <w:rFonts w:ascii="Arial" w:cs="Arial" w:eastAsia="Arial" w:hAnsi="Arial"/>
          <w:sz w:val="16"/>
          <w:szCs w:val="16"/>
          <w:b w:val="1"/>
          <w:bCs w:val="1"/>
          <w:color w:val="auto"/>
        </w:rPr>
        <w:t>Opted-Out</w:t>
      </w:r>
      <w:r>
        <w:rPr>
          <w:rFonts w:ascii="Arial" w:cs="Arial" w:eastAsia="Arial" w:hAnsi="Arial"/>
          <w:sz w:val="16"/>
          <w:szCs w:val="16"/>
          <w:color w:val="auto"/>
        </w:rPr>
        <w:t xml:space="preserve"> </w:t>
      </w:r>
      <w:r>
        <w:rPr>
          <w:rFonts w:ascii="Arial" w:cs="Arial" w:eastAsia="Arial" w:hAnsi="Arial"/>
          <w:sz w:val="16"/>
          <w:szCs w:val="16"/>
          <w:b w:val="1"/>
          <w:bCs w:val="1"/>
          <w:color w:val="auto"/>
        </w:rPr>
        <w:t>Trial</w:t>
      </w:r>
      <w:r>
        <w:rPr>
          <w:rFonts w:ascii="Arial" w:cs="Arial" w:eastAsia="Arial" w:hAnsi="Arial"/>
          <w:sz w:val="16"/>
          <w:szCs w:val="16"/>
          <w:color w:val="auto"/>
        </w:rPr>
        <w:t>” and such Indication is an “</w:t>
      </w:r>
      <w:r>
        <w:rPr>
          <w:rFonts w:ascii="Arial" w:cs="Arial" w:eastAsia="Arial" w:hAnsi="Arial"/>
          <w:sz w:val="16"/>
          <w:szCs w:val="16"/>
          <w:b w:val="1"/>
          <w:bCs w:val="1"/>
          <w:color w:val="auto"/>
        </w:rPr>
        <w:t>Opted-Out Indication</w:t>
      </w:r>
      <w:r>
        <w:rPr>
          <w:rFonts w:ascii="Arial" w:cs="Arial" w:eastAsia="Arial" w:hAnsi="Arial"/>
          <w:sz w:val="16"/>
          <w:szCs w:val="16"/>
          <w:color w:val="auto"/>
        </w:rPr>
        <w:t>”. If any BioNTech Background IP or BioNTech Foreground IP is incorporated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Products Developed under the Global CDP in which Biotheus shares in the costs under such Global CDP in accordance with Section 5.3 (Clinical Development Plans) above, (a) BioNTech hereby grants to Biotheus a non-exclusive, sublicensable (through multiple tiers), [***] under such BioNTech Background IP or BioNTech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40" w:orient="portrait"/>
          <w:cols w:equalWidth="0" w:num="1">
            <w:col w:w="10580"/>
          </w:cols>
          <w:pgMar w:left="660" w:top="1440" w:right="660" w:bottom="1440" w:gutter="0" w:footer="0" w:header="0"/>
        </w:sectPr>
      </w:pPr>
    </w:p>
    <w:bookmarkStart w:id="829" w:name="page830"/>
    <w:bookmarkEnd w:id="82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40"/>
        <w:spacing w:after="0" w:line="516" w:lineRule="auto"/>
        <w:rPr>
          <w:sz w:val="20"/>
          <w:szCs w:val="20"/>
          <w:color w:val="auto"/>
        </w:rPr>
      </w:pPr>
      <w:r>
        <w:rPr>
          <w:rFonts w:ascii="Arial" w:cs="Arial" w:eastAsia="Arial" w:hAnsi="Arial"/>
          <w:sz w:val="14"/>
          <w:szCs w:val="14"/>
          <w:color w:val="auto"/>
        </w:rPr>
        <w:t>Foreground IP that is so incorporated by or on behalf of BioNTech; and (b) at Biotheus’ request, BioNTech shall promptly transfer or cause its contractor(s) to transfer to Biotheus or its designated Third Party contractor all Know-How within such BioNTech Background IP or BioNTech Foreground IP, in each case (a) and (b) for the sole purpose of Biotheus Exploiting such Licensed Products in the Retained Territory.</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b w:val="1"/>
          <w:bCs w:val="1"/>
          <w:color w:val="auto"/>
        </w:rPr>
        <w:t>Reporting</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36"/>
        </w:numPr>
        <w:rPr>
          <w:rFonts w:ascii="Arial" w:cs="Arial" w:eastAsia="Arial" w:hAnsi="Arial"/>
          <w:sz w:val="16"/>
          <w:szCs w:val="16"/>
          <w:color w:val="auto"/>
        </w:rPr>
      </w:pPr>
      <w:r>
        <w:rPr>
          <w:rFonts w:ascii="Arial" w:cs="Arial" w:eastAsia="Arial" w:hAnsi="Arial"/>
          <w:sz w:val="16"/>
          <w:szCs w:val="16"/>
          <w:b w:val="1"/>
          <w:bCs w:val="1"/>
          <w:color w:val="auto"/>
        </w:rPr>
        <w:t>Activities in the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9" w:lineRule="auto"/>
        <w:rPr>
          <w:rFonts w:ascii="Arial" w:cs="Arial" w:eastAsia="Arial" w:hAnsi="Arial"/>
          <w:sz w:val="16"/>
          <w:szCs w:val="16"/>
          <w:color w:val="auto"/>
        </w:rPr>
      </w:pPr>
      <w:r>
        <w:rPr>
          <w:rFonts w:ascii="Arial" w:cs="Arial" w:eastAsia="Arial" w:hAnsi="Arial"/>
          <w:sz w:val="16"/>
          <w:szCs w:val="16"/>
          <w:color w:val="auto"/>
        </w:rPr>
        <w:t>BioNTech agrees to keep Biotheus reasonably updated regarding BioNTech's material Development activities in the Territory with respect to each Licensed Product by providing [***] written updates in the JSC in accordance with Article 4 (Governance) and following dissolution of the JSC, to Biotheus [***] on a Licensed Product-by-Licensed Product basis a written summary of Development activities in the Territory carried out by BioNTech in [***] since the date of the last update. Such reports shall be the Confidential Information of BioNTech.</w:t>
      </w:r>
    </w:p>
    <w:p>
      <w:pPr>
        <w:spacing w:after="0" w:line="262" w:lineRule="exact"/>
        <w:rPr>
          <w:rFonts w:ascii="Arial" w:cs="Arial" w:eastAsia="Arial" w:hAnsi="Arial"/>
          <w:sz w:val="16"/>
          <w:szCs w:val="16"/>
          <w:color w:val="auto"/>
        </w:rPr>
      </w:pPr>
    </w:p>
    <w:p>
      <w:pPr>
        <w:ind w:left="1120" w:hanging="550"/>
        <w:spacing w:after="0"/>
        <w:tabs>
          <w:tab w:leader="none" w:pos="1120" w:val="left"/>
        </w:tabs>
        <w:numPr>
          <w:ilvl w:val="0"/>
          <w:numId w:val="836"/>
        </w:numPr>
        <w:rPr>
          <w:rFonts w:ascii="Arial" w:cs="Arial" w:eastAsia="Arial" w:hAnsi="Arial"/>
          <w:sz w:val="16"/>
          <w:szCs w:val="16"/>
          <w:color w:val="auto"/>
        </w:rPr>
      </w:pPr>
      <w:r>
        <w:rPr>
          <w:rFonts w:ascii="Arial" w:cs="Arial" w:eastAsia="Arial" w:hAnsi="Arial"/>
          <w:sz w:val="16"/>
          <w:szCs w:val="16"/>
          <w:b w:val="1"/>
          <w:bCs w:val="1"/>
          <w:color w:val="auto"/>
        </w:rPr>
        <w:t>Activities in the Retained Territory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26" w:lineRule="auto"/>
        <w:rPr>
          <w:rFonts w:ascii="Arial" w:cs="Arial" w:eastAsia="Arial" w:hAnsi="Arial"/>
          <w:sz w:val="16"/>
          <w:szCs w:val="16"/>
          <w:color w:val="auto"/>
        </w:rPr>
      </w:pPr>
      <w:r>
        <w:rPr>
          <w:rFonts w:ascii="Arial" w:cs="Arial" w:eastAsia="Arial" w:hAnsi="Arial"/>
          <w:sz w:val="16"/>
          <w:szCs w:val="16"/>
          <w:color w:val="auto"/>
        </w:rPr>
        <w:t>Biotheus agrees to keep BioNTech reasonably updated regarding Biotheus' material Development activities in the Retained Territory with respect to each Licensed Product by (i) providing [***] written updates in the JSC in accordance with Article 4 (Governance) and following dissolution of the JSC, to BioNTech [***] in each [***] on a Licensed Product-by-Licensed Product basis a written summary of Development activities in the Retained Territory carried out by Biotheus in [***] since the date of the last update; (ii) submitting draft clinical development plans (including designs and protocols for proposed Clinical Trials) for comment by BioNTech in advance of commencing any clinical Development activities in respect of Licensed Products in the Retained Territory and considering in good faith any comments received from BioNTech; and (iii) promptly providing to BioNTech the results (including interim results) of any Clinical Trials relating to Licensed Products conducted by or on behalf of Biotheus in the Retained Territory. Such reports shall be the Confidential Information of Biotheus.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40" w:orient="portrait"/>
          <w:cols w:equalWidth="0" w:num="1">
            <w:col w:w="10580"/>
          </w:cols>
          <w:pgMar w:left="660" w:top="1440" w:right="660" w:bottom="1440" w:gutter="0" w:footer="0" w:header="0"/>
        </w:sectPr>
      </w:pPr>
    </w:p>
    <w:bookmarkStart w:id="830" w:name="page831"/>
    <w:bookmarkEnd w:id="83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b w:val="1"/>
          <w:bCs w:val="1"/>
          <w:color w:val="auto"/>
        </w:rPr>
        <w:t>Cooperation</w:t>
      </w:r>
    </w:p>
    <w:p>
      <w:pPr>
        <w:spacing w:after="0" w:line="200" w:lineRule="exact"/>
        <w:rPr>
          <w:sz w:val="20"/>
          <w:szCs w:val="20"/>
          <w:color w:val="auto"/>
        </w:rPr>
      </w:pPr>
    </w:p>
    <w:p>
      <w:pPr>
        <w:spacing w:after="0" w:line="230" w:lineRule="exact"/>
        <w:rPr>
          <w:sz w:val="20"/>
          <w:szCs w:val="20"/>
          <w:color w:val="auto"/>
        </w:rPr>
      </w:pPr>
    </w:p>
    <w:p>
      <w:pPr>
        <w:ind w:left="580"/>
        <w:spacing w:after="0" w:line="549" w:lineRule="auto"/>
        <w:rPr>
          <w:sz w:val="20"/>
          <w:szCs w:val="20"/>
          <w:color w:val="auto"/>
        </w:rPr>
      </w:pPr>
      <w:r>
        <w:rPr>
          <w:rFonts w:ascii="Arial" w:cs="Arial" w:eastAsia="Arial" w:hAnsi="Arial"/>
          <w:sz w:val="14"/>
          <w:szCs w:val="14"/>
          <w:color w:val="auto"/>
        </w:rPr>
        <w:t>The Parties will collaborate in good faith to achieve smooth coordination and alignment between the Parties' Development and Commercialization activities with respect to Licensed Products in their respective territories subject and pursuant to the Global Commercialization Strategy.</w:t>
      </w:r>
    </w:p>
    <w:p>
      <w:pPr>
        <w:spacing w:after="0" w:line="198" w:lineRule="exact"/>
        <w:rPr>
          <w:sz w:val="20"/>
          <w:szCs w:val="20"/>
          <w:color w:val="auto"/>
        </w:rPr>
      </w:pPr>
    </w:p>
    <w:p>
      <w:pPr>
        <w:ind w:left="560" w:hanging="554"/>
        <w:spacing w:after="0"/>
        <w:tabs>
          <w:tab w:leader="none" w:pos="560" w:val="left"/>
        </w:tabs>
        <w:numPr>
          <w:ilvl w:val="0"/>
          <w:numId w:val="837"/>
        </w:numPr>
        <w:rPr>
          <w:rFonts w:ascii="Arial" w:cs="Arial" w:eastAsia="Arial" w:hAnsi="Arial"/>
          <w:sz w:val="16"/>
          <w:szCs w:val="16"/>
          <w:b w:val="1"/>
          <w:bCs w:val="1"/>
          <w:color w:val="auto"/>
        </w:rPr>
      </w:pPr>
      <w:r>
        <w:rPr>
          <w:rFonts w:ascii="Arial" w:cs="Arial" w:eastAsia="Arial" w:hAnsi="Arial"/>
          <w:sz w:val="16"/>
          <w:szCs w:val="16"/>
          <w:b w:val="1"/>
          <w:bCs w:val="1"/>
          <w:color w:val="auto"/>
        </w:rPr>
        <w:t>REGULATORY AFFAIRS</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b w:val="1"/>
          <w:bCs w:val="1"/>
          <w:color w:val="auto"/>
        </w:rPr>
        <w:t>Regulatory Filings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38"/>
        </w:numPr>
        <w:rPr>
          <w:rFonts w:ascii="Arial" w:cs="Arial" w:eastAsia="Arial" w:hAnsi="Arial"/>
          <w:sz w:val="16"/>
          <w:szCs w:val="16"/>
          <w:color w:val="auto"/>
        </w:rPr>
      </w:pPr>
      <w:r>
        <w:rPr>
          <w:rFonts w:ascii="Arial" w:cs="Arial" w:eastAsia="Arial" w:hAnsi="Arial"/>
          <w:sz w:val="16"/>
          <w:szCs w:val="16"/>
          <w:b w:val="1"/>
          <w:bCs w:val="1"/>
          <w:color w:val="auto"/>
        </w:rPr>
        <w:t>Regulatory Filings in the Territory</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Promptly upon request from BioNTech, Biotheus shall transfer all existing INDs relating to the Licensed Products in the Territory to BioNTech, along with all information and data required to support and maintain such INDs. Prior to such transfer of such INDs, Biotheus will maintain and manage such INDs in accordance with any written instructions received from BioNTech. In addition, until all existing INDs relating to the Licensed Products in the Territory have been transferred to BioNTech, Biotheus shall on written request from BioNTech file new INDs relating to the Licensed Products in the Territory in Indications specified by BioNTech. Promptly upon written request from BioNTech, Biotheus shall transfer all such new INDs to BioNTech, along with all information and data required to support and maintain such new INDs. Prior to such transfer of such new INDs, Biotheus will maintain and manage such new INDs in accordance with any written instructions received from BioNTech. BioNTech shall bear and reimburse Biotheus for all External Expenses incurred by or on behalf of Biotheus in connection with maintenance or management of such INDs relating to the Licensed Products in the Territory (including External Expenses approved in advance in writing by BioNTech and incurred for filing of new INDs at BioNTech’s request) on or following the Execution Date until completion of the transfers of INDs.</w:t>
      </w:r>
    </w:p>
    <w:p>
      <w:pPr>
        <w:spacing w:after="0" w:line="269" w:lineRule="exact"/>
        <w:rPr>
          <w:sz w:val="20"/>
          <w:szCs w:val="20"/>
          <w:color w:val="auto"/>
        </w:rPr>
      </w:pPr>
    </w:p>
    <w:p>
      <w:pPr>
        <w:jc w:val="both"/>
        <w:ind w:left="580" w:right="20"/>
        <w:spacing w:after="0" w:line="436" w:lineRule="auto"/>
        <w:rPr>
          <w:sz w:val="20"/>
          <w:szCs w:val="20"/>
          <w:color w:val="auto"/>
        </w:rPr>
      </w:pPr>
      <w:r>
        <w:rPr>
          <w:rFonts w:ascii="Arial" w:cs="Arial" w:eastAsia="Arial" w:hAnsi="Arial"/>
          <w:sz w:val="16"/>
          <w:szCs w:val="16"/>
          <w:color w:val="auto"/>
        </w:rPr>
        <w:t>Save for the transitional measures set out immediately above, BioNTech shall own and shall be responsible for the preparation and submission of all Regulatory Filings for all Licensed Products in the Territory at its own cost and expense and in its own name, including all communications, meetings and inspections with the Regulatory Authorities, save that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40" w:orient="portrait"/>
          <w:cols w:equalWidth="0" w:num="1">
            <w:col w:w="10580"/>
          </w:cols>
          <w:pgMar w:left="660" w:top="1440" w:right="660" w:bottom="1440" w:gutter="0" w:footer="0" w:header="0"/>
        </w:sectPr>
      </w:pPr>
    </w:p>
    <w:bookmarkStart w:id="831" w:name="page832"/>
    <w:bookmarkEnd w:id="83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Biotheus shall, at its own cost and expense, provide (and use its reasonable efforts to procure that its Third Party CMOs provide) to BioNTech such support and input as BioNTech may from time to time request in writing, as may be reasonably necessary in respect of the preparation, filing and maintenance of Regulatory Filings for or inspections by a Regulatory Authority in relation to a Licensed Product in the Territory, including providing all documents, reports or other materials as may be necessary or useful for BioNTech or its Affiliates or their Sublicensees in dealing with such an inspection or preparing, filing and maintaining Regulatory Filings for the Licensed Products. Biotheus shall review and comment on any proposed material Regulatory Filings provided to it by BioNTech promptly and in good time before any deadlines and use Commercially Reasonable Efforts to assist BioNTech in its efforts to prepare and submit any Regulatory Filings to obtain, support, or maintain Regulatory Authorizations for any Licensed Product in the Territory; [***].</w:t>
      </w:r>
    </w:p>
    <w:p>
      <w:pPr>
        <w:spacing w:after="0" w:line="266" w:lineRule="exact"/>
        <w:rPr>
          <w:sz w:val="20"/>
          <w:szCs w:val="20"/>
          <w:color w:val="auto"/>
        </w:rPr>
      </w:pPr>
    </w:p>
    <w:p>
      <w:pPr>
        <w:ind w:left="1120" w:hanging="550"/>
        <w:spacing w:after="0"/>
        <w:tabs>
          <w:tab w:leader="none" w:pos="1120" w:val="left"/>
        </w:tabs>
        <w:numPr>
          <w:ilvl w:val="0"/>
          <w:numId w:val="839"/>
        </w:numPr>
        <w:rPr>
          <w:rFonts w:ascii="Arial" w:cs="Arial" w:eastAsia="Arial" w:hAnsi="Arial"/>
          <w:sz w:val="16"/>
          <w:szCs w:val="16"/>
          <w:color w:val="auto"/>
        </w:rPr>
      </w:pPr>
      <w:r>
        <w:rPr>
          <w:rFonts w:ascii="Arial" w:cs="Arial" w:eastAsia="Arial" w:hAnsi="Arial"/>
          <w:sz w:val="16"/>
          <w:szCs w:val="16"/>
          <w:b w:val="1"/>
          <w:bCs w:val="1"/>
          <w:color w:val="auto"/>
        </w:rPr>
        <w:t>Regulatory Filings in the Retained Territory</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8" w:lineRule="auto"/>
        <w:rPr>
          <w:sz w:val="20"/>
          <w:szCs w:val="20"/>
          <w:color w:val="auto"/>
        </w:rPr>
      </w:pPr>
      <w:r>
        <w:rPr>
          <w:rFonts w:ascii="Arial" w:cs="Arial" w:eastAsia="Arial" w:hAnsi="Arial"/>
          <w:sz w:val="16"/>
          <w:szCs w:val="16"/>
          <w:color w:val="auto"/>
        </w:rPr>
        <w:t>Biotheus shall own and shall be responsible for the preparation and submission of all Regulatory Filings for all Licensed Products in the Retained Territory at its own cost and expense and in its own name, including all communications, meetings and inspections with the Regulatory Authorities. The Parties shall discuss and co-operate with each other to ensure that such Regulatory Filings including but not limited to Regulatory Filings made to any cross-border data privacy regulators are made in sufficient time so that to the extent reasonably possible there are no delays to the ability of BioNTech to exercise its rights under the licenses granted to BioNTech by Section 3.1 (License Grants to BioNTech) of this Agreement, and that if there are delays they are minimised to the extent reasonably possible.</w:t>
      </w:r>
    </w:p>
    <w:p>
      <w:pPr>
        <w:spacing w:after="0" w:line="262" w:lineRule="exact"/>
        <w:rPr>
          <w:sz w:val="20"/>
          <w:szCs w:val="20"/>
          <w:color w:val="auto"/>
        </w:rPr>
      </w:pPr>
    </w:p>
    <w:p>
      <w:pPr>
        <w:ind w:left="1120" w:hanging="550"/>
        <w:spacing w:after="0"/>
        <w:tabs>
          <w:tab w:leader="none" w:pos="1120" w:val="left"/>
        </w:tabs>
        <w:numPr>
          <w:ilvl w:val="0"/>
          <w:numId w:val="840"/>
        </w:numPr>
        <w:rPr>
          <w:rFonts w:ascii="Arial" w:cs="Arial" w:eastAsia="Arial" w:hAnsi="Arial"/>
          <w:sz w:val="16"/>
          <w:szCs w:val="16"/>
          <w:color w:val="auto"/>
        </w:rPr>
      </w:pPr>
      <w:r>
        <w:rPr>
          <w:rFonts w:ascii="Arial" w:cs="Arial" w:eastAsia="Arial" w:hAnsi="Arial"/>
          <w:sz w:val="16"/>
          <w:szCs w:val="16"/>
          <w:b w:val="1"/>
          <w:bCs w:val="1"/>
          <w:color w:val="auto"/>
        </w:rPr>
        <w:t>Right of Reference</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b w:val="1"/>
          <w:bCs w:val="1"/>
          <w:color w:val="auto"/>
        </w:rPr>
        <w:t>PV Agreement</w:t>
      </w:r>
    </w:p>
    <w:p>
      <w:pPr>
        <w:spacing w:after="0" w:line="200" w:lineRule="exact"/>
        <w:rPr>
          <w:sz w:val="20"/>
          <w:szCs w:val="20"/>
          <w:color w:val="auto"/>
        </w:rPr>
      </w:pPr>
    </w:p>
    <w:p>
      <w:pPr>
        <w:spacing w:after="0" w:line="230" w:lineRule="exact"/>
        <w:rPr>
          <w:sz w:val="20"/>
          <w:szCs w:val="20"/>
          <w:color w:val="auto"/>
        </w:rPr>
      </w:pPr>
    </w:p>
    <w:p>
      <w:pPr>
        <w:ind w:left="580"/>
        <w:spacing w:after="0" w:line="450" w:lineRule="auto"/>
        <w:rPr>
          <w:sz w:val="20"/>
          <w:szCs w:val="20"/>
          <w:color w:val="auto"/>
        </w:rPr>
      </w:pPr>
      <w:r>
        <w:rPr>
          <w:rFonts w:ascii="Arial" w:cs="Arial" w:eastAsia="Arial" w:hAnsi="Arial"/>
          <w:sz w:val="16"/>
          <w:szCs w:val="16"/>
          <w:color w:val="auto"/>
        </w:rPr>
        <w:t>Within [***] days of the Effective Date, the Parties shall agree in good faith and execute a pharmacovigilance agreement to govern the exchange of safety data with respect to the PM8002 Licensed Compound and PM8002 Licensed Product. Following the PM8003 Option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40" w:orient="portrait"/>
          <w:cols w:equalWidth="0" w:num="1">
            <w:col w:w="10580"/>
          </w:cols>
          <w:pgMar w:left="660" w:top="1440" w:right="660" w:bottom="1440" w:gutter="0" w:footer="0" w:header="0"/>
        </w:sectPr>
      </w:pPr>
    </w:p>
    <w:bookmarkStart w:id="832" w:name="page833"/>
    <w:bookmarkEnd w:id="83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31" w:lineRule="auto"/>
        <w:rPr>
          <w:sz w:val="20"/>
          <w:szCs w:val="20"/>
          <w:color w:val="auto"/>
        </w:rPr>
      </w:pPr>
      <w:r>
        <w:rPr>
          <w:rFonts w:ascii="Arial" w:cs="Arial" w:eastAsia="Arial" w:hAnsi="Arial"/>
          <w:sz w:val="16"/>
          <w:szCs w:val="16"/>
          <w:color w:val="auto"/>
        </w:rPr>
        <w:t>Exercise Date or the Preclinical Multispecific Option Exercise Date, if BioNTech determines that a pharmacovigilance agreement should be executed between the Parties to govern the exchange of safety data with respect to the PM8003 Licensed Compound and PM8003 Licensed Product or a Preclinical Multispecific Licensed Compound and Preclinical Multispecific Licensed Product as applicable, BioNTech will notify Biotheus and the Parties shall agree in good faith and execute such agreement within [***] days following such notification.</w:t>
      </w:r>
    </w:p>
    <w:p>
      <w:pPr>
        <w:spacing w:after="0" w:line="26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b w:val="1"/>
          <w:bCs w:val="1"/>
          <w:color w:val="auto"/>
        </w:rPr>
        <w:t>Data Privacy</w:t>
      </w:r>
    </w:p>
    <w:p>
      <w:pPr>
        <w:spacing w:after="0" w:line="200" w:lineRule="exact"/>
        <w:rPr>
          <w:sz w:val="20"/>
          <w:szCs w:val="20"/>
          <w:color w:val="auto"/>
        </w:rPr>
      </w:pPr>
    </w:p>
    <w:p>
      <w:pPr>
        <w:spacing w:after="0" w:line="230" w:lineRule="exact"/>
        <w:rPr>
          <w:sz w:val="20"/>
          <w:szCs w:val="20"/>
          <w:color w:val="auto"/>
        </w:rPr>
      </w:pPr>
    </w:p>
    <w:p>
      <w:pPr>
        <w:ind w:left="580" w:right="20"/>
        <w:spacing w:after="0" w:line="516" w:lineRule="auto"/>
        <w:rPr>
          <w:sz w:val="20"/>
          <w:szCs w:val="20"/>
          <w:color w:val="auto"/>
        </w:rPr>
      </w:pPr>
      <w:r>
        <w:rPr>
          <w:rFonts w:ascii="Arial" w:cs="Arial" w:eastAsia="Arial" w:hAnsi="Arial"/>
          <w:sz w:val="14"/>
          <w:szCs w:val="14"/>
          <w:color w:val="auto"/>
        </w:rPr>
        <w:t>If the Parties are going to share any patient data, patient records, safety data or other personal data, the Parties will transfer such data in accordance with Applicable Data Protection Law. To comply with the Applicable Data Protection Law, the Parties agree to enter into a separate data transfer agreement which sets out the data protection obligations of each Party including appropriate safeguards for cross-border transfers.</w:t>
      </w:r>
    </w:p>
    <w:p>
      <w:pPr>
        <w:spacing w:after="0" w:line="220" w:lineRule="exact"/>
        <w:rPr>
          <w:sz w:val="20"/>
          <w:szCs w:val="20"/>
          <w:color w:val="auto"/>
        </w:rPr>
      </w:pPr>
    </w:p>
    <w:p>
      <w:pPr>
        <w:ind w:left="560" w:hanging="554"/>
        <w:spacing w:after="0"/>
        <w:tabs>
          <w:tab w:leader="none" w:pos="560" w:val="left"/>
        </w:tabs>
        <w:numPr>
          <w:ilvl w:val="0"/>
          <w:numId w:val="841"/>
        </w:numPr>
        <w:rPr>
          <w:rFonts w:ascii="Arial" w:cs="Arial" w:eastAsia="Arial" w:hAnsi="Arial"/>
          <w:sz w:val="16"/>
          <w:szCs w:val="16"/>
          <w:b w:val="1"/>
          <w:bCs w:val="1"/>
          <w:color w:val="auto"/>
        </w:rPr>
      </w:pPr>
      <w:r>
        <w:rPr>
          <w:rFonts w:ascii="Arial" w:cs="Arial" w:eastAsia="Arial" w:hAnsi="Arial"/>
          <w:sz w:val="16"/>
          <w:szCs w:val="16"/>
          <w:b w:val="1"/>
          <w:bCs w:val="1"/>
          <w:color w:val="auto"/>
        </w:rPr>
        <w:t>MANUFACTURING AND TECHNOLOGY TRANSFER</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b w:val="1"/>
          <w:bCs w:val="1"/>
          <w:color w:val="auto"/>
        </w:rPr>
        <w:t>Manufacturing of PM8002 Licensed Products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42"/>
        </w:numPr>
        <w:rPr>
          <w:rFonts w:ascii="Arial" w:cs="Arial" w:eastAsia="Arial" w:hAnsi="Arial"/>
          <w:sz w:val="16"/>
          <w:szCs w:val="16"/>
          <w:color w:val="auto"/>
        </w:rPr>
      </w:pPr>
      <w:r>
        <w:rPr>
          <w:rFonts w:ascii="Arial" w:cs="Arial" w:eastAsia="Arial" w:hAnsi="Arial"/>
          <w:sz w:val="16"/>
          <w:szCs w:val="16"/>
          <w:b w:val="1"/>
          <w:bCs w:val="1"/>
          <w:color w:val="auto"/>
        </w:rPr>
        <w:t>Prior to Technology Transfer of PM8002 Licensed Products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820" w:hanging="566"/>
        <w:spacing w:after="0" w:line="436" w:lineRule="auto"/>
        <w:tabs>
          <w:tab w:leader="none" w:pos="1820" w:val="left"/>
        </w:tabs>
        <w:numPr>
          <w:ilvl w:val="1"/>
          <w:numId w:val="842"/>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Execution Date, Biotheus shall conduct or procure that its existing CMO [***] conduct the CMC development work and Manufacturing preparatory work for the PM8002 Licensed Product the scope of which is [***].</w:t>
      </w:r>
    </w:p>
    <w:p>
      <w:pPr>
        <w:spacing w:after="0" w:line="257" w:lineRule="exact"/>
        <w:rPr>
          <w:rFonts w:ascii="Arial" w:cs="Arial" w:eastAsia="Arial" w:hAnsi="Arial"/>
          <w:sz w:val="16"/>
          <w:szCs w:val="16"/>
          <w:color w:val="auto"/>
        </w:rPr>
      </w:pPr>
    </w:p>
    <w:p>
      <w:pPr>
        <w:jc w:val="both"/>
        <w:ind w:left="1820" w:hanging="566"/>
        <w:spacing w:after="0" w:line="516" w:lineRule="auto"/>
        <w:tabs>
          <w:tab w:leader="none" w:pos="1808" w:val="left"/>
        </w:tabs>
        <w:numPr>
          <w:ilvl w:val="1"/>
          <w:numId w:val="842"/>
        </w:numPr>
        <w:rPr>
          <w:rFonts w:ascii="Arial" w:cs="Arial" w:eastAsia="Arial" w:hAnsi="Arial"/>
          <w:sz w:val="14"/>
          <w:szCs w:val="14"/>
          <w:color w:val="auto"/>
        </w:rPr>
      </w:pPr>
      <w:r>
        <w:rPr>
          <w:rFonts w:ascii="Arial" w:cs="Arial" w:eastAsia="Arial" w:hAnsi="Arial"/>
          <w:sz w:val="14"/>
          <w:szCs w:val="14"/>
          <w:color w:val="auto"/>
        </w:rPr>
        <w:t>As promptly as reasonably practicable following the Execution Date and following discussion between the Parties and approval by BioNTech of the [***], Biotheus shall Manufacture and/or procure that [***] Manufacture a cGMP batch of PM8002 Licensed Product and carry out related activities the scope of which is [***], and [***] shall bear the costs of such work as listed on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40" w:orient="portrait"/>
          <w:cols w:equalWidth="0" w:num="1">
            <w:col w:w="10580"/>
          </w:cols>
          <w:pgMar w:left="660" w:top="1440" w:right="660" w:bottom="1440" w:gutter="0" w:footer="0" w:header="0"/>
        </w:sectPr>
      </w:pPr>
    </w:p>
    <w:bookmarkStart w:id="833" w:name="page834"/>
    <w:bookmarkEnd w:id="83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040" w:hanging="566"/>
        <w:spacing w:after="0" w:line="436"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Execution Date, Biotheus shall conduct and/or procure that [***] conduct the [***] for the PM8002 Licensed Product the scope of which is [***], and [***] shall bear the costs of such work as listed on [***].</w:t>
      </w:r>
    </w:p>
    <w:p>
      <w:pPr>
        <w:spacing w:after="0" w:line="257" w:lineRule="exact"/>
        <w:rPr>
          <w:rFonts w:ascii="Arial" w:cs="Arial" w:eastAsia="Arial" w:hAnsi="Arial"/>
          <w:sz w:val="16"/>
          <w:szCs w:val="16"/>
          <w:color w:val="auto"/>
        </w:rPr>
      </w:pPr>
    </w:p>
    <w:p>
      <w:pPr>
        <w:jc w:val="both"/>
        <w:ind w:left="1040" w:hanging="566"/>
        <w:spacing w:after="0" w:line="436"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Qualification Date, Biotheus shall conduct and/or procure that [***] conduct the [***] activities for the PM8002 Licensed Product the scope of which is exclusively listed on [***], and the costs of such work shall be shared between the Parties [***] by [***] and [***] by [***].</w:t>
      </w:r>
    </w:p>
    <w:p>
      <w:pPr>
        <w:spacing w:after="0" w:line="257" w:lineRule="exact"/>
        <w:rPr>
          <w:rFonts w:ascii="Arial" w:cs="Arial" w:eastAsia="Arial" w:hAnsi="Arial"/>
          <w:sz w:val="16"/>
          <w:szCs w:val="16"/>
          <w:color w:val="auto"/>
        </w:rPr>
      </w:pPr>
    </w:p>
    <w:p>
      <w:pPr>
        <w:jc w:val="both"/>
        <w:ind w:left="1040" w:right="20" w:hanging="566"/>
        <w:spacing w:after="0" w:line="436"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Qualification Date, at the request of BioNTech in writing, Biotheus will procure that [***] conduct the [***] activities for the PM8002 Licensed Product the scope of which is exclusively listed on [***], and [***] shall bear the costs in relation to such work carried out on behalf of BioNTech as listed on [***].</w:t>
      </w:r>
    </w:p>
    <w:p>
      <w:pPr>
        <w:spacing w:after="0" w:line="257" w:lineRule="exact"/>
        <w:rPr>
          <w:rFonts w:ascii="Arial" w:cs="Arial" w:eastAsia="Arial" w:hAnsi="Arial"/>
          <w:sz w:val="16"/>
          <w:szCs w:val="16"/>
          <w:color w:val="auto"/>
        </w:rPr>
      </w:pPr>
    </w:p>
    <w:p>
      <w:pPr>
        <w:ind w:left="1040" w:right="40" w:hanging="566"/>
        <w:spacing w:after="0" w:line="450"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For clarity, if BioNTech requests Biotheus to conduct any work that is not expressly listed on Schedule 4 and Biotheus agrees to conduct such work, such work shall be conducted at [***] cost.</w:t>
      </w:r>
    </w:p>
    <w:p>
      <w:pPr>
        <w:spacing w:after="0" w:line="246" w:lineRule="exact"/>
        <w:rPr>
          <w:rFonts w:ascii="Arial" w:cs="Arial" w:eastAsia="Arial" w:hAnsi="Arial"/>
          <w:sz w:val="16"/>
          <w:szCs w:val="16"/>
          <w:color w:val="auto"/>
        </w:rPr>
      </w:pPr>
    </w:p>
    <w:p>
      <w:pPr>
        <w:ind w:left="1040" w:right="20" w:hanging="566"/>
        <w:spacing w:after="0" w:line="450"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To the extent that any of the activities set out in [***] relate to drug product for PM8002 Licensed Products then such activities shall continue to be carried out at [***].</w:t>
      </w:r>
    </w:p>
    <w:p>
      <w:pPr>
        <w:spacing w:after="0" w:line="246" w:lineRule="exact"/>
        <w:rPr>
          <w:rFonts w:ascii="Arial" w:cs="Arial" w:eastAsia="Arial" w:hAnsi="Arial"/>
          <w:sz w:val="16"/>
          <w:szCs w:val="16"/>
          <w:color w:val="auto"/>
        </w:rPr>
      </w:pPr>
    </w:p>
    <w:p>
      <w:pPr>
        <w:ind w:left="1020" w:hanging="546"/>
        <w:spacing w:after="0"/>
        <w:tabs>
          <w:tab w:leader="none" w:pos="1020" w:val="left"/>
        </w:tabs>
        <w:numPr>
          <w:ilvl w:val="0"/>
          <w:numId w:val="843"/>
        </w:numPr>
        <w:rPr>
          <w:rFonts w:ascii="Arial" w:cs="Arial" w:eastAsia="Arial" w:hAnsi="Arial"/>
          <w:sz w:val="16"/>
          <w:szCs w:val="16"/>
          <w:color w:val="auto"/>
        </w:rPr>
      </w:pPr>
      <w:r>
        <w:rPr>
          <w:rFonts w:ascii="Arial" w:cs="Arial" w:eastAsia="Arial" w:hAnsi="Arial"/>
          <w:sz w:val="16"/>
          <w:szCs w:val="16"/>
          <w:color w:val="auto"/>
        </w:rPr>
        <w:t>Following completion of Manufacturing Technology Transfer each Party shall [***] work in its respective territory.</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both"/>
        <w:ind w:left="1040" w:hanging="566"/>
        <w:spacing w:after="0" w:line="431" w:lineRule="auto"/>
        <w:tabs>
          <w:tab w:leader="none" w:pos="1028" w:val="left"/>
        </w:tabs>
        <w:numPr>
          <w:ilvl w:val="0"/>
          <w:numId w:val="843"/>
        </w:numPr>
        <w:rPr>
          <w:rFonts w:ascii="Arial" w:cs="Arial" w:eastAsia="Arial" w:hAnsi="Arial"/>
          <w:sz w:val="16"/>
          <w:szCs w:val="16"/>
          <w:color w:val="auto"/>
        </w:rPr>
      </w:pPr>
      <w:r>
        <w:rPr>
          <w:rFonts w:ascii="Arial" w:cs="Arial" w:eastAsia="Arial" w:hAnsi="Arial"/>
          <w:sz w:val="16"/>
          <w:szCs w:val="16"/>
          <w:color w:val="auto"/>
        </w:rPr>
        <w:t>[***] following the Effective Date, the Parties will negotiate and execute a manufacturing development and clinical supply agreement and quality agreement pertaining to PM8002 Licensed Product upon mutually agreed upon terms and conditions, pursuant to which Biotheus will Manufacture and supply BioNTech’s reasonable requirements for supply of PM8002 Licensed Product in the Territory for use in Clinical Trials. The Parties shall negotiate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64</w:t>
      </w:r>
    </w:p>
    <w:p>
      <w:pPr>
        <w:sectPr>
          <w:pgSz w:w="11900" w:h="16840" w:orient="portrait"/>
          <w:cols w:equalWidth="0" w:num="1">
            <w:col w:w="9800"/>
          </w:cols>
          <w:pgMar w:left="1440" w:top="1440" w:right="660" w:bottom="1440" w:gutter="0" w:footer="0" w:header="0"/>
        </w:sectPr>
      </w:pPr>
    </w:p>
    <w:bookmarkStart w:id="834" w:name="page835"/>
    <w:bookmarkEnd w:id="834"/>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50"/>
        <w:spacing w:after="0"/>
        <w:rPr>
          <w:sz w:val="20"/>
          <w:szCs w:val="20"/>
          <w:color w:val="auto"/>
        </w:rPr>
      </w:pPr>
      <w:r>
        <w:rPr>
          <w:rFonts w:ascii="Arial" w:cs="Arial" w:eastAsia="Arial" w:hAnsi="Arial"/>
          <w:sz w:val="16"/>
          <w:szCs w:val="16"/>
          <w:color w:val="auto"/>
        </w:rPr>
        <w:t>in good faith and enter into such agreement within [***] days of the Effective Date.</w:t>
      </w:r>
    </w:p>
    <w:p>
      <w:pPr>
        <w:spacing w:after="0" w:line="200" w:lineRule="exact"/>
        <w:rPr>
          <w:sz w:val="20"/>
          <w:szCs w:val="20"/>
          <w:color w:val="auto"/>
        </w:rPr>
      </w:pPr>
    </w:p>
    <w:p>
      <w:pPr>
        <w:spacing w:after="0" w:line="226" w:lineRule="exact"/>
        <w:rPr>
          <w:sz w:val="20"/>
          <w:szCs w:val="20"/>
          <w:color w:val="auto"/>
        </w:rPr>
      </w:pPr>
    </w:p>
    <w:p>
      <w:pPr>
        <w:ind w:left="550" w:hanging="550"/>
        <w:spacing w:after="0"/>
        <w:tabs>
          <w:tab w:leader="none" w:pos="550" w:val="left"/>
        </w:tabs>
        <w:numPr>
          <w:ilvl w:val="0"/>
          <w:numId w:val="844"/>
        </w:numPr>
        <w:rPr>
          <w:rFonts w:ascii="Arial" w:cs="Arial" w:eastAsia="Arial" w:hAnsi="Arial"/>
          <w:sz w:val="16"/>
          <w:szCs w:val="16"/>
          <w:color w:val="auto"/>
        </w:rPr>
      </w:pPr>
      <w:r>
        <w:rPr>
          <w:rFonts w:ascii="Arial" w:cs="Arial" w:eastAsia="Arial" w:hAnsi="Arial"/>
          <w:sz w:val="16"/>
          <w:szCs w:val="16"/>
          <w:b w:val="1"/>
          <w:bCs w:val="1"/>
          <w:color w:val="auto"/>
        </w:rPr>
        <w:t>Supplies of PM8002 Licensed Products for Clinical Trials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250" w:hanging="566"/>
        <w:spacing w:after="0" w:line="425" w:lineRule="auto"/>
        <w:tabs>
          <w:tab w:leader="none" w:pos="1250" w:val="left"/>
        </w:tabs>
        <w:numPr>
          <w:ilvl w:val="1"/>
          <w:numId w:val="844"/>
        </w:numPr>
        <w:rPr>
          <w:rFonts w:ascii="Arial" w:cs="Arial" w:eastAsia="Arial" w:hAnsi="Arial"/>
          <w:sz w:val="16"/>
          <w:szCs w:val="16"/>
          <w:color w:val="auto"/>
        </w:rPr>
      </w:pPr>
      <w:r>
        <w:rPr>
          <w:rFonts w:ascii="Arial" w:cs="Arial" w:eastAsia="Arial" w:hAnsi="Arial"/>
          <w:sz w:val="16"/>
          <w:szCs w:val="16"/>
          <w:color w:val="auto"/>
        </w:rPr>
        <w:t>From the Effective Date until successful completion of a Manufacturing Technology Transfer in respect of PM8002 Licensed Products pursuant to Section 7.2 (Manufacturing Technology Transfer for PM8002 Licensed Products), (A) Biotheus shall be responsible for having [***] complete the Manufacturing and release (it being understood that the release testing will be conducted first by Biotheus' qualified person, before BioNTech's qualified person conducts the final IMP release and BioNTech performs the sponsor release) of the PM8002 Licensed Products needed for the Global CDP and/or Joint CDP and/or any other Clinical Trials conducted by BioNTech in the Territory, as applicable; (B) BioNTech shall be responsible for reimbursing Biotheus' Cost of Goods without mark-up in connection with any PM8002 Licensed Product supplied to BioNTech under this Section 7.1(b) (Supplies of PM8002 Licensed Products for Global CDP and Joint CDP); and (C) for clarity, save for such Cost of Goods, Biotheus shall be responsible for bearing any other costs, fees or other sums associated with its existing CMO agreements. [***]</w:t>
      </w:r>
    </w:p>
    <w:p>
      <w:pPr>
        <w:spacing w:after="0" w:line="270" w:lineRule="exact"/>
        <w:rPr>
          <w:rFonts w:ascii="Arial" w:cs="Arial" w:eastAsia="Arial" w:hAnsi="Arial"/>
          <w:sz w:val="16"/>
          <w:szCs w:val="16"/>
          <w:color w:val="auto"/>
        </w:rPr>
      </w:pPr>
    </w:p>
    <w:p>
      <w:pPr>
        <w:jc w:val="both"/>
        <w:ind w:left="1250" w:hanging="566"/>
        <w:spacing w:after="0" w:line="426" w:lineRule="auto"/>
        <w:tabs>
          <w:tab w:leader="none" w:pos="1238" w:val="left"/>
        </w:tabs>
        <w:numPr>
          <w:ilvl w:val="1"/>
          <w:numId w:val="844"/>
        </w:numPr>
        <w:rPr>
          <w:rFonts w:ascii="Arial" w:cs="Arial" w:eastAsia="Arial" w:hAnsi="Arial"/>
          <w:sz w:val="16"/>
          <w:szCs w:val="16"/>
          <w:color w:val="auto"/>
        </w:rPr>
      </w:pPr>
      <w:r>
        <w:rPr>
          <w:rFonts w:ascii="Arial" w:cs="Arial" w:eastAsia="Arial" w:hAnsi="Arial"/>
          <w:sz w:val="16"/>
          <w:szCs w:val="16"/>
          <w:color w:val="auto"/>
        </w:rPr>
        <w:t>In respect of Global Trials, on a Global Trial-by-Global Trial basis the Manufacture of PM8002 Licensed Products for each Global Trial will take place at a single Manufacturing site. For Global Trials commenced prior to successful completion of a Manufacturing Technology Transfer in respect of PM8002 Licensed Products pursuant to Section 7.2 (Manufacturing Technology Transfer for PM8002 Licensed Products), Biotheus shall be responsible for having [***] complete the Manufacturing and release of PM8002 Licensed Products for such Global Trials at a single Manufacturing site in accordance with Section 7.1(b)(i) (Supplies of PM8002 Licensed Products for Clinical Trials) above. For clarity, drug substance of PM8002 Licensed Compounds is Manufactured by Biotheus or its applicable Affiliates at Biotheus’ location at Room 802-803, 8/F, Building A, Venture Outsourcing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65</w:t>
      </w:r>
    </w:p>
    <w:p>
      <w:pPr>
        <w:sectPr>
          <w:pgSz w:w="11900" w:h="16840" w:orient="portrait"/>
          <w:cols w:equalWidth="0" w:num="1">
            <w:col w:w="10010"/>
          </w:cols>
          <w:pgMar w:left="1230" w:top="1440" w:right="660" w:bottom="1440" w:gutter="0" w:footer="0" w:header="0"/>
        </w:sectPr>
      </w:pPr>
    </w:p>
    <w:bookmarkStart w:id="835" w:name="page836"/>
    <w:bookmarkEnd w:id="83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820"/>
        <w:spacing w:after="0" w:line="493" w:lineRule="auto"/>
        <w:rPr>
          <w:sz w:val="20"/>
          <w:szCs w:val="20"/>
          <w:color w:val="auto"/>
        </w:rPr>
      </w:pPr>
      <w:r>
        <w:rPr>
          <w:rFonts w:ascii="Arial" w:cs="Arial" w:eastAsia="Arial" w:hAnsi="Arial"/>
          <w:sz w:val="14"/>
          <w:szCs w:val="14"/>
          <w:color w:val="auto"/>
        </w:rPr>
        <w:t>Center, No.188 Tongsheng Road, Nantong City, Jiangsu Province, China and drug product of PM8002 Licensed Product is Manufactured by [***], in both cases, if approved and qualified by BioNTech for related manufacturing operations. For Global Trials commenced after successful completion of a Manufacturing Technology Transfer in respect of PM8002 Licensed Products pursuant to Section 7.2 (Manufacturing Technology Transfer for PM8002 Licensed Products), BioNTech shall be responsible for Manufacture of PM8002 Licensed Products for such Global Trials at a single Manufacturing site. In circumstances where BioNTech will be supplying Biotheus PM8002 Licensed Products for the purpose of a Global Trial pursuant to this Section 7.1(b)(ii) (Supplies of PM8002 Licensed Products for Clinical Trials), the Parties will negotiate and execute a manufacturing development and clinical supply agreement and quality agreement to cover such supply pursuant to which Biotheus will be responsible for reimbursing BioNTech's Cost of Goods [***] in connection with any PM8002 Licensed Products supplied to Biotheus under this Section 7.1(b)(ii) (Supplies of PM8002 Licensed Products for Clinical Trials).</w:t>
      </w:r>
    </w:p>
    <w:p>
      <w:pPr>
        <w:spacing w:after="0" w:line="200" w:lineRule="exact"/>
        <w:rPr>
          <w:sz w:val="20"/>
          <w:szCs w:val="20"/>
          <w:color w:val="auto"/>
        </w:rPr>
      </w:pPr>
    </w:p>
    <w:p>
      <w:pPr>
        <w:spacing w:after="0" w:line="35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b w:val="1"/>
          <w:bCs w:val="1"/>
          <w:color w:val="auto"/>
        </w:rPr>
        <w:t>Manufacturing Technology Transfer for PM8002 Licensed Products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25" w:lineRule="auto"/>
        <w:rPr>
          <w:sz w:val="20"/>
          <w:szCs w:val="20"/>
          <w:color w:val="auto"/>
        </w:rPr>
      </w:pPr>
      <w:r>
        <w:rPr>
          <w:rFonts w:ascii="Arial" w:cs="Arial" w:eastAsia="Arial" w:hAnsi="Arial"/>
          <w:sz w:val="16"/>
          <w:szCs w:val="16"/>
          <w:color w:val="auto"/>
        </w:rPr>
        <w:t>Promptly following the Effective Date (unless otherwise requested by BioNTech), Biotheus will, at its cost and expense, transfer and at BioNTech's request cause its designated Third Party Manufacturer of the PM8002 Licensed Products to transfer the Manufacturing process and analytical methods for PM8002 Licensed Products to BioNTech, including transferring: all Licensed Know-How (including the information set out in Schedule 4 (Manufacturing and CMC Information)) necessary or useful to enable BioNTech or its Affiliates (or a Third Party designated on BioNTech's behalf) to Manufacture such PM8002 Licensed Products and to replicate the processes employed by or on behalf of Biotheus (including Biotheus' Third Party manufacturers) (</w:t>
      </w:r>
      <w:r>
        <w:rPr>
          <w:rFonts w:ascii="Arial" w:cs="Arial" w:eastAsia="Arial" w:hAnsi="Arial"/>
          <w:sz w:val="16"/>
          <w:szCs w:val="16"/>
          <w:b w:val="1"/>
          <w:bCs w:val="1"/>
          <w:color w:val="auto"/>
        </w:rPr>
        <w:t>"Manufacturing Technology Transfer"</w:t>
      </w:r>
      <w:r>
        <w:rPr>
          <w:rFonts w:ascii="Arial" w:cs="Arial" w:eastAsia="Arial" w:hAnsi="Arial"/>
          <w:sz w:val="16"/>
          <w:szCs w:val="16"/>
          <w:color w:val="auto"/>
        </w:rPr>
        <w:t xml:space="preserve"> ). For clarity, (i) Biotheus will only bear the costs and expenses in connection with the Manufacturing Technology Transfer to [***] designated by BioNTech, and all and any costs and expenses in connection with the Manufacturing Technology Transfer to [***] shall be borne by [***]; and (ii) the foregoing costs and expenses to be borne by Biotheus shall mean [***]. Within [***] days after the Effective Date, the Parties shall initiate good-faith discussion on a technology transfer plan that will set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40" w:orient="portrait"/>
          <w:cols w:equalWidth="0" w:num="1">
            <w:col w:w="10580"/>
          </w:cols>
          <w:pgMar w:left="660" w:top="1440" w:right="660" w:bottom="1440" w:gutter="0" w:footer="0" w:header="0"/>
        </w:sectPr>
      </w:pPr>
    </w:p>
    <w:bookmarkStart w:id="836" w:name="page837"/>
    <w:bookmarkEnd w:id="83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88" w:lineRule="auto"/>
        <w:rPr>
          <w:sz w:val="20"/>
          <w:szCs w:val="20"/>
          <w:color w:val="auto"/>
        </w:rPr>
      </w:pPr>
      <w:r>
        <w:rPr>
          <w:rFonts w:ascii="Arial" w:cs="Arial" w:eastAsia="Arial" w:hAnsi="Arial"/>
          <w:sz w:val="14"/>
          <w:szCs w:val="14"/>
          <w:color w:val="auto"/>
        </w:rPr>
        <w:t>out (a) the detailed activities and timelines required to achieve the Manufacturing Technology Transfer consistent with the Manufacturing Technology Transfer activities as set forth in [***], and (b) the on-site support and consultation to be provided by Biotheus, with a goal to adopt such technology transfer plan as soon as reasonably practicable following the Effective Date. The costs associated with the Manufacturing Technology Transfer borne by Biotheus shall include licensing and royalty payments, if any, due to Biotheus' existing cell line licensor and/or manufacturer under Biotheus' existing agreements regarding the Manufacture of PM8002 Licensed Products. If BioNTech desires to continue using in relation to the Manufacture of PM8002 Licensed Products the cell line licensed from [***] to Biotheus, BioNTech acknowledges that it will need to obtain a separate license from [***] for such purpose ("</w:t>
      </w:r>
      <w:r>
        <w:rPr>
          <w:rFonts w:ascii="Arial" w:cs="Arial" w:eastAsia="Arial" w:hAnsi="Arial"/>
          <w:sz w:val="14"/>
          <w:szCs w:val="14"/>
          <w:b w:val="1"/>
          <w:bCs w:val="1"/>
          <w:color w:val="auto"/>
        </w:rPr>
        <w:t>[***] License</w:t>
      </w:r>
      <w:r>
        <w:rPr>
          <w:rFonts w:ascii="Arial" w:cs="Arial" w:eastAsia="Arial" w:hAnsi="Arial"/>
          <w:sz w:val="14"/>
          <w:szCs w:val="14"/>
          <w:color w:val="auto"/>
        </w:rPr>
        <w:t>"). Biotheus will provide reasonable assistance to BioNTech to enable BioNTech to obtain such a [***] License and Biotheus shall reimburse BioNTech for any sums charged by [***] for the grant of such a license. For clarity, BioNTech shall be solely responsible for any and all payments (including but not limited to licensing and royalty payments) due to any cell line licensor and/or manufacturer that is not Biotheus’s existing cell line licensor (or its successor) and/or existing manufacturer (or its successor) and is designated or engaged by BioNTech. Biotheus will maintain in force its existing agreements with [***] as listed on Schedule 8B attached hereto with respect to the Manufacture of PM8002 Licensed Products until such time as the Manufacturing Technology Transfer has been completed in accordance with this Section 7.2 (Manufacturing Technology Transfer for PM8002 Licensed Products). In addition to the CMC documents, Biotheus shall provide BioNTech or its external service provider with the following samples (including but not limited): Reasonable amounts of MCB (Master Cell Bank) and WCB (Working Cell Bank), analytical reference standards, process intermediates and any other samples that are required for a successful technology transfer of the Licensed Products. If BioNTech obtains a [***] License pursuant to this Section 7.2 (Manufacturing Technology Transfer for PM8002 Licensed Products), Biotheus agrees to provide reasonable assistance to BioNTech at Biotheus' cost to enable BioNTech to use the cell line to which such license relates including providing any letters of authorisation or assurances as to origin that BioNTech reasonably requests relating to any feed media for the cell line, and providing reasonable assistance to BioNTech for the purposes of responding to questions from any Regulatory Authority regarding any feed media for the cell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b w:val="1"/>
          <w:bCs w:val="1"/>
          <w:color w:val="auto"/>
        </w:rPr>
        <w:t>Following Completion of Manufacturing Technology Transfer for PM8002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40" w:orient="portrait"/>
          <w:cols w:equalWidth="0" w:num="1">
            <w:col w:w="10580"/>
          </w:cols>
          <w:pgMar w:left="660" w:top="1440" w:right="660" w:bottom="1440" w:gutter="0" w:footer="0" w:header="0"/>
        </w:sectPr>
      </w:pPr>
    </w:p>
    <w:bookmarkStart w:id="837" w:name="page838"/>
    <w:bookmarkEnd w:id="837"/>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Following the successful completion of the Manufacturing Technology Transfer pursuant to Section 7.2 (Manufacturing Technology Transfer for PM8002 Licensed Products), and subject to any agreement between the Parties for supply of PM8002 Licensed Products, as between the Parties, BioNTech either on its own or through Affiliates or a Third Party manufacturer on its behalf, will have sole discretion over, and the sole right and responsibility for, at its sole cost and expense, Manufacture in respect of PM8002 Licensed Products for the Territory, including all activities related to developing the process, analytics and formulation for the Manufacture of clinical and commercial quantities of PM8002 Licensed Products, the production, Manufacture, processing, filling, finishing, packaging, labelling, inspection, testing, receiving, holding and shipping of PM8002 Licensed Products, or any raw materials or packaging materials with respect thereto, or any intermediate of any of the foregoing, including process and cost optimization, process qualification and validation, commercial Manufacture, stability, in-process and release testing, quality assurance and quality control. Notwithstanding the foregoing, the Parties will reasonably co-operate in order to align their manufacturing process (and/or those of their CMOs) for PM8002 Licensed Products in their respective territories.</w:t>
      </w:r>
    </w:p>
    <w:p>
      <w:pPr>
        <w:spacing w:after="0" w:line="26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b w:val="1"/>
          <w:bCs w:val="1"/>
          <w:color w:val="auto"/>
        </w:rPr>
        <w:t>Manufacturing of PM8003 Licensed Products and/or Preclinical Multispecific Licensed Products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9" w:lineRule="auto"/>
        <w:rPr>
          <w:sz w:val="20"/>
          <w:szCs w:val="20"/>
          <w:color w:val="auto"/>
        </w:rPr>
      </w:pPr>
      <w:r>
        <w:rPr>
          <w:rFonts w:ascii="Arial" w:cs="Arial" w:eastAsia="Arial" w:hAnsi="Arial"/>
          <w:sz w:val="16"/>
          <w:szCs w:val="16"/>
          <w:color w:val="auto"/>
        </w:rPr>
        <w:t>From the PM8003 Option Exercise Date or the Preclinical Multispecific Option Exercise Date as applicable, the terms set out in Section 7.1 (Manufacturing of PM8002 Licensed Products), Section 7.2 (Manufacturing Technology Transfer for PM8002 Licensed Products) and Section 7.3 (Following Completion of Manufacturing Technology Transfer for PM8002 Licensed Products) will apply mutatis mutandis to the manufacture of the PM8003 Licensed Compound and the PM8003 Licensed Product or the Preclinical Multispecific Licensed Compound and the Preclinical Multispecific Licensed Product, as applicable.</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b w:val="1"/>
          <w:bCs w:val="1"/>
          <w:color w:val="auto"/>
        </w:rPr>
        <w:t>BioNTech Audit Rights</w:t>
      </w:r>
    </w:p>
    <w:p>
      <w:pPr>
        <w:spacing w:after="0" w:line="200" w:lineRule="exact"/>
        <w:rPr>
          <w:sz w:val="20"/>
          <w:szCs w:val="20"/>
          <w:color w:val="auto"/>
        </w:rPr>
      </w:pPr>
    </w:p>
    <w:p>
      <w:pPr>
        <w:spacing w:after="0" w:line="230" w:lineRule="exact"/>
        <w:rPr>
          <w:sz w:val="20"/>
          <w:szCs w:val="20"/>
          <w:color w:val="auto"/>
        </w:rPr>
      </w:pPr>
    </w:p>
    <w:p>
      <w:pPr>
        <w:jc w:val="both"/>
        <w:ind w:left="1820" w:right="20" w:hanging="566"/>
        <w:spacing w:after="0" w:line="436" w:lineRule="auto"/>
        <w:tabs>
          <w:tab w:leader="none" w:pos="1820" w:val="left"/>
        </w:tabs>
        <w:numPr>
          <w:ilvl w:val="0"/>
          <w:numId w:val="845"/>
        </w:numPr>
        <w:rPr>
          <w:rFonts w:ascii="Arial" w:cs="Arial" w:eastAsia="Arial" w:hAnsi="Arial"/>
          <w:sz w:val="16"/>
          <w:szCs w:val="16"/>
          <w:color w:val="auto"/>
        </w:rPr>
      </w:pPr>
      <w:r>
        <w:rPr>
          <w:rFonts w:ascii="Arial" w:cs="Arial" w:eastAsia="Arial" w:hAnsi="Arial"/>
          <w:sz w:val="16"/>
          <w:szCs w:val="16"/>
          <w:color w:val="auto"/>
        </w:rPr>
        <w:t>For so long as Biotheus or its applicable Affiliate continues to Manufacture and supply any Licensed Product to BioNTech or to Manufacture any Licensed Product to be used in the Global Trials or Joint Trials, upon reasonable notice at least [***] days in advance of a proposed audit, during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40" w:orient="portrait"/>
          <w:cols w:equalWidth="0" w:num="1">
            <w:col w:w="10580"/>
          </w:cols>
          <w:pgMar w:left="660" w:top="1440" w:right="660" w:bottom="1440" w:gutter="0" w:footer="0" w:header="0"/>
        </w:sectPr>
      </w:pPr>
    </w:p>
    <w:bookmarkStart w:id="838" w:name="page839"/>
    <w:bookmarkEnd w:id="83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040"/>
        <w:spacing w:after="0" w:line="424" w:lineRule="auto"/>
        <w:rPr>
          <w:sz w:val="20"/>
          <w:szCs w:val="20"/>
          <w:color w:val="auto"/>
        </w:rPr>
      </w:pPr>
      <w:r>
        <w:rPr>
          <w:rFonts w:ascii="Arial" w:cs="Arial" w:eastAsia="Arial" w:hAnsi="Arial"/>
          <w:sz w:val="16"/>
          <w:szCs w:val="16"/>
          <w:color w:val="auto"/>
        </w:rPr>
        <w:t>regular business hours and under obligations of confidentiality, BioNTech (or its designees) shall be entitled to audit (either in person, online or on paper) and qualify Biotheus and all subcontractors or Third Parties used by Biotheus to Manufacture any Licensed Product that is supplied to BioNTech or used in the Global Trials or Joint Trials under this Agreement including Biotheus, its Affiliates, or any of their respective C(D)MOs or any other Third Party involved in such activities, and any activities relating to the creation or storage of any cell bank in connection with the Licensed Product that is supplied to BioNTech, to assess compliance with the applicable cGMP requirements and contractual agreements including but not limited to EudraLex Vol. 4 Part IV, and applicable EudraLex Annex 1 parts, US FDA 21 CFR Parts 11, 210, 211, WHO/ICH/PIC/s Regulations and applicable quality agreements agreed between the Parties. If such audit by BioNTech identifies any material non-compliance by Biotheus (including via its subcontractors) or its Affiliates (including via its subcontractors) with any of the foregoing then Biotheus shall take, and shall require its Affiliates or subcontractors to take, remedial actions to cure such non-compliance, and if such material non-compliance is confirmed to be an uncured material breach on the part of Biotheus pursuant to Section 13.2(b) (Termination for Breach), then the provisions of Section 13.2(b) (Termination for Breach) shall apply. For clarity, any uncured failure to qualify on the part of Biotheus or [***] shall be deemed an alleged uncured material breach on the part of Biotheus pursuant to Section 13.2(b) (Termination for Breach) and the provisions of Section 13.2(b) (Termination for Breach) shall apply.</w:t>
      </w:r>
    </w:p>
    <w:p>
      <w:pPr>
        <w:spacing w:after="0" w:line="274" w:lineRule="exact"/>
        <w:rPr>
          <w:sz w:val="20"/>
          <w:szCs w:val="20"/>
          <w:color w:val="auto"/>
        </w:rPr>
      </w:pPr>
    </w:p>
    <w:p>
      <w:pPr>
        <w:jc w:val="both"/>
        <w:ind w:left="1040" w:right="20" w:hanging="566"/>
        <w:spacing w:after="0" w:line="428" w:lineRule="auto"/>
        <w:tabs>
          <w:tab w:leader="none" w:pos="1028" w:val="left"/>
        </w:tabs>
        <w:numPr>
          <w:ilvl w:val="0"/>
          <w:numId w:val="846"/>
        </w:numPr>
        <w:rPr>
          <w:rFonts w:ascii="Arial" w:cs="Arial" w:eastAsia="Arial" w:hAnsi="Arial"/>
          <w:sz w:val="16"/>
          <w:szCs w:val="16"/>
          <w:color w:val="auto"/>
        </w:rPr>
      </w:pPr>
      <w:r>
        <w:rPr>
          <w:rFonts w:ascii="Arial" w:cs="Arial" w:eastAsia="Arial" w:hAnsi="Arial"/>
          <w:sz w:val="16"/>
          <w:szCs w:val="16"/>
          <w:color w:val="auto"/>
        </w:rPr>
        <w:t>For so long as Biotheus or its applicable Affiliate continues to conduct activities assigned to it under the Global CDP or Joint CDP and/or any other activities relevant for Clinical Trials conducted by BioNTech in the Territory, as applicable, upon reasonable notice at least [***] days in advance of a proposed audit, during regular business hours and under obligations of confidentiality, BioNTech (or its designees) shall be entitled to audit (either in person, online or on paper) and qualify Biotheus and all subcontractors or Third Parties used by Biotheus to carry out activities under the Global CDP or Joint CDP and/or activities relevant for Clinical Trials conducted by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69</w:t>
      </w:r>
    </w:p>
    <w:p>
      <w:pPr>
        <w:sectPr>
          <w:pgSz w:w="11900" w:h="16840" w:orient="portrait"/>
          <w:cols w:equalWidth="0" w:num="1">
            <w:col w:w="9800"/>
          </w:cols>
          <w:pgMar w:left="1440" w:top="1440" w:right="660" w:bottom="1440" w:gutter="0" w:footer="0" w:header="0"/>
        </w:sectPr>
      </w:pPr>
    </w:p>
    <w:bookmarkStart w:id="839" w:name="page840"/>
    <w:bookmarkEnd w:id="83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820"/>
        <w:spacing w:after="0" w:line="425" w:lineRule="auto"/>
        <w:rPr>
          <w:sz w:val="20"/>
          <w:szCs w:val="20"/>
          <w:color w:val="auto"/>
        </w:rPr>
      </w:pPr>
      <w:r>
        <w:rPr>
          <w:rFonts w:ascii="Arial" w:cs="Arial" w:eastAsia="Arial" w:hAnsi="Arial"/>
          <w:sz w:val="16"/>
          <w:szCs w:val="16"/>
          <w:color w:val="auto"/>
        </w:rPr>
        <w:t>BioNTech in the Territory, as applicable, including (a) Biotheus, its Affiliates, or any of their respective CROs or any other Third Party involved in clinical Development activities, testing activities (including clinical and preclinical testing) and any other activities under the Global CDP or Joint CDP; and (b) any of Biotheus’ or its Affiliates’ clinical sites, as selected by BioNTech in its sole discretion, in each case of the foregoing (a) and (b), to assess compliance with all GxPs including but not limited to applicable cGCP requirements and all matters arising from any pharmacovigilance agreement agreed between the Parties pursuant to Section 6.2 (PV Agreement). If such audit by BioNTech identifies any material non-compliance by Biotheus (including via its subcontractors and clinical sites) or its Affiliates (including via its subcontractors and clinical sites) with any of the foregoing then Biotheus´ shall take, and shall require its Affiliates, subcontractors or clinical sites to take, remedial actions to cure such non-compliance, and if such material non-compliance is confirmed to be an uncured material breach on the part of Biotheus pursuant to Section 13.2(b) (Termination for Breach), then the provisions of Section 13.2(b) (Termination for Breach) shall apply.</w:t>
      </w:r>
    </w:p>
    <w:p>
      <w:pPr>
        <w:spacing w:after="0" w:line="269" w:lineRule="exact"/>
        <w:rPr>
          <w:sz w:val="20"/>
          <w:szCs w:val="20"/>
          <w:color w:val="auto"/>
        </w:rPr>
      </w:pPr>
    </w:p>
    <w:p>
      <w:pPr>
        <w:jc w:val="both"/>
        <w:ind w:left="1820" w:right="20" w:hanging="566"/>
        <w:spacing w:after="0" w:line="436" w:lineRule="auto"/>
        <w:tabs>
          <w:tab w:leader="none" w:pos="1808" w:val="left"/>
        </w:tabs>
        <w:numPr>
          <w:ilvl w:val="0"/>
          <w:numId w:val="847"/>
        </w:numPr>
        <w:rPr>
          <w:rFonts w:ascii="Arial" w:cs="Arial" w:eastAsia="Arial" w:hAnsi="Arial"/>
          <w:sz w:val="16"/>
          <w:szCs w:val="16"/>
          <w:color w:val="auto"/>
        </w:rPr>
      </w:pPr>
      <w:r>
        <w:rPr>
          <w:rFonts w:ascii="Arial" w:cs="Arial" w:eastAsia="Arial" w:hAnsi="Arial"/>
          <w:sz w:val="16"/>
          <w:szCs w:val="16"/>
          <w:color w:val="auto"/>
        </w:rPr>
        <w:t>In addition if BioNTech identifies any material non-compliance or failure to qualify on the part of any relevant Third Party pursuant to this Section 7.5 (BionTech Audit Rights) Biotheus shall at BioNTech's request terminate any agreement with such Third Party.</w:t>
      </w:r>
    </w:p>
    <w:p>
      <w:pPr>
        <w:spacing w:after="0" w:line="256" w:lineRule="exact"/>
        <w:rPr>
          <w:sz w:val="20"/>
          <w:szCs w:val="20"/>
          <w:color w:val="auto"/>
        </w:rPr>
      </w:pPr>
    </w:p>
    <w:p>
      <w:pPr>
        <w:ind w:left="560" w:hanging="554"/>
        <w:spacing w:after="0"/>
        <w:tabs>
          <w:tab w:leader="none" w:pos="560" w:val="left"/>
        </w:tabs>
        <w:numPr>
          <w:ilvl w:val="0"/>
          <w:numId w:val="84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TERMS</w:t>
      </w:r>
    </w:p>
    <w:p>
      <w:pPr>
        <w:spacing w:after="0" w:line="200" w:lineRule="exact"/>
        <w:rPr>
          <w:rFonts w:ascii="Arial" w:cs="Arial" w:eastAsia="Arial" w:hAnsi="Arial"/>
          <w:sz w:val="16"/>
          <w:szCs w:val="16"/>
          <w:b w:val="1"/>
          <w:bCs w:val="1"/>
          <w:color w:val="auto"/>
        </w:rPr>
      </w:pPr>
    </w:p>
    <w:p>
      <w:pPr>
        <w:spacing w:after="0" w:line="230" w:lineRule="exact"/>
        <w:rPr>
          <w:rFonts w:ascii="Arial" w:cs="Arial" w:eastAsia="Arial" w:hAnsi="Arial"/>
          <w:sz w:val="16"/>
          <w:szCs w:val="16"/>
          <w:b w:val="1"/>
          <w:bCs w:val="1"/>
          <w:color w:val="auto"/>
        </w:rPr>
      </w:pPr>
    </w:p>
    <w:p>
      <w:pPr>
        <w:jc w:val="both"/>
        <w:ind w:left="580"/>
        <w:spacing w:after="0" w:line="428" w:lineRule="auto"/>
        <w:rPr>
          <w:rFonts w:ascii="Arial" w:cs="Arial" w:eastAsia="Arial" w:hAnsi="Arial"/>
          <w:sz w:val="16"/>
          <w:szCs w:val="16"/>
          <w:b w:val="1"/>
          <w:bCs w:val="1"/>
          <w:color w:val="auto"/>
        </w:rPr>
      </w:pPr>
      <w:r>
        <w:rPr>
          <w:rFonts w:ascii="Arial" w:cs="Arial" w:eastAsia="Arial" w:hAnsi="Arial"/>
          <w:sz w:val="16"/>
          <w:szCs w:val="16"/>
          <w:color w:val="auto"/>
        </w:rPr>
        <w:t xml:space="preserve">BioNTech's payment obligations set out in the Article 8 (Financial Terms) are conditional on and subject to the completion of a successful audit by BioNTech to BioNTech’s reasonable satisfaction of, and at BioNTech’s discretion also qualification of, both Biotheus and [***] pursuant to Section 7.5(i) (BioNTech Audit Rights) (the date on which BioNTech is so satisfied being the " </w:t>
      </w:r>
      <w:r>
        <w:rPr>
          <w:rFonts w:ascii="Arial" w:cs="Arial" w:eastAsia="Arial" w:hAnsi="Arial"/>
          <w:sz w:val="16"/>
          <w:szCs w:val="16"/>
          <w:b w:val="1"/>
          <w:bCs w:val="1"/>
          <w:color w:val="auto"/>
        </w:rPr>
        <w:t>Qualification Date</w:t>
      </w:r>
      <w:r>
        <w:rPr>
          <w:rFonts w:ascii="Arial" w:cs="Arial" w:eastAsia="Arial" w:hAnsi="Arial"/>
          <w:sz w:val="16"/>
          <w:szCs w:val="16"/>
          <w:color w:val="auto"/>
        </w:rPr>
        <w:t>"). BioNTech shall commence such audit (which may be conducted by a Third Party acting for BioNTech) as soon as reasonably possible following the Execution Date but in no event later than [***], and shall notify Biotheus promptly in writing with the results of such audit and, as applicable, qualification following BioNTech's completion of the audit and, as applicable, qualification, both of which shall take place no later than [***].</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40" w:orient="portrait"/>
          <w:cols w:equalWidth="0" w:num="1">
            <w:col w:w="10580"/>
          </w:cols>
          <w:pgMar w:left="660" w:top="1440" w:right="660" w:bottom="1440" w:gutter="0" w:footer="0" w:header="0"/>
        </w:sectPr>
      </w:pPr>
    </w:p>
    <w:bookmarkStart w:id="840" w:name="page841"/>
    <w:bookmarkEnd w:id="840"/>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83" w:lineRule="auto"/>
        <w:rPr>
          <w:sz w:val="20"/>
          <w:szCs w:val="20"/>
          <w:color w:val="auto"/>
        </w:rPr>
      </w:pPr>
      <w:r>
        <w:rPr>
          <w:rFonts w:ascii="Arial" w:cs="Arial" w:eastAsia="Arial" w:hAnsi="Arial"/>
          <w:sz w:val="14"/>
          <w:szCs w:val="14"/>
          <w:color w:val="auto"/>
        </w:rPr>
        <w:t>If such audit or, as applicable, qualification, identify any non-compliance by Biotheus or [***], Biotheus shall take such steps or procure that [***] takes such steps to cure such non-compliance. If either Biotheus or [***] does not successfully complete such audit and, as applicable, qualification to BioNTech's reasonable satisfaction, BioNTech shall be entitled to terminate this Agreement without further liability pursuant to Section 13.2(a) (Termination for Convenience by BioNTech or Biotheus). If BioNTech does not complete such audit and, as applicable, qualification and notify Biotheus of the results thereof in writing on or before [***], Biotheus shall be entitled to terminate this Agreement without further liability pursuant to Section 13.2(a) (Termination for Convenience by BioNTech or Biotheus). For clarity, no payments shall be due from BioNTech to Biotheus under this Agreement unless and until the Qualification Date is achieved, except that if this Agreement is terminated as a whole by Biotheus pursuant to Section 13.2(a) (Termination for Convenience by BioNTech or Biotheus), then BioNTech shall reimburse Biotheus for [***] of any costs and expenses incurred by Biotheus in conducting the activities requested by BioNTech in writing pursuant to Section 7.1(a)</w:t>
      </w:r>
    </w:p>
    <w:p>
      <w:pPr>
        <w:spacing w:after="0" w:line="1" w:lineRule="exact"/>
        <w:rPr>
          <w:sz w:val="20"/>
          <w:szCs w:val="20"/>
          <w:color w:val="auto"/>
        </w:rPr>
      </w:pPr>
    </w:p>
    <w:p>
      <w:pPr>
        <w:ind w:right="5200" w:firstLine="570"/>
        <w:spacing w:after="0" w:line="798" w:lineRule="auto"/>
        <w:tabs>
          <w:tab w:leader="none" w:pos="815" w:val="left"/>
        </w:tabs>
        <w:numPr>
          <w:ilvl w:val="0"/>
          <w:numId w:val="849"/>
        </w:numPr>
        <w:rPr>
          <w:rFonts w:ascii="Arial" w:cs="Arial" w:eastAsia="Arial" w:hAnsi="Arial"/>
          <w:sz w:val="16"/>
          <w:szCs w:val="16"/>
          <w:color w:val="auto"/>
        </w:rPr>
      </w:pPr>
      <w:r>
        <w:rPr>
          <w:rFonts w:ascii="Arial" w:cs="Arial" w:eastAsia="Arial" w:hAnsi="Arial"/>
          <w:sz w:val="16"/>
          <w:szCs w:val="16"/>
          <w:color w:val="auto"/>
        </w:rPr>
        <w:t xml:space="preserve">(Prior to Technology Transfer of PM8002 Licensed Products). [***] 8.1 </w:t>
      </w:r>
      <w:r>
        <w:rPr>
          <w:rFonts w:ascii="Arial" w:cs="Arial" w:eastAsia="Arial" w:hAnsi="Arial"/>
          <w:sz w:val="16"/>
          <w:szCs w:val="16"/>
          <w:b w:val="1"/>
          <w:bCs w:val="1"/>
          <w:color w:val="auto"/>
        </w:rPr>
        <w:t>Upfront Payment</w:t>
      </w:r>
    </w:p>
    <w:p>
      <w:pPr>
        <w:spacing w:after="0" w:line="1" w:lineRule="exact"/>
        <w:rPr>
          <w:sz w:val="20"/>
          <w:szCs w:val="20"/>
          <w:color w:val="auto"/>
        </w:rPr>
      </w:pPr>
    </w:p>
    <w:p>
      <w:pPr>
        <w:jc w:val="both"/>
        <w:ind w:left="580" w:right="20"/>
        <w:spacing w:after="0" w:line="431" w:lineRule="auto"/>
        <w:rPr>
          <w:sz w:val="20"/>
          <w:szCs w:val="20"/>
          <w:color w:val="auto"/>
        </w:rPr>
      </w:pPr>
      <w:r>
        <w:rPr>
          <w:rFonts w:ascii="Arial" w:cs="Arial" w:eastAsia="Arial" w:hAnsi="Arial"/>
          <w:sz w:val="16"/>
          <w:szCs w:val="16"/>
          <w:color w:val="auto"/>
        </w:rPr>
        <w:t>BioNTech will pay to Biotheus a non-refundable (except as provided in this Agreement), non-creditable upfront payment of fifty five million United States Dollars ($55,000,000) (the "</w:t>
      </w:r>
      <w:r>
        <w:rPr>
          <w:rFonts w:ascii="Arial" w:cs="Arial" w:eastAsia="Arial" w:hAnsi="Arial"/>
          <w:sz w:val="16"/>
          <w:szCs w:val="16"/>
          <w:b w:val="1"/>
          <w:bCs w:val="1"/>
          <w:color w:val="auto"/>
        </w:rPr>
        <w:t>Upfront Payment</w:t>
      </w:r>
      <w:r>
        <w:rPr>
          <w:rFonts w:ascii="Arial" w:cs="Arial" w:eastAsia="Arial" w:hAnsi="Arial"/>
          <w:sz w:val="16"/>
          <w:szCs w:val="16"/>
          <w:color w:val="auto"/>
        </w:rPr>
        <w:t>"). The Upfront Payment shall become due and be paid by BioNTech to Biotheus no later than [***] days after BioNTech's receipt of an invoice from Biotheus, which invoice shall include the relevant PO number provided by BioNTech and be sent to BioNTech at [***]. Such invoice may be issued on or following the Qualification Date.</w:t>
      </w:r>
    </w:p>
    <w:p>
      <w:pPr>
        <w:spacing w:after="0" w:line="26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b w:val="1"/>
          <w:bCs w:val="1"/>
          <w:color w:val="auto"/>
        </w:rPr>
        <w:t>Technology Transfer Payment</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30" w:lineRule="auto"/>
        <w:rPr>
          <w:sz w:val="20"/>
          <w:szCs w:val="20"/>
          <w:color w:val="auto"/>
        </w:rPr>
      </w:pPr>
      <w:r>
        <w:rPr>
          <w:rFonts w:ascii="Arial" w:cs="Arial" w:eastAsia="Arial" w:hAnsi="Arial"/>
          <w:sz w:val="16"/>
          <w:szCs w:val="16"/>
          <w:color w:val="auto"/>
        </w:rPr>
        <w:t xml:space="preserve">BioNTech will pay to Biotheus a payment of ten million United States Dollars ($10,000,000) (" </w:t>
      </w:r>
      <w:r>
        <w:rPr>
          <w:rFonts w:ascii="Arial" w:cs="Arial" w:eastAsia="Arial" w:hAnsi="Arial"/>
          <w:sz w:val="16"/>
          <w:szCs w:val="16"/>
          <w:b w:val="1"/>
          <w:bCs w:val="1"/>
          <w:color w:val="auto"/>
        </w:rPr>
        <w:t>Technology Transfer Payment</w:t>
      </w:r>
      <w:r>
        <w:rPr>
          <w:rFonts w:ascii="Arial" w:cs="Arial" w:eastAsia="Arial" w:hAnsi="Arial"/>
          <w:sz w:val="16"/>
          <w:szCs w:val="16"/>
          <w:color w:val="auto"/>
        </w:rPr>
        <w:t>") upon successful completion of the Manufacturing Technology Transfer for PM8002 Licensed Products pursuant to Article 7 (Manufacturing and Technology Transfer) provided that such sum may be reduced in accordance with the provisions of Section 7.2 (Manufacturing Technology Transfer for PM8002 Licensed Products). The Technology Transfer Payment shall become due and be paid by BioNTech to Biotheus no later than [***] days after BioNTech's receipt of an invoice from Biotheus, which</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40" w:orient="portrait"/>
          <w:cols w:equalWidth="0" w:num="1">
            <w:col w:w="10580"/>
          </w:cols>
          <w:pgMar w:left="660" w:top="1440" w:right="660" w:bottom="1440" w:gutter="0" w:footer="0" w:header="0"/>
        </w:sectPr>
      </w:pPr>
    </w:p>
    <w:bookmarkStart w:id="841" w:name="page842"/>
    <w:bookmarkEnd w:id="84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40"/>
        <w:spacing w:after="0" w:line="427" w:lineRule="auto"/>
        <w:rPr>
          <w:sz w:val="20"/>
          <w:szCs w:val="20"/>
          <w:color w:val="auto"/>
        </w:rPr>
      </w:pPr>
      <w:r>
        <w:rPr>
          <w:rFonts w:ascii="Arial" w:cs="Arial" w:eastAsia="Arial" w:hAnsi="Arial"/>
          <w:sz w:val="16"/>
          <w:szCs w:val="16"/>
          <w:color w:val="auto"/>
        </w:rPr>
        <w:t>invoice shall include the relevant PO number provided by BioNTech and be sent to BioNTech at [***]. Such invoice may be issued on or following the date the Manufacturing Technology Transfer for PM8002 Licensed Product is successfully completed pursuant to Article 7 (Manufacturing and Technology Transfer) as evidenced by a technology transfer report signed by the Parties (it being agreed and understood that the Parties shall sign such report if the successful completion of the Manufacturing Technology Transfer for PM8002 Licensed Products, as defined below, has occurred). For the purpose of this Section 8.2 (Technology Transfer Payment), the “successful completion of the Manufacturing Technology Transfer for PM8002 Licensed Products” shall mean [***]. Each Party shall use reasonable efforts to comply with any timelines agreed in the transfer plan.</w:t>
      </w:r>
    </w:p>
    <w:p>
      <w:pPr>
        <w:spacing w:after="0" w:line="20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b w:val="1"/>
          <w:bCs w:val="1"/>
          <w:color w:val="auto"/>
        </w:rPr>
        <w:t>Development and Approval Milestone Payments for Licensed Products</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27" w:lineRule="auto"/>
        <w:rPr>
          <w:sz w:val="20"/>
          <w:szCs w:val="20"/>
          <w:color w:val="auto"/>
        </w:rPr>
      </w:pPr>
      <w:r>
        <w:rPr>
          <w:rFonts w:ascii="Arial" w:cs="Arial" w:eastAsia="Arial" w:hAnsi="Arial"/>
          <w:sz w:val="16"/>
          <w:szCs w:val="16"/>
          <w:color w:val="auto"/>
        </w:rPr>
        <w:t xml:space="preserve">Following the Effective Date, BioNTech will pay Biotheus the amounts set forth in Table 8.3 below (each a " </w:t>
      </w:r>
      <w:r>
        <w:rPr>
          <w:rFonts w:ascii="Arial" w:cs="Arial" w:eastAsia="Arial" w:hAnsi="Arial"/>
          <w:sz w:val="16"/>
          <w:szCs w:val="16"/>
          <w:b w:val="1"/>
          <w:bCs w:val="1"/>
          <w:color w:val="auto"/>
        </w:rPr>
        <w:t>Development Milestone Payment</w:t>
      </w:r>
      <w:r>
        <w:rPr>
          <w:rFonts w:ascii="Arial" w:cs="Arial" w:eastAsia="Arial" w:hAnsi="Arial"/>
          <w:sz w:val="16"/>
          <w:szCs w:val="16"/>
          <w:color w:val="auto"/>
        </w:rPr>
        <w:t xml:space="preserve">") no later than [***] days after receipt of an invoice from Biotheus (except that for the Development Milestone Payment for Development Milestone Event Number 1 in the table below, such payment shall be payable by BioNTech within [***] Business Days after receipt of an invoice from Biotheus, which invoice shall be issuable after [***]. An invoice shall be issuable by Biotheus after the first occurrence of each milestone event described below (each, a </w:t>
      </w:r>
      <w:r>
        <w:rPr>
          <w:rFonts w:ascii="Arial" w:cs="Arial" w:eastAsia="Arial" w:hAnsi="Arial"/>
          <w:sz w:val="16"/>
          <w:szCs w:val="16"/>
          <w:b w:val="1"/>
          <w:bCs w:val="1"/>
          <w:color w:val="auto"/>
        </w:rPr>
        <w:t>"Development Milestone Event</w:t>
      </w:r>
      <w:r>
        <w:rPr>
          <w:rFonts w:ascii="Arial" w:cs="Arial" w:eastAsia="Arial" w:hAnsi="Arial"/>
          <w:sz w:val="16"/>
          <w:szCs w:val="16"/>
          <w:color w:val="auto"/>
        </w:rPr>
        <w:t>") triggered by the first Licensed Product [***], to achieve such Development Milestone Event. BioNTech shall notify Biotheus in writing within [***] days of the achievement of each of the Development Milestone Events set forth in Table [***], whether the relevant milestone is achieved by BioNTech, its Affiliates or their respective Sublicensees. Irrespective of the number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72</w:t>
      </w:r>
    </w:p>
    <w:p>
      <w:pPr>
        <w:sectPr>
          <w:pgSz w:w="11900" w:h="16840" w:orient="portrait"/>
          <w:cols w:equalWidth="0" w:num="1">
            <w:col w:w="10600"/>
          </w:cols>
          <w:pgMar w:left="660" w:top="1440" w:right="640" w:bottom="1440" w:gutter="0" w:footer="0" w:header="0"/>
        </w:sectPr>
      </w:pPr>
    </w:p>
    <w:bookmarkStart w:id="842" w:name="page843"/>
    <w:bookmarkEnd w:id="84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Licensed Products that has achieved a Development Milestone Event, the Development Milestone Payments shall be payable once only. [***]</w:t>
      </w:r>
    </w:p>
    <w:p>
      <w:pPr>
        <w:spacing w:after="0" w:line="200" w:lineRule="exact"/>
        <w:rPr>
          <w:sz w:val="20"/>
          <w:szCs w:val="20"/>
          <w:color w:val="auto"/>
        </w:rPr>
      </w:pP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purposes of Development Milestone Event 1 in the table below, [***].</w:t>
      </w:r>
    </w:p>
    <w:p>
      <w:pPr>
        <w:spacing w:after="0" w:line="200" w:lineRule="exact"/>
        <w:rPr>
          <w:sz w:val="20"/>
          <w:szCs w:val="20"/>
          <w:color w:val="auto"/>
        </w:rPr>
      </w:pP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b w:val="1"/>
          <w:bCs w:val="1"/>
          <w:color w:val="auto"/>
        </w:rPr>
        <w:t>Sales Milestone Payments for Licensed Products</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28" w:lineRule="auto"/>
        <w:rPr>
          <w:sz w:val="20"/>
          <w:szCs w:val="20"/>
          <w:color w:val="auto"/>
        </w:rPr>
      </w:pPr>
      <w:r>
        <w:rPr>
          <w:rFonts w:ascii="Arial" w:cs="Arial" w:eastAsia="Arial" w:hAnsi="Arial"/>
          <w:sz w:val="16"/>
          <w:szCs w:val="16"/>
          <w:color w:val="auto"/>
        </w:rPr>
        <w:t xml:space="preserve">BioNTech will pay to Biotheus the amounts set forth in Table [***] below (each a </w:t>
      </w:r>
      <w:r>
        <w:rPr>
          <w:rFonts w:ascii="Arial" w:cs="Arial" w:eastAsia="Arial" w:hAnsi="Arial"/>
          <w:sz w:val="16"/>
          <w:szCs w:val="16"/>
          <w:b w:val="1"/>
          <w:bCs w:val="1"/>
          <w:color w:val="auto"/>
        </w:rPr>
        <w:t>"Sales Milestone Payment</w:t>
      </w:r>
      <w:r>
        <w:rPr>
          <w:rFonts w:ascii="Arial" w:cs="Arial" w:eastAsia="Arial" w:hAnsi="Arial"/>
          <w:sz w:val="16"/>
          <w:szCs w:val="16"/>
          <w:color w:val="auto"/>
        </w:rPr>
        <w:t>") no later than [***] days after receipt of an undisputed invoice from Biotheus, which invoice shall be issuable after the first achievement of each event described below (each a "</w:t>
      </w:r>
      <w:r>
        <w:rPr>
          <w:rFonts w:ascii="Arial" w:cs="Arial" w:eastAsia="Arial" w:hAnsi="Arial"/>
          <w:sz w:val="16"/>
          <w:szCs w:val="16"/>
          <w:b w:val="1"/>
          <w:bCs w:val="1"/>
          <w:color w:val="auto"/>
        </w:rPr>
        <w:t>Sales Milestone Event</w:t>
      </w:r>
      <w:r>
        <w:rPr>
          <w:rFonts w:ascii="Arial" w:cs="Arial" w:eastAsia="Arial" w:hAnsi="Arial"/>
          <w:sz w:val="16"/>
          <w:szCs w:val="16"/>
          <w:color w:val="auto"/>
        </w:rPr>
        <w:t>") triggered by [***]. BioNTech shall notify Biotheus in writing within [***] days of the end of the [***] in which the Sales Milestone Events set forth in Table [***] are achieved, whether the relevant milestone is achieved by BioNTech, its Affiliates or their respective Sublicensees. Irrespective of the number of Licensed Products that have achieved a Sales Milestone Event and how many times the same Sales Milestone Event is achieved, the Sales Milestone Payments shall be payable once only.</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120" w:hanging="550"/>
        <w:spacing w:after="0"/>
        <w:tabs>
          <w:tab w:leader="none" w:pos="1120" w:val="left"/>
        </w:tabs>
        <w:numPr>
          <w:ilvl w:val="0"/>
          <w:numId w:val="850"/>
        </w:numPr>
        <w:rPr>
          <w:rFonts w:ascii="Arial" w:cs="Arial" w:eastAsia="Arial" w:hAnsi="Arial"/>
          <w:sz w:val="16"/>
          <w:szCs w:val="16"/>
          <w:color w:val="auto"/>
        </w:rPr>
      </w:pPr>
      <w:r>
        <w:rPr>
          <w:rFonts w:ascii="Arial" w:cs="Arial" w:eastAsia="Arial" w:hAnsi="Arial"/>
          <w:sz w:val="16"/>
          <w:szCs w:val="16"/>
          <w:b w:val="1"/>
          <w:bCs w:val="1"/>
          <w:color w:val="auto"/>
        </w:rPr>
        <w:t>Achievement of Multiple Sales Milestones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29" w:lineRule="auto"/>
        <w:rPr>
          <w:rFonts w:ascii="Arial" w:cs="Arial" w:eastAsia="Arial" w:hAnsi="Arial"/>
          <w:sz w:val="16"/>
          <w:szCs w:val="16"/>
          <w:color w:val="auto"/>
        </w:rPr>
      </w:pPr>
      <w:r>
        <w:rPr>
          <w:rFonts w:ascii="Arial" w:cs="Arial" w:eastAsia="Arial" w:hAnsi="Arial"/>
          <w:sz w:val="16"/>
          <w:szCs w:val="16"/>
          <w:color w:val="auto"/>
        </w:rPr>
        <w:t>If two or more Sales Milestone Events are achieved in the same [***], then BioNTech will pay the Sales Milestone Payment in respect of the first such Sales Milestone Event to occur in that [***] when such milestone payment falls due, and the second Sales Milestone Event will be treated as having been achieved on the first day of the subsequent [***]. In the event that a further Sales Milestone Event occurs in that subsequent [***], such further Sales Milestone Event will be treated as having been achieved on the first day of the next [***], and so forth.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40" w:orient="portrait"/>
          <w:cols w:equalWidth="0" w:num="1">
            <w:col w:w="10580"/>
          </w:cols>
          <w:pgMar w:left="660" w:top="1440" w:right="660" w:bottom="1440" w:gutter="0" w:footer="0" w:header="0"/>
        </w:sectPr>
      </w:pPr>
    </w:p>
    <w:bookmarkStart w:id="843" w:name="page844"/>
    <w:bookmarkEnd w:id="84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4"/>
          <w:szCs w:val="14"/>
          <w:b w:val="1"/>
          <w:bCs w:val="1"/>
          <w:color w:val="auto"/>
        </w:rPr>
        <w:t>Royalty Payments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51"/>
        </w:numPr>
        <w:rPr>
          <w:rFonts w:ascii="Arial" w:cs="Arial" w:eastAsia="Arial" w:hAnsi="Arial"/>
          <w:sz w:val="16"/>
          <w:szCs w:val="16"/>
          <w:color w:val="auto"/>
        </w:rPr>
      </w:pPr>
      <w:r>
        <w:rPr>
          <w:rFonts w:ascii="Arial" w:cs="Arial" w:eastAsia="Arial" w:hAnsi="Arial"/>
          <w:sz w:val="16"/>
          <w:szCs w:val="16"/>
          <w:b w:val="1"/>
          <w:bCs w:val="1"/>
          <w:color w:val="auto"/>
        </w:rPr>
        <w:t>Royalty Rates for Licensed Products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82" w:lineRule="auto"/>
        <w:rPr>
          <w:rFonts w:ascii="Arial" w:cs="Arial" w:eastAsia="Arial" w:hAnsi="Arial"/>
          <w:sz w:val="16"/>
          <w:szCs w:val="16"/>
          <w:color w:val="auto"/>
        </w:rPr>
      </w:pPr>
      <w:r>
        <w:rPr>
          <w:rFonts w:ascii="Arial" w:cs="Arial" w:eastAsia="Arial" w:hAnsi="Arial"/>
          <w:sz w:val="14"/>
          <w:szCs w:val="14"/>
          <w:color w:val="auto"/>
        </w:rPr>
        <w:t>Subject to the provisions of Section 8.5(b) (Adjustments to Royalties) and Sections 8.6 (Improved Licensed Products), 8.7 (PM8003 Licensed Products) or 8.8 (Preclinical Multispecific Licensed Products) in relation to Improved Licensed Products, PM8003 Licensed Products and/or Preclinical Multispecific Licensed Products, [***], BioNTech will pay to Biotheus tiered royalties based on annual Net Sales of a Licensed Product (on a Licensed Product-by-Licensed Product basis) by BioNTech and its Affiliates and its Sublicensees in a Calendar Year in the Territory during the Royalty Term for each such Licensed Product in such country at the rates set forth in Table</w:t>
      </w:r>
    </w:p>
    <w:p>
      <w:pPr>
        <w:spacing w:after="0" w:line="1" w:lineRule="exact"/>
        <w:rPr>
          <w:rFonts w:ascii="Arial" w:cs="Arial" w:eastAsia="Arial" w:hAnsi="Arial"/>
          <w:sz w:val="16"/>
          <w:szCs w:val="16"/>
          <w:color w:val="auto"/>
        </w:rPr>
      </w:pPr>
    </w:p>
    <w:p>
      <w:pPr>
        <w:ind w:left="1140" w:right="20" w:hanging="6"/>
        <w:spacing w:after="0" w:line="463" w:lineRule="auto"/>
        <w:tabs>
          <w:tab w:leader="none" w:pos="1464" w:val="left"/>
        </w:tabs>
        <w:numPr>
          <w:ilvl w:val="1"/>
          <w:numId w:val="851"/>
        </w:numPr>
        <w:rPr>
          <w:rFonts w:ascii="Arial" w:cs="Arial" w:eastAsia="Arial" w:hAnsi="Arial"/>
          <w:sz w:val="16"/>
          <w:szCs w:val="16"/>
          <w:color w:val="auto"/>
        </w:rPr>
      </w:pPr>
      <w:r>
        <w:rPr>
          <w:rFonts w:ascii="Arial" w:cs="Arial" w:eastAsia="Arial" w:hAnsi="Arial"/>
          <w:sz w:val="16"/>
          <w:szCs w:val="16"/>
          <w:color w:val="auto"/>
        </w:rPr>
        <w:t>below. The royalty payments made pursuant to this Section 8.5(a) (Royalty Rates for Licensed Products), the "</w:t>
      </w:r>
      <w:r>
        <w:rPr>
          <w:rFonts w:ascii="Arial" w:cs="Arial" w:eastAsia="Arial" w:hAnsi="Arial"/>
          <w:sz w:val="16"/>
          <w:szCs w:val="16"/>
          <w:b w:val="1"/>
          <w:bCs w:val="1"/>
          <w:color w:val="auto"/>
        </w:rPr>
        <w:t>Royalties</w:t>
      </w:r>
      <w:r>
        <w:rPr>
          <w:rFonts w:ascii="Arial" w:cs="Arial" w:eastAsia="Arial" w:hAnsi="Arial"/>
          <w:sz w:val="16"/>
          <w:szCs w:val="16"/>
          <w:color w:val="auto"/>
        </w:rPr>
        <w:t>" and the rates set forth in Table [***], the "</w:t>
      </w:r>
      <w:r>
        <w:rPr>
          <w:rFonts w:ascii="Arial" w:cs="Arial" w:eastAsia="Arial" w:hAnsi="Arial"/>
          <w:sz w:val="16"/>
          <w:szCs w:val="16"/>
          <w:b w:val="1"/>
          <w:bCs w:val="1"/>
          <w:color w:val="auto"/>
        </w:rPr>
        <w:t>Royalty Rates"</w:t>
      </w:r>
      <w:r>
        <w:rPr>
          <w:rFonts w:ascii="Arial" w:cs="Arial" w:eastAsia="Arial" w:hAnsi="Arial"/>
          <w:sz w:val="16"/>
          <w:szCs w:val="16"/>
          <w:color w:val="auto"/>
        </w:rPr>
        <w:t>.</w:t>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120" w:hanging="550"/>
        <w:spacing w:after="0"/>
        <w:tabs>
          <w:tab w:leader="none" w:pos="1120" w:val="left"/>
        </w:tabs>
        <w:numPr>
          <w:ilvl w:val="0"/>
          <w:numId w:val="852"/>
        </w:numPr>
        <w:rPr>
          <w:rFonts w:ascii="Arial" w:cs="Arial" w:eastAsia="Arial" w:hAnsi="Arial"/>
          <w:sz w:val="16"/>
          <w:szCs w:val="16"/>
          <w:color w:val="auto"/>
        </w:rPr>
      </w:pPr>
      <w:r>
        <w:rPr>
          <w:rFonts w:ascii="Arial" w:cs="Arial" w:eastAsia="Arial" w:hAnsi="Arial"/>
          <w:sz w:val="16"/>
          <w:szCs w:val="16"/>
          <w:b w:val="1"/>
          <w:bCs w:val="1"/>
          <w:color w:val="auto"/>
        </w:rPr>
        <w:t>Adjustments to Royalties</w:t>
      </w:r>
    </w:p>
    <w:p>
      <w:pPr>
        <w:spacing w:after="0" w:line="200" w:lineRule="exact"/>
        <w:rPr>
          <w:sz w:val="20"/>
          <w:szCs w:val="20"/>
          <w:color w:val="auto"/>
        </w:rPr>
      </w:pPr>
    </w:p>
    <w:p>
      <w:pPr>
        <w:spacing w:after="0" w:line="228" w:lineRule="exact"/>
        <w:rPr>
          <w:sz w:val="20"/>
          <w:szCs w:val="20"/>
          <w:color w:val="auto"/>
        </w:rPr>
      </w:pPr>
    </w:p>
    <w:p>
      <w:pPr>
        <w:ind w:left="1820" w:hanging="566"/>
        <w:spacing w:after="0"/>
        <w:tabs>
          <w:tab w:leader="none" w:pos="1820" w:val="left"/>
        </w:tabs>
        <w:numPr>
          <w:ilvl w:val="0"/>
          <w:numId w:val="853"/>
        </w:numPr>
        <w:rPr>
          <w:rFonts w:ascii="Arial" w:cs="Arial" w:eastAsia="Arial" w:hAnsi="Arial"/>
          <w:sz w:val="16"/>
          <w:szCs w:val="16"/>
          <w:color w:val="auto"/>
        </w:rPr>
      </w:pPr>
      <w:r>
        <w:rPr>
          <w:rFonts w:ascii="Arial" w:cs="Arial" w:eastAsia="Arial" w:hAnsi="Arial"/>
          <w:sz w:val="16"/>
          <w:szCs w:val="16"/>
          <w:b w:val="1"/>
          <w:bCs w:val="1"/>
          <w:color w:val="auto"/>
        </w:rPr>
        <w:t>Biosimilar Products</w:t>
      </w:r>
    </w:p>
    <w:p>
      <w:pPr>
        <w:spacing w:after="0" w:line="200" w:lineRule="exact"/>
        <w:rPr>
          <w:sz w:val="20"/>
          <w:szCs w:val="20"/>
          <w:color w:val="auto"/>
        </w:rPr>
      </w:pPr>
    </w:p>
    <w:p>
      <w:pPr>
        <w:spacing w:after="0" w:line="23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800" w:hanging="546"/>
        <w:spacing w:after="0"/>
        <w:tabs>
          <w:tab w:leader="none" w:pos="1800" w:val="left"/>
        </w:tabs>
        <w:numPr>
          <w:ilvl w:val="0"/>
          <w:numId w:val="854"/>
        </w:numPr>
        <w:rPr>
          <w:rFonts w:ascii="Arial" w:cs="Arial" w:eastAsia="Arial" w:hAnsi="Arial"/>
          <w:sz w:val="16"/>
          <w:szCs w:val="16"/>
          <w:color w:val="auto"/>
        </w:rPr>
      </w:pPr>
      <w:r>
        <w:rPr>
          <w:rFonts w:ascii="Arial" w:cs="Arial" w:eastAsia="Arial" w:hAnsi="Arial"/>
          <w:sz w:val="16"/>
          <w:szCs w:val="16"/>
          <w:b w:val="1"/>
          <w:bCs w:val="1"/>
          <w:color w:val="auto"/>
        </w:rPr>
        <w:t>Compulsory Licenses</w:t>
      </w:r>
    </w:p>
    <w:p>
      <w:pPr>
        <w:spacing w:after="0" w:line="200" w:lineRule="exact"/>
        <w:rPr>
          <w:sz w:val="20"/>
          <w:szCs w:val="20"/>
          <w:color w:val="auto"/>
        </w:rPr>
      </w:pPr>
    </w:p>
    <w:p>
      <w:pPr>
        <w:spacing w:after="0" w:line="23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1800" w:hanging="546"/>
        <w:spacing w:after="0"/>
        <w:tabs>
          <w:tab w:leader="none" w:pos="1800" w:val="left"/>
        </w:tabs>
        <w:numPr>
          <w:ilvl w:val="0"/>
          <w:numId w:val="855"/>
        </w:numPr>
        <w:rPr>
          <w:rFonts w:ascii="Arial" w:cs="Arial" w:eastAsia="Arial" w:hAnsi="Arial"/>
          <w:sz w:val="16"/>
          <w:szCs w:val="16"/>
          <w:color w:val="auto"/>
        </w:rPr>
      </w:pPr>
      <w:r>
        <w:rPr>
          <w:rFonts w:ascii="Arial" w:cs="Arial" w:eastAsia="Arial" w:hAnsi="Arial"/>
          <w:sz w:val="16"/>
          <w:szCs w:val="16"/>
          <w:b w:val="1"/>
          <w:bCs w:val="1"/>
          <w:color w:val="auto"/>
        </w:rPr>
        <w:t>Third Party Licenses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2280" w:right="20" w:hanging="569"/>
        <w:spacing w:after="0" w:line="431" w:lineRule="auto"/>
        <w:tabs>
          <w:tab w:leader="none" w:pos="2268" w:val="left"/>
        </w:tabs>
        <w:numPr>
          <w:ilvl w:val="1"/>
          <w:numId w:val="855"/>
        </w:numPr>
        <w:rPr>
          <w:rFonts w:ascii="Arial" w:cs="Arial" w:eastAsia="Arial" w:hAnsi="Arial"/>
          <w:sz w:val="16"/>
          <w:szCs w:val="16"/>
          <w:color w:val="auto"/>
        </w:rPr>
      </w:pPr>
      <w:r>
        <w:rPr>
          <w:rFonts w:ascii="Arial" w:cs="Arial" w:eastAsia="Arial" w:hAnsi="Arial"/>
          <w:sz w:val="16"/>
          <w:szCs w:val="16"/>
          <w:color w:val="auto"/>
        </w:rPr>
        <w:t>If in the absence of a license from a Third Party to any Patent Rights, the Development, Manufacture or Commercialization of a Licensed Product by BioNTech, its Affiliates or its or their Sublicensees would infringe such Patent Rights controlled by a Third Party and BioNTech obtains or prior to the Effective Date has obtained a license to such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40" w:orient="portrait"/>
          <w:cols w:equalWidth="0" w:num="1">
            <w:col w:w="10580"/>
          </w:cols>
          <w:pgMar w:left="660" w:top="1440" w:right="660" w:bottom="1440" w:gutter="0" w:footer="0" w:header="0"/>
        </w:sectPr>
      </w:pPr>
    </w:p>
    <w:bookmarkStart w:id="844" w:name="page845"/>
    <w:bookmarkEnd w:id="84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710" w:right="20"/>
        <w:spacing w:after="0" w:line="437" w:lineRule="auto"/>
        <w:rPr>
          <w:sz w:val="20"/>
          <w:szCs w:val="20"/>
          <w:color w:val="auto"/>
        </w:rPr>
      </w:pPr>
      <w:r>
        <w:rPr>
          <w:rFonts w:ascii="Arial" w:cs="Arial" w:eastAsia="Arial" w:hAnsi="Arial"/>
          <w:sz w:val="16"/>
          <w:szCs w:val="16"/>
          <w:color w:val="auto"/>
        </w:rPr>
        <w:t xml:space="preserve">Third Party Patent Rights ( </w:t>
      </w:r>
      <w:r>
        <w:rPr>
          <w:rFonts w:ascii="Arial" w:cs="Arial" w:eastAsia="Arial" w:hAnsi="Arial"/>
          <w:sz w:val="16"/>
          <w:szCs w:val="16"/>
          <w:b w:val="1"/>
          <w:bCs w:val="1"/>
          <w:color w:val="auto"/>
        </w:rPr>
        <w:t>"Additional Third Party Licenses"</w:t>
      </w:r>
      <w:r>
        <w:rPr>
          <w:rFonts w:ascii="Arial" w:cs="Arial" w:eastAsia="Arial" w:hAnsi="Arial"/>
          <w:sz w:val="16"/>
          <w:szCs w:val="16"/>
          <w:color w:val="auto"/>
        </w:rPr>
        <w:t>), BioNTech would be solely responsible for, as applicable, negotiating, obtaining and maintaining any such Additional Third Party Licenses but would not be obliged to do so.</w:t>
      </w:r>
    </w:p>
    <w:p>
      <w:pPr>
        <w:spacing w:after="0" w:line="257" w:lineRule="exact"/>
        <w:rPr>
          <w:sz w:val="20"/>
          <w:szCs w:val="20"/>
          <w:color w:val="auto"/>
        </w:rPr>
      </w:pPr>
    </w:p>
    <w:p>
      <w:pPr>
        <w:ind w:left="1690" w:hanging="549"/>
        <w:spacing w:after="0"/>
        <w:tabs>
          <w:tab w:leader="none" w:pos="1690" w:val="left"/>
        </w:tabs>
        <w:numPr>
          <w:ilvl w:val="1"/>
          <w:numId w:val="856"/>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both"/>
        <w:ind w:left="1710" w:right="20" w:hanging="569"/>
        <w:spacing w:after="0" w:line="436" w:lineRule="auto"/>
        <w:tabs>
          <w:tab w:leader="none" w:pos="1698" w:val="left"/>
        </w:tabs>
        <w:numPr>
          <w:ilvl w:val="1"/>
          <w:numId w:val="856"/>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Biotheus will remain solely responsible for the payment of any royalty, milestone, and other payment obligations, if any, due to Third Parties in connection with any agreement between Biotheus or its Affiliate relating to the Licensed IP including the Biotheus In-Licenses.</w:t>
      </w:r>
    </w:p>
    <w:p>
      <w:pPr>
        <w:spacing w:after="0" w:line="255" w:lineRule="exact"/>
        <w:rPr>
          <w:rFonts w:ascii="Arial" w:cs="Arial" w:eastAsia="Arial" w:hAnsi="Arial"/>
          <w:sz w:val="16"/>
          <w:szCs w:val="16"/>
          <w:color w:val="auto"/>
        </w:rPr>
      </w:pPr>
    </w:p>
    <w:p>
      <w:pPr>
        <w:ind w:left="1230" w:hanging="546"/>
        <w:spacing w:after="0"/>
        <w:tabs>
          <w:tab w:leader="none" w:pos="1230" w:val="left"/>
        </w:tabs>
        <w:numPr>
          <w:ilvl w:val="0"/>
          <w:numId w:val="857"/>
        </w:numPr>
        <w:rPr>
          <w:rFonts w:ascii="Arial" w:cs="Arial" w:eastAsia="Arial" w:hAnsi="Arial"/>
          <w:sz w:val="16"/>
          <w:szCs w:val="16"/>
          <w:color w:val="auto"/>
        </w:rPr>
      </w:pPr>
      <w:r>
        <w:rPr>
          <w:rFonts w:ascii="Arial" w:cs="Arial" w:eastAsia="Arial" w:hAnsi="Arial"/>
          <w:sz w:val="16"/>
          <w:szCs w:val="16"/>
          <w:b w:val="1"/>
          <w:bCs w:val="1"/>
          <w:color w:val="auto"/>
        </w:rPr>
        <w:t>No Valid Claim</w:t>
      </w:r>
    </w:p>
    <w:p>
      <w:pPr>
        <w:spacing w:after="0" w:line="200" w:lineRule="exact"/>
        <w:rPr>
          <w:sz w:val="20"/>
          <w:szCs w:val="20"/>
          <w:color w:val="auto"/>
        </w:rPr>
      </w:pPr>
    </w:p>
    <w:p>
      <w:pPr>
        <w:spacing w:after="0" w:line="230" w:lineRule="exact"/>
        <w:rPr>
          <w:sz w:val="20"/>
          <w:szCs w:val="20"/>
          <w:color w:val="auto"/>
        </w:rPr>
      </w:pPr>
    </w:p>
    <w:p>
      <w:pPr>
        <w:jc w:val="both"/>
        <w:ind w:left="1130" w:right="20"/>
        <w:spacing w:after="0" w:line="431" w:lineRule="auto"/>
        <w:rPr>
          <w:sz w:val="20"/>
          <w:szCs w:val="20"/>
          <w:color w:val="auto"/>
        </w:rPr>
      </w:pPr>
      <w:r>
        <w:rPr>
          <w:rFonts w:ascii="Arial" w:cs="Arial" w:eastAsia="Arial" w:hAnsi="Arial"/>
          <w:sz w:val="16"/>
          <w:szCs w:val="16"/>
          <w:color w:val="auto"/>
        </w:rPr>
        <w:t>On a Licensed Product-by-Licensed Product and country-by-country basis, if there is no Valid Claim of a Licensed Patent Right Covering such Licensed Product in such country but such Licensed Product is still the subject of Regulatory Exclusivity in such country, then the Royalty Rates for Royalties due to Biotheus pursuant to Section 8.5(a) (Royalty Rates for Licensed Products) with respect to such Licensed Product in such country for such Calendar Quarter shall be reduced by [***].</w:t>
      </w:r>
    </w:p>
    <w:p>
      <w:pPr>
        <w:spacing w:after="0" w:line="261" w:lineRule="exact"/>
        <w:rPr>
          <w:sz w:val="20"/>
          <w:szCs w:val="20"/>
          <w:color w:val="auto"/>
        </w:rPr>
      </w:pPr>
    </w:p>
    <w:p>
      <w:pPr>
        <w:ind w:left="550" w:hanging="550"/>
        <w:spacing w:after="0"/>
        <w:tabs>
          <w:tab w:leader="none" w:pos="550" w:val="left"/>
        </w:tabs>
        <w:numPr>
          <w:ilvl w:val="0"/>
          <w:numId w:val="858"/>
        </w:numPr>
        <w:rPr>
          <w:rFonts w:ascii="Arial" w:cs="Arial" w:eastAsia="Arial" w:hAnsi="Arial"/>
          <w:sz w:val="16"/>
          <w:szCs w:val="16"/>
          <w:color w:val="auto"/>
        </w:rPr>
      </w:pPr>
      <w:r>
        <w:rPr>
          <w:rFonts w:ascii="Arial" w:cs="Arial" w:eastAsia="Arial" w:hAnsi="Arial"/>
          <w:sz w:val="16"/>
          <w:szCs w:val="16"/>
          <w:b w:val="1"/>
          <w:bCs w:val="1"/>
          <w:color w:val="auto"/>
        </w:rPr>
        <w:t>Cumulative Effect of Royalty Reductions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8" w:lineRule="auto"/>
        <w:rPr>
          <w:rFonts w:ascii="Arial" w:cs="Arial" w:eastAsia="Arial" w:hAnsi="Arial"/>
          <w:sz w:val="16"/>
          <w:szCs w:val="16"/>
          <w:color w:val="auto"/>
        </w:rPr>
      </w:pPr>
      <w:r>
        <w:rPr>
          <w:rFonts w:ascii="Arial" w:cs="Arial" w:eastAsia="Arial" w:hAnsi="Arial"/>
          <w:sz w:val="16"/>
          <w:szCs w:val="16"/>
          <w:color w:val="auto"/>
        </w:rPr>
        <w:t>On a [***] basis, in no event will the royalty reductions for a Licensed Product permitted under Section [***] in relation to Improved Licensed Products, PM8003 Licensed Products and/or Preclinical Multispecific Licensed Products reduce the Royalties due to Biotheus for such Licensed Product pursuant to Section 8.5(a) (Royalty Rates for Licensed Products) in a country in a given [***] in the aggregate by [***] of the amount otherwise payable. In the event that BioNTech would, but for the restriction set forth in this Section 8.5(c) (Cumulative Effect of Royalty Reductions), have the right to reduce the Royalties due to Biotheus for a Licensed Product pursuant to Section 8.5(a) (Royalty Rates for Licensed Products) in a country in 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75</w:t>
      </w:r>
    </w:p>
    <w:p>
      <w:pPr>
        <w:sectPr>
          <w:pgSz w:w="11900" w:h="16840" w:orient="portrait"/>
          <w:cols w:equalWidth="0" w:num="1">
            <w:col w:w="10010"/>
          </w:cols>
          <w:pgMar w:left="1230" w:top="1440" w:right="660" w:bottom="1440" w:gutter="0" w:footer="0" w:header="0"/>
        </w:sectPr>
      </w:pPr>
    </w:p>
    <w:bookmarkStart w:id="845" w:name="page846"/>
    <w:bookmarkEnd w:id="84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right="20" w:hanging="6"/>
        <w:spacing w:after="0" w:line="436" w:lineRule="auto"/>
        <w:tabs>
          <w:tab w:leader="none" w:pos="1470" w:val="left"/>
        </w:tabs>
        <w:numPr>
          <w:ilvl w:val="0"/>
          <w:numId w:val="859"/>
        </w:numPr>
        <w:rPr>
          <w:rFonts w:ascii="Arial" w:cs="Arial" w:eastAsia="Arial" w:hAnsi="Arial"/>
          <w:sz w:val="16"/>
          <w:szCs w:val="16"/>
          <w:color w:val="auto"/>
        </w:rPr>
      </w:pPr>
      <w:r>
        <w:rPr>
          <w:rFonts w:ascii="Arial" w:cs="Arial" w:eastAsia="Arial" w:hAnsi="Arial"/>
          <w:sz w:val="16"/>
          <w:szCs w:val="16"/>
          <w:color w:val="auto"/>
        </w:rPr>
        <w:t>under Section 8.5(a) (Royalty Rates for Licensed Products) to [***] then any such unused reduction may be carried forward and used as a credit in one or more future [***] for such Licensed Product in the same country, and such unused reduction shall be carried forward until such time as such unused credit has been exhausted [***].</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4"/>
          <w:szCs w:val="14"/>
          <w:b w:val="1"/>
          <w:bCs w:val="1"/>
          <w:color w:val="auto"/>
        </w:rPr>
        <w:t>Improved Licensed Products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Following the date that the Improved Licensed Product Conditions are met, (a) the applicable remaining milestone(s) that have not previously been triggered by another Licensed Product but are triggered by an Improved Licensed Product and royalty payments payable for such Improved Licensed Product under Sections 8.3 (Development and Approval Milestone Payments for Licensed Products) and 8.5 (Royalty Payments for Licensed Products) above shall all be reduced by [***] of the sums otherwise payable in respect of such Improved Licensed Product; and (b) the applicable Sales Milestone Payments payable for such Improved Licensed Product under Section 8.4 (Sales Milestone Payments for Licensed Products) shall be reduced in proportion to the annual Net Sales of such Improved Licensed Product as a proportion of overall annual Net Sales of Licensed Products. For example, where there are two Licensed Products: Licensed Product A (a Bispecific Antibody in protein form) and Licensed Product B (a Bispecific Antibody in nucleotide form) and the annual Net Sales of both Licensed Products combined is $[***] with each Licensed Product contributing [***] of Net Sales then the $[***] Sales Milestone Payment that would otherwise be due pursuant to Section 8.4 (Sales Milestone Payments for Licensed Products) shall be reduced as follows:</w:t>
      </w: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both"/>
        <w:ind w:left="580" w:right="20" w:firstLine="287"/>
        <w:spacing w:after="0" w:line="450" w:lineRule="auto"/>
        <w:rPr>
          <w:sz w:val="20"/>
          <w:szCs w:val="20"/>
          <w:color w:val="auto"/>
        </w:rPr>
      </w:pPr>
      <w:r>
        <w:rPr>
          <w:rFonts w:ascii="Arial" w:cs="Arial" w:eastAsia="Arial" w:hAnsi="Arial"/>
          <w:sz w:val="16"/>
          <w:szCs w:val="16"/>
          <w:color w:val="auto"/>
        </w:rPr>
        <w:t>For clarity, no milestones that have previously been triggered by another Licensed Product pursuant to Section 8.3 (Development and Approval Milestone Payments for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40" w:orient="portrait"/>
          <w:cols w:equalWidth="0" w:num="1">
            <w:col w:w="10580"/>
          </w:cols>
          <w:pgMar w:left="660" w:top="1440" w:right="660" w:bottom="1440" w:gutter="0" w:footer="0" w:header="0"/>
        </w:sectPr>
      </w:pPr>
    </w:p>
    <w:bookmarkStart w:id="846" w:name="page847"/>
    <w:bookmarkEnd w:id="84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Licensed Products) will be due a second time if such Improved Licensed Product achieves the relevant Milestone Event.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4"/>
          <w:szCs w:val="14"/>
          <w:b w:val="1"/>
          <w:bCs w:val="1"/>
          <w:color w:val="auto"/>
        </w:rPr>
        <w:t>PM8003 Licensed Products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7" w:lineRule="auto"/>
        <w:rPr>
          <w:sz w:val="20"/>
          <w:szCs w:val="20"/>
          <w:color w:val="auto"/>
        </w:rPr>
      </w:pPr>
      <w:r>
        <w:rPr>
          <w:rFonts w:ascii="Arial" w:cs="Arial" w:eastAsia="Arial" w:hAnsi="Arial"/>
          <w:sz w:val="16"/>
          <w:szCs w:val="16"/>
          <w:color w:val="auto"/>
        </w:rPr>
        <w:t>Following the PM8003 Option Exercise Date, (a) the applicable remaining milestone(s) that have not previously been triggered by another Licensed Product but are triggered by a PM8003 Licensed Product and royalty payments payable for such PM8003 Licensed Product under Sections 8.3 (Development and Approval Milestone Payments for Licensed Products), 8.4 (Sales Milestone Payments for Licensed Products) and 8.5 (Royalty Payments for Licensed Products) above shall all be reduced by [***] of the sums otherwise payable in respect of such PM8003 Licensed Product. For clarity, no milestones that have previously been triggered by another Licensed Product pursuant to Section 8.3 (Development and Approval Milestone Payments for Licensed Products) will be due a second time if such PM8003 Licensed Product achieves the relevant Milestone Event.</w:t>
      </w:r>
    </w:p>
    <w:p>
      <w:pPr>
        <w:spacing w:after="0" w:line="2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b w:val="1"/>
          <w:bCs w:val="1"/>
          <w:color w:val="auto"/>
        </w:rPr>
        <w:t>Preclinical Multispecific Licensed Products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7" w:lineRule="auto"/>
        <w:rPr>
          <w:sz w:val="20"/>
          <w:szCs w:val="20"/>
          <w:color w:val="auto"/>
        </w:rPr>
      </w:pPr>
      <w:r>
        <w:rPr>
          <w:rFonts w:ascii="Arial" w:cs="Arial" w:eastAsia="Arial" w:hAnsi="Arial"/>
          <w:sz w:val="16"/>
          <w:szCs w:val="16"/>
          <w:color w:val="auto"/>
        </w:rPr>
        <w:t>Following the Preclinical Multispecific Option Exercise Date, (a) the applicable remaining milestone(s) that have not previously been triggered by another Licensed Product but are triggered by a Preclinical Multispecific Licensed Product and royalty payments payable for such Preclinical Multispecific Licensed Product under Sections 8.3 (Development and Approval Milestone Payments for Licensed Products), 8.4 (Sales Milestone Payments for Licensed Products) and 8.5 (Royalty Payments for Licensed Products) above shall all be reduced by [***] of the sums otherwise payable in respect of such Preclinical Multispecific Licensed Product. For clarity, no milestones that have previously been triggered by another Licensed Product pursuant to Section 8.3 (Development and Approval Milestone Payments for Licensed Products) will be due a second time if such Preclinical Multispecific Licensed Product achieves the relevant Milestone Event.</w:t>
      </w:r>
    </w:p>
    <w:p>
      <w:pPr>
        <w:spacing w:after="0" w:line="26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4"/>
          <w:szCs w:val="14"/>
          <w:b w:val="1"/>
          <w:bCs w:val="1"/>
          <w:color w:val="auto"/>
        </w:rPr>
        <w:t>Combinations with In-Licensed BioNTech Products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50" w:lineRule="auto"/>
        <w:rPr>
          <w:sz w:val="20"/>
          <w:szCs w:val="20"/>
          <w:color w:val="auto"/>
        </w:rPr>
      </w:pPr>
      <w:r>
        <w:rPr>
          <w:rFonts w:ascii="Arial" w:cs="Arial" w:eastAsia="Arial" w:hAnsi="Arial"/>
          <w:sz w:val="16"/>
          <w:szCs w:val="16"/>
          <w:color w:val="auto"/>
        </w:rPr>
        <w:t>In the event that a milestone under Section 8.3 (Development and Approval Milestone Payments for Licensed Products) is triggered by (a) [***]; or (b) [***], then the respective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40" w:orient="portrait"/>
          <w:cols w:equalWidth="0" w:num="1">
            <w:col w:w="10560"/>
          </w:cols>
          <w:pgMar w:left="660" w:top="1440" w:right="680" w:bottom="1440" w:gutter="0" w:footer="0" w:header="0"/>
        </w:sectPr>
      </w:pPr>
    </w:p>
    <w:bookmarkStart w:id="847" w:name="page848"/>
    <w:bookmarkEnd w:id="847"/>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50" w:lineRule="auto"/>
        <w:rPr>
          <w:sz w:val="20"/>
          <w:szCs w:val="20"/>
          <w:color w:val="auto"/>
        </w:rPr>
      </w:pPr>
      <w:r>
        <w:rPr>
          <w:rFonts w:ascii="Arial" w:cs="Arial" w:eastAsia="Arial" w:hAnsi="Arial"/>
          <w:sz w:val="16"/>
          <w:szCs w:val="16"/>
          <w:color w:val="auto"/>
        </w:rPr>
        <w:t>milestone payment will be payable for such Licensed Product under Section 8.3 (Development and Approval Milestone Payments for Licensed Products) above shall be reduced [***] of the sums otherwise payable in respect of such Licensed Product; [***].</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4"/>
          <w:szCs w:val="14"/>
          <w:b w:val="1"/>
          <w:bCs w:val="1"/>
          <w:color w:val="auto"/>
        </w:rPr>
        <w:t>Royalty Reports; Payments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9" w:lineRule="auto"/>
        <w:rPr>
          <w:sz w:val="20"/>
          <w:szCs w:val="20"/>
          <w:color w:val="auto"/>
        </w:rPr>
      </w:pPr>
      <w:r>
        <w:rPr>
          <w:rFonts w:ascii="Arial" w:cs="Arial" w:eastAsia="Arial" w:hAnsi="Arial"/>
          <w:sz w:val="16"/>
          <w:szCs w:val="16"/>
          <w:color w:val="auto"/>
        </w:rPr>
        <w:t xml:space="preserve">Commencing on the First Commercial Sale of a Licensed Product and for so long as Royalties are due under this Agreement, no later than [***] days after the end of each [***], BioNTech will provide to Biotheus a written report (each, a " </w:t>
      </w:r>
      <w:r>
        <w:rPr>
          <w:rFonts w:ascii="Arial" w:cs="Arial" w:eastAsia="Arial" w:hAnsi="Arial"/>
          <w:sz w:val="16"/>
          <w:szCs w:val="16"/>
          <w:b w:val="1"/>
          <w:bCs w:val="1"/>
          <w:color w:val="auto"/>
        </w:rPr>
        <w:t>Royalty Report</w:t>
      </w:r>
      <w:r>
        <w:rPr>
          <w:rFonts w:ascii="Arial" w:cs="Arial" w:eastAsia="Arial" w:hAnsi="Arial"/>
          <w:sz w:val="16"/>
          <w:szCs w:val="16"/>
          <w:color w:val="auto"/>
        </w:rPr>
        <w:t>"), which Royalty Report will set forth: [***]. All Royalty Reports will be the Confidential Information of BioNTech. BioNTech will make all Royalty payments for each [***] no later than [***] days after receipt of an invoice from Biotheus, which invoice shall be provided promptly following the receipt by Biotheus of each Royalty Report from BioNTech pursuant to this Section 8.10 (Royalty Reports; Payments). [***]</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8.11</w:t>
      </w:r>
      <w:r>
        <w:rPr>
          <w:sz w:val="20"/>
          <w:szCs w:val="20"/>
          <w:color w:val="auto"/>
        </w:rPr>
        <w:tab/>
      </w:r>
      <w:r>
        <w:rPr>
          <w:rFonts w:ascii="Arial" w:cs="Arial" w:eastAsia="Arial" w:hAnsi="Arial"/>
          <w:sz w:val="14"/>
          <w:szCs w:val="14"/>
          <w:b w:val="1"/>
          <w:bCs w:val="1"/>
          <w:color w:val="auto"/>
        </w:rPr>
        <w:t>Other Payments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50" w:lineRule="auto"/>
        <w:rPr>
          <w:sz w:val="20"/>
          <w:szCs w:val="20"/>
          <w:color w:val="auto"/>
        </w:rPr>
      </w:pPr>
      <w:r>
        <w:rPr>
          <w:rFonts w:ascii="Arial" w:cs="Arial" w:eastAsia="Arial" w:hAnsi="Arial"/>
          <w:sz w:val="16"/>
          <w:szCs w:val="16"/>
          <w:color w:val="auto"/>
        </w:rPr>
        <w:t>Subject to the terms and conditions of this Agreement, each Party will pay to the other Party any other undisputed amounts due under this Agreement no later than [***] days after receipt of the relevant invoice. [***]</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8.12</w:t>
      </w:r>
      <w:r>
        <w:rPr>
          <w:sz w:val="20"/>
          <w:szCs w:val="20"/>
          <w:color w:val="auto"/>
        </w:rPr>
        <w:tab/>
      </w:r>
      <w:r>
        <w:rPr>
          <w:rFonts w:ascii="Arial" w:cs="Arial" w:eastAsia="Arial" w:hAnsi="Arial"/>
          <w:sz w:val="14"/>
          <w:szCs w:val="14"/>
          <w:b w:val="1"/>
          <w:bCs w:val="1"/>
          <w:color w:val="auto"/>
        </w:rPr>
        <w:t>Records and Audits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60"/>
        </w:numPr>
        <w:rPr>
          <w:rFonts w:ascii="Arial" w:cs="Arial" w:eastAsia="Arial" w:hAnsi="Arial"/>
          <w:sz w:val="16"/>
          <w:szCs w:val="16"/>
          <w:color w:val="auto"/>
        </w:rPr>
      </w:pPr>
      <w:r>
        <w:rPr>
          <w:rFonts w:ascii="Arial" w:cs="Arial" w:eastAsia="Arial" w:hAnsi="Arial"/>
          <w:sz w:val="16"/>
          <w:szCs w:val="16"/>
          <w:b w:val="1"/>
          <w:bCs w:val="1"/>
          <w:color w:val="auto"/>
        </w:rPr>
        <w:t>Books and Records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82" w:lineRule="auto"/>
        <w:rPr>
          <w:rFonts w:ascii="Arial" w:cs="Arial" w:eastAsia="Arial" w:hAnsi="Arial"/>
          <w:sz w:val="16"/>
          <w:szCs w:val="16"/>
          <w:color w:val="auto"/>
        </w:rPr>
      </w:pPr>
      <w:r>
        <w:rPr>
          <w:rFonts w:ascii="Arial" w:cs="Arial" w:eastAsia="Arial" w:hAnsi="Arial"/>
          <w:sz w:val="14"/>
          <w:szCs w:val="14"/>
          <w:color w:val="auto"/>
        </w:rPr>
        <w:t>Each Party will (a) keep complete, true, and accurate books and records in accordance with its Accounting Standards in relation to this Agreement, including in relation to, Eligible Development Costs, Cost of Goods, and Net Sales of Licensed Products in sufficient detail to enable amounts owed or payable to the other Party hereunder to be determined; and (b) maintain such books and records for at least</w:t>
      </w:r>
    </w:p>
    <w:p>
      <w:pPr>
        <w:jc w:val="both"/>
        <w:ind w:left="1140" w:hanging="6"/>
        <w:spacing w:after="0" w:line="443" w:lineRule="auto"/>
        <w:tabs>
          <w:tab w:leader="none" w:pos="1476" w:val="left"/>
        </w:tabs>
        <w:numPr>
          <w:ilvl w:val="1"/>
          <w:numId w:val="860"/>
        </w:numPr>
        <w:rPr>
          <w:rFonts w:ascii="Arial" w:cs="Arial" w:eastAsia="Arial" w:hAnsi="Arial"/>
          <w:sz w:val="16"/>
          <w:szCs w:val="16"/>
          <w:color w:val="auto"/>
        </w:rPr>
      </w:pPr>
      <w:r>
        <w:rPr>
          <w:rFonts w:ascii="Arial" w:cs="Arial" w:eastAsia="Arial" w:hAnsi="Arial"/>
          <w:sz w:val="16"/>
          <w:szCs w:val="16"/>
          <w:color w:val="auto"/>
        </w:rPr>
        <w:t>following the [***] to which they pertain. Each Party (the "</w:t>
      </w:r>
      <w:r>
        <w:rPr>
          <w:rFonts w:ascii="Arial" w:cs="Arial" w:eastAsia="Arial" w:hAnsi="Arial"/>
          <w:sz w:val="16"/>
          <w:szCs w:val="16"/>
          <w:b w:val="1"/>
          <w:bCs w:val="1"/>
          <w:color w:val="auto"/>
        </w:rPr>
        <w:t>Auditing Party</w:t>
      </w:r>
      <w:r>
        <w:rPr>
          <w:rFonts w:ascii="Arial" w:cs="Arial" w:eastAsia="Arial" w:hAnsi="Arial"/>
          <w:sz w:val="16"/>
          <w:szCs w:val="16"/>
          <w:color w:val="auto"/>
        </w:rPr>
        <w:t>") may, upon written request, cause an internationally-recognized independent "Top Four" accounting firm (the "</w:t>
      </w:r>
      <w:r>
        <w:rPr>
          <w:rFonts w:ascii="Arial" w:cs="Arial" w:eastAsia="Arial" w:hAnsi="Arial"/>
          <w:sz w:val="16"/>
          <w:szCs w:val="16"/>
          <w:b w:val="1"/>
          <w:bCs w:val="1"/>
          <w:color w:val="auto"/>
        </w:rPr>
        <w:t>Auditor</w:t>
      </w:r>
      <w:r>
        <w:rPr>
          <w:rFonts w:ascii="Arial" w:cs="Arial" w:eastAsia="Arial" w:hAnsi="Arial"/>
          <w:sz w:val="16"/>
          <w:szCs w:val="16"/>
          <w:color w:val="auto"/>
        </w:rPr>
        <w:t xml:space="preserve">"), that is reasonably acceptable to the other Party (the " </w:t>
      </w:r>
      <w:r>
        <w:rPr>
          <w:rFonts w:ascii="Arial" w:cs="Arial" w:eastAsia="Arial" w:hAnsi="Arial"/>
          <w:sz w:val="16"/>
          <w:szCs w:val="16"/>
          <w:b w:val="1"/>
          <w:bCs w:val="1"/>
          <w:color w:val="auto"/>
        </w:rPr>
        <w:t>Audited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to inspect the relevant records of such Audited Party and its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40" w:orient="portrait"/>
          <w:cols w:equalWidth="0" w:num="1">
            <w:col w:w="10580"/>
          </w:cols>
          <w:pgMar w:left="660" w:top="1440" w:right="660" w:bottom="1440" w:gutter="0" w:footer="0" w:header="0"/>
        </w:sectPr>
      </w:pPr>
    </w:p>
    <w:bookmarkStart w:id="848" w:name="page849"/>
    <w:bookmarkEnd w:id="84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70" w:right="20"/>
        <w:spacing w:after="0" w:line="450" w:lineRule="auto"/>
        <w:rPr>
          <w:sz w:val="20"/>
          <w:szCs w:val="20"/>
          <w:color w:val="auto"/>
        </w:rPr>
      </w:pPr>
      <w:r>
        <w:rPr>
          <w:rFonts w:ascii="Arial" w:cs="Arial" w:eastAsia="Arial" w:hAnsi="Arial"/>
          <w:sz w:val="16"/>
          <w:szCs w:val="16"/>
          <w:color w:val="auto"/>
        </w:rPr>
        <w:t>Affiliates to verify the payments made and amounts reported by the Audited Party and the related reports, statements, and books of accounts, as applicable.</w:t>
      </w:r>
    </w:p>
    <w:p>
      <w:pPr>
        <w:spacing w:after="0" w:line="244" w:lineRule="exact"/>
        <w:rPr>
          <w:sz w:val="20"/>
          <w:szCs w:val="20"/>
          <w:color w:val="auto"/>
        </w:rPr>
      </w:pPr>
    </w:p>
    <w:p>
      <w:pPr>
        <w:ind w:left="550" w:hanging="550"/>
        <w:spacing w:after="0"/>
        <w:tabs>
          <w:tab w:leader="none" w:pos="550" w:val="left"/>
        </w:tabs>
        <w:numPr>
          <w:ilvl w:val="0"/>
          <w:numId w:val="861"/>
        </w:numPr>
        <w:rPr>
          <w:rFonts w:ascii="Arial" w:cs="Arial" w:eastAsia="Arial" w:hAnsi="Arial"/>
          <w:sz w:val="16"/>
          <w:szCs w:val="16"/>
          <w:color w:val="auto"/>
        </w:rPr>
      </w:pPr>
      <w:r>
        <w:rPr>
          <w:rFonts w:ascii="Arial" w:cs="Arial" w:eastAsia="Arial" w:hAnsi="Arial"/>
          <w:sz w:val="16"/>
          <w:szCs w:val="16"/>
          <w:b w:val="1"/>
          <w:bCs w:val="1"/>
          <w:color w:val="auto"/>
        </w:rPr>
        <w:t>Audit Procedure</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27" w:lineRule="auto"/>
        <w:rPr>
          <w:rFonts w:ascii="Arial" w:cs="Arial" w:eastAsia="Arial" w:hAnsi="Arial"/>
          <w:sz w:val="16"/>
          <w:szCs w:val="16"/>
          <w:color w:val="auto"/>
        </w:rPr>
      </w:pPr>
      <w:r>
        <w:rPr>
          <w:rFonts w:ascii="Arial" w:cs="Arial" w:eastAsia="Arial" w:hAnsi="Arial"/>
          <w:sz w:val="16"/>
          <w:szCs w:val="16"/>
          <w:color w:val="auto"/>
        </w:rPr>
        <w:t>Before beginning its audit, the Auditor will execute a written agreement acceptable to the Audited Party by which the Auditor agrees to keep confidential all information reviewed during the audit, which agreement will contain terms of non-disclosure and non-use no less stringent than those set forth in this Agreement. The Auditor will have the right to disclose to the Auditing Party only its conclusions regarding any payments owed under this Agreement. Each Party and its Affiliates will make their records available for inspection by the Auditor during regular business hours at such place or places where such records are customarily kept, upon receipt of reasonable advance notice from the Auditing Party. The records will be reviewed solely to verify the accuracy of the Audited Party's Royalties and other payment obligations and compliance with the financial terms of this Agreement.</w:t>
      </w:r>
    </w:p>
    <w:p>
      <w:pPr>
        <w:spacing w:after="0" w:line="263" w:lineRule="exact"/>
        <w:rPr>
          <w:rFonts w:ascii="Arial" w:cs="Arial" w:eastAsia="Arial" w:hAnsi="Arial"/>
          <w:sz w:val="16"/>
          <w:szCs w:val="16"/>
          <w:color w:val="auto"/>
        </w:rPr>
      </w:pPr>
    </w:p>
    <w:p>
      <w:pPr>
        <w:ind w:left="550" w:hanging="550"/>
        <w:spacing w:after="0"/>
        <w:tabs>
          <w:tab w:leader="none" w:pos="550" w:val="left"/>
        </w:tabs>
        <w:numPr>
          <w:ilvl w:val="0"/>
          <w:numId w:val="861"/>
        </w:numPr>
        <w:rPr>
          <w:rFonts w:ascii="Arial" w:cs="Arial" w:eastAsia="Arial" w:hAnsi="Arial"/>
          <w:sz w:val="16"/>
          <w:szCs w:val="16"/>
          <w:color w:val="auto"/>
        </w:rPr>
      </w:pPr>
      <w:r>
        <w:rPr>
          <w:rFonts w:ascii="Arial" w:cs="Arial" w:eastAsia="Arial" w:hAnsi="Arial"/>
          <w:sz w:val="16"/>
          <w:szCs w:val="16"/>
          <w:b w:val="1"/>
          <w:bCs w:val="1"/>
          <w:color w:val="auto"/>
        </w:rPr>
        <w:t>Frequency; Overpayments and Underpayments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95" w:lineRule="auto"/>
        <w:rPr>
          <w:rFonts w:ascii="Arial" w:cs="Arial" w:eastAsia="Arial" w:hAnsi="Arial"/>
          <w:sz w:val="16"/>
          <w:szCs w:val="16"/>
          <w:color w:val="auto"/>
        </w:rPr>
      </w:pPr>
      <w:r>
        <w:rPr>
          <w:rFonts w:ascii="Arial" w:cs="Arial" w:eastAsia="Arial" w:hAnsi="Arial"/>
          <w:sz w:val="14"/>
          <w:szCs w:val="14"/>
          <w:color w:val="auto"/>
        </w:rPr>
        <w:t xml:space="preserve">Such inspection right will not be exercised more than once in any [***] and not more than once with respect to records covering any specific period of time. In addition, the Auditing Party will only be entitled to audit the books and records of the Audited Party for the [***] prior to the [***] in which the audit request is made. The Auditing Party agrees to hold in strict confidence all information received and all information learned in the course of any audit or inspection, except to the extent necessary to enforce its rights under this Agreement or to the extent required to comply with any Applicable Law or judicial order. The Auditor will provide its audit report and the conclusions of its determination to the Audited Party at the time such report is provided to the Auditing Party before it is considered final. In the event that the final result of the inspection reveals an underpayment or overpayment by either Party, the underpaid or overpaid amount will be settled promptly. The Auditing Party will pay for such inspections, as well as its expenses associated with enforcing its rights with respect to any payments hereunder; </w:t>
      </w:r>
      <w:r>
        <w:rPr>
          <w:rFonts w:ascii="Arial" w:cs="Arial" w:eastAsia="Arial" w:hAnsi="Arial"/>
          <w:sz w:val="14"/>
          <w:szCs w:val="14"/>
          <w:i w:val="1"/>
          <w:iCs w:val="1"/>
          <w:color w:val="auto"/>
        </w:rPr>
        <w:t>provided</w:t>
      </w:r>
      <w:r>
        <w:rPr>
          <w:rFonts w:ascii="Arial" w:cs="Arial" w:eastAsia="Arial" w:hAnsi="Arial"/>
          <w:sz w:val="14"/>
          <w:szCs w:val="14"/>
          <w:color w:val="auto"/>
        </w:rPr>
        <w:t>, that if an underpayment of more than [***]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79</w:t>
      </w:r>
    </w:p>
    <w:p>
      <w:pPr>
        <w:sectPr>
          <w:pgSz w:w="11900" w:h="16840" w:orient="portrait"/>
          <w:cols w:equalWidth="0" w:num="1">
            <w:col w:w="10010"/>
          </w:cols>
          <w:pgMar w:left="1230" w:top="1440" w:right="660" w:bottom="1440" w:gutter="0" w:footer="0" w:header="0"/>
        </w:sectPr>
      </w:pPr>
    </w:p>
    <w:bookmarkStart w:id="849" w:name="page850"/>
    <w:bookmarkEnd w:id="84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right="20"/>
        <w:spacing w:after="0" w:line="450" w:lineRule="auto"/>
        <w:rPr>
          <w:sz w:val="20"/>
          <w:szCs w:val="20"/>
          <w:color w:val="auto"/>
        </w:rPr>
      </w:pPr>
      <w:r>
        <w:rPr>
          <w:rFonts w:ascii="Arial" w:cs="Arial" w:eastAsia="Arial" w:hAnsi="Arial"/>
          <w:sz w:val="16"/>
          <w:szCs w:val="16"/>
          <w:color w:val="auto"/>
        </w:rPr>
        <w:t>total payments due hereunder for the applicable year is discovered, then the fees and expenses charged by the Auditor will be paid by Audited Party.</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8.13</w:t>
      </w:r>
      <w:r>
        <w:rPr>
          <w:sz w:val="20"/>
          <w:szCs w:val="20"/>
          <w:color w:val="auto"/>
        </w:rPr>
        <w:tab/>
      </w:r>
      <w:r>
        <w:rPr>
          <w:rFonts w:ascii="Arial" w:cs="Arial" w:eastAsia="Arial" w:hAnsi="Arial"/>
          <w:sz w:val="14"/>
          <w:szCs w:val="14"/>
          <w:b w:val="1"/>
          <w:bCs w:val="1"/>
          <w:color w:val="auto"/>
        </w:rPr>
        <w:t>Currency of Payment</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516" w:lineRule="auto"/>
        <w:rPr>
          <w:sz w:val="20"/>
          <w:szCs w:val="20"/>
          <w:color w:val="auto"/>
        </w:rPr>
      </w:pPr>
      <w:r>
        <w:rPr>
          <w:rFonts w:ascii="Arial" w:cs="Arial" w:eastAsia="Arial" w:hAnsi="Arial"/>
          <w:sz w:val="14"/>
          <w:szCs w:val="14"/>
          <w:color w:val="auto"/>
        </w:rPr>
        <w:t>All amounts to be paid pursuant to this Agreement will be paid in United States Dollars. When conversion of payments from any foreign currency is required to be undertaken by BioNTech, the United States Dollar equivalent will be calculated using BioNTech's then-current standard exchange rate methodology as applied in its external reporting for the conversion of foreign currency sales into United States Dollars.</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8.14</w:t>
      </w:r>
      <w:r>
        <w:rPr>
          <w:sz w:val="20"/>
          <w:szCs w:val="20"/>
          <w:color w:val="auto"/>
        </w:rPr>
        <w:tab/>
      </w:r>
      <w:r>
        <w:rPr>
          <w:rFonts w:ascii="Arial" w:cs="Arial" w:eastAsia="Arial" w:hAnsi="Arial"/>
          <w:sz w:val="14"/>
          <w:szCs w:val="14"/>
          <w:b w:val="1"/>
          <w:bCs w:val="1"/>
          <w:color w:val="auto"/>
        </w:rPr>
        <w:t>Late Fees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36" w:lineRule="auto"/>
        <w:rPr>
          <w:sz w:val="20"/>
          <w:szCs w:val="20"/>
          <w:color w:val="auto"/>
        </w:rPr>
      </w:pPr>
      <w:r>
        <w:rPr>
          <w:rFonts w:ascii="Arial" w:cs="Arial" w:eastAsia="Arial" w:hAnsi="Arial"/>
          <w:sz w:val="16"/>
          <w:szCs w:val="16"/>
          <w:color w:val="auto"/>
        </w:rPr>
        <w:t>If any payment due to either Party under this Agreement is not paid when due, then such paying Party shall pay interest thereon (before and after any judgment) at an [***] rate [***] of [***], such interest to run from the date on which payment of such sum became due until payment thereof in full together with such interest.</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8.15</w:t>
      </w:r>
      <w:r>
        <w:rPr>
          <w:sz w:val="20"/>
          <w:szCs w:val="20"/>
          <w:color w:val="auto"/>
        </w:rPr>
        <w:tab/>
      </w:r>
      <w:r>
        <w:rPr>
          <w:rFonts w:ascii="Arial" w:cs="Arial" w:eastAsia="Arial" w:hAnsi="Arial"/>
          <w:sz w:val="14"/>
          <w:szCs w:val="14"/>
          <w:b w:val="1"/>
          <w:bCs w:val="1"/>
          <w:color w:val="auto"/>
        </w:rPr>
        <w:t>Currency Restrictions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29" w:lineRule="auto"/>
        <w:rPr>
          <w:sz w:val="20"/>
          <w:szCs w:val="20"/>
          <w:color w:val="auto"/>
        </w:rPr>
      </w:pPr>
      <w:r>
        <w:rPr>
          <w:rFonts w:ascii="Arial" w:cs="Arial" w:eastAsia="Arial" w:hAnsi="Arial"/>
          <w:sz w:val="16"/>
          <w:szCs w:val="16"/>
          <w:color w:val="auto"/>
        </w:rPr>
        <w:t>In the event that, by reason of Applicable Law in any country, it becomes impossible or illegal for a Party to transfer, or have transferred on its behalf, payments owed to the other Party hereunder, such Party will promptly notify the other Party of the conditions preventing such transfer and such payments will be deposited in local currency in the relevant country to the credit of the other Party in a recognized banking institution designated by the other Party or, if none is designated by the other Party within a period of [***] days, in a recognized banking institution selected by the transferring Party, as the case may be, and identified in a written notice given to the other Party.</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8.16</w:t>
      </w:r>
      <w:r>
        <w:rPr>
          <w:sz w:val="20"/>
          <w:szCs w:val="20"/>
          <w:color w:val="auto"/>
        </w:rPr>
        <w:tab/>
      </w:r>
      <w:r>
        <w:rPr>
          <w:rFonts w:ascii="Arial" w:cs="Arial" w:eastAsia="Arial" w:hAnsi="Arial"/>
          <w:sz w:val="14"/>
          <w:szCs w:val="14"/>
          <w:b w:val="1"/>
          <w:bCs w:val="1"/>
          <w:color w:val="auto"/>
        </w:rPr>
        <w:t>No Refunds; Offsets</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Except as expressly set forth under this Agreement, all payments under this Agreement will be irrevocable, non-refundable, and non-creditable.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40" w:orient="portrait"/>
          <w:cols w:equalWidth="0" w:num="1">
            <w:col w:w="10580"/>
          </w:cols>
          <w:pgMar w:left="660" w:top="1440" w:right="660" w:bottom="1440" w:gutter="0" w:footer="0" w:header="0"/>
        </w:sectPr>
      </w:pPr>
    </w:p>
    <w:bookmarkStart w:id="850" w:name="page851"/>
    <w:bookmarkEnd w:id="85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8.17</w:t>
      </w:r>
      <w:r>
        <w:rPr>
          <w:sz w:val="20"/>
          <w:szCs w:val="20"/>
          <w:color w:val="auto"/>
        </w:rPr>
        <w:tab/>
      </w:r>
      <w:r>
        <w:rPr>
          <w:rFonts w:ascii="Arial" w:cs="Arial" w:eastAsia="Arial" w:hAnsi="Arial"/>
          <w:sz w:val="14"/>
          <w:szCs w:val="14"/>
          <w:b w:val="1"/>
          <w:bCs w:val="1"/>
          <w:color w:val="auto"/>
        </w:rPr>
        <w:t>Withholding Taxes</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24" w:lineRule="auto"/>
        <w:rPr>
          <w:sz w:val="20"/>
          <w:szCs w:val="20"/>
          <w:color w:val="auto"/>
        </w:rPr>
      </w:pPr>
      <w:r>
        <w:rPr>
          <w:rFonts w:ascii="Arial" w:cs="Arial" w:eastAsia="Arial" w:hAnsi="Arial"/>
          <w:sz w:val="16"/>
          <w:szCs w:val="16"/>
          <w:color w:val="auto"/>
        </w:rPr>
        <w:t xml:space="preserve">The Royalties, milestone payments, and other amounts payable by a Party to the other Party pursuant to this Agreement (" </w:t>
      </w:r>
      <w:r>
        <w:rPr>
          <w:rFonts w:ascii="Arial" w:cs="Arial" w:eastAsia="Arial" w:hAnsi="Arial"/>
          <w:sz w:val="16"/>
          <w:szCs w:val="16"/>
          <w:b w:val="1"/>
          <w:bCs w:val="1"/>
          <w:color w:val="auto"/>
        </w:rPr>
        <w:t>Payments</w:t>
      </w:r>
      <w:r>
        <w:rPr>
          <w:rFonts w:ascii="Arial" w:cs="Arial" w:eastAsia="Arial" w:hAnsi="Arial"/>
          <w:sz w:val="16"/>
          <w:szCs w:val="16"/>
          <w:color w:val="auto"/>
        </w:rPr>
        <w:t>") shall not be reduced on account of Taxes unless required by Applicable Law. The receiving Party alone shall be responsible for paying any and all Taxes (other than withholding Taxes required by Applicable Law to be paid by the paying Party) levied on account of, or measured in whole or in part by reference to, any Payments it receives. Either Party (a "</w:t>
      </w:r>
      <w:r>
        <w:rPr>
          <w:rFonts w:ascii="Arial" w:cs="Arial" w:eastAsia="Arial" w:hAnsi="Arial"/>
          <w:sz w:val="16"/>
          <w:szCs w:val="16"/>
          <w:b w:val="1"/>
          <w:bCs w:val="1"/>
          <w:color w:val="auto"/>
        </w:rPr>
        <w:t>Withholding Party</w:t>
      </w:r>
      <w:r>
        <w:rPr>
          <w:rFonts w:ascii="Arial" w:cs="Arial" w:eastAsia="Arial" w:hAnsi="Arial"/>
          <w:sz w:val="16"/>
          <w:szCs w:val="16"/>
          <w:color w:val="auto"/>
        </w:rPr>
        <w:t>") shall deduct or withhold from the Payments due to the other Party (a "</w:t>
      </w:r>
      <w:r>
        <w:rPr>
          <w:rFonts w:ascii="Arial" w:cs="Arial" w:eastAsia="Arial" w:hAnsi="Arial"/>
          <w:sz w:val="16"/>
          <w:szCs w:val="16"/>
          <w:b w:val="1"/>
          <w:bCs w:val="1"/>
          <w:color w:val="auto"/>
        </w:rPr>
        <w:t>Non-Withholding Party</w:t>
      </w:r>
      <w:r>
        <w:rPr>
          <w:rFonts w:ascii="Arial" w:cs="Arial" w:eastAsia="Arial" w:hAnsi="Arial"/>
          <w:sz w:val="16"/>
          <w:szCs w:val="16"/>
          <w:color w:val="auto"/>
        </w:rPr>
        <w:t>") any Taxes that it is required by Applicable Law to deduct or withhold. If, however, the Non-Withholding Party is entitled under any applicable tax treaty to a reduction of rate of, or the elimination of, applicable withholding tax, then it may deliver to the Withholding Party or the appropriate Governmental Authority (with the assistance of the Withholding Party to the extent that this is reasonably required and is expressly requested in writing) the prescribed forms necessary to reduce the applicable rate of withholding or to relieve the Withholding Party of its obligation to withhold tax, and the Withholding Party shall apply the reduced rate of withholding, or dispense with withholding, as the case may be, PROVIDED THAT the Withholding Party has received evidence, in a form reasonably satisfactory to the Withholding Party, of the Non-Withholding Party's delivery of all applicable forms prior to the time that the Payments are due and the respective approval from the authorities. If the Withholding Party withholds any Taxes from the Payments while the Non-Withholding Party is entitled under any applicable tax treaty to a reduction of the rate of, or the elimination of, applicable withholding tax, then the Withholding Party shall cooperate with the Non-Withholding Party with respect to any documentation required by the appropriate Governmental Authority or reasonably requested by the Non-Withholding Party to secure a reduction of the rate of, or the elimination of, the applicable Taxes withheld. Notwithstanding anything to the contrary contained herein, BioNTech’s reimbursement of the Eligible Development Costs shall not be deemed to be the Payments or subject to any deduction or withholding of Taxes.</w:t>
      </w:r>
    </w:p>
    <w:p>
      <w:pPr>
        <w:spacing w:after="0" w:line="27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8.18</w:t>
      </w:r>
      <w:r>
        <w:rPr>
          <w:sz w:val="20"/>
          <w:szCs w:val="20"/>
          <w:color w:val="auto"/>
        </w:rPr>
        <w:tab/>
      </w:r>
      <w:r>
        <w:rPr>
          <w:rFonts w:ascii="Arial" w:cs="Arial" w:eastAsia="Arial" w:hAnsi="Arial"/>
          <w:sz w:val="14"/>
          <w:szCs w:val="14"/>
          <w:b w:val="1"/>
          <w:bCs w:val="1"/>
          <w:color w:val="auto"/>
        </w:rPr>
        <w:t>Indirect Taxes</w:t>
      </w:r>
    </w:p>
    <w:p>
      <w:pPr>
        <w:spacing w:after="0" w:line="200" w:lineRule="exact"/>
        <w:rPr>
          <w:sz w:val="20"/>
          <w:szCs w:val="20"/>
          <w:color w:val="auto"/>
        </w:rPr>
      </w:pPr>
    </w:p>
    <w:p>
      <w:pPr>
        <w:spacing w:after="0" w:line="230" w:lineRule="exact"/>
        <w:rPr>
          <w:sz w:val="20"/>
          <w:szCs w:val="20"/>
          <w:color w:val="auto"/>
        </w:rPr>
      </w:pPr>
    </w:p>
    <w:p>
      <w:pPr>
        <w:ind w:left="580" w:right="60"/>
        <w:spacing w:after="0" w:line="450" w:lineRule="auto"/>
        <w:rPr>
          <w:sz w:val="20"/>
          <w:szCs w:val="20"/>
          <w:color w:val="auto"/>
        </w:rPr>
      </w:pPr>
      <w:r>
        <w:rPr>
          <w:rFonts w:ascii="Arial" w:cs="Arial" w:eastAsia="Arial" w:hAnsi="Arial"/>
          <w:sz w:val="16"/>
          <w:szCs w:val="16"/>
          <w:color w:val="auto"/>
        </w:rPr>
        <w:t>Notwithstanding anything to the contrary contained in this Article 8 (Financial Terms) or elsewhere in this Agreement, the following shall apply with respect to Indirect Taxes. All Payments are stated exclusive of Indirect Taxes. If any Indirect Taxes are chargeable in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ectPr>
          <w:pgSz w:w="11900" w:h="16840" w:orient="portrait"/>
          <w:cols w:equalWidth="0" w:num="1">
            <w:col w:w="10600"/>
          </w:cols>
          <w:pgMar w:left="660" w:top="1440" w:right="640" w:bottom="1440" w:gutter="0" w:footer="0" w:header="0"/>
        </w:sectPr>
      </w:pPr>
    </w:p>
    <w:bookmarkStart w:id="851" w:name="page852"/>
    <w:bookmarkEnd w:id="85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7" w:lineRule="auto"/>
        <w:rPr>
          <w:sz w:val="20"/>
          <w:szCs w:val="20"/>
          <w:color w:val="auto"/>
        </w:rPr>
      </w:pPr>
      <w:r>
        <w:rPr>
          <w:rFonts w:ascii="Arial" w:cs="Arial" w:eastAsia="Arial" w:hAnsi="Arial"/>
          <w:sz w:val="16"/>
          <w:szCs w:val="16"/>
          <w:color w:val="auto"/>
        </w:rPr>
        <w:t>respect of any Payments, then the paying Party shall pay such Indirect Taxes at the applicable rate in respect of any such Payments following the receipt, where applicable, of an Indirect Taxes invoice issued in the appropriate form by the receiving Party in respect of those Payments, such Indirect Taxes to be payable on the due date of the payment of the Payments to which such Indirect Taxes relate. The Parties shall issue invoices for all goods and services supplied under this Agreement consistent with Indirect Tax requirements, and to the extent any invoice is not initially issued in an appropriate form, the Parties shall cooperate to provide such information or assistance as may be necessary to enable the issuance of such invoice consistent with Indirect Tax requirements. Biotheus shall provide any documents necessary for tax and customs clearance in a format as reasonably required and specified by BioNTech.</w:t>
      </w:r>
    </w:p>
    <w:p>
      <w:pPr>
        <w:spacing w:after="0" w:line="263" w:lineRule="exact"/>
        <w:rPr>
          <w:sz w:val="20"/>
          <w:szCs w:val="20"/>
          <w:color w:val="auto"/>
        </w:rPr>
      </w:pPr>
    </w:p>
    <w:p>
      <w:pPr>
        <w:ind w:left="560" w:hanging="554"/>
        <w:spacing w:after="0"/>
        <w:tabs>
          <w:tab w:leader="none" w:pos="560" w:val="left"/>
        </w:tabs>
        <w:numPr>
          <w:ilvl w:val="0"/>
          <w:numId w:val="862"/>
        </w:numPr>
        <w:rPr>
          <w:rFonts w:ascii="Arial" w:cs="Arial" w:eastAsia="Arial" w:hAnsi="Arial"/>
          <w:sz w:val="16"/>
          <w:szCs w:val="16"/>
          <w:b w:val="1"/>
          <w:bCs w:val="1"/>
          <w:color w:val="auto"/>
        </w:rPr>
      </w:pPr>
      <w:r>
        <w:rPr>
          <w:rFonts w:ascii="Arial" w:cs="Arial" w:eastAsia="Arial" w:hAnsi="Arial"/>
          <w:sz w:val="16"/>
          <w:szCs w:val="16"/>
          <w:b w:val="1"/>
          <w:bCs w:val="1"/>
          <w:color w:val="auto"/>
        </w:rPr>
        <w:t>INTELLECTUAL PROPERTY</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b w:val="1"/>
          <w:bCs w:val="1"/>
          <w:color w:val="auto"/>
        </w:rPr>
        <w:t>Ownership of Inventions</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63"/>
        </w:numPr>
        <w:rPr>
          <w:rFonts w:ascii="Arial" w:cs="Arial" w:eastAsia="Arial" w:hAnsi="Arial"/>
          <w:sz w:val="16"/>
          <w:szCs w:val="16"/>
          <w:color w:val="auto"/>
        </w:rPr>
      </w:pPr>
      <w:r>
        <w:rPr>
          <w:rFonts w:ascii="Arial" w:cs="Arial" w:eastAsia="Arial" w:hAnsi="Arial"/>
          <w:sz w:val="16"/>
          <w:szCs w:val="16"/>
          <w:b w:val="1"/>
          <w:bCs w:val="1"/>
          <w:color w:val="auto"/>
        </w:rPr>
        <w:t>Ownership</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820" w:hanging="566"/>
        <w:spacing w:after="0"/>
        <w:tabs>
          <w:tab w:leader="none" w:pos="1820" w:val="left"/>
        </w:tabs>
        <w:numPr>
          <w:ilvl w:val="1"/>
          <w:numId w:val="863"/>
        </w:numPr>
        <w:rPr>
          <w:rFonts w:ascii="Arial" w:cs="Arial" w:eastAsia="Arial" w:hAnsi="Arial"/>
          <w:sz w:val="16"/>
          <w:szCs w:val="16"/>
          <w:color w:val="auto"/>
        </w:rPr>
      </w:pPr>
      <w:r>
        <w:rPr>
          <w:rFonts w:ascii="Arial" w:cs="Arial" w:eastAsia="Arial" w:hAnsi="Arial"/>
          <w:sz w:val="16"/>
          <w:szCs w:val="16"/>
          <w:b w:val="1"/>
          <w:bCs w:val="1"/>
          <w:color w:val="auto"/>
        </w:rPr>
        <w:t>Background IP</w:t>
      </w:r>
    </w:p>
    <w:p>
      <w:pPr>
        <w:spacing w:after="0" w:line="200" w:lineRule="exact"/>
        <w:rPr>
          <w:sz w:val="20"/>
          <w:szCs w:val="20"/>
          <w:color w:val="auto"/>
        </w:rPr>
      </w:pPr>
    </w:p>
    <w:p>
      <w:pPr>
        <w:spacing w:after="0" w:line="230" w:lineRule="exact"/>
        <w:rPr>
          <w:sz w:val="20"/>
          <w:szCs w:val="20"/>
          <w:color w:val="auto"/>
        </w:rPr>
      </w:pPr>
    </w:p>
    <w:p>
      <w:pPr>
        <w:jc w:val="both"/>
        <w:ind w:left="1700"/>
        <w:spacing w:after="0" w:line="429" w:lineRule="auto"/>
        <w:rPr>
          <w:sz w:val="20"/>
          <w:szCs w:val="20"/>
          <w:color w:val="auto"/>
        </w:rPr>
      </w:pPr>
      <w:r>
        <w:rPr>
          <w:rFonts w:ascii="Arial" w:cs="Arial" w:eastAsia="Arial" w:hAnsi="Arial"/>
          <w:sz w:val="16"/>
          <w:szCs w:val="16"/>
          <w:color w:val="auto"/>
        </w:rPr>
        <w:t>As between the Parties, and subject to the licenses granted under this Agreement, (i) BioNTech and its Affiliates shall solely own (or retain ownership of) all rights, title and interests in and to any of the BioNTech Background IP, (ii) Biotheus and its Affiliates shall solely own (or retain ownership of) all rights, title and interests in and to any of the Licensed IP and (iii) each Party or its Affiliates, as applicable, shall solely own (or retain ownership of) any other Know-How and Inventions that are developed by or on behalf of that Party outside and independently of the activities under this Agreement.</w:t>
      </w:r>
    </w:p>
    <w:p>
      <w:pPr>
        <w:spacing w:after="0" w:line="262" w:lineRule="exact"/>
        <w:rPr>
          <w:sz w:val="20"/>
          <w:szCs w:val="20"/>
          <w:color w:val="auto"/>
        </w:rPr>
      </w:pPr>
    </w:p>
    <w:p>
      <w:pPr>
        <w:ind w:left="1800" w:hanging="546"/>
        <w:spacing w:after="0"/>
        <w:tabs>
          <w:tab w:leader="none" w:pos="1800" w:val="left"/>
        </w:tabs>
        <w:numPr>
          <w:ilvl w:val="0"/>
          <w:numId w:val="864"/>
        </w:numPr>
        <w:rPr>
          <w:rFonts w:ascii="Arial" w:cs="Arial" w:eastAsia="Arial" w:hAnsi="Arial"/>
          <w:sz w:val="16"/>
          <w:szCs w:val="16"/>
          <w:color w:val="auto"/>
        </w:rPr>
      </w:pPr>
      <w:r>
        <w:rPr>
          <w:rFonts w:ascii="Arial" w:cs="Arial" w:eastAsia="Arial" w:hAnsi="Arial"/>
          <w:sz w:val="16"/>
          <w:szCs w:val="16"/>
          <w:b w:val="1"/>
          <w:bCs w:val="1"/>
          <w:color w:val="auto"/>
        </w:rPr>
        <w:t>Foreground IP</w:t>
      </w:r>
    </w:p>
    <w:p>
      <w:pPr>
        <w:spacing w:after="0" w:line="200" w:lineRule="exact"/>
        <w:rPr>
          <w:sz w:val="20"/>
          <w:szCs w:val="20"/>
          <w:color w:val="auto"/>
        </w:rPr>
      </w:pPr>
    </w:p>
    <w:p>
      <w:pPr>
        <w:spacing w:after="0" w:line="23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Subject to Section 5.6 (Data Sharing), as between the Parties,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40" w:orient="portrait"/>
          <w:cols w:equalWidth="0" w:num="1">
            <w:col w:w="10580"/>
          </w:cols>
          <w:pgMar w:left="660" w:top="1440" w:right="660" w:bottom="1440" w:gutter="0" w:footer="0" w:header="0"/>
        </w:sectPr>
      </w:pPr>
    </w:p>
    <w:bookmarkStart w:id="852" w:name="page853"/>
    <w:bookmarkEnd w:id="85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65"/>
        </w:numPr>
        <w:rPr>
          <w:rFonts w:ascii="Arial" w:cs="Arial" w:eastAsia="Arial" w:hAnsi="Arial"/>
          <w:sz w:val="16"/>
          <w:szCs w:val="16"/>
          <w:color w:val="auto"/>
        </w:rPr>
      </w:pPr>
      <w:r>
        <w:rPr>
          <w:rFonts w:ascii="Arial" w:cs="Arial" w:eastAsia="Arial" w:hAnsi="Arial"/>
          <w:sz w:val="16"/>
          <w:szCs w:val="16"/>
          <w:b w:val="1"/>
          <w:bCs w:val="1"/>
          <w:color w:val="auto"/>
        </w:rPr>
        <w:t>Disclosure</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29" w:lineRule="auto"/>
        <w:rPr>
          <w:rFonts w:ascii="Arial" w:cs="Arial" w:eastAsia="Arial" w:hAnsi="Arial"/>
          <w:sz w:val="16"/>
          <w:szCs w:val="16"/>
          <w:color w:val="auto"/>
        </w:rPr>
      </w:pPr>
      <w:r>
        <w:rPr>
          <w:rFonts w:ascii="Arial" w:cs="Arial" w:eastAsia="Arial" w:hAnsi="Arial"/>
          <w:sz w:val="16"/>
          <w:szCs w:val="16"/>
          <w:color w:val="auto"/>
        </w:rPr>
        <w:t>During the Term, each Party will promptly disclose to the other Party all Inventions that it develops or invents in the course of carrying out activities pursuant to the Joint CDP or Global CDP, whether solely or jointly with others (in any event, prior to the filing of any patent application with respect to such Inventions), including all invention disclosures or other similar documents submitted to such Party by its or its Affiliates' employees, agents, or independent contractors relating thereto. Each Party will also respond promptly to reasonable requests from the other Party for additional information relating to such Inventions.</w:t>
      </w:r>
    </w:p>
    <w:p>
      <w:pPr>
        <w:spacing w:after="0" w:line="262" w:lineRule="exact"/>
        <w:rPr>
          <w:rFonts w:ascii="Arial" w:cs="Arial" w:eastAsia="Arial" w:hAnsi="Arial"/>
          <w:sz w:val="16"/>
          <w:szCs w:val="16"/>
          <w:color w:val="auto"/>
        </w:rPr>
      </w:pPr>
    </w:p>
    <w:p>
      <w:pPr>
        <w:ind w:left="1120" w:hanging="550"/>
        <w:spacing w:after="0"/>
        <w:tabs>
          <w:tab w:leader="none" w:pos="1120" w:val="left"/>
        </w:tabs>
        <w:numPr>
          <w:ilvl w:val="0"/>
          <w:numId w:val="865"/>
        </w:numPr>
        <w:rPr>
          <w:rFonts w:ascii="Arial" w:cs="Arial" w:eastAsia="Arial" w:hAnsi="Arial"/>
          <w:sz w:val="16"/>
          <w:szCs w:val="16"/>
          <w:color w:val="auto"/>
        </w:rPr>
      </w:pPr>
      <w:r>
        <w:rPr>
          <w:rFonts w:ascii="Arial" w:cs="Arial" w:eastAsia="Arial" w:hAnsi="Arial"/>
          <w:sz w:val="16"/>
          <w:szCs w:val="16"/>
          <w:b w:val="1"/>
          <w:bCs w:val="1"/>
          <w:color w:val="auto"/>
        </w:rPr>
        <w:t>Personnel Obligations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501" w:lineRule="auto"/>
        <w:rPr>
          <w:rFonts w:ascii="Arial" w:cs="Arial" w:eastAsia="Arial" w:hAnsi="Arial"/>
          <w:sz w:val="16"/>
          <w:szCs w:val="16"/>
          <w:color w:val="auto"/>
        </w:rPr>
      </w:pPr>
      <w:r>
        <w:rPr>
          <w:rFonts w:ascii="Arial" w:cs="Arial" w:eastAsia="Arial" w:hAnsi="Arial"/>
          <w:sz w:val="14"/>
          <w:szCs w:val="14"/>
          <w:color w:val="auto"/>
        </w:rPr>
        <w:t>Each employee, agent, or independent contractor of a Party or its respective Affiliates or Sublicensees performing work under this Agreement will, prior to commencing such work, be bound by invention assignment obligations, including: (a) promptly reporting any invention, discovery, process or other Intellectual Property Rights; (b) presently assigning to the applicable Party all of his or her rights, title and interests in and to any invention, discovery, process, or other Intellectual Property Rights; (c) cooperating in the Prosecution and Maintenance and enforcement of any patent and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w:t>
      </w:r>
    </w:p>
    <w:p>
      <w:pPr>
        <w:spacing w:after="0" w:line="200" w:lineRule="exact"/>
        <w:rPr>
          <w:sz w:val="20"/>
          <w:szCs w:val="20"/>
          <w:color w:val="auto"/>
        </w:rPr>
      </w:pPr>
    </w:p>
    <w:p>
      <w:pPr>
        <w:spacing w:after="0" w:line="33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b w:val="1"/>
          <w:bCs w:val="1"/>
          <w:color w:val="auto"/>
        </w:rPr>
        <w:t>Patent Prosecution</w:t>
      </w:r>
      <w:r>
        <w:rPr>
          <w:rFonts w:ascii="Arial" w:cs="Arial" w:eastAsia="Arial" w:hAnsi="Arial"/>
          <w:sz w:val="14"/>
          <w:szCs w:val="14"/>
          <w:b w:val="1"/>
          <w:bCs w:val="1"/>
          <w:i w:val="1"/>
          <w:iCs w:val="1"/>
          <w:color w:val="auto"/>
        </w:rPr>
        <w:t>.</w:t>
      </w:r>
    </w:p>
    <w:p>
      <w:pPr>
        <w:spacing w:after="0" w:line="200" w:lineRule="exact"/>
        <w:rPr>
          <w:sz w:val="20"/>
          <w:szCs w:val="20"/>
          <w:color w:val="auto"/>
        </w:rPr>
      </w:pPr>
    </w:p>
    <w:p>
      <w:pPr>
        <w:spacing w:after="0" w:line="228" w:lineRule="exact"/>
        <w:rPr>
          <w:sz w:val="20"/>
          <w:szCs w:val="20"/>
          <w:color w:val="auto"/>
        </w:rPr>
      </w:pPr>
    </w:p>
    <w:p>
      <w:pPr>
        <w:ind w:left="1140" w:right="7440" w:hanging="570"/>
        <w:spacing w:after="0" w:line="798" w:lineRule="auto"/>
        <w:tabs>
          <w:tab w:leader="none" w:pos="1128" w:val="left"/>
        </w:tabs>
        <w:numPr>
          <w:ilvl w:val="0"/>
          <w:numId w:val="866"/>
        </w:numPr>
        <w:rPr>
          <w:rFonts w:ascii="Arial" w:cs="Arial" w:eastAsia="Arial" w:hAnsi="Arial"/>
          <w:sz w:val="16"/>
          <w:szCs w:val="16"/>
          <w:color w:val="auto"/>
        </w:rPr>
      </w:pPr>
      <w:r>
        <w:rPr>
          <w:rFonts w:ascii="Arial" w:cs="Arial" w:eastAsia="Arial" w:hAnsi="Arial"/>
          <w:sz w:val="16"/>
          <w:szCs w:val="16"/>
          <w:b w:val="1"/>
          <w:bCs w:val="1"/>
          <w:color w:val="auto"/>
        </w:rPr>
        <w:t xml:space="preserve">PM8002 Licensed Products </w:t>
      </w:r>
      <w:r>
        <w:rPr>
          <w:rFonts w:ascii="Arial" w:cs="Arial" w:eastAsia="Arial" w:hAnsi="Arial"/>
          <w:sz w:val="16"/>
          <w:szCs w:val="16"/>
          <w:color w:val="auto"/>
        </w:rPr>
        <w:t>[***]</w:t>
      </w:r>
    </w:p>
    <w:p>
      <w:pPr>
        <w:ind w:left="1140" w:right="7440" w:hanging="570"/>
        <w:spacing w:after="0" w:line="828" w:lineRule="auto"/>
        <w:tabs>
          <w:tab w:leader="none" w:pos="1128" w:val="left"/>
        </w:tabs>
        <w:numPr>
          <w:ilvl w:val="0"/>
          <w:numId w:val="866"/>
        </w:numPr>
        <w:rPr>
          <w:rFonts w:ascii="Arial" w:cs="Arial" w:eastAsia="Arial" w:hAnsi="Arial"/>
          <w:sz w:val="16"/>
          <w:szCs w:val="16"/>
          <w:color w:val="auto"/>
        </w:rPr>
      </w:pPr>
      <w:r>
        <w:rPr>
          <w:rFonts w:ascii="Arial" w:cs="Arial" w:eastAsia="Arial" w:hAnsi="Arial"/>
          <w:sz w:val="16"/>
          <w:szCs w:val="16"/>
          <w:b w:val="1"/>
          <w:bCs w:val="1"/>
          <w:color w:val="auto"/>
        </w:rPr>
        <w:t xml:space="preserve">PM8003 Licensed Products </w:t>
      </w:r>
      <w:r>
        <w:rPr>
          <w:rFonts w:ascii="Arial" w:cs="Arial" w:eastAsia="Arial" w:hAnsi="Arial"/>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40" w:orient="portrait"/>
          <w:cols w:equalWidth="0" w:num="1">
            <w:col w:w="10580"/>
          </w:cols>
          <w:pgMar w:left="660" w:top="1440" w:right="660" w:bottom="1440" w:gutter="0" w:footer="0" w:header="0"/>
        </w:sectPr>
      </w:pPr>
    </w:p>
    <w:bookmarkStart w:id="853" w:name="page854"/>
    <w:bookmarkEnd w:id="85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40" w:right="6260" w:hanging="570"/>
        <w:spacing w:after="0" w:line="799" w:lineRule="auto"/>
        <w:tabs>
          <w:tab w:leader="none" w:pos="1128" w:val="left"/>
        </w:tabs>
        <w:numPr>
          <w:ilvl w:val="0"/>
          <w:numId w:val="867"/>
        </w:numPr>
        <w:rPr>
          <w:rFonts w:ascii="Arial" w:cs="Arial" w:eastAsia="Arial" w:hAnsi="Arial"/>
          <w:sz w:val="16"/>
          <w:szCs w:val="16"/>
          <w:color w:val="auto"/>
        </w:rPr>
      </w:pPr>
      <w:r>
        <w:rPr>
          <w:rFonts w:ascii="Arial" w:cs="Arial" w:eastAsia="Arial" w:hAnsi="Arial"/>
          <w:sz w:val="16"/>
          <w:szCs w:val="16"/>
          <w:b w:val="1"/>
          <w:bCs w:val="1"/>
          <w:color w:val="auto"/>
        </w:rPr>
        <w:t xml:space="preserve">Preclinical Multispecific Licensed Products </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120" w:hanging="550"/>
        <w:spacing w:after="0"/>
        <w:tabs>
          <w:tab w:leader="none" w:pos="112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40" w:hanging="570"/>
        <w:spacing w:after="0"/>
        <w:tabs>
          <w:tab w:leader="none" w:pos="1140" w:val="left"/>
        </w:tabs>
        <w:numPr>
          <w:ilvl w:val="0"/>
          <w:numId w:val="86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b w:val="1"/>
          <w:bCs w:val="1"/>
          <w:color w:val="auto"/>
        </w:rPr>
        <w:t>Patent Enforcement</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68"/>
        </w:numPr>
        <w:rPr>
          <w:rFonts w:ascii="Arial" w:cs="Arial" w:eastAsia="Arial" w:hAnsi="Arial"/>
          <w:sz w:val="16"/>
          <w:szCs w:val="16"/>
          <w:color w:val="auto"/>
        </w:rPr>
      </w:pPr>
      <w:r>
        <w:rPr>
          <w:rFonts w:ascii="Arial" w:cs="Arial" w:eastAsia="Arial" w:hAnsi="Arial"/>
          <w:sz w:val="16"/>
          <w:szCs w:val="16"/>
          <w:b w:val="1"/>
          <w:bCs w:val="1"/>
          <w:color w:val="auto"/>
        </w:rPr>
        <w:t>Notification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8" w:lineRule="auto"/>
        <w:rPr>
          <w:rFonts w:ascii="Arial" w:cs="Arial" w:eastAsia="Arial" w:hAnsi="Arial"/>
          <w:sz w:val="16"/>
          <w:szCs w:val="16"/>
          <w:color w:val="auto"/>
        </w:rPr>
      </w:pPr>
      <w:r>
        <w:rPr>
          <w:rFonts w:ascii="Arial" w:cs="Arial" w:eastAsia="Arial" w:hAnsi="Arial"/>
          <w:sz w:val="16"/>
          <w:szCs w:val="16"/>
          <w:color w:val="auto"/>
        </w:rPr>
        <w:t>Each Party will promptly notify the other in the event of any actual, likely or suspected infringement of [***], including any Infringement that arises as a result of the making, using, offering to sell, selling, or importing of a product that would be competitive with a Licensed Product and that is Directed to the same Target as such Licensed Product (a “</w:t>
      </w:r>
      <w:r>
        <w:rPr>
          <w:rFonts w:ascii="Arial" w:cs="Arial" w:eastAsia="Arial" w:hAnsi="Arial"/>
          <w:sz w:val="16"/>
          <w:szCs w:val="16"/>
          <w:b w:val="1"/>
          <w:bCs w:val="1"/>
          <w:color w:val="auto"/>
        </w:rPr>
        <w:t>Competitive Infringement</w:t>
      </w:r>
      <w:r>
        <w:rPr>
          <w:rFonts w:ascii="Arial" w:cs="Arial" w:eastAsia="Arial" w:hAnsi="Arial"/>
          <w:sz w:val="16"/>
          <w:szCs w:val="16"/>
          <w:color w:val="auto"/>
        </w:rPr>
        <w:t>”). In addition, each Party will promptly notify the other in the event such Party becomes aware of any action by a Third Party for a declaration that any of the Product-Specific Patent Rights are not infringed or are invalid, or unenforceable. In all cases, each Party will provide any available evidence of such Infringement or other conduct with such notification.</w:t>
      </w:r>
    </w:p>
    <w:p>
      <w:pPr>
        <w:spacing w:after="0" w:line="261" w:lineRule="exact"/>
        <w:rPr>
          <w:rFonts w:ascii="Arial" w:cs="Arial" w:eastAsia="Arial" w:hAnsi="Arial"/>
          <w:sz w:val="16"/>
          <w:szCs w:val="16"/>
          <w:color w:val="auto"/>
        </w:rPr>
      </w:pPr>
    </w:p>
    <w:p>
      <w:pPr>
        <w:ind w:left="1140" w:right="7900" w:hanging="570"/>
        <w:spacing w:after="0" w:line="828" w:lineRule="auto"/>
        <w:tabs>
          <w:tab w:leader="none" w:pos="1128" w:val="left"/>
        </w:tabs>
        <w:numPr>
          <w:ilvl w:val="0"/>
          <w:numId w:val="868"/>
        </w:numPr>
        <w:rPr>
          <w:rFonts w:ascii="Arial" w:cs="Arial" w:eastAsia="Arial" w:hAnsi="Arial"/>
          <w:sz w:val="16"/>
          <w:szCs w:val="16"/>
          <w:color w:val="auto"/>
        </w:rPr>
      </w:pPr>
      <w:r>
        <w:rPr>
          <w:rFonts w:ascii="Arial" w:cs="Arial" w:eastAsia="Arial" w:hAnsi="Arial"/>
          <w:sz w:val="16"/>
          <w:szCs w:val="16"/>
          <w:b w:val="1"/>
          <w:bCs w:val="1"/>
          <w:color w:val="auto"/>
        </w:rPr>
        <w:t xml:space="preserve">Infringement Actions </w:t>
      </w:r>
      <w:r>
        <w:rPr>
          <w:rFonts w:ascii="Arial" w:cs="Arial" w:eastAsia="Arial" w:hAnsi="Arial"/>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40" w:orient="portrait"/>
          <w:cols w:equalWidth="0" w:num="1">
            <w:col w:w="10580"/>
          </w:cols>
          <w:pgMar w:left="660" w:top="1440" w:right="660" w:bottom="1440" w:gutter="0" w:footer="0" w:header="0"/>
        </w:sectPr>
      </w:pPr>
    </w:p>
    <w:bookmarkStart w:id="854" w:name="page855"/>
    <w:bookmarkEnd w:id="85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69"/>
        </w:numPr>
        <w:rPr>
          <w:rFonts w:ascii="Arial" w:cs="Arial" w:eastAsia="Arial" w:hAnsi="Arial"/>
          <w:sz w:val="16"/>
          <w:szCs w:val="16"/>
          <w:color w:val="auto"/>
        </w:rPr>
      </w:pPr>
      <w:r>
        <w:rPr>
          <w:rFonts w:ascii="Arial" w:cs="Arial" w:eastAsia="Arial" w:hAnsi="Arial"/>
          <w:sz w:val="16"/>
          <w:szCs w:val="16"/>
          <w:b w:val="1"/>
          <w:bCs w:val="1"/>
          <w:color w:val="auto"/>
        </w:rPr>
        <w:t>Collaboration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7" w:lineRule="auto"/>
        <w:rPr>
          <w:rFonts w:ascii="Arial" w:cs="Arial" w:eastAsia="Arial" w:hAnsi="Arial"/>
          <w:sz w:val="16"/>
          <w:szCs w:val="16"/>
          <w:color w:val="auto"/>
        </w:rPr>
      </w:pPr>
      <w:r>
        <w:rPr>
          <w:rFonts w:ascii="Arial" w:cs="Arial" w:eastAsia="Arial" w:hAnsi="Arial"/>
          <w:sz w:val="16"/>
          <w:szCs w:val="16"/>
          <w:color w:val="auto"/>
        </w:rPr>
        <w:t>Each Party will provide the other Party with reasonable assistance in the enforcement action brought under this Section 9.3 (Patent Enforcement), at the enforcing Party's request and expense, including to be named in such action if required by, or desirable under, Applicable Laws to pursue such action. The enforcing Party will keep the non-enforcing Party regularly informed of the status and progress of such enforcement efforts, will reasonably consider the non-enforcing Party's comments on any such efforts, including determination of litigation strategy and filing of material papers to the competent court. The non-enforcing Party will be entitled to separate representation in such matter by counsel of its own choice and at its own expense, but will at all times cooperate with the enforcing Party in good faith.</w:t>
      </w:r>
    </w:p>
    <w:p>
      <w:pPr>
        <w:spacing w:after="0" w:line="263" w:lineRule="exact"/>
        <w:rPr>
          <w:rFonts w:ascii="Arial" w:cs="Arial" w:eastAsia="Arial" w:hAnsi="Arial"/>
          <w:sz w:val="16"/>
          <w:szCs w:val="16"/>
          <w:color w:val="auto"/>
        </w:rPr>
      </w:pPr>
    </w:p>
    <w:p>
      <w:pPr>
        <w:ind w:left="1120" w:hanging="550"/>
        <w:spacing w:after="0"/>
        <w:tabs>
          <w:tab w:leader="none" w:pos="1120" w:val="left"/>
        </w:tabs>
        <w:numPr>
          <w:ilvl w:val="0"/>
          <w:numId w:val="869"/>
        </w:numPr>
        <w:rPr>
          <w:rFonts w:ascii="Arial" w:cs="Arial" w:eastAsia="Arial" w:hAnsi="Arial"/>
          <w:sz w:val="16"/>
          <w:szCs w:val="16"/>
          <w:color w:val="auto"/>
        </w:rPr>
      </w:pPr>
      <w:r>
        <w:rPr>
          <w:rFonts w:ascii="Arial" w:cs="Arial" w:eastAsia="Arial" w:hAnsi="Arial"/>
          <w:sz w:val="16"/>
          <w:szCs w:val="16"/>
          <w:b w:val="1"/>
          <w:bCs w:val="1"/>
          <w:color w:val="auto"/>
        </w:rPr>
        <w:t>Expenses and Recoveries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9" w:lineRule="auto"/>
        <w:rPr>
          <w:rFonts w:ascii="Arial" w:cs="Arial" w:eastAsia="Arial" w:hAnsi="Arial"/>
          <w:sz w:val="16"/>
          <w:szCs w:val="16"/>
          <w:color w:val="auto"/>
        </w:rPr>
      </w:pPr>
      <w:r>
        <w:rPr>
          <w:rFonts w:ascii="Arial" w:cs="Arial" w:eastAsia="Arial" w:hAnsi="Arial"/>
          <w:sz w:val="16"/>
          <w:szCs w:val="16"/>
          <w:color w:val="auto"/>
        </w:rPr>
        <w:t>The enforcing Party will be solely responsible for any expenses (including attorneys' fees and costs) incurred by the enforcing Party as a result of such claim, suit, or action. If the enforcing Party recovers monetary damages in such claim, suit, or action, then such recovery will be allocated first to the reimbursement of any expenses incurred by the enforcing Party in bringing suit and the reimbursement of any expenses incurred by the non-enforcing Party in such litigation, allocated in proportion to the amounts the Parties have incurred, and any remaining amounts shall be treated as Net Sales for the purposes of this Agreement.</w:t>
      </w:r>
    </w:p>
    <w:p>
      <w:pPr>
        <w:spacing w:after="0" w:line="26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b w:val="1"/>
          <w:bCs w:val="1"/>
          <w:color w:val="auto"/>
        </w:rPr>
        <w:t>Use of Trademarks</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4"/>
          <w:szCs w:val="14"/>
          <w:b w:val="1"/>
          <w:bCs w:val="1"/>
          <w:color w:val="auto"/>
        </w:rPr>
        <w:t>Marking</w:t>
      </w:r>
    </w:p>
    <w:p>
      <w:pPr>
        <w:spacing w:after="0" w:line="200" w:lineRule="exact"/>
        <w:rPr>
          <w:sz w:val="20"/>
          <w:szCs w:val="20"/>
          <w:color w:val="auto"/>
        </w:rPr>
      </w:pPr>
    </w:p>
    <w:p>
      <w:pPr>
        <w:spacing w:after="0" w:line="230" w:lineRule="exact"/>
        <w:rPr>
          <w:sz w:val="20"/>
          <w:szCs w:val="20"/>
          <w:color w:val="auto"/>
        </w:rPr>
      </w:pPr>
    </w:p>
    <w:p>
      <w:pPr>
        <w:ind w:left="580" w:right="40"/>
        <w:spacing w:after="0" w:line="450" w:lineRule="auto"/>
        <w:rPr>
          <w:sz w:val="20"/>
          <w:szCs w:val="20"/>
          <w:color w:val="auto"/>
        </w:rPr>
      </w:pPr>
      <w:r>
        <w:rPr>
          <w:rFonts w:ascii="Arial" w:cs="Arial" w:eastAsia="Arial" w:hAnsi="Arial"/>
          <w:sz w:val="16"/>
          <w:szCs w:val="16"/>
          <w:color w:val="auto"/>
        </w:rPr>
        <w:t>Each Party shall, and shall cause its Affiliates and their Sublicensees to, mark the Licensed Products sold under this Agreement with the number of each issued and granted Licensed Patent Right that applies to the relevant Licensed Products if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40" w:orient="portrait"/>
          <w:cols w:equalWidth="0" w:num="1">
            <w:col w:w="10580"/>
          </w:cols>
          <w:pgMar w:left="660" w:top="1440" w:right="660" w:bottom="1440" w:gutter="0" w:footer="0" w:header="0"/>
        </w:sectPr>
      </w:pPr>
    </w:p>
    <w:bookmarkStart w:id="855" w:name="page856"/>
    <w:bookmarkEnd w:id="85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CONFIDENTIALITY</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b w:val="1"/>
          <w:bCs w:val="1"/>
          <w:color w:val="auto"/>
        </w:rPr>
        <w:t>Confidential Information</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70"/>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jc w:val="both"/>
        <w:ind w:left="1140"/>
        <w:spacing w:after="0" w:line="424" w:lineRule="auto"/>
        <w:rPr>
          <w:rFonts w:ascii="Arial" w:cs="Arial" w:eastAsia="Arial" w:hAnsi="Arial"/>
          <w:sz w:val="16"/>
          <w:szCs w:val="16"/>
          <w:color w:val="auto"/>
        </w:rPr>
      </w:pP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will maintain all Confidential Information disclosed to it or its representatives by or on behalf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in confidence during the Term of this Agreement and for a period of [***] years after the expiration or termination of this Agreement; provided that any Confidential Information of either Party that constitutes a trade secret will continue to be subject to the terms of this 10.1 (Confidentiality) in perpetuity, so long as such information remains a trade secret. Each Party will use all such disclosed Confidential Information of the Disclosing Party only to the extent necessary for purposes of this Agreement, including exercising the licenses and rights hereunder and will not disclose such Confidential Information to any Third Party without the prior written consent of the Disclosing Party, except as permitted under this Agreement. The Parties will agree a policy for managing trade secrets provided by a Party under this Agreement. Each Party will notify the other Party promptly on discovery of any unauthorized use or disclosure by a Party of the other Party's Confidential Information, including the other Party's trade secrets. Product-Specific Know-How is the Confidential Information of both Parties provided that (i) other than for the purposes permitted in Section 10.1(d) (Permitted Disclosures) below and Section 10.3 (Publications and Presentations) below, Biotheus shall not disclose the Product-Specific Know-How to a Third Party or otherwise publish the Product-Specific Know-How without the prior written consent of BioNTech and (ii) other than for the purposes permitted in Section 10.1(d) (Permitted Disclosures) below and Section 10.3 (Publications and Presentations) below, BioNTech shall not disclose the Product-Specific Know-How to a Third Party or otherwise publish the Product-Specific Know-How without the prior written consent of Biotheus.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40" w:orient="portrait"/>
          <w:cols w:equalWidth="0" w:num="1">
            <w:col w:w="10580"/>
          </w:cols>
          <w:pgMar w:left="660" w:top="1440" w:right="660" w:bottom="1440" w:gutter="0" w:footer="0" w:header="0"/>
        </w:sectPr>
      </w:pPr>
    </w:p>
    <w:bookmarkStart w:id="856" w:name="page857"/>
    <w:bookmarkEnd w:id="856"/>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71"/>
        </w:numPr>
        <w:rPr>
          <w:rFonts w:ascii="Arial" w:cs="Arial" w:eastAsia="Arial" w:hAnsi="Arial"/>
          <w:sz w:val="16"/>
          <w:szCs w:val="16"/>
          <w:color w:val="auto"/>
        </w:rPr>
      </w:pPr>
      <w:r>
        <w:rPr>
          <w:rFonts w:ascii="Arial" w:cs="Arial" w:eastAsia="Arial" w:hAnsi="Arial"/>
          <w:sz w:val="16"/>
          <w:szCs w:val="16"/>
          <w:b w:val="1"/>
          <w:bCs w:val="1"/>
          <w:color w:val="auto"/>
        </w:rPr>
        <w:t>Confidential Information of Each Party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29" w:lineRule="auto"/>
        <w:rPr>
          <w:rFonts w:ascii="Arial" w:cs="Arial" w:eastAsia="Arial" w:hAnsi="Arial"/>
          <w:sz w:val="16"/>
          <w:szCs w:val="16"/>
          <w:color w:val="auto"/>
        </w:rPr>
      </w:pPr>
      <w:r>
        <w:rPr>
          <w:rFonts w:ascii="Arial" w:cs="Arial" w:eastAsia="Arial" w:hAnsi="Arial"/>
          <w:sz w:val="16"/>
          <w:szCs w:val="16"/>
          <w:color w:val="auto"/>
        </w:rPr>
        <w:t>Except as otherwise specified in this Agreement, all information disclosed prior to the Execution Date pursuant to the Confidential Disclosure Agreement between the Parties dated [***]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by Biotheus to BioNTech will be Confidential Information of Biotheus and by BioNTech to Biotheus will be Confidential Information of BioNTech. During the Term, Biotheus shall not disclose to a Third Party any Licensed Know-How that is specific to a Licensed Compound or Licensed Product without the prior written consent of BioNTech.</w:t>
      </w:r>
    </w:p>
    <w:p>
      <w:pPr>
        <w:spacing w:after="0" w:line="262" w:lineRule="exact"/>
        <w:rPr>
          <w:rFonts w:ascii="Arial" w:cs="Arial" w:eastAsia="Arial" w:hAnsi="Arial"/>
          <w:sz w:val="16"/>
          <w:szCs w:val="16"/>
          <w:color w:val="auto"/>
        </w:rPr>
      </w:pPr>
    </w:p>
    <w:p>
      <w:pPr>
        <w:ind w:left="550" w:hanging="550"/>
        <w:spacing w:after="0"/>
        <w:tabs>
          <w:tab w:leader="none" w:pos="550" w:val="left"/>
        </w:tabs>
        <w:numPr>
          <w:ilvl w:val="0"/>
          <w:numId w:val="871"/>
        </w:numPr>
        <w:rPr>
          <w:rFonts w:ascii="Arial" w:cs="Arial" w:eastAsia="Arial" w:hAnsi="Arial"/>
          <w:sz w:val="16"/>
          <w:szCs w:val="16"/>
          <w:color w:val="auto"/>
        </w:rPr>
      </w:pPr>
      <w:r>
        <w:rPr>
          <w:rFonts w:ascii="Arial" w:cs="Arial" w:eastAsia="Arial" w:hAnsi="Arial"/>
          <w:sz w:val="16"/>
          <w:szCs w:val="16"/>
          <w:b w:val="1"/>
          <w:bCs w:val="1"/>
          <w:color w:val="auto"/>
        </w:rPr>
        <w:t>Exceptions to Confidentiality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83" w:lineRule="auto"/>
        <w:rPr>
          <w:rFonts w:ascii="Arial" w:cs="Arial" w:eastAsia="Arial" w:hAnsi="Arial"/>
          <w:sz w:val="16"/>
          <w:szCs w:val="16"/>
          <w:color w:val="auto"/>
        </w:rPr>
      </w:pPr>
      <w:r>
        <w:rPr>
          <w:rFonts w:ascii="Arial" w:cs="Arial" w:eastAsia="Arial" w:hAnsi="Arial"/>
          <w:sz w:val="14"/>
          <w:szCs w:val="14"/>
          <w:color w:val="auto"/>
        </w:rPr>
        <w:t xml:space="preserve">The following information will not be Confidential Information of the Disclosing Party and accordingly, the obligations of each Receiving Party imposed by Section 10.1(a) (General) will not apply to any such information that: (a) was known to the Receiving Party without an obligation to keep such information confidential prior to the Execution Date other than as a result of disclosure under any other agreement between the Parties, including the Confidentiality Agreement (as demonstrated by documentary evidence); (b) is or becomes generally available to the public through means other than an unauthorized disclosure by the Receiving Party, its Affiliates, or any of its agents to whom it or they disclosed such information; (c) was or subsequently is disclosed to the Receiving Party without restriction by a Third Party having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right to disclose such Confidential Information without breaching any obligation to the Disclosing Party; or</w:t>
      </w:r>
    </w:p>
    <w:p>
      <w:pPr>
        <w:ind w:left="570" w:right="20" w:hanging="6"/>
        <w:spacing w:after="0" w:line="450" w:lineRule="auto"/>
        <w:tabs>
          <w:tab w:leader="none" w:pos="845" w:val="left"/>
        </w:tabs>
        <w:numPr>
          <w:ilvl w:val="1"/>
          <w:numId w:val="871"/>
        </w:numPr>
        <w:rPr>
          <w:rFonts w:ascii="Arial" w:cs="Arial" w:eastAsia="Arial" w:hAnsi="Arial"/>
          <w:sz w:val="16"/>
          <w:szCs w:val="16"/>
          <w:color w:val="auto"/>
        </w:rPr>
      </w:pPr>
      <w:r>
        <w:rPr>
          <w:rFonts w:ascii="Arial" w:cs="Arial" w:eastAsia="Arial" w:hAnsi="Arial"/>
          <w:sz w:val="16"/>
          <w:szCs w:val="16"/>
          <w:color w:val="auto"/>
        </w:rPr>
        <w:t>is developed independently by the Receiving Party without use of or reference to any of the Disclosing Party's Confidential Information.</w:t>
      </w:r>
    </w:p>
    <w:p>
      <w:pPr>
        <w:spacing w:after="0" w:line="244" w:lineRule="exact"/>
        <w:rPr>
          <w:rFonts w:ascii="Arial" w:cs="Arial" w:eastAsia="Arial" w:hAnsi="Arial"/>
          <w:sz w:val="16"/>
          <w:szCs w:val="16"/>
          <w:color w:val="auto"/>
        </w:rPr>
      </w:pPr>
    </w:p>
    <w:p>
      <w:pPr>
        <w:ind w:left="550" w:hanging="550"/>
        <w:spacing w:after="0"/>
        <w:tabs>
          <w:tab w:leader="none" w:pos="550" w:val="left"/>
        </w:tabs>
        <w:numPr>
          <w:ilvl w:val="0"/>
          <w:numId w:val="871"/>
        </w:numPr>
        <w:rPr>
          <w:rFonts w:ascii="Arial" w:cs="Arial" w:eastAsia="Arial" w:hAnsi="Arial"/>
          <w:sz w:val="16"/>
          <w:szCs w:val="16"/>
          <w:color w:val="auto"/>
        </w:rPr>
      </w:pPr>
      <w:r>
        <w:rPr>
          <w:rFonts w:ascii="Arial" w:cs="Arial" w:eastAsia="Arial" w:hAnsi="Arial"/>
          <w:sz w:val="16"/>
          <w:szCs w:val="16"/>
          <w:b w:val="1"/>
          <w:bCs w:val="1"/>
          <w:color w:val="auto"/>
        </w:rPr>
        <w:t>Permitted Disclosures</w:t>
      </w:r>
    </w:p>
    <w:p>
      <w:pPr>
        <w:spacing w:after="0" w:line="200" w:lineRule="exact"/>
        <w:rPr>
          <w:sz w:val="20"/>
          <w:szCs w:val="20"/>
          <w:color w:val="auto"/>
        </w:rPr>
      </w:pPr>
    </w:p>
    <w:p>
      <w:pPr>
        <w:spacing w:after="0" w:line="228" w:lineRule="exact"/>
        <w:rPr>
          <w:sz w:val="20"/>
          <w:szCs w:val="20"/>
          <w:color w:val="auto"/>
        </w:rPr>
      </w:pPr>
    </w:p>
    <w:p>
      <w:pPr>
        <w:ind w:left="1250" w:hanging="566"/>
        <w:spacing w:after="0"/>
        <w:tabs>
          <w:tab w:leader="none" w:pos="1250" w:val="left"/>
        </w:tabs>
        <w:numPr>
          <w:ilvl w:val="0"/>
          <w:numId w:val="872"/>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00" w:lineRule="exact"/>
        <w:rPr>
          <w:sz w:val="20"/>
          <w:szCs w:val="20"/>
          <w:color w:val="auto"/>
        </w:rPr>
      </w:pPr>
    </w:p>
    <w:p>
      <w:pPr>
        <w:spacing w:after="0" w:line="230" w:lineRule="exact"/>
        <w:rPr>
          <w:sz w:val="20"/>
          <w:szCs w:val="20"/>
          <w:color w:val="auto"/>
        </w:rPr>
      </w:pPr>
    </w:p>
    <w:p>
      <w:pPr>
        <w:jc w:val="both"/>
        <w:ind w:left="1130"/>
        <w:spacing w:after="0" w:line="436" w:lineRule="auto"/>
        <w:rPr>
          <w:sz w:val="20"/>
          <w:szCs w:val="20"/>
          <w:color w:val="auto"/>
        </w:rPr>
      </w:pPr>
      <w:r>
        <w:rPr>
          <w:rFonts w:ascii="Arial" w:cs="Arial" w:eastAsia="Arial" w:hAnsi="Arial"/>
          <w:sz w:val="16"/>
          <w:szCs w:val="16"/>
          <w:color w:val="auto"/>
        </w:rPr>
        <w:t>Notwithstanding any provision to the contrary set forth in this Section 10.1 (Confidential Information), each Receiving Party may use and make disclosures of Confidential Information of the Disclosing Party: (i) to its Affiliates, and the Receiving Party's or its Affiliates' employees,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87</w:t>
      </w:r>
    </w:p>
    <w:p>
      <w:pPr>
        <w:sectPr>
          <w:pgSz w:w="11900" w:h="16840" w:orient="portrait"/>
          <w:cols w:equalWidth="0" w:num="1">
            <w:col w:w="10010"/>
          </w:cols>
          <w:pgMar w:left="1230" w:top="1440" w:right="660" w:bottom="1440" w:gutter="0" w:footer="0" w:header="0"/>
        </w:sectPr>
      </w:pPr>
    </w:p>
    <w:bookmarkStart w:id="857" w:name="page858"/>
    <w:bookmarkEnd w:id="857"/>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20" w:right="40"/>
        <w:spacing w:after="0" w:line="489" w:lineRule="auto"/>
        <w:rPr>
          <w:sz w:val="20"/>
          <w:szCs w:val="20"/>
          <w:color w:val="auto"/>
        </w:rPr>
      </w:pPr>
      <w:r>
        <w:rPr>
          <w:rFonts w:ascii="Arial" w:cs="Arial" w:eastAsia="Arial" w:hAnsi="Arial"/>
          <w:sz w:val="14"/>
          <w:szCs w:val="14"/>
          <w:color w:val="auto"/>
        </w:rPr>
        <w:t>agents, consultants, or advisors, or actual or potential Sublicensees to the extent necessary for the potential or actual performance of its obligations or exercise of its licenses and other rights under this Agreement, in each case, who are under an obligation of confidentiality and non-use with respect to such information that is no less stringent than the terms of this Agreement; (ii) subject to Section 10.1(a) (General), to patent offices in any country in which Patent Rights are sought for purposes of filing and prosecuting any applications for any Patent Rights which may be filed in accordance with this Agreement or defending any such Patent Rights in challenges to the validity of such Patent Rights as contemplated by this Agreement; (iii) to Regulatory Authorities or Governmental Authorities as necessary to pursue Development, Commercialization, Manufacturing, Regulatory Filing, or Marketing Authorization of Licensed Products; provided, that such Confidential Information will be disclosed only to the extent reasonably necessary to do so, and where permitted, subject to confidential treatment; (iv) to the extent required to comply with Applicable Law or a court or administrative order, including of any national regulatory agency or listing authority; or (v) to any tax authority, in each case, to the extent applicable to such Party at such time; provided, however, that in respect of part (iv) the Party who is required to make such disclosure (A) provides the other Party with reasonable prior written notice, (B) coordinates with the other Party with respect to the wording and timing of any such disclosure and affords the other Party an opportunity to oppose or limit, or secure confidential treatment for such required disclosure, (C) if unsuccessful in its efforts pursuant to clause (B), takes all reasonable and lawful actions to obtain confidential treatment for such disclosure, and</w:t>
      </w:r>
    </w:p>
    <w:p>
      <w:pPr>
        <w:spacing w:after="0" w:line="269" w:lineRule="exact"/>
        <w:rPr>
          <w:sz w:val="20"/>
          <w:szCs w:val="20"/>
          <w:color w:val="auto"/>
        </w:rPr>
      </w:pPr>
    </w:p>
    <w:p>
      <w:pPr>
        <w:ind w:left="920" w:right="60" w:hanging="2"/>
        <w:spacing w:after="0" w:line="450" w:lineRule="auto"/>
        <w:tabs>
          <w:tab w:leader="none" w:pos="1222" w:val="left"/>
        </w:tabs>
        <w:numPr>
          <w:ilvl w:val="1"/>
          <w:numId w:val="873"/>
        </w:numPr>
        <w:rPr>
          <w:rFonts w:ascii="Arial" w:cs="Arial" w:eastAsia="Arial" w:hAnsi="Arial"/>
          <w:sz w:val="16"/>
          <w:szCs w:val="16"/>
          <w:color w:val="auto"/>
        </w:rPr>
      </w:pPr>
      <w:r>
        <w:rPr>
          <w:rFonts w:ascii="Arial" w:cs="Arial" w:eastAsia="Arial" w:hAnsi="Arial"/>
          <w:sz w:val="16"/>
          <w:szCs w:val="16"/>
          <w:color w:val="auto"/>
        </w:rPr>
        <w:t>discloses the minimum amount and scope of the Confidential Information necessary to comply with Applicable Law. Notwithstanding the foregoing, any Confidential Information so disclosed will remain subject to the terms of this Agreement.</w:t>
      </w:r>
    </w:p>
    <w:p>
      <w:pPr>
        <w:spacing w:after="0" w:line="244" w:lineRule="exact"/>
        <w:rPr>
          <w:rFonts w:ascii="Arial" w:cs="Arial" w:eastAsia="Arial" w:hAnsi="Arial"/>
          <w:sz w:val="16"/>
          <w:szCs w:val="16"/>
          <w:color w:val="auto"/>
        </w:rPr>
      </w:pPr>
    </w:p>
    <w:p>
      <w:pPr>
        <w:ind w:left="1020" w:hanging="546"/>
        <w:spacing w:after="0"/>
        <w:tabs>
          <w:tab w:leader="none" w:pos="1020" w:val="left"/>
        </w:tabs>
        <w:numPr>
          <w:ilvl w:val="0"/>
          <w:numId w:val="874"/>
        </w:numPr>
        <w:rPr>
          <w:rFonts w:ascii="Arial" w:cs="Arial" w:eastAsia="Arial" w:hAnsi="Arial"/>
          <w:sz w:val="16"/>
          <w:szCs w:val="16"/>
          <w:color w:val="auto"/>
        </w:rPr>
      </w:pPr>
      <w:r>
        <w:rPr>
          <w:rFonts w:ascii="Arial" w:cs="Arial" w:eastAsia="Arial" w:hAnsi="Arial"/>
          <w:sz w:val="16"/>
          <w:szCs w:val="16"/>
          <w:b w:val="1"/>
          <w:bCs w:val="1"/>
          <w:color w:val="auto"/>
        </w:rPr>
        <w:t>Agreement</w:t>
      </w:r>
    </w:p>
    <w:p>
      <w:pPr>
        <w:spacing w:after="0" w:line="200" w:lineRule="exact"/>
        <w:rPr>
          <w:sz w:val="20"/>
          <w:szCs w:val="20"/>
          <w:color w:val="auto"/>
        </w:rPr>
      </w:pPr>
    </w:p>
    <w:p>
      <w:pPr>
        <w:spacing w:after="0" w:line="230" w:lineRule="exact"/>
        <w:rPr>
          <w:sz w:val="20"/>
          <w:szCs w:val="20"/>
          <w:color w:val="auto"/>
        </w:rPr>
      </w:pPr>
    </w:p>
    <w:p>
      <w:pPr>
        <w:ind w:left="920"/>
        <w:spacing w:after="0" w:line="450" w:lineRule="auto"/>
        <w:rPr>
          <w:sz w:val="20"/>
          <w:szCs w:val="20"/>
          <w:color w:val="auto"/>
        </w:rPr>
      </w:pPr>
      <w:r>
        <w:rPr>
          <w:rFonts w:ascii="Arial" w:cs="Arial" w:eastAsia="Arial" w:hAnsi="Arial"/>
          <w:sz w:val="16"/>
          <w:szCs w:val="16"/>
          <w:color w:val="auto"/>
        </w:rPr>
        <w:t xml:space="preserve">Solely with respect to the terms of this Agreement, either Party may disclose the terms of this Agreement to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actual or prospective acquirers,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88</w:t>
      </w:r>
    </w:p>
    <w:p>
      <w:pPr>
        <w:sectPr>
          <w:pgSz w:w="11900" w:h="16840" w:orient="portrait"/>
          <w:cols w:equalWidth="0" w:num="1">
            <w:col w:w="9840"/>
          </w:cols>
          <w:pgMar w:left="1440" w:top="1440" w:right="620" w:bottom="1440" w:gutter="0" w:footer="0" w:header="0"/>
        </w:sectPr>
      </w:pPr>
    </w:p>
    <w:bookmarkStart w:id="858" w:name="page859"/>
    <w:bookmarkEnd w:id="85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30"/>
        <w:spacing w:after="0" w:line="428" w:lineRule="auto"/>
        <w:rPr>
          <w:sz w:val="20"/>
          <w:szCs w:val="20"/>
          <w:color w:val="auto"/>
        </w:rPr>
      </w:pPr>
      <w:r>
        <w:rPr>
          <w:rFonts w:ascii="Arial" w:cs="Arial" w:eastAsia="Arial" w:hAnsi="Arial"/>
          <w:sz w:val="16"/>
          <w:szCs w:val="16"/>
          <w:color w:val="auto"/>
        </w:rPr>
        <w:t xml:space="preserve">underwriters, investors, lenders or other financing sources (including in connection with any royalty monetization transaction) and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actual or prospective licensors, Sublicensees, licensees, or strategic partners and to employees, directors, agents, consultants, and advisers of such Third Party, who are under an obligation of confidentiality with respect to such information that is no less stringent than the terms of this Agreement, and PROVIDED THAT such Confidential Information will be disclosed only to the extent reasonably necessary to evaluate the proposed transaction or perform its obligations or exercise its rights granted under the applicable agreement.</w:t>
      </w:r>
    </w:p>
    <w:p>
      <w:pPr>
        <w:spacing w:after="0" w:line="262" w:lineRule="exact"/>
        <w:rPr>
          <w:sz w:val="20"/>
          <w:szCs w:val="20"/>
          <w:color w:val="auto"/>
        </w:rPr>
      </w:pPr>
    </w:p>
    <w:p>
      <w:pPr>
        <w:ind w:left="550" w:hanging="550"/>
        <w:spacing w:after="0"/>
        <w:tabs>
          <w:tab w:leader="none" w:pos="550" w:val="left"/>
        </w:tabs>
        <w:numPr>
          <w:ilvl w:val="0"/>
          <w:numId w:val="875"/>
        </w:numPr>
        <w:rPr>
          <w:rFonts w:ascii="Arial" w:cs="Arial" w:eastAsia="Arial" w:hAnsi="Arial"/>
          <w:sz w:val="16"/>
          <w:szCs w:val="16"/>
          <w:color w:val="auto"/>
        </w:rPr>
      </w:pPr>
      <w:r>
        <w:rPr>
          <w:rFonts w:ascii="Arial" w:cs="Arial" w:eastAsia="Arial" w:hAnsi="Arial"/>
          <w:sz w:val="16"/>
          <w:szCs w:val="16"/>
          <w:b w:val="1"/>
          <w:bCs w:val="1"/>
          <w:color w:val="auto"/>
        </w:rPr>
        <w:t>Publicity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spacing w:after="0" w:line="489" w:lineRule="auto"/>
        <w:rPr>
          <w:rFonts w:ascii="Arial" w:cs="Arial" w:eastAsia="Arial" w:hAnsi="Arial"/>
          <w:sz w:val="16"/>
          <w:szCs w:val="16"/>
          <w:color w:val="auto"/>
        </w:rPr>
      </w:pPr>
      <w:r>
        <w:rPr>
          <w:rFonts w:ascii="Arial" w:cs="Arial" w:eastAsia="Arial" w:hAnsi="Arial"/>
          <w:sz w:val="14"/>
          <w:szCs w:val="14"/>
          <w:color w:val="auto"/>
        </w:rPr>
        <w:t>At a date to be agreed between the Parties following the Execution Date [***], Biotheus may issue a press release in the form agreed and set out in Schedule 9 (Biotheus Press Release). Except for the foregoing and as required by Applicable Law, legal process or stock exchange rules, Biotheus shall not issue a press or news release or make any similar public announcement related to the execution or terms of this Agreement, the conduct of Development activities or the Commercialization of Licensed Products without the prior written consent of BioNTech. For clarity, any such press or news release or similar public announcement by Biotheus shall take into account any comments or edits required by BioNTech as a condition of approval. BioNTech will in its discretion be entitled to make press or news releases or similar public announcements related to the conduct of Development activities or the Commercialization of Licensed Products in the Territory, provided that BioNTech shall provide Biotheus with a draft of such announcement in advance and shall consider any comments received from Biotheus in good faith. For clarity if [***] wishes to make such an announcement regarding the execution or terms of this Agreement [***] prior written consent shall be required. In the event of termination of this Agreement for any reason, if either Party intends to make a public announcement related to such termination or the public disclosure of such termination is required under the Applicable Law or the rules of a stock exchange on which the securities of either Party (or any controlling Affiliate of such Party) are listed (or to which an application for listing has been submitted), the Parties shall cooperate in good faith to coordinate public announcement or disclosure, if any, of such termination and the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89</w:t>
      </w:r>
    </w:p>
    <w:p>
      <w:pPr>
        <w:sectPr>
          <w:pgSz w:w="11900" w:h="16840" w:orient="portrait"/>
          <w:cols w:equalWidth="0" w:num="1">
            <w:col w:w="10010"/>
          </w:cols>
          <w:pgMar w:left="1230" w:top="1440" w:right="660" w:bottom="1440" w:gutter="0" w:footer="0" w:header="0"/>
        </w:sectPr>
      </w:pPr>
    </w:p>
    <w:bookmarkStart w:id="859" w:name="page860"/>
    <w:bookmarkEnd w:id="85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right="60"/>
        <w:spacing w:after="0" w:line="549" w:lineRule="auto"/>
        <w:rPr>
          <w:sz w:val="20"/>
          <w:szCs w:val="20"/>
          <w:color w:val="auto"/>
        </w:rPr>
      </w:pPr>
      <w:r>
        <w:rPr>
          <w:rFonts w:ascii="Arial" w:cs="Arial" w:eastAsia="Arial" w:hAnsi="Arial"/>
          <w:sz w:val="14"/>
          <w:szCs w:val="14"/>
          <w:color w:val="auto"/>
        </w:rPr>
        <w:t>therefor. The principles to be observed in such disclosures shall be accuracy, compliance with Applicable Law, the rules of the applicable stock exchange and regulatory guidance documents, and reasonable sensitivity to potential negative investor reaction to such news.</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4"/>
          <w:szCs w:val="14"/>
          <w:b w:val="1"/>
          <w:bCs w:val="1"/>
          <w:color w:val="auto"/>
        </w:rPr>
        <w:t>No Use of Name</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31" w:lineRule="auto"/>
        <w:rPr>
          <w:sz w:val="20"/>
          <w:szCs w:val="20"/>
          <w:color w:val="auto"/>
        </w:rPr>
      </w:pPr>
      <w:r>
        <w:rPr>
          <w:rFonts w:ascii="Arial" w:cs="Arial" w:eastAsia="Arial" w:hAnsi="Arial"/>
          <w:sz w:val="16"/>
          <w:szCs w:val="16"/>
          <w:color w:val="auto"/>
        </w:rPr>
        <w:t>Subject to the terms of this Agreement, neither Party will use the name or Trademarks of the other Party in any promotional materials or advertising without the prior written consent of the other Party, except as provided under this Agreement or required by Applicable Law, in which case the Party disclosing such name or Trademarks will give advance notice of such use and otherwise comply with Section 11.3(a) (Compliance with Law). [***]</w:t>
      </w:r>
    </w:p>
    <w:p>
      <w:pPr>
        <w:spacing w:after="0" w:line="26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b w:val="1"/>
          <w:bCs w:val="1"/>
          <w:color w:val="auto"/>
        </w:rPr>
        <w:t>Publications and Presentations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BioNTech shall have the sole right, either itself or through its Affiliates or Sublicensees, to present or publish the results of, or scientific information relating to, any activities under this Agreement PROVIDED THAT prior to the [***] the Parties will agree through the JSC on the content of any publications relating to the [***] and/or [***]. Biotheus shall not make any publication or presentation relating to a Licensed Compound or Licensed Product without the prior written consent of BioNTech. If, in accordance with the requirements and limitations of this Section 10.3 (Publications and Presentations), a Party desires to publicly present or publish results or scientific information relating to a Licensed Compound or Licensed Product which publication contains the Confidential Information of the non-publishing Party, prior to doing so, the publishing Party will provide non-publishing Party with drafts of proposed abstracts, manuscripts or summaries of presentations that include such results or information. The non-publishing Party will respond no later than [***] days after receipt of such proposed publication or presentation or such shorter period as may be agreed to by the Parties. The publishing Party will delay any such proposed publication or presentation for a period up [***] days after the non-publishing Party receives such proposed publication or presentation to permit the non-publishing Party to make filings for patent protection and will otherwise remove its Confidential Information identified by the non-publishing Party in such publication or presentation. The Parties agree to acknowledge the contributions of one another in accordance with standard academic practice regarding authorship of scientific publication.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40" w:orient="portrait"/>
          <w:cols w:equalWidth="0" w:num="1">
            <w:col w:w="10580"/>
          </w:cols>
          <w:pgMar w:left="660" w:top="1440" w:right="660" w:bottom="1440" w:gutter="0" w:footer="0" w:header="0"/>
        </w:sectPr>
      </w:pPr>
    </w:p>
    <w:bookmarkStart w:id="860" w:name="page861"/>
    <w:bookmarkEnd w:id="860"/>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29" w:lineRule="auto"/>
        <w:rPr>
          <w:sz w:val="20"/>
          <w:szCs w:val="20"/>
          <w:color w:val="auto"/>
        </w:rPr>
      </w:pPr>
      <w:r>
        <w:rPr>
          <w:rFonts w:ascii="Arial" w:cs="Arial" w:eastAsia="Arial" w:hAnsi="Arial"/>
          <w:sz w:val="16"/>
          <w:szCs w:val="16"/>
          <w:color w:val="auto"/>
        </w:rPr>
        <w:t>Each Party agrees to comply, with respect to the listing of Clinical Trials or the publication of Clinical Trial information and results with respect to Licensed Products and to the extent applicable to its activities conducted under this Agreement, with any Applicable Law or applicable court order, stipulations, consent agreements and settlements entered into by such Party; provided that any listings or publications made pursuant to this Section 10.3 (Publications and Presentations). [***] will provide such assistance as [***] may reasonably require to obtain any consent or permission that may be required in order to publish data that originates from [***].</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REPRESENTATIONS, WARRANTIES, AND COVENANTS</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b w:val="1"/>
          <w:bCs w:val="1"/>
          <w:color w:val="auto"/>
        </w:rPr>
        <w:t>Mutual Representations and Warranties</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the Execution Date, Biotheus and BioNTech each hereby represents and warrants to the other as follows:</w:t>
      </w:r>
    </w:p>
    <w:p>
      <w:pPr>
        <w:spacing w:after="0" w:line="200" w:lineRule="exact"/>
        <w:rPr>
          <w:sz w:val="20"/>
          <w:szCs w:val="20"/>
          <w:color w:val="auto"/>
        </w:rPr>
      </w:pPr>
    </w:p>
    <w:p>
      <w:pPr>
        <w:spacing w:after="0" w:line="226" w:lineRule="exact"/>
        <w:rPr>
          <w:sz w:val="20"/>
          <w:szCs w:val="20"/>
          <w:color w:val="auto"/>
        </w:rPr>
      </w:pPr>
    </w:p>
    <w:p>
      <w:pPr>
        <w:ind w:left="1120" w:hanging="550"/>
        <w:spacing w:after="0"/>
        <w:tabs>
          <w:tab w:leader="none" w:pos="1120" w:val="left"/>
        </w:tabs>
        <w:numPr>
          <w:ilvl w:val="0"/>
          <w:numId w:val="876"/>
        </w:numPr>
        <w:rPr>
          <w:rFonts w:ascii="Arial" w:cs="Arial" w:eastAsia="Arial" w:hAnsi="Arial"/>
          <w:sz w:val="16"/>
          <w:szCs w:val="16"/>
          <w:color w:val="auto"/>
        </w:rPr>
      </w:pPr>
      <w:r>
        <w:rPr>
          <w:rFonts w:ascii="Arial" w:cs="Arial" w:eastAsia="Arial" w:hAnsi="Arial"/>
          <w:sz w:val="16"/>
          <w:szCs w:val="16"/>
          <w:b w:val="1"/>
          <w:bCs w:val="1"/>
          <w:color w:val="auto"/>
        </w:rPr>
        <w:t>Organization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right="20"/>
        <w:spacing w:after="0" w:line="450" w:lineRule="auto"/>
        <w:rPr>
          <w:rFonts w:ascii="Arial" w:cs="Arial" w:eastAsia="Arial" w:hAnsi="Arial"/>
          <w:sz w:val="16"/>
          <w:szCs w:val="16"/>
          <w:color w:val="auto"/>
        </w:rPr>
      </w:pPr>
      <w:r>
        <w:rPr>
          <w:rFonts w:ascii="Arial" w:cs="Arial" w:eastAsia="Arial" w:hAnsi="Arial"/>
          <w:sz w:val="16"/>
          <w:szCs w:val="16"/>
          <w:color w:val="auto"/>
        </w:rPr>
        <w:t>It is a corporation duly organized, validly existing, and in good standing under the laws of the jurisdiction of its organization, and has all requisite power and authority, corporate or otherwise, to execute, deliver, and perform this Agreement.</w:t>
      </w:r>
    </w:p>
    <w:p>
      <w:pPr>
        <w:spacing w:after="0" w:line="244" w:lineRule="exact"/>
        <w:rPr>
          <w:rFonts w:ascii="Arial" w:cs="Arial" w:eastAsia="Arial" w:hAnsi="Arial"/>
          <w:sz w:val="16"/>
          <w:szCs w:val="16"/>
          <w:color w:val="auto"/>
        </w:rPr>
      </w:pPr>
    </w:p>
    <w:p>
      <w:pPr>
        <w:ind w:left="1120" w:hanging="550"/>
        <w:spacing w:after="0"/>
        <w:tabs>
          <w:tab w:leader="none" w:pos="1120" w:val="left"/>
        </w:tabs>
        <w:numPr>
          <w:ilvl w:val="0"/>
          <w:numId w:val="876"/>
        </w:numPr>
        <w:rPr>
          <w:rFonts w:ascii="Arial" w:cs="Arial" w:eastAsia="Arial" w:hAnsi="Arial"/>
          <w:sz w:val="16"/>
          <w:szCs w:val="16"/>
          <w:color w:val="auto"/>
        </w:rPr>
      </w:pPr>
      <w:r>
        <w:rPr>
          <w:rFonts w:ascii="Arial" w:cs="Arial" w:eastAsia="Arial" w:hAnsi="Arial"/>
          <w:sz w:val="16"/>
          <w:szCs w:val="16"/>
          <w:b w:val="1"/>
          <w:bCs w:val="1"/>
          <w:color w:val="auto"/>
        </w:rPr>
        <w:t>Authorization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9" w:lineRule="auto"/>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by it of the transactions contemplated hereby have been duly authorized by all necessary corporate action and will not violate (a) such Party's certificate of incorporation or bylaws (or equivalent charter or organizational documents), (b) any agreement, instrument or contractual obligation to which such Party is bound, (c) any requirement of any Applicable Law or regulations or court or administrative under, or (d) any order, writ, judgment, injunction, decree, determination, or award of any court or Governmental Authority presently in effect applicable to such Party.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40" w:orient="portrait"/>
          <w:cols w:equalWidth="0" w:num="1">
            <w:col w:w="10580"/>
          </w:cols>
          <w:pgMar w:left="660" w:top="1440" w:right="660" w:bottom="1440" w:gutter="0" w:footer="0" w:header="0"/>
        </w:sectPr>
      </w:pPr>
    </w:p>
    <w:bookmarkStart w:id="861" w:name="page862"/>
    <w:bookmarkEnd w:id="86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77"/>
        </w:numPr>
        <w:rPr>
          <w:rFonts w:ascii="Arial" w:cs="Arial" w:eastAsia="Arial" w:hAnsi="Arial"/>
          <w:sz w:val="16"/>
          <w:szCs w:val="16"/>
          <w:color w:val="auto"/>
        </w:rPr>
      </w:pPr>
      <w:r>
        <w:rPr>
          <w:rFonts w:ascii="Arial" w:cs="Arial" w:eastAsia="Arial" w:hAnsi="Arial"/>
          <w:sz w:val="16"/>
          <w:szCs w:val="16"/>
          <w:b w:val="1"/>
          <w:bCs w:val="1"/>
          <w:color w:val="auto"/>
        </w:rPr>
        <w:t>No Inconsistent Obligation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right="40"/>
        <w:spacing w:after="0" w:line="450" w:lineRule="auto"/>
        <w:rPr>
          <w:rFonts w:ascii="Arial" w:cs="Arial" w:eastAsia="Arial" w:hAnsi="Arial"/>
          <w:sz w:val="16"/>
          <w:szCs w:val="16"/>
          <w:color w:val="auto"/>
        </w:rPr>
      </w:pPr>
      <w:r>
        <w:rPr>
          <w:rFonts w:ascii="Arial" w:cs="Arial" w:eastAsia="Arial" w:hAnsi="Arial"/>
          <w:sz w:val="16"/>
          <w:szCs w:val="16"/>
          <w:color w:val="auto"/>
        </w:rPr>
        <w:t>It is not under any obligation, contractual, or otherwise, to any Person that conflicts with or is inconsistent in any respect with the terms of this Agreement or that will impede the diligent and complete fulfilment of its obligations hereunder.</w:t>
      </w:r>
    </w:p>
    <w:p>
      <w:pPr>
        <w:spacing w:after="0" w:line="244" w:lineRule="exact"/>
        <w:rPr>
          <w:rFonts w:ascii="Arial" w:cs="Arial" w:eastAsia="Arial" w:hAnsi="Arial"/>
          <w:sz w:val="16"/>
          <w:szCs w:val="16"/>
          <w:color w:val="auto"/>
        </w:rPr>
      </w:pPr>
    </w:p>
    <w:p>
      <w:pPr>
        <w:ind w:left="1120" w:hanging="550"/>
        <w:spacing w:after="0"/>
        <w:tabs>
          <w:tab w:leader="none" w:pos="1120" w:val="left"/>
        </w:tabs>
        <w:numPr>
          <w:ilvl w:val="0"/>
          <w:numId w:val="877"/>
        </w:numPr>
        <w:rPr>
          <w:rFonts w:ascii="Arial" w:cs="Arial" w:eastAsia="Arial" w:hAnsi="Arial"/>
          <w:sz w:val="16"/>
          <w:szCs w:val="16"/>
          <w:color w:val="auto"/>
        </w:rPr>
      </w:pPr>
      <w:r>
        <w:rPr>
          <w:rFonts w:ascii="Arial" w:cs="Arial" w:eastAsia="Arial" w:hAnsi="Arial"/>
          <w:sz w:val="16"/>
          <w:szCs w:val="16"/>
          <w:b w:val="1"/>
          <w:bCs w:val="1"/>
          <w:color w:val="auto"/>
        </w:rPr>
        <w:t>No Litigation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right="60"/>
        <w:spacing w:after="0" w:line="450" w:lineRule="auto"/>
        <w:rPr>
          <w:rFonts w:ascii="Arial" w:cs="Arial" w:eastAsia="Arial" w:hAnsi="Arial"/>
          <w:sz w:val="16"/>
          <w:szCs w:val="16"/>
          <w:color w:val="auto"/>
        </w:rPr>
      </w:pPr>
      <w:r>
        <w:rPr>
          <w:rFonts w:ascii="Arial" w:cs="Arial" w:eastAsia="Arial" w:hAnsi="Arial"/>
          <w:sz w:val="16"/>
          <w:szCs w:val="16"/>
          <w:color w:val="auto"/>
        </w:rPr>
        <w:t>There is no action or proceeding pending or, to the knowledge of such Party, threatened that could reasonably be expected to impair or delay the ability of such Party to perform its obligations under this Agreement.</w:t>
      </w:r>
    </w:p>
    <w:p>
      <w:pPr>
        <w:spacing w:after="0" w:line="244" w:lineRule="exact"/>
        <w:rPr>
          <w:rFonts w:ascii="Arial" w:cs="Arial" w:eastAsia="Arial" w:hAnsi="Arial"/>
          <w:sz w:val="16"/>
          <w:szCs w:val="16"/>
          <w:color w:val="auto"/>
        </w:rPr>
      </w:pPr>
    </w:p>
    <w:p>
      <w:pPr>
        <w:ind w:left="1120" w:hanging="550"/>
        <w:spacing w:after="0"/>
        <w:tabs>
          <w:tab w:leader="none" w:pos="1120" w:val="left"/>
        </w:tabs>
        <w:numPr>
          <w:ilvl w:val="0"/>
          <w:numId w:val="877"/>
        </w:numPr>
        <w:rPr>
          <w:rFonts w:ascii="Arial" w:cs="Arial" w:eastAsia="Arial" w:hAnsi="Arial"/>
          <w:sz w:val="16"/>
          <w:szCs w:val="16"/>
          <w:color w:val="auto"/>
        </w:rPr>
      </w:pPr>
      <w:r>
        <w:rPr>
          <w:rFonts w:ascii="Arial" w:cs="Arial" w:eastAsia="Arial" w:hAnsi="Arial"/>
          <w:sz w:val="16"/>
          <w:szCs w:val="16"/>
          <w:b w:val="1"/>
          <w:bCs w:val="1"/>
          <w:color w:val="auto"/>
        </w:rPr>
        <w:t>Government Authorizations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spacing w:after="0" w:line="450" w:lineRule="auto"/>
        <w:rPr>
          <w:rFonts w:ascii="Arial" w:cs="Arial" w:eastAsia="Arial" w:hAnsi="Arial"/>
          <w:sz w:val="16"/>
          <w:szCs w:val="16"/>
          <w:color w:val="auto"/>
        </w:rPr>
      </w:pPr>
      <w:r>
        <w:rPr>
          <w:rFonts w:ascii="Arial" w:cs="Arial" w:eastAsia="Arial" w:hAnsi="Arial"/>
          <w:sz w:val="16"/>
          <w:szCs w:val="16"/>
          <w:color w:val="auto"/>
        </w:rPr>
        <w:t>All consents, approvals, and authorizations from all Governmental Authorities or other Third Parties required to be obtained by such Party in connection with this Agreement, including the grant of any licenses, have been obtained.</w:t>
      </w:r>
    </w:p>
    <w:p>
      <w:pPr>
        <w:spacing w:after="0" w:line="244" w:lineRule="exact"/>
        <w:rPr>
          <w:rFonts w:ascii="Arial" w:cs="Arial" w:eastAsia="Arial" w:hAnsi="Arial"/>
          <w:sz w:val="16"/>
          <w:szCs w:val="16"/>
          <w:color w:val="auto"/>
        </w:rPr>
      </w:pPr>
    </w:p>
    <w:p>
      <w:pPr>
        <w:ind w:left="1120" w:hanging="550"/>
        <w:spacing w:after="0"/>
        <w:tabs>
          <w:tab w:leader="none" w:pos="1120" w:val="left"/>
        </w:tabs>
        <w:numPr>
          <w:ilvl w:val="0"/>
          <w:numId w:val="877"/>
        </w:numPr>
        <w:rPr>
          <w:rFonts w:ascii="Arial" w:cs="Arial" w:eastAsia="Arial" w:hAnsi="Arial"/>
          <w:sz w:val="16"/>
          <w:szCs w:val="16"/>
          <w:color w:val="auto"/>
        </w:rPr>
      </w:pPr>
      <w:r>
        <w:rPr>
          <w:rFonts w:ascii="Arial" w:cs="Arial" w:eastAsia="Arial" w:hAnsi="Arial"/>
          <w:sz w:val="16"/>
          <w:szCs w:val="16"/>
          <w:b w:val="1"/>
          <w:bCs w:val="1"/>
          <w:color w:val="auto"/>
        </w:rPr>
        <w:t>Debarment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40"/>
        <w:spacing w:after="0" w:line="428" w:lineRule="auto"/>
        <w:rPr>
          <w:rFonts w:ascii="Arial" w:cs="Arial" w:eastAsia="Arial" w:hAnsi="Arial"/>
          <w:sz w:val="16"/>
          <w:szCs w:val="16"/>
          <w:color w:val="auto"/>
        </w:rPr>
      </w:pPr>
      <w:r>
        <w:rPr>
          <w:rFonts w:ascii="Arial" w:cs="Arial" w:eastAsia="Arial" w:hAnsi="Arial"/>
          <w:sz w:val="16"/>
          <w:szCs w:val="16"/>
          <w:color w:val="auto"/>
        </w:rPr>
        <w:t>Neither such Party, nor any Affiliate of such Party, has been debarred by any Regulatory Authority, including under the Generic Drug Enforcement Act of 1992 (21 U.S.C. §301 et seq.), and the Drug Administration Law and the Human Genetic Resource Regulations in China, is under investigation for debarment action by any Regulatory Authority, has been disqualified as an investigator pursuant to 21 C.F.R. §312.70, and the Drug Administration Law and the Human Genetic Resource Regulations in China, has a disqualification hearing pending or is currently employing or using any Person that has been so debarred or disqualified by any Regulatory Authority to perform any of such Party's obligations under this Agreement.</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b w:val="1"/>
          <w:bCs w:val="1"/>
          <w:color w:val="auto"/>
        </w:rPr>
        <w:t>Additional Representations of Biotheus as of the Execution Date</w:t>
      </w:r>
    </w:p>
    <w:p>
      <w:pPr>
        <w:spacing w:after="0" w:line="200" w:lineRule="exact"/>
        <w:rPr>
          <w:sz w:val="20"/>
          <w:szCs w:val="20"/>
          <w:color w:val="auto"/>
        </w:rPr>
      </w:pPr>
    </w:p>
    <w:p>
      <w:pPr>
        <w:spacing w:after="0" w:line="230" w:lineRule="exact"/>
        <w:rPr>
          <w:sz w:val="20"/>
          <w:szCs w:val="20"/>
          <w:color w:val="auto"/>
        </w:rPr>
      </w:pPr>
    </w:p>
    <w:p>
      <w:pPr>
        <w:ind w:left="580" w:right="20"/>
        <w:spacing w:after="0" w:line="450" w:lineRule="auto"/>
        <w:rPr>
          <w:sz w:val="20"/>
          <w:szCs w:val="20"/>
          <w:color w:val="auto"/>
        </w:rPr>
      </w:pPr>
      <w:r>
        <w:rPr>
          <w:rFonts w:ascii="Arial" w:cs="Arial" w:eastAsia="Arial" w:hAnsi="Arial"/>
          <w:sz w:val="16"/>
          <w:szCs w:val="16"/>
          <w:color w:val="auto"/>
        </w:rPr>
        <w:t>As of the Execution Date, and as of the PM8003 Option Exercise Date and the Preclinical Multispecific Option Exercise Date (as applicable), Biotheus further represents and warrants to BioNTech, that, except as set forth in Schedule 2 (Exceptions to Representations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92</w:t>
      </w:r>
    </w:p>
    <w:p>
      <w:pPr>
        <w:sectPr>
          <w:pgSz w:w="11900" w:h="16840" w:orient="portrait"/>
          <w:cols w:equalWidth="0" w:num="1">
            <w:col w:w="10600"/>
          </w:cols>
          <w:pgMar w:left="660" w:top="1440" w:right="640" w:bottom="1440" w:gutter="0" w:footer="0" w:header="0"/>
        </w:sectPr>
      </w:pPr>
    </w:p>
    <w:bookmarkStart w:id="862" w:name="page863"/>
    <w:bookmarkEnd w:id="86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0"/>
        <w:spacing w:after="0" w:line="429" w:lineRule="auto"/>
        <w:rPr>
          <w:sz w:val="20"/>
          <w:szCs w:val="20"/>
          <w:color w:val="auto"/>
        </w:rPr>
      </w:pPr>
      <w:r>
        <w:rPr>
          <w:rFonts w:ascii="Arial" w:cs="Arial" w:eastAsia="Arial" w:hAnsi="Arial"/>
          <w:sz w:val="16"/>
          <w:szCs w:val="16"/>
          <w:color w:val="auto"/>
        </w:rPr>
        <w:t>Warranties) (which may be updated by Biotheus with respect to the PM8003 Licensed Compound and/or PM8003 Licensed Products or Preclinical Multispecific Licensed Compound and/or Preclinical Multispecific Licensed Products (as applicable) only upon written notice by Biotheus to BioNTech at any time after the Execution Date and prior to the PM8003 Option Exercise Date or Preclinical Multispecific Option Exercise Date (as applicable), provided that any such updates may relate solely to matters that have arisen in the period following the Execution Date):</w:t>
      </w:r>
    </w:p>
    <w:p>
      <w:pPr>
        <w:spacing w:after="0" w:line="262" w:lineRule="exact"/>
        <w:rPr>
          <w:sz w:val="20"/>
          <w:szCs w:val="20"/>
          <w:color w:val="auto"/>
        </w:rPr>
      </w:pPr>
    </w:p>
    <w:p>
      <w:pPr>
        <w:ind w:left="550" w:hanging="550"/>
        <w:spacing w:after="0"/>
        <w:tabs>
          <w:tab w:leader="none" w:pos="550" w:val="left"/>
        </w:tabs>
        <w:numPr>
          <w:ilvl w:val="0"/>
          <w:numId w:val="878"/>
        </w:numPr>
        <w:rPr>
          <w:rFonts w:ascii="Arial" w:cs="Arial" w:eastAsia="Arial" w:hAnsi="Arial"/>
          <w:sz w:val="16"/>
          <w:szCs w:val="16"/>
          <w:color w:val="auto"/>
        </w:rPr>
      </w:pPr>
      <w:r>
        <w:rPr>
          <w:rFonts w:ascii="Arial" w:cs="Arial" w:eastAsia="Arial" w:hAnsi="Arial"/>
          <w:sz w:val="16"/>
          <w:szCs w:val="16"/>
          <w:b w:val="1"/>
          <w:bCs w:val="1"/>
          <w:color w:val="auto"/>
        </w:rPr>
        <w:t>Licensed Patent Rights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8" w:lineRule="auto"/>
        <w:rPr>
          <w:rFonts w:ascii="Arial" w:cs="Arial" w:eastAsia="Arial" w:hAnsi="Arial"/>
          <w:sz w:val="16"/>
          <w:szCs w:val="16"/>
          <w:color w:val="auto"/>
        </w:rPr>
      </w:pPr>
      <w:r>
        <w:rPr>
          <w:rFonts w:ascii="Arial" w:cs="Arial" w:eastAsia="Arial" w:hAnsi="Arial"/>
          <w:sz w:val="16"/>
          <w:szCs w:val="16"/>
          <w:color w:val="auto"/>
        </w:rPr>
        <w:t>Schedule 3 sets forth a complete and accurate list of all Licensed Patent Rights in existence as at the Execution Date, all of which are owned or Controlled by Biotheus. Biotheus and its Affiliates have not committed, and to the knowledge of Biotheus no Third Party has committed, any act, or omitted to commit any act, that may cause the Licensed Patent Rights to expire prematurely or be declared invalid or unenforceable, and all application, registration, maintenance and renewal fees in respect of the Licensed Patent Rights have been paid and all necessary documents and certificates have been filed with the relevant agencies for the purpose of maintaining the Licensed Patent Rights set forth in Schedule 3.</w:t>
      </w:r>
    </w:p>
    <w:p>
      <w:pPr>
        <w:spacing w:after="0" w:line="261" w:lineRule="exact"/>
        <w:rPr>
          <w:rFonts w:ascii="Arial" w:cs="Arial" w:eastAsia="Arial" w:hAnsi="Arial"/>
          <w:sz w:val="16"/>
          <w:szCs w:val="16"/>
          <w:color w:val="auto"/>
        </w:rPr>
      </w:pPr>
    </w:p>
    <w:p>
      <w:pPr>
        <w:ind w:left="550" w:hanging="550"/>
        <w:spacing w:after="0"/>
        <w:tabs>
          <w:tab w:leader="none" w:pos="550" w:val="left"/>
        </w:tabs>
        <w:numPr>
          <w:ilvl w:val="0"/>
          <w:numId w:val="878"/>
        </w:numPr>
        <w:rPr>
          <w:rFonts w:ascii="Arial" w:cs="Arial" w:eastAsia="Arial" w:hAnsi="Arial"/>
          <w:sz w:val="16"/>
          <w:szCs w:val="16"/>
          <w:color w:val="auto"/>
        </w:rPr>
      </w:pPr>
      <w:r>
        <w:rPr>
          <w:rFonts w:ascii="Arial" w:cs="Arial" w:eastAsia="Arial" w:hAnsi="Arial"/>
          <w:sz w:val="16"/>
          <w:szCs w:val="16"/>
          <w:b w:val="1"/>
          <w:bCs w:val="1"/>
          <w:color w:val="auto"/>
        </w:rPr>
        <w:t>Licensed Know-How and Trade Secrets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right="40"/>
        <w:spacing w:after="0" w:line="450" w:lineRule="auto"/>
        <w:rPr>
          <w:rFonts w:ascii="Arial" w:cs="Arial" w:eastAsia="Arial" w:hAnsi="Arial"/>
          <w:sz w:val="16"/>
          <w:szCs w:val="16"/>
          <w:color w:val="auto"/>
        </w:rPr>
      </w:pPr>
      <w:r>
        <w:rPr>
          <w:rFonts w:ascii="Arial" w:cs="Arial" w:eastAsia="Arial" w:hAnsi="Arial"/>
          <w:sz w:val="16"/>
          <w:szCs w:val="16"/>
          <w:color w:val="auto"/>
        </w:rPr>
        <w:t>Biotheus and its Affiliates have maintained in confidence and have not disclosed to any Third Party the Licensed Know-How, except under terms which require any such Third Party to keep the Licensed Know-How confidential.</w:t>
      </w:r>
    </w:p>
    <w:p>
      <w:pPr>
        <w:spacing w:after="0" w:line="244" w:lineRule="exact"/>
        <w:rPr>
          <w:rFonts w:ascii="Arial" w:cs="Arial" w:eastAsia="Arial" w:hAnsi="Arial"/>
          <w:sz w:val="16"/>
          <w:szCs w:val="16"/>
          <w:color w:val="auto"/>
        </w:rPr>
      </w:pPr>
    </w:p>
    <w:p>
      <w:pPr>
        <w:ind w:left="550" w:hanging="550"/>
        <w:spacing w:after="0"/>
        <w:tabs>
          <w:tab w:leader="none" w:pos="550" w:val="left"/>
        </w:tabs>
        <w:numPr>
          <w:ilvl w:val="0"/>
          <w:numId w:val="878"/>
        </w:numPr>
        <w:rPr>
          <w:rFonts w:ascii="Arial" w:cs="Arial" w:eastAsia="Arial" w:hAnsi="Arial"/>
          <w:sz w:val="16"/>
          <w:szCs w:val="16"/>
          <w:color w:val="auto"/>
        </w:rPr>
      </w:pPr>
      <w:r>
        <w:rPr>
          <w:rFonts w:ascii="Arial" w:cs="Arial" w:eastAsia="Arial" w:hAnsi="Arial"/>
          <w:sz w:val="16"/>
          <w:szCs w:val="16"/>
          <w:b w:val="1"/>
          <w:bCs w:val="1"/>
          <w:color w:val="auto"/>
        </w:rPr>
        <w:t>Biotheus Inventions and Assignments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31" w:lineRule="auto"/>
        <w:rPr>
          <w:rFonts w:ascii="Arial" w:cs="Arial" w:eastAsia="Arial" w:hAnsi="Arial"/>
          <w:sz w:val="16"/>
          <w:szCs w:val="16"/>
          <w:color w:val="auto"/>
        </w:rPr>
      </w:pPr>
      <w:r>
        <w:rPr>
          <w:rFonts w:ascii="Arial" w:cs="Arial" w:eastAsia="Arial" w:hAnsi="Arial"/>
          <w:sz w:val="16"/>
          <w:szCs w:val="16"/>
          <w:color w:val="auto"/>
        </w:rPr>
        <w:t>With respect to any Licensed IP owned by Biotheus, (a) Biotheus and its Affiliates have obtained from all individuals who contributed to the conception or reduction to practice thereof, effective assignments of all ownership rights of such individuals in such Licensed IP, either pursuant to written agreement or by operation of law, (b) all of its employees, officers, and consultants have executed agreements or have existing obligations under Applicable Law requiring assignment to Biotheus or its Affiliates,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93</w:t>
      </w:r>
    </w:p>
    <w:p>
      <w:pPr>
        <w:sectPr>
          <w:pgSz w:w="11900" w:h="16840" w:orient="portrait"/>
          <w:cols w:equalWidth="0" w:num="1">
            <w:col w:w="10010"/>
          </w:cols>
          <w:pgMar w:left="1230" w:top="1440" w:right="660" w:bottom="1440" w:gutter="0" w:footer="0" w:header="0"/>
        </w:sectPr>
      </w:pPr>
    </w:p>
    <w:bookmarkStart w:id="863" w:name="page864"/>
    <w:bookmarkEnd w:id="86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70"/>
        <w:spacing w:after="0" w:line="431" w:lineRule="auto"/>
        <w:rPr>
          <w:sz w:val="20"/>
          <w:szCs w:val="20"/>
          <w:color w:val="auto"/>
        </w:rPr>
      </w:pPr>
      <w:r>
        <w:rPr>
          <w:rFonts w:ascii="Arial" w:cs="Arial" w:eastAsia="Arial" w:hAnsi="Arial"/>
          <w:sz w:val="16"/>
          <w:szCs w:val="16"/>
          <w:color w:val="auto"/>
        </w:rPr>
        <w:t>applicable, of all inventions made prior to the Execution Date, and no officer or employee of Biotheus or its Affiliates is subject to any agreement with any other Third Party that requires such officer or employee to assign any interest in any Licensed IP to any Third Party, and (c) the conception, development, and reduction to practice of any such Licensed IP has not constituted or involved the misappropriation of any trade secrets or other rights or property of any Person.</w:t>
      </w:r>
    </w:p>
    <w:p>
      <w:pPr>
        <w:spacing w:after="0" w:line="261" w:lineRule="exact"/>
        <w:rPr>
          <w:sz w:val="20"/>
          <w:szCs w:val="20"/>
          <w:color w:val="auto"/>
        </w:rPr>
      </w:pPr>
    </w:p>
    <w:p>
      <w:pPr>
        <w:ind w:left="550" w:hanging="550"/>
        <w:spacing w:after="0"/>
        <w:tabs>
          <w:tab w:leader="none" w:pos="550" w:val="left"/>
        </w:tabs>
        <w:numPr>
          <w:ilvl w:val="0"/>
          <w:numId w:val="879"/>
        </w:numPr>
        <w:rPr>
          <w:rFonts w:ascii="Arial" w:cs="Arial" w:eastAsia="Arial" w:hAnsi="Arial"/>
          <w:sz w:val="16"/>
          <w:szCs w:val="16"/>
          <w:color w:val="auto"/>
        </w:rPr>
      </w:pPr>
      <w:r>
        <w:rPr>
          <w:rFonts w:ascii="Arial" w:cs="Arial" w:eastAsia="Arial" w:hAnsi="Arial"/>
          <w:sz w:val="16"/>
          <w:szCs w:val="16"/>
          <w:b w:val="1"/>
          <w:bCs w:val="1"/>
          <w:color w:val="auto"/>
        </w:rPr>
        <w:t>License to BioNTech</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516" w:lineRule="auto"/>
        <w:rPr>
          <w:rFonts w:ascii="Arial" w:cs="Arial" w:eastAsia="Arial" w:hAnsi="Arial"/>
          <w:sz w:val="16"/>
          <w:szCs w:val="16"/>
          <w:color w:val="auto"/>
        </w:rPr>
      </w:pPr>
      <w:r>
        <w:rPr>
          <w:rFonts w:ascii="Arial" w:cs="Arial" w:eastAsia="Arial" w:hAnsi="Arial"/>
          <w:sz w:val="14"/>
          <w:szCs w:val="14"/>
          <w:color w:val="auto"/>
        </w:rPr>
        <w:t>Biotheus has the right and authority to: (a) grant to BioNTech and its Affiliates the licenses under the Licensed IP that Biotheus grants to BioNTech in accordance with the terms and conditions of this Agreement; and (b) use, disclose and Exploit, and to enable BioNTech and its Affiliates to use, disclose and Exploit the Licensed IP in accordance with the terms and conditions of this Agreement.</w:t>
      </w:r>
    </w:p>
    <w:p>
      <w:pPr>
        <w:spacing w:after="0" w:line="219" w:lineRule="exact"/>
        <w:rPr>
          <w:rFonts w:ascii="Arial" w:cs="Arial" w:eastAsia="Arial" w:hAnsi="Arial"/>
          <w:sz w:val="16"/>
          <w:szCs w:val="16"/>
          <w:color w:val="auto"/>
        </w:rPr>
      </w:pPr>
    </w:p>
    <w:p>
      <w:pPr>
        <w:ind w:left="550" w:hanging="550"/>
        <w:spacing w:after="0"/>
        <w:tabs>
          <w:tab w:leader="none" w:pos="550" w:val="left"/>
        </w:tabs>
        <w:numPr>
          <w:ilvl w:val="0"/>
          <w:numId w:val="879"/>
        </w:numPr>
        <w:rPr>
          <w:rFonts w:ascii="Arial" w:cs="Arial" w:eastAsia="Arial" w:hAnsi="Arial"/>
          <w:sz w:val="16"/>
          <w:szCs w:val="16"/>
          <w:color w:val="auto"/>
        </w:rPr>
      </w:pPr>
      <w:r>
        <w:rPr>
          <w:rFonts w:ascii="Arial" w:cs="Arial" w:eastAsia="Arial" w:hAnsi="Arial"/>
          <w:sz w:val="16"/>
          <w:szCs w:val="16"/>
          <w:b w:val="1"/>
          <w:bCs w:val="1"/>
          <w:color w:val="auto"/>
        </w:rPr>
        <w:t>No Biotheus Infringement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516" w:lineRule="auto"/>
        <w:rPr>
          <w:rFonts w:ascii="Arial" w:cs="Arial" w:eastAsia="Arial" w:hAnsi="Arial"/>
          <w:sz w:val="16"/>
          <w:szCs w:val="16"/>
          <w:color w:val="auto"/>
        </w:rPr>
      </w:pPr>
      <w:r>
        <w:rPr>
          <w:rFonts w:ascii="Arial" w:cs="Arial" w:eastAsia="Arial" w:hAnsi="Arial"/>
          <w:sz w:val="14"/>
          <w:szCs w:val="14"/>
          <w:color w:val="auto"/>
        </w:rPr>
        <w:t>There is no pending action or proceeding alleging that the use of the Licensed IP infringes, misappropriates or otherwise violates any Intellectual Property Rights of any Third Party, and there is no pending action or proceeding alleging that the use of the Licensed IP as contemplated under this Agreement infringes, misappropriates, or otherwise violates any Intellectual Property Rights of any Third Party.</w:t>
      </w:r>
    </w:p>
    <w:p>
      <w:pPr>
        <w:spacing w:after="0" w:line="219" w:lineRule="exact"/>
        <w:rPr>
          <w:rFonts w:ascii="Arial" w:cs="Arial" w:eastAsia="Arial" w:hAnsi="Arial"/>
          <w:sz w:val="16"/>
          <w:szCs w:val="16"/>
          <w:color w:val="auto"/>
        </w:rPr>
      </w:pPr>
    </w:p>
    <w:p>
      <w:pPr>
        <w:ind w:left="550" w:hanging="550"/>
        <w:spacing w:after="0"/>
        <w:tabs>
          <w:tab w:leader="none" w:pos="550" w:val="left"/>
        </w:tabs>
        <w:numPr>
          <w:ilvl w:val="0"/>
          <w:numId w:val="879"/>
        </w:numPr>
        <w:rPr>
          <w:rFonts w:ascii="Arial" w:cs="Arial" w:eastAsia="Arial" w:hAnsi="Arial"/>
          <w:sz w:val="16"/>
          <w:szCs w:val="16"/>
          <w:color w:val="auto"/>
        </w:rPr>
      </w:pPr>
      <w:r>
        <w:rPr>
          <w:rFonts w:ascii="Arial" w:cs="Arial" w:eastAsia="Arial" w:hAnsi="Arial"/>
          <w:sz w:val="16"/>
          <w:szCs w:val="16"/>
          <w:b w:val="1"/>
          <w:bCs w:val="1"/>
          <w:color w:val="auto"/>
        </w:rPr>
        <w:t>No Third Party Infringement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31" w:lineRule="auto"/>
        <w:rPr>
          <w:rFonts w:ascii="Arial" w:cs="Arial" w:eastAsia="Arial" w:hAnsi="Arial"/>
          <w:sz w:val="16"/>
          <w:szCs w:val="16"/>
          <w:color w:val="auto"/>
        </w:rPr>
      </w:pPr>
      <w:r>
        <w:rPr>
          <w:rFonts w:ascii="Arial" w:cs="Arial" w:eastAsia="Arial" w:hAnsi="Arial"/>
          <w:sz w:val="16"/>
          <w:szCs w:val="16"/>
          <w:color w:val="auto"/>
        </w:rPr>
        <w:t>To the knowledge of Biotheus, no Patent Right or trade secret right owned or controlled by a Third Party will be infringed or misappropriated by the performance of the Global CDP Activities or Joint CDP Activities or the Exploitation of the Licensed Products, in each case, in accordance with this Agreement, nor has Biotheus or its Affiliates received in writing any notice alleging such infringement or misappropriation.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94</w:t>
      </w:r>
    </w:p>
    <w:p>
      <w:pPr>
        <w:sectPr>
          <w:pgSz w:w="11900" w:h="16840" w:orient="portrait"/>
          <w:cols w:equalWidth="0" w:num="1">
            <w:col w:w="9990"/>
          </w:cols>
          <w:pgMar w:left="1230" w:top="1440" w:right="680" w:bottom="1440" w:gutter="0" w:footer="0" w:header="0"/>
        </w:sectPr>
      </w:pPr>
    </w:p>
    <w:bookmarkStart w:id="864" w:name="page865"/>
    <w:bookmarkEnd w:id="86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80"/>
        </w:numPr>
        <w:rPr>
          <w:rFonts w:ascii="Arial" w:cs="Arial" w:eastAsia="Arial" w:hAnsi="Arial"/>
          <w:sz w:val="16"/>
          <w:szCs w:val="16"/>
          <w:color w:val="auto"/>
        </w:rPr>
      </w:pPr>
      <w:r>
        <w:rPr>
          <w:rFonts w:ascii="Arial" w:cs="Arial" w:eastAsia="Arial" w:hAnsi="Arial"/>
          <w:sz w:val="16"/>
          <w:szCs w:val="16"/>
          <w:b w:val="1"/>
          <w:bCs w:val="1"/>
          <w:color w:val="auto"/>
        </w:rPr>
        <w:t>No Claims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right="20"/>
        <w:spacing w:after="0" w:line="450" w:lineRule="auto"/>
        <w:rPr>
          <w:rFonts w:ascii="Arial" w:cs="Arial" w:eastAsia="Arial" w:hAnsi="Arial"/>
          <w:sz w:val="16"/>
          <w:szCs w:val="16"/>
          <w:color w:val="auto"/>
        </w:rPr>
      </w:pPr>
      <w:r>
        <w:rPr>
          <w:rFonts w:ascii="Arial" w:cs="Arial" w:eastAsia="Arial" w:hAnsi="Arial"/>
          <w:sz w:val="16"/>
          <w:szCs w:val="16"/>
          <w:color w:val="auto"/>
        </w:rPr>
        <w:t>There are no claims, judgments, or settlements against or amounts with respect thereto owed by Biotheus or any of its Affiliates relating to the Licensed Product or Licensed IP.</w:t>
      </w:r>
    </w:p>
    <w:p>
      <w:pPr>
        <w:spacing w:after="0" w:line="244" w:lineRule="exact"/>
        <w:rPr>
          <w:rFonts w:ascii="Arial" w:cs="Arial" w:eastAsia="Arial" w:hAnsi="Arial"/>
          <w:sz w:val="16"/>
          <w:szCs w:val="16"/>
          <w:color w:val="auto"/>
        </w:rPr>
      </w:pPr>
    </w:p>
    <w:p>
      <w:pPr>
        <w:ind w:left="550" w:hanging="550"/>
        <w:spacing w:after="0"/>
        <w:tabs>
          <w:tab w:leader="none" w:pos="550" w:val="left"/>
        </w:tabs>
        <w:numPr>
          <w:ilvl w:val="0"/>
          <w:numId w:val="880"/>
        </w:numPr>
        <w:rPr>
          <w:rFonts w:ascii="Arial" w:cs="Arial" w:eastAsia="Arial" w:hAnsi="Arial"/>
          <w:sz w:val="16"/>
          <w:szCs w:val="16"/>
          <w:color w:val="auto"/>
        </w:rPr>
      </w:pPr>
      <w:r>
        <w:rPr>
          <w:rFonts w:ascii="Arial" w:cs="Arial" w:eastAsia="Arial" w:hAnsi="Arial"/>
          <w:sz w:val="16"/>
          <w:szCs w:val="16"/>
          <w:b w:val="1"/>
          <w:bCs w:val="1"/>
          <w:color w:val="auto"/>
        </w:rPr>
        <w:t>Biotheus In</w:t>
      </w:r>
      <w:r>
        <w:rPr>
          <w:rFonts w:ascii="Arial" w:cs="Arial" w:eastAsia="Arial" w:hAnsi="Arial"/>
          <w:sz w:val="16"/>
          <w:szCs w:val="16"/>
          <w:color w:val="auto"/>
        </w:rPr>
        <w:t>-</w:t>
      </w:r>
      <w:r>
        <w:rPr>
          <w:rFonts w:ascii="Arial" w:cs="Arial" w:eastAsia="Arial" w:hAnsi="Arial"/>
          <w:sz w:val="16"/>
          <w:szCs w:val="16"/>
          <w:b w:val="1"/>
          <w:bCs w:val="1"/>
          <w:color w:val="auto"/>
        </w:rPr>
        <w:t>Licenses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36" w:lineRule="auto"/>
        <w:rPr>
          <w:rFonts w:ascii="Arial" w:cs="Arial" w:eastAsia="Arial" w:hAnsi="Arial"/>
          <w:sz w:val="16"/>
          <w:szCs w:val="16"/>
          <w:color w:val="auto"/>
        </w:rPr>
      </w:pPr>
      <w:r>
        <w:rPr>
          <w:rFonts w:ascii="Arial" w:cs="Arial" w:eastAsia="Arial" w:hAnsi="Arial"/>
          <w:sz w:val="16"/>
          <w:szCs w:val="16"/>
          <w:color w:val="auto"/>
        </w:rPr>
        <w:t>As of the Execution Date, there are no agreements or other arrangements to which Biotheus or its Affiliates are a party that could be a Biotheus In-License except the [***] License. Biotheus is not a party to any agreement or arrangement containing terms that conflict with or would prevent Biotheus from performing its obligations and granting the rights set out in this Agreement.</w:t>
      </w:r>
    </w:p>
    <w:p>
      <w:pPr>
        <w:spacing w:after="0" w:line="255" w:lineRule="exact"/>
        <w:rPr>
          <w:rFonts w:ascii="Arial" w:cs="Arial" w:eastAsia="Arial" w:hAnsi="Arial"/>
          <w:sz w:val="16"/>
          <w:szCs w:val="16"/>
          <w:color w:val="auto"/>
        </w:rPr>
      </w:pPr>
    </w:p>
    <w:p>
      <w:pPr>
        <w:ind w:left="570" w:hanging="570"/>
        <w:spacing w:after="0"/>
        <w:tabs>
          <w:tab w:leader="none" w:pos="570" w:val="left"/>
        </w:tabs>
        <w:numPr>
          <w:ilvl w:val="0"/>
          <w:numId w:val="880"/>
        </w:numPr>
        <w:rPr>
          <w:rFonts w:ascii="Arial" w:cs="Arial" w:eastAsia="Arial" w:hAnsi="Arial"/>
          <w:sz w:val="16"/>
          <w:szCs w:val="16"/>
          <w:color w:val="auto"/>
        </w:rPr>
      </w:pPr>
      <w:r>
        <w:rPr>
          <w:rFonts w:ascii="Arial" w:cs="Arial" w:eastAsia="Arial" w:hAnsi="Arial"/>
          <w:sz w:val="16"/>
          <w:szCs w:val="16"/>
          <w:b w:val="1"/>
          <w:bCs w:val="1"/>
          <w:color w:val="auto"/>
        </w:rPr>
        <w:t>[***] IP</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right="20"/>
        <w:spacing w:after="0" w:line="450" w:lineRule="auto"/>
        <w:rPr>
          <w:rFonts w:ascii="Arial" w:cs="Arial" w:eastAsia="Arial" w:hAnsi="Arial"/>
          <w:sz w:val="16"/>
          <w:szCs w:val="16"/>
          <w:color w:val="auto"/>
        </w:rPr>
      </w:pPr>
      <w:r>
        <w:rPr>
          <w:rFonts w:ascii="Arial" w:cs="Arial" w:eastAsia="Arial" w:hAnsi="Arial"/>
          <w:sz w:val="16"/>
          <w:szCs w:val="16"/>
          <w:color w:val="auto"/>
        </w:rPr>
        <w:t>No background intellectual property of [***] has been used in the development of the Licensed IP or Licensed Products. Biotheus has paid all outstanding fees to its CMOs including [***] pursuant to the [***] between Biotheus and [***].</w:t>
      </w:r>
    </w:p>
    <w:p>
      <w:pPr>
        <w:spacing w:after="0" w:line="244" w:lineRule="exact"/>
        <w:rPr>
          <w:rFonts w:ascii="Arial" w:cs="Arial" w:eastAsia="Arial" w:hAnsi="Arial"/>
          <w:sz w:val="16"/>
          <w:szCs w:val="16"/>
          <w:color w:val="auto"/>
        </w:rPr>
      </w:pPr>
    </w:p>
    <w:p>
      <w:pPr>
        <w:ind w:left="570" w:hanging="570"/>
        <w:spacing w:after="0"/>
        <w:tabs>
          <w:tab w:leader="none" w:pos="570" w:val="left"/>
        </w:tabs>
        <w:numPr>
          <w:ilvl w:val="0"/>
          <w:numId w:val="880"/>
        </w:numPr>
        <w:rPr>
          <w:rFonts w:ascii="Arial" w:cs="Arial" w:eastAsia="Arial" w:hAnsi="Arial"/>
          <w:sz w:val="16"/>
          <w:szCs w:val="16"/>
          <w:color w:val="auto"/>
        </w:rPr>
      </w:pPr>
      <w:r>
        <w:rPr>
          <w:rFonts w:ascii="Arial" w:cs="Arial" w:eastAsia="Arial" w:hAnsi="Arial"/>
          <w:sz w:val="16"/>
          <w:szCs w:val="16"/>
          <w:b w:val="1"/>
          <w:bCs w:val="1"/>
          <w:color w:val="auto"/>
        </w:rPr>
        <w:t>No Government Funding</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29" w:lineRule="auto"/>
        <w:rPr>
          <w:rFonts w:ascii="Arial" w:cs="Arial" w:eastAsia="Arial" w:hAnsi="Arial"/>
          <w:sz w:val="16"/>
          <w:szCs w:val="16"/>
          <w:color w:val="auto"/>
        </w:rPr>
      </w:pPr>
      <w:r>
        <w:rPr>
          <w:rFonts w:ascii="Arial" w:cs="Arial" w:eastAsia="Arial" w:hAnsi="Arial"/>
          <w:sz w:val="16"/>
          <w:szCs w:val="16"/>
          <w:color w:val="auto"/>
        </w:rPr>
        <w:t>The preclinical and clinical development of the Licensed Products was not carried out and all inventions claimed or Covered by the Licensed IP were not conceived, discovered, developed, or otherwise made in connection with any research activities funded, in whole or in part, by a government or any agency thereof or public institution such as the Chinese Academy of Sciences that would entitle any government or governmental agency or public institution to claim any ownership right or interest in the Licensed Products or the Licensed IP.</w:t>
      </w:r>
    </w:p>
    <w:p>
      <w:pPr>
        <w:spacing w:after="0" w:line="262" w:lineRule="exact"/>
        <w:rPr>
          <w:rFonts w:ascii="Arial" w:cs="Arial" w:eastAsia="Arial" w:hAnsi="Arial"/>
          <w:sz w:val="16"/>
          <w:szCs w:val="16"/>
          <w:color w:val="auto"/>
        </w:rPr>
      </w:pPr>
    </w:p>
    <w:p>
      <w:pPr>
        <w:ind w:left="550" w:hanging="550"/>
        <w:spacing w:after="0"/>
        <w:tabs>
          <w:tab w:leader="none" w:pos="550" w:val="left"/>
        </w:tabs>
        <w:numPr>
          <w:ilvl w:val="0"/>
          <w:numId w:val="880"/>
        </w:numPr>
        <w:rPr>
          <w:rFonts w:ascii="Arial" w:cs="Arial" w:eastAsia="Arial" w:hAnsi="Arial"/>
          <w:sz w:val="16"/>
          <w:szCs w:val="16"/>
          <w:color w:val="auto"/>
        </w:rPr>
      </w:pPr>
      <w:r>
        <w:rPr>
          <w:rFonts w:ascii="Arial" w:cs="Arial" w:eastAsia="Arial" w:hAnsi="Arial"/>
          <w:sz w:val="16"/>
          <w:szCs w:val="16"/>
          <w:b w:val="1"/>
          <w:bCs w:val="1"/>
          <w:color w:val="auto"/>
        </w:rPr>
        <w:t>Compliance with Applicable Law</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spacing w:after="0" w:line="450" w:lineRule="auto"/>
        <w:rPr>
          <w:rFonts w:ascii="Arial" w:cs="Arial" w:eastAsia="Arial" w:hAnsi="Arial"/>
          <w:sz w:val="16"/>
          <w:szCs w:val="16"/>
          <w:color w:val="auto"/>
        </w:rPr>
      </w:pPr>
      <w:r>
        <w:rPr>
          <w:rFonts w:ascii="Arial" w:cs="Arial" w:eastAsia="Arial" w:hAnsi="Arial"/>
          <w:sz w:val="16"/>
          <w:szCs w:val="16"/>
          <w:color w:val="auto"/>
        </w:rPr>
        <w:t>The pre-clinical and clinical development by or on behalf of Biotheus of Licensed Products has been carried out in accordance with Applicable Law and there are no pending or concluded inquiries, investigations, or proceedings by any Regulatory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95</w:t>
      </w:r>
    </w:p>
    <w:p>
      <w:pPr>
        <w:sectPr>
          <w:pgSz w:w="11900" w:h="16840" w:orient="portrait"/>
          <w:cols w:equalWidth="0" w:num="1">
            <w:col w:w="10010"/>
          </w:cols>
          <w:pgMar w:left="1230" w:top="1440" w:right="660" w:bottom="1440" w:gutter="0" w:footer="0" w:header="0"/>
        </w:sectPr>
      </w:pPr>
    </w:p>
    <w:bookmarkStart w:id="865" w:name="page866"/>
    <w:bookmarkEnd w:id="86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70"/>
        <w:spacing w:after="0"/>
        <w:rPr>
          <w:sz w:val="20"/>
          <w:szCs w:val="20"/>
          <w:color w:val="auto"/>
        </w:rPr>
      </w:pPr>
      <w:r>
        <w:rPr>
          <w:rFonts w:ascii="Arial" w:cs="Arial" w:eastAsia="Arial" w:hAnsi="Arial"/>
          <w:sz w:val="16"/>
          <w:szCs w:val="16"/>
          <w:color w:val="auto"/>
        </w:rPr>
        <w:t>Authority or Governmental Authority or public institution in relation to Licensed Products.</w:t>
      </w:r>
    </w:p>
    <w:p>
      <w:pPr>
        <w:spacing w:after="0" w:line="200" w:lineRule="exact"/>
        <w:rPr>
          <w:sz w:val="20"/>
          <w:szCs w:val="20"/>
          <w:color w:val="auto"/>
        </w:rPr>
      </w:pPr>
    </w:p>
    <w:p>
      <w:pPr>
        <w:spacing w:after="0" w:line="226" w:lineRule="exact"/>
        <w:rPr>
          <w:sz w:val="20"/>
          <w:szCs w:val="20"/>
          <w:color w:val="auto"/>
        </w:rPr>
      </w:pPr>
    </w:p>
    <w:p>
      <w:pPr>
        <w:ind w:left="570" w:hanging="570"/>
        <w:spacing w:after="0"/>
        <w:tabs>
          <w:tab w:leader="none" w:pos="570" w:val="left"/>
        </w:tabs>
        <w:numPr>
          <w:ilvl w:val="0"/>
          <w:numId w:val="881"/>
        </w:numPr>
        <w:rPr>
          <w:rFonts w:ascii="Arial" w:cs="Arial" w:eastAsia="Arial" w:hAnsi="Arial"/>
          <w:sz w:val="16"/>
          <w:szCs w:val="16"/>
          <w:color w:val="auto"/>
        </w:rPr>
      </w:pPr>
      <w:r>
        <w:rPr>
          <w:rFonts w:ascii="Arial" w:cs="Arial" w:eastAsia="Arial" w:hAnsi="Arial"/>
          <w:sz w:val="16"/>
          <w:szCs w:val="16"/>
          <w:b w:val="1"/>
          <w:bCs w:val="1"/>
          <w:color w:val="auto"/>
        </w:rPr>
        <w:t>Clinical Trials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505" w:lineRule="auto"/>
        <w:rPr>
          <w:rFonts w:ascii="Arial" w:cs="Arial" w:eastAsia="Arial" w:hAnsi="Arial"/>
          <w:sz w:val="16"/>
          <w:szCs w:val="16"/>
          <w:color w:val="auto"/>
        </w:rPr>
      </w:pPr>
      <w:r>
        <w:rPr>
          <w:rFonts w:ascii="Arial" w:cs="Arial" w:eastAsia="Arial" w:hAnsi="Arial"/>
          <w:sz w:val="14"/>
          <w:szCs w:val="14"/>
          <w:color w:val="auto"/>
        </w:rPr>
        <w:t>Biotheus and its Affiliates are not aware of any adverse event or other safety issue in relation to a Licensed Product arising from the conduct of the Clinical Trials that have been conducted or are in the process of being conducted in relation to Licensed Products as at the Execution Date. Biotheus has disclosed to BioNTech all data and information arising from such trials. Biotheus and its Affiliates have not received any notice of any actual or potential claim, proceedings or other dispute arising out of or relating to such Clinical Trials.</w:t>
      </w:r>
    </w:p>
    <w:p>
      <w:pPr>
        <w:spacing w:after="0" w:line="227" w:lineRule="exact"/>
        <w:rPr>
          <w:rFonts w:ascii="Arial" w:cs="Arial" w:eastAsia="Arial" w:hAnsi="Arial"/>
          <w:sz w:val="16"/>
          <w:szCs w:val="16"/>
          <w:color w:val="auto"/>
        </w:rPr>
      </w:pPr>
    </w:p>
    <w:p>
      <w:pPr>
        <w:ind w:left="550" w:hanging="550"/>
        <w:spacing w:after="0"/>
        <w:tabs>
          <w:tab w:leader="none" w:pos="550" w:val="left"/>
        </w:tabs>
        <w:numPr>
          <w:ilvl w:val="0"/>
          <w:numId w:val="881"/>
        </w:numPr>
        <w:rPr>
          <w:rFonts w:ascii="Arial" w:cs="Arial" w:eastAsia="Arial" w:hAnsi="Arial"/>
          <w:sz w:val="16"/>
          <w:szCs w:val="16"/>
          <w:color w:val="auto"/>
        </w:rPr>
      </w:pPr>
      <w:r>
        <w:rPr>
          <w:rFonts w:ascii="Arial" w:cs="Arial" w:eastAsia="Arial" w:hAnsi="Arial"/>
          <w:sz w:val="16"/>
          <w:szCs w:val="16"/>
          <w:b w:val="1"/>
          <w:bCs w:val="1"/>
          <w:color w:val="auto"/>
        </w:rPr>
        <w:t>Accuracy of information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31" w:lineRule="auto"/>
        <w:rPr>
          <w:rFonts w:ascii="Arial" w:cs="Arial" w:eastAsia="Arial" w:hAnsi="Arial"/>
          <w:sz w:val="16"/>
          <w:szCs w:val="16"/>
          <w:color w:val="auto"/>
        </w:rPr>
      </w:pPr>
      <w:r>
        <w:rPr>
          <w:rFonts w:ascii="Arial" w:cs="Arial" w:eastAsia="Arial" w:hAnsi="Arial"/>
          <w:sz w:val="16"/>
          <w:szCs w:val="16"/>
          <w:color w:val="auto"/>
        </w:rPr>
        <w:t>All information provided by Biotheus to BioNTech in writing for due diligence purposes in relation to and in contemplation of this Agreement is accurate in all material respects. Without limiting the foregoing, Biotheus has disclosed to BioNTech and made available to BioNTech for review all material data, and all other material information relating to the Licensed IP and to Licensed Products that is in the possession and Control of Biotheus or its Affiliates.</w:t>
      </w:r>
    </w:p>
    <w:p>
      <w:pPr>
        <w:spacing w:after="0" w:line="260" w:lineRule="exact"/>
        <w:rPr>
          <w:rFonts w:ascii="Arial" w:cs="Arial" w:eastAsia="Arial" w:hAnsi="Arial"/>
          <w:sz w:val="16"/>
          <w:szCs w:val="16"/>
          <w:color w:val="auto"/>
        </w:rPr>
      </w:pPr>
    </w:p>
    <w:p>
      <w:pPr>
        <w:ind w:left="550" w:hanging="550"/>
        <w:spacing w:after="0"/>
        <w:tabs>
          <w:tab w:leader="none" w:pos="550" w:val="left"/>
        </w:tabs>
        <w:numPr>
          <w:ilvl w:val="0"/>
          <w:numId w:val="881"/>
        </w:numPr>
        <w:rPr>
          <w:rFonts w:ascii="Arial" w:cs="Arial" w:eastAsia="Arial" w:hAnsi="Arial"/>
          <w:sz w:val="16"/>
          <w:szCs w:val="16"/>
          <w:color w:val="auto"/>
        </w:rPr>
      </w:pPr>
      <w:r>
        <w:rPr>
          <w:rFonts w:ascii="Arial" w:cs="Arial" w:eastAsia="Arial" w:hAnsi="Arial"/>
          <w:sz w:val="16"/>
          <w:szCs w:val="16"/>
          <w:b w:val="1"/>
          <w:bCs w:val="1"/>
          <w:color w:val="auto"/>
        </w:rPr>
        <w:t>Financial Position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29" w:lineRule="auto"/>
        <w:rPr>
          <w:rFonts w:ascii="Arial" w:cs="Arial" w:eastAsia="Arial" w:hAnsi="Arial"/>
          <w:sz w:val="16"/>
          <w:szCs w:val="16"/>
          <w:color w:val="auto"/>
        </w:rPr>
      </w:pPr>
      <w:r>
        <w:rPr>
          <w:rFonts w:ascii="Arial" w:cs="Arial" w:eastAsia="Arial" w:hAnsi="Arial"/>
          <w:sz w:val="16"/>
          <w:szCs w:val="16"/>
          <w:color w:val="auto"/>
        </w:rPr>
        <w:t>Biotheus and its Affiliates (a) are solvent, (b) have sufficient financial resources to conduct its business in the ordinary course, meet all of its debts and financial obligations, and have no reasonable basis on which to expect that its operations may be impaired by financial instability or insolvency, and (c) shall take no actions during the Term of this Agreement that would materially impair its financial ability to meet its obligations hereunder, or otherwise materially impairing its ability to meet its debts and financial obligations in the ordinary course.</w:t>
      </w:r>
    </w:p>
    <w:p>
      <w:pPr>
        <w:spacing w:after="0" w:line="262" w:lineRule="exact"/>
        <w:rPr>
          <w:rFonts w:ascii="Arial" w:cs="Arial" w:eastAsia="Arial" w:hAnsi="Arial"/>
          <w:sz w:val="16"/>
          <w:szCs w:val="16"/>
          <w:color w:val="auto"/>
        </w:rPr>
      </w:pPr>
    </w:p>
    <w:p>
      <w:pPr>
        <w:ind w:left="550" w:hanging="550"/>
        <w:spacing w:after="0"/>
        <w:tabs>
          <w:tab w:leader="none" w:pos="550" w:val="left"/>
        </w:tabs>
        <w:numPr>
          <w:ilvl w:val="0"/>
          <w:numId w:val="881"/>
        </w:numPr>
        <w:rPr>
          <w:rFonts w:ascii="Arial" w:cs="Arial" w:eastAsia="Arial" w:hAnsi="Arial"/>
          <w:sz w:val="16"/>
          <w:szCs w:val="16"/>
          <w:color w:val="auto"/>
        </w:rPr>
      </w:pPr>
      <w:r>
        <w:rPr>
          <w:rFonts w:ascii="Arial" w:cs="Arial" w:eastAsia="Arial" w:hAnsi="Arial"/>
          <w:sz w:val="16"/>
          <w:szCs w:val="16"/>
          <w:b w:val="1"/>
          <w:bCs w:val="1"/>
          <w:color w:val="auto"/>
        </w:rPr>
        <w:t>Export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96</w:t>
      </w:r>
    </w:p>
    <w:p>
      <w:pPr>
        <w:sectPr>
          <w:pgSz w:w="11900" w:h="16840" w:orient="portrait"/>
          <w:cols w:equalWidth="0" w:num="1">
            <w:col w:w="10010"/>
          </w:cols>
          <w:pgMar w:left="1230" w:top="1440" w:right="660" w:bottom="1440" w:gutter="0" w:footer="0" w:header="0"/>
        </w:sectPr>
      </w:pPr>
    </w:p>
    <w:bookmarkStart w:id="866" w:name="page867"/>
    <w:bookmarkEnd w:id="86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right="20"/>
        <w:spacing w:after="0" w:line="492" w:lineRule="auto"/>
        <w:rPr>
          <w:sz w:val="20"/>
          <w:szCs w:val="20"/>
          <w:color w:val="auto"/>
        </w:rPr>
      </w:pPr>
      <w:r>
        <w:rPr>
          <w:rFonts w:ascii="Arial" w:cs="Arial" w:eastAsia="Arial" w:hAnsi="Arial"/>
          <w:sz w:val="14"/>
          <w:szCs w:val="14"/>
          <w:color w:val="auto"/>
        </w:rPr>
        <w:t>The are no Applicable Laws (including pursuant to the Export Control Law of the People's Republic of China, Administrative Measures for the Import and Export Permits of Dual-use Items and Technology, Administrative Regulations of the People's Republic of China on Technology Import and Export (Revised in 2020) and the Human Genetic Resources regulation in China) that will materially restrict Biotheus' ability to comply with the terms of this Agreement including with respect to the transfer to BioNTech of the Licensed IP and any materials that are to be supplied by Biotheus to BioNTech. And, to the extent required by Applicable Laws, Biotheus has obtained or will obtain at the time of transfer all clearances, authorizations and/or consents required for transferring all Licensed IP and materials to BioNTech under the applicable technology and data reporting control laws in the Territory, including a filing in the Retained Territory under the Administrative Measures for the Registration of Technology Import and Export Contracts, if applicable.</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b w:val="1"/>
          <w:bCs w:val="1"/>
          <w:color w:val="auto"/>
        </w:rPr>
        <w:t>Compliance Covenants</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of BioNTech and Biotheus covenant to the other as follows:</w:t>
      </w:r>
    </w:p>
    <w:p>
      <w:pPr>
        <w:spacing w:after="0" w:line="200" w:lineRule="exact"/>
        <w:rPr>
          <w:sz w:val="20"/>
          <w:szCs w:val="20"/>
          <w:color w:val="auto"/>
        </w:rPr>
      </w:pPr>
    </w:p>
    <w:p>
      <w:pPr>
        <w:spacing w:after="0" w:line="226" w:lineRule="exact"/>
        <w:rPr>
          <w:sz w:val="20"/>
          <w:szCs w:val="20"/>
          <w:color w:val="auto"/>
        </w:rPr>
      </w:pPr>
    </w:p>
    <w:p>
      <w:pPr>
        <w:ind w:left="1120" w:hanging="550"/>
        <w:spacing w:after="0"/>
        <w:tabs>
          <w:tab w:leader="none" w:pos="1120" w:val="left"/>
        </w:tabs>
        <w:numPr>
          <w:ilvl w:val="0"/>
          <w:numId w:val="882"/>
        </w:numPr>
        <w:rPr>
          <w:rFonts w:ascii="Arial" w:cs="Arial" w:eastAsia="Arial" w:hAnsi="Arial"/>
          <w:sz w:val="16"/>
          <w:szCs w:val="16"/>
          <w:color w:val="auto"/>
        </w:rPr>
      </w:pPr>
      <w:r>
        <w:rPr>
          <w:rFonts w:ascii="Arial" w:cs="Arial" w:eastAsia="Arial" w:hAnsi="Arial"/>
          <w:sz w:val="16"/>
          <w:szCs w:val="16"/>
          <w:b w:val="1"/>
          <w:bCs w:val="1"/>
          <w:color w:val="auto"/>
        </w:rPr>
        <w:t>Compliance with Law</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spacing w:after="0" w:line="431" w:lineRule="auto"/>
        <w:rPr>
          <w:rFonts w:ascii="Arial" w:cs="Arial" w:eastAsia="Arial" w:hAnsi="Arial"/>
          <w:sz w:val="16"/>
          <w:szCs w:val="16"/>
          <w:color w:val="auto"/>
        </w:rPr>
      </w:pPr>
      <w:r>
        <w:rPr>
          <w:rFonts w:ascii="Arial" w:cs="Arial" w:eastAsia="Arial" w:hAnsi="Arial"/>
          <w:sz w:val="16"/>
          <w:szCs w:val="16"/>
          <w:color w:val="auto"/>
        </w:rPr>
        <w:t>It will, and will ensure that its Affiliates will, comply with all Applicable Law in connection with the performance of its and its Affiliates' activities under this Agreement, including Applicable Data Protection Law. In addition Biotheus will implement and maintain an internal control and compliance management program designed to effectively prevent and detect wrongdoing by employees and the management of Biotheus that is suitable for a Chinese biotech company of comparable size.</w:t>
      </w:r>
    </w:p>
    <w:p>
      <w:pPr>
        <w:spacing w:after="0" w:line="260" w:lineRule="exact"/>
        <w:rPr>
          <w:rFonts w:ascii="Arial" w:cs="Arial" w:eastAsia="Arial" w:hAnsi="Arial"/>
          <w:sz w:val="16"/>
          <w:szCs w:val="16"/>
          <w:color w:val="auto"/>
        </w:rPr>
      </w:pPr>
    </w:p>
    <w:p>
      <w:pPr>
        <w:ind w:left="1120" w:hanging="550"/>
        <w:spacing w:after="0"/>
        <w:tabs>
          <w:tab w:leader="none" w:pos="1120" w:val="left"/>
        </w:tabs>
        <w:numPr>
          <w:ilvl w:val="0"/>
          <w:numId w:val="882"/>
        </w:numPr>
        <w:rPr>
          <w:rFonts w:ascii="Arial" w:cs="Arial" w:eastAsia="Arial" w:hAnsi="Arial"/>
          <w:sz w:val="16"/>
          <w:szCs w:val="16"/>
          <w:color w:val="auto"/>
        </w:rPr>
      </w:pPr>
      <w:r>
        <w:rPr>
          <w:rFonts w:ascii="Arial" w:cs="Arial" w:eastAsia="Arial" w:hAnsi="Arial"/>
          <w:sz w:val="16"/>
          <w:szCs w:val="16"/>
          <w:b w:val="1"/>
          <w:bCs w:val="1"/>
          <w:color w:val="auto"/>
        </w:rPr>
        <w:t>No Inconsistent Obligations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40" w:right="40"/>
        <w:spacing w:after="0" w:line="450" w:lineRule="auto"/>
        <w:rPr>
          <w:rFonts w:ascii="Arial" w:cs="Arial" w:eastAsia="Arial" w:hAnsi="Arial"/>
          <w:sz w:val="16"/>
          <w:szCs w:val="16"/>
          <w:color w:val="auto"/>
        </w:rPr>
      </w:pPr>
      <w:r>
        <w:rPr>
          <w:rFonts w:ascii="Arial" w:cs="Arial" w:eastAsia="Arial" w:hAnsi="Arial"/>
          <w:sz w:val="16"/>
          <w:szCs w:val="16"/>
          <w:color w:val="auto"/>
        </w:rPr>
        <w:t>It will not, and will ensure that its Affiliates will not, take any action or enter into any agreement with any Third Party that conflicts with or in any way diminishes the rights granted to the other Party under this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97</w:t>
      </w:r>
    </w:p>
    <w:p>
      <w:pPr>
        <w:sectPr>
          <w:pgSz w:w="11900" w:h="16840" w:orient="portrait"/>
          <w:cols w:equalWidth="0" w:num="1">
            <w:col w:w="10600"/>
          </w:cols>
          <w:pgMar w:left="660" w:top="1440" w:right="640" w:bottom="1440" w:gutter="0" w:footer="0" w:header="0"/>
        </w:sectPr>
      </w:pPr>
    </w:p>
    <w:bookmarkStart w:id="867" w:name="page868"/>
    <w:bookmarkEnd w:id="86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 w:hanging="550"/>
        <w:spacing w:after="0"/>
        <w:tabs>
          <w:tab w:leader="none" w:pos="550" w:val="left"/>
        </w:tabs>
        <w:numPr>
          <w:ilvl w:val="0"/>
          <w:numId w:val="883"/>
        </w:numPr>
        <w:rPr>
          <w:rFonts w:ascii="Arial" w:cs="Arial" w:eastAsia="Arial" w:hAnsi="Arial"/>
          <w:sz w:val="16"/>
          <w:szCs w:val="16"/>
          <w:color w:val="auto"/>
        </w:rPr>
      </w:pPr>
      <w:r>
        <w:rPr>
          <w:rFonts w:ascii="Arial" w:cs="Arial" w:eastAsia="Arial" w:hAnsi="Arial"/>
          <w:sz w:val="16"/>
          <w:szCs w:val="16"/>
          <w:b w:val="1"/>
          <w:bCs w:val="1"/>
          <w:color w:val="auto"/>
        </w:rPr>
        <w:t>No Bribery</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88" w:lineRule="auto"/>
        <w:rPr>
          <w:rFonts w:ascii="Arial" w:cs="Arial" w:eastAsia="Arial" w:hAnsi="Arial"/>
          <w:sz w:val="16"/>
          <w:szCs w:val="16"/>
          <w:color w:val="auto"/>
        </w:rPr>
      </w:pPr>
      <w:r>
        <w:rPr>
          <w:rFonts w:ascii="Arial" w:cs="Arial" w:eastAsia="Arial" w:hAnsi="Arial"/>
          <w:sz w:val="14"/>
          <w:szCs w:val="14"/>
          <w:color w:val="auto"/>
        </w:rPr>
        <w:t>It will not undertake any activities which will result in a violation of any Applicable Laws, regulations, and applicable industry and professional codes, including but not limited to applicable local and extraterritorial anti-bribery, anti-corruption and anti-money laundering laws (collectively "</w:t>
      </w:r>
      <w:r>
        <w:rPr>
          <w:rFonts w:ascii="Arial" w:cs="Arial" w:eastAsia="Arial" w:hAnsi="Arial"/>
          <w:sz w:val="14"/>
          <w:szCs w:val="14"/>
          <w:b w:val="1"/>
          <w:bCs w:val="1"/>
          <w:color w:val="auto"/>
        </w:rPr>
        <w:t>Prohibited Conduct</w:t>
      </w:r>
      <w:r>
        <w:rPr>
          <w:rFonts w:ascii="Arial" w:cs="Arial" w:eastAsia="Arial" w:hAnsi="Arial"/>
          <w:sz w:val="14"/>
          <w:szCs w:val="14"/>
          <w:color w:val="auto"/>
        </w:rPr>
        <w:t>") in connection with the performance of any activities under this Agreement. In particular, each Party agrees that during the course of the performance of activities under this Agreement, it (i) shall not make any offer, payment, or promise to pay money or provide anything of value to a Government Official (as defined below) or any other individual and/or legal entity whether directly or indirectly, for the purpose of improperly influencing any act and/or decision of, and/or for securing any improper advantage; (ii) shall not accept, receive, agree to accept and/or receive a payment and/or anything of value from any individual for undue favorable treatment in obtaining, retaining, and/or directing business for, and/or to obtain any undue special concession on behalf of the other Party; (iii) shall not facilitate any payments to any Government Official to expedite a routine government action and/or other official act. All transactions and expenses incurred by a Party on behalf of the other Party shall be accurately recorded and maintained in the incurring Party's books and records in a timely manner and in reasonable detail in accordance with generally accepted accounting principles. False, misleading, incomplete, duplicated, inaccurate or artificial entries in a Party's books and records are strictly prohibited. Each Party agrees that if it becomes aware or has reason to suspect that any person or legal entity acting on a Party's behalf has engaged in any Prohibited Conduct related to the Agreement, then the Party will immediately report such knowledge or suspicion to the other Party and if [***] is the notifying Party it shall notify [***] via the following email address: [***]. Each Party agrees to provide reasonable cooperation in any investigation that may be conducted by or on behalf of the other Party related to business in connection with the Agreement. Upon notice of an intended investigation, the notified Party will provide, in a reasonable time, to the other Party or to a Third Party engaged by the other Party: (a) access to the relevant persons; and/or (b) access to relevant documents and data (e.g. invoices and requests for expense reimbursement, supporting receipts and substantiation, and original entry records for charges and payments). Each Party acknowledges that the obligations under this Section apply to all its employees and sub-contractors who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98</w:t>
      </w:r>
    </w:p>
    <w:p>
      <w:pPr>
        <w:sectPr>
          <w:pgSz w:w="11900" w:h="16840" w:orient="portrait"/>
          <w:cols w:equalWidth="0" w:num="1">
            <w:col w:w="10010"/>
          </w:cols>
          <w:pgMar w:left="1230" w:top="1440" w:right="660" w:bottom="1440" w:gutter="0" w:footer="0" w:header="0"/>
        </w:sectPr>
      </w:pPr>
    </w:p>
    <w:bookmarkStart w:id="868" w:name="page869"/>
    <w:bookmarkEnd w:id="86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70"/>
        <w:spacing w:after="0" w:line="450" w:lineRule="auto"/>
        <w:rPr>
          <w:sz w:val="20"/>
          <w:szCs w:val="20"/>
          <w:color w:val="auto"/>
        </w:rPr>
      </w:pPr>
      <w:r>
        <w:rPr>
          <w:rFonts w:ascii="Arial" w:cs="Arial" w:eastAsia="Arial" w:hAnsi="Arial"/>
          <w:sz w:val="16"/>
          <w:szCs w:val="16"/>
          <w:color w:val="auto"/>
        </w:rPr>
        <w:t>for or on behalf of such Party to perform activities under this Agreement. Each Party will bind sub-contractors who act for or on its behalf under the Agreement by respective contractual clauses encompassing all material provisions of this Section.</w:t>
      </w:r>
    </w:p>
    <w:p>
      <w:pPr>
        <w:spacing w:after="0" w:line="244" w:lineRule="exact"/>
        <w:rPr>
          <w:sz w:val="20"/>
          <w:szCs w:val="20"/>
          <w:color w:val="auto"/>
        </w:rPr>
      </w:pPr>
    </w:p>
    <w:p>
      <w:pPr>
        <w:ind w:left="550" w:hanging="550"/>
        <w:spacing w:after="0"/>
        <w:tabs>
          <w:tab w:leader="none" w:pos="550" w:val="left"/>
        </w:tabs>
        <w:numPr>
          <w:ilvl w:val="0"/>
          <w:numId w:val="884"/>
        </w:numPr>
        <w:rPr>
          <w:rFonts w:ascii="Arial" w:cs="Arial" w:eastAsia="Arial" w:hAnsi="Arial"/>
          <w:sz w:val="16"/>
          <w:szCs w:val="16"/>
          <w:color w:val="auto"/>
        </w:rPr>
      </w:pPr>
      <w:r>
        <w:rPr>
          <w:rFonts w:ascii="Arial" w:cs="Arial" w:eastAsia="Arial" w:hAnsi="Arial"/>
          <w:sz w:val="16"/>
          <w:szCs w:val="16"/>
          <w:b w:val="1"/>
          <w:bCs w:val="1"/>
          <w:color w:val="auto"/>
        </w:rPr>
        <w:t>Export Control</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70" w:right="40"/>
        <w:spacing w:after="0" w:line="450" w:lineRule="auto"/>
        <w:rPr>
          <w:rFonts w:ascii="Arial" w:cs="Arial" w:eastAsia="Arial" w:hAnsi="Arial"/>
          <w:sz w:val="16"/>
          <w:szCs w:val="16"/>
          <w:color w:val="auto"/>
        </w:rPr>
      </w:pPr>
      <w:r>
        <w:rPr>
          <w:rFonts w:ascii="Arial" w:cs="Arial" w:eastAsia="Arial" w:hAnsi="Arial"/>
          <w:sz w:val="16"/>
          <w:szCs w:val="16"/>
          <w:color w:val="auto"/>
        </w:rPr>
        <w:t>Neither it nor its Affiliates will export, transfer, or sell any Licensed Product to any country or territory except in compliance with Applicable Law.</w:t>
      </w:r>
    </w:p>
    <w:p>
      <w:pPr>
        <w:spacing w:after="0" w:line="244" w:lineRule="exact"/>
        <w:rPr>
          <w:rFonts w:ascii="Arial" w:cs="Arial" w:eastAsia="Arial" w:hAnsi="Arial"/>
          <w:sz w:val="16"/>
          <w:szCs w:val="16"/>
          <w:color w:val="auto"/>
        </w:rPr>
      </w:pPr>
    </w:p>
    <w:p>
      <w:pPr>
        <w:ind w:left="550" w:hanging="550"/>
        <w:spacing w:after="0"/>
        <w:tabs>
          <w:tab w:leader="none" w:pos="550" w:val="left"/>
        </w:tabs>
        <w:numPr>
          <w:ilvl w:val="0"/>
          <w:numId w:val="884"/>
        </w:numPr>
        <w:rPr>
          <w:rFonts w:ascii="Arial" w:cs="Arial" w:eastAsia="Arial" w:hAnsi="Arial"/>
          <w:sz w:val="16"/>
          <w:szCs w:val="16"/>
          <w:color w:val="auto"/>
        </w:rPr>
      </w:pPr>
      <w:r>
        <w:rPr>
          <w:rFonts w:ascii="Arial" w:cs="Arial" w:eastAsia="Arial" w:hAnsi="Arial"/>
          <w:sz w:val="16"/>
          <w:szCs w:val="16"/>
          <w:b w:val="1"/>
          <w:bCs w:val="1"/>
          <w:color w:val="auto"/>
        </w:rPr>
        <w:t>Debarment</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26" w:lineRule="auto"/>
        <w:rPr>
          <w:rFonts w:ascii="Arial" w:cs="Arial" w:eastAsia="Arial" w:hAnsi="Arial"/>
          <w:sz w:val="16"/>
          <w:szCs w:val="16"/>
          <w:color w:val="auto"/>
        </w:rPr>
      </w:pPr>
      <w:r>
        <w:rPr>
          <w:rFonts w:ascii="Arial" w:cs="Arial" w:eastAsia="Arial" w:hAnsi="Arial"/>
          <w:sz w:val="16"/>
          <w:szCs w:val="16"/>
          <w:color w:val="auto"/>
        </w:rPr>
        <w:t>It will not engage, in any capacity in connection with this Agreement or any ancillary agreements, any officer, employee, contractor, consultant, agent, representative, or other person who has been debarred by any Regulatory Authority, including under the Generic Drug Enforcement Act of 1992 (21 U.S.C. §301 et seq.), is under investigation for debarment action by any Regulatory Authority, has been disqualified as an investigator pursuant to 21 C.F.R. §312.70, has a disqualification hearing pending or is currently employing or using any Person that has been so debarred or disqualified by any Regulatory Authority to perform any of such Party's obligations under this Agreement. Each Party will inform the other Party in writing promptly if it or any person engaged by it or any of its Affiliates who is performing any obligations under this Agreement or any ancillary agreements is debarred or excluded, or if any action, suit, claim, investigation or legal or administrative proceeding is pending or, to each Party's knowledge, is threatened, pursuant to which a Party, any of its Affiliates or any such person performing obligations hereunder or thereunder may become debarred or excluded.</w:t>
      </w:r>
    </w:p>
    <w:p>
      <w:pPr>
        <w:spacing w:after="0" w:line="263" w:lineRule="exact"/>
        <w:rPr>
          <w:rFonts w:ascii="Arial" w:cs="Arial" w:eastAsia="Arial" w:hAnsi="Arial"/>
          <w:sz w:val="16"/>
          <w:szCs w:val="16"/>
          <w:color w:val="auto"/>
        </w:rPr>
      </w:pPr>
    </w:p>
    <w:p>
      <w:pPr>
        <w:ind w:left="550" w:hanging="550"/>
        <w:spacing w:after="0"/>
        <w:tabs>
          <w:tab w:leader="none" w:pos="550" w:val="left"/>
        </w:tabs>
        <w:numPr>
          <w:ilvl w:val="0"/>
          <w:numId w:val="884"/>
        </w:numPr>
        <w:rPr>
          <w:rFonts w:ascii="Arial" w:cs="Arial" w:eastAsia="Arial" w:hAnsi="Arial"/>
          <w:sz w:val="16"/>
          <w:szCs w:val="16"/>
          <w:color w:val="auto"/>
        </w:rPr>
      </w:pPr>
      <w:r>
        <w:rPr>
          <w:rFonts w:ascii="Arial" w:cs="Arial" w:eastAsia="Arial" w:hAnsi="Arial"/>
          <w:sz w:val="16"/>
          <w:szCs w:val="16"/>
          <w:b w:val="1"/>
          <w:bCs w:val="1"/>
          <w:color w:val="auto"/>
        </w:rPr>
        <w:t>Biotheus Covenants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right="20"/>
        <w:spacing w:after="0" w:line="431" w:lineRule="auto"/>
        <w:rPr>
          <w:rFonts w:ascii="Arial" w:cs="Arial" w:eastAsia="Arial" w:hAnsi="Arial"/>
          <w:sz w:val="16"/>
          <w:szCs w:val="16"/>
          <w:color w:val="auto"/>
        </w:rPr>
      </w:pPr>
      <w:r>
        <w:rPr>
          <w:rFonts w:ascii="Arial" w:cs="Arial" w:eastAsia="Arial" w:hAnsi="Arial"/>
          <w:sz w:val="16"/>
          <w:szCs w:val="16"/>
          <w:color w:val="auto"/>
        </w:rPr>
        <w:t>Biotheus will not enter into any agreement with respect to or assign, transfer, license, convey or otherwise encumber its right, title or interest in or to (i) the Licensed IP (including by granting any covenant not to sue with respect thereto) or (ii) any intellectual property or proprietary right that would be Licensed IP, but for such assignment, transfer, license, conveyance or encumbrance, in each case of (i)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30"/>
        <w:spacing w:after="0"/>
        <w:rPr>
          <w:sz w:val="20"/>
          <w:szCs w:val="20"/>
          <w:color w:val="auto"/>
        </w:rPr>
      </w:pPr>
      <w:r>
        <w:rPr>
          <w:rFonts w:ascii="Arial" w:cs="Arial" w:eastAsia="Arial" w:hAnsi="Arial"/>
          <w:sz w:val="16"/>
          <w:szCs w:val="16"/>
          <w:color w:val="auto"/>
        </w:rPr>
        <w:t>99</w:t>
      </w:r>
    </w:p>
    <w:p>
      <w:pPr>
        <w:sectPr>
          <w:pgSz w:w="11900" w:h="16840" w:orient="portrait"/>
          <w:cols w:equalWidth="0" w:num="1">
            <w:col w:w="10010"/>
          </w:cols>
          <w:pgMar w:left="1230" w:top="1440" w:right="660" w:bottom="1440" w:gutter="0" w:footer="0" w:header="0"/>
        </w:sectPr>
      </w:pPr>
    </w:p>
    <w:bookmarkStart w:id="869" w:name="page870"/>
    <w:bookmarkEnd w:id="86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360"/>
        <w:spacing w:after="0" w:line="489" w:lineRule="auto"/>
        <w:rPr>
          <w:sz w:val="20"/>
          <w:szCs w:val="20"/>
          <w:color w:val="auto"/>
        </w:rPr>
      </w:pPr>
      <w:r>
        <w:rPr>
          <w:rFonts w:ascii="Arial" w:cs="Arial" w:eastAsia="Arial" w:hAnsi="Arial"/>
          <w:sz w:val="14"/>
          <w:szCs w:val="14"/>
          <w:color w:val="auto"/>
        </w:rPr>
        <w:t>(ii), that is inconsistent with the rights and licenses granted to BioNTech under this Agreement. Biotheus shall, and shall ensure that its Affiliates shall, maintain the Biotheus In-Licenses in full force and effect in accordance with their terms and conditions and without any amendment that conflicts with the rights granted to BioNTech under this Agreement or may otherwise adversely affect the rights granted to BioNTech under this Agreement, except with BioNTech's prior written consent. In the event that Biotheus or any of its Affiliates or sublicensees receives notice of an alleged breach or default of a Biotheus In-License where the Third Party licensor or counterparty to such Biotheus In-License may terminate such agreement or otherwise take action that would diminish the scope or exclusivity of the licenses granted to BioNTech herein, then Biotheus shall promptly, but in no event less than [***] Business Days thereafter, notify BioNTech of such alleged breach or default in writing and hereby grants to BioNTech the right (but not the obligation) to: (i) cure such undisputed breach or default that has been confirmed by Biotheus and (ii) offset any reasonable costs or expenses incurred in connection therewith, including payments made to the Third Party licensor by BioNTech on behalf of Biotheus to cure said confirmed breach or default by Biotheus against any payments due or that may become due from BioNTech to Biotheus under this Agreement. Biotheus shall keep BioNTech promptly informed of any Know-How or Patent Rights related to Licensed Products created or filed by the respective licensors under the Biotheus In-Licenses including any such Patent Rights and Know-How in relation to which Biotheus has an option to negotiate the terms of a license from the applicable licensor pursuant to a Biotheus In-License. This provision will not restrict or eliminate any of BioNTech's remedies under this Agreement or otherwise available for BioNTech under any law or equity.</w:t>
      </w:r>
    </w:p>
    <w:p>
      <w:pPr>
        <w:spacing w:after="0" w:line="200" w:lineRule="exact"/>
        <w:rPr>
          <w:sz w:val="20"/>
          <w:szCs w:val="20"/>
          <w:color w:val="auto"/>
        </w:rPr>
      </w:pPr>
    </w:p>
    <w:p>
      <w:pPr>
        <w:spacing w:after="0" w:line="357" w:lineRule="exact"/>
        <w:rPr>
          <w:sz w:val="20"/>
          <w:szCs w:val="20"/>
          <w:color w:val="auto"/>
        </w:rPr>
      </w:pPr>
    </w:p>
    <w:p>
      <w:pPr>
        <w:jc w:val="both"/>
        <w:ind w:left="360"/>
        <w:spacing w:after="0" w:line="428" w:lineRule="auto"/>
        <w:rPr>
          <w:sz w:val="20"/>
          <w:szCs w:val="20"/>
          <w:color w:val="auto"/>
        </w:rPr>
      </w:pPr>
      <w:r>
        <w:rPr>
          <w:rFonts w:ascii="Arial" w:cs="Arial" w:eastAsia="Arial" w:hAnsi="Arial"/>
          <w:sz w:val="16"/>
          <w:szCs w:val="16"/>
          <w:color w:val="auto"/>
        </w:rPr>
        <w:t>If Biotheus has an obligation under this Agreement to provide data, materials and information to BioNTech or to grant licenses to intellectual property rights, Biotheus will at its cost obtain any approvals, permissions, consents, or other documentation that are necessary to have for exporting such data, information and materials from China to BioNTech or to grant licenses to such intellectual property rights, (the “</w:t>
      </w:r>
      <w:r>
        <w:rPr>
          <w:rFonts w:ascii="Arial" w:cs="Arial" w:eastAsia="Arial" w:hAnsi="Arial"/>
          <w:sz w:val="16"/>
          <w:szCs w:val="16"/>
          <w:b w:val="1"/>
          <w:bCs w:val="1"/>
          <w:color w:val="auto"/>
        </w:rPr>
        <w:t>Governmental Approval</w:t>
      </w:r>
      <w:r>
        <w:rPr>
          <w:rFonts w:ascii="Arial" w:cs="Arial" w:eastAsia="Arial" w:hAnsi="Arial"/>
          <w:sz w:val="16"/>
          <w:szCs w:val="16"/>
          <w:color w:val="auto"/>
        </w:rPr>
        <w:t>”) . If, prior to the date on which Manufacturing Technology Transfer is successfully completed for PM8002 Licensed Product pursuant to Section 7.2 (Manufacturing Technology Transfer for PM8002 Licensed Products), Biotheus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100</w:t>
      </w:r>
    </w:p>
    <w:p>
      <w:pPr>
        <w:sectPr>
          <w:pgSz w:w="11900" w:h="16840" w:orient="portrait"/>
          <w:cols w:equalWidth="0" w:num="1">
            <w:col w:w="9800"/>
          </w:cols>
          <w:pgMar w:left="1440" w:top="1440" w:right="660" w:bottom="1440" w:gutter="0" w:footer="0" w:header="0"/>
        </w:sectPr>
      </w:pPr>
    </w:p>
    <w:bookmarkStart w:id="870" w:name="page871"/>
    <w:bookmarkEnd w:id="870"/>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360" w:right="20"/>
        <w:spacing w:after="0" w:line="431" w:lineRule="auto"/>
        <w:rPr>
          <w:sz w:val="20"/>
          <w:szCs w:val="20"/>
          <w:color w:val="auto"/>
        </w:rPr>
      </w:pPr>
      <w:r>
        <w:rPr>
          <w:rFonts w:ascii="Arial" w:cs="Arial" w:eastAsia="Arial" w:hAnsi="Arial"/>
          <w:sz w:val="16"/>
          <w:szCs w:val="16"/>
          <w:color w:val="auto"/>
        </w:rPr>
        <w:t>does not obtain such Governmental Approvals required under Applicable Law in China within a reasonable period of time with the result that BioNTech is not able to receive the material benefit of this Agreement in respect of PM8002 Licensed Product, BioNTech will be entitled to terminate this Agreement in respect of PM8002 Licensed Product and obtain a refund of the Upfront Payment that has been made by BioNTech to Biotheus under this Agreement.</w:t>
      </w:r>
    </w:p>
    <w:p>
      <w:pPr>
        <w:spacing w:after="0" w:line="263" w:lineRule="exact"/>
        <w:rPr>
          <w:sz w:val="20"/>
          <w:szCs w:val="20"/>
          <w:color w:val="auto"/>
        </w:rPr>
      </w:pPr>
    </w:p>
    <w:p>
      <w:pPr>
        <w:jc w:val="both"/>
        <w:ind w:left="360" w:right="20"/>
        <w:spacing w:after="0" w:line="450" w:lineRule="auto"/>
        <w:rPr>
          <w:sz w:val="20"/>
          <w:szCs w:val="20"/>
          <w:color w:val="auto"/>
        </w:rPr>
      </w:pPr>
      <w:r>
        <w:rPr>
          <w:rFonts w:ascii="Arial" w:cs="Arial" w:eastAsia="Arial" w:hAnsi="Arial"/>
          <w:sz w:val="16"/>
          <w:szCs w:val="16"/>
          <w:color w:val="auto"/>
        </w:rPr>
        <w:t>In addition, where Biotheus has an obligation under this Agreement to provide reports, information, documentation and the like they shall be accompanied with an English translation if the original documents are not in English.</w:t>
      </w:r>
    </w:p>
    <w:p>
      <w:pPr>
        <w:spacing w:after="0" w:line="246" w:lineRule="exact"/>
        <w:rPr>
          <w:sz w:val="20"/>
          <w:szCs w:val="20"/>
          <w:color w:val="auto"/>
        </w:rPr>
      </w:pPr>
    </w:p>
    <w:p>
      <w:pPr>
        <w:jc w:val="both"/>
        <w:ind w:left="360" w:right="20"/>
        <w:spacing w:after="0" w:line="450" w:lineRule="auto"/>
        <w:rPr>
          <w:sz w:val="20"/>
          <w:szCs w:val="20"/>
          <w:color w:val="auto"/>
        </w:rPr>
      </w:pPr>
      <w:r>
        <w:rPr>
          <w:rFonts w:ascii="Arial" w:cs="Arial" w:eastAsia="Arial" w:hAnsi="Arial"/>
          <w:sz w:val="16"/>
          <w:szCs w:val="16"/>
          <w:color w:val="auto"/>
        </w:rPr>
        <w:t>Biotheus will not obtain any funding from a Governmental Authority that could restrict Biotheus' ability to comply with the terms of this Agreement including but not limited to the provisions of Section 3.1 (License Grants to BioNTech).</w:t>
      </w:r>
    </w:p>
    <w:p>
      <w:pPr>
        <w:spacing w:after="0" w:line="246" w:lineRule="exact"/>
        <w:rPr>
          <w:sz w:val="20"/>
          <w:szCs w:val="20"/>
          <w:color w:val="auto"/>
        </w:rPr>
      </w:pPr>
    </w:p>
    <w:p>
      <w:pPr>
        <w:jc w:val="both"/>
        <w:ind w:left="360"/>
        <w:spacing w:after="0" w:line="426" w:lineRule="auto"/>
        <w:rPr>
          <w:sz w:val="20"/>
          <w:szCs w:val="20"/>
          <w:color w:val="auto"/>
        </w:rPr>
      </w:pPr>
      <w:r>
        <w:rPr>
          <w:rFonts w:ascii="Arial" w:cs="Arial" w:eastAsia="Arial" w:hAnsi="Arial"/>
          <w:sz w:val="16"/>
          <w:szCs w:val="16"/>
          <w:color w:val="auto"/>
        </w:rPr>
        <w:t>Within [***] prior to successful completion of the Manufacturing Technology Transfer for PM8002 Licensed Product pursuant to Section 7.2 (Manufacturing Technology Transfer for PM8002 Licensed Products), Biotheus will provide to BioNTech a copy of Biotheus' unaudited financial statements for the previous [***] period. Any such statements and accounts shall be the Confidential Information of Biotheus and shall only be used by BioNTech for the purposes of monitoring Biotheus' financial position. The foregoing information furnishing obligations shall (i) suspend once Biotheus (or its applicable Affiliate) files for an initial public offering to be listed on an international or national stock exchange that requires public disclosure of financial statements, as long as the financial statements of Biotheus (or its applicable Affiliate) contained in such filing remains no more than [***] old and (ii) terminate upon closing of Biotheus’ (or its applicable Affiliate’s) initial public offering on an international or national stock exchange that requires public disclosure of financial statements.</w:t>
      </w:r>
    </w:p>
    <w:p>
      <w:pPr>
        <w:spacing w:after="0" w:line="266" w:lineRule="exact"/>
        <w:rPr>
          <w:sz w:val="20"/>
          <w:szCs w:val="20"/>
          <w:color w:val="auto"/>
        </w:rPr>
      </w:pPr>
    </w:p>
    <w:p>
      <w:pPr>
        <w:ind w:left="360" w:right="20"/>
        <w:spacing w:after="0" w:line="450" w:lineRule="auto"/>
        <w:rPr>
          <w:sz w:val="20"/>
          <w:szCs w:val="20"/>
          <w:color w:val="auto"/>
        </w:rPr>
      </w:pPr>
      <w:r>
        <w:rPr>
          <w:rFonts w:ascii="Arial" w:cs="Arial" w:eastAsia="Arial" w:hAnsi="Arial"/>
          <w:sz w:val="16"/>
          <w:szCs w:val="16"/>
          <w:color w:val="auto"/>
        </w:rPr>
        <w:t>Notwithstanding the foregoing Biotheus will give written notice to BioNTech immediately if at any time Biotheus becomes aware of its inability to carry on as a going concern.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101</w:t>
      </w:r>
    </w:p>
    <w:p>
      <w:pPr>
        <w:sectPr>
          <w:pgSz w:w="11900" w:h="16840" w:orient="portrait"/>
          <w:cols w:equalWidth="0" w:num="1">
            <w:col w:w="9800"/>
          </w:cols>
          <w:pgMar w:left="1440" w:top="1440" w:right="660" w:bottom="1440" w:gutter="0" w:footer="0" w:header="0"/>
        </w:sectPr>
      </w:pPr>
    </w:p>
    <w:bookmarkStart w:id="871" w:name="page872"/>
    <w:bookmarkEnd w:id="87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spacing w:after="0" w:line="431" w:lineRule="auto"/>
        <w:rPr>
          <w:sz w:val="20"/>
          <w:szCs w:val="20"/>
          <w:color w:val="auto"/>
        </w:rPr>
      </w:pPr>
      <w:r>
        <w:rPr>
          <w:rFonts w:ascii="Arial" w:cs="Arial" w:eastAsia="Arial" w:hAnsi="Arial"/>
          <w:sz w:val="16"/>
          <w:szCs w:val="16"/>
          <w:color w:val="auto"/>
        </w:rPr>
        <w:t>Biotheus agrees, on behalf of itself and its Affiliates, not to take any action or fail to take any action in the period between the Execution Date and the Effective Date that would cause or be reasonably likely to cause any of the representations and warranties by Biotheus set forth in Sections 11.1 (Mutual Representations, Warranties and Covenants) or 11.2 (Additional Representations of Biotheus as of the Execution Date) to be untrue in any material respect if made as of the Effective Date.</w:t>
      </w:r>
    </w:p>
    <w:p>
      <w:pPr>
        <w:spacing w:after="0" w:line="261" w:lineRule="exact"/>
        <w:rPr>
          <w:sz w:val="20"/>
          <w:szCs w:val="20"/>
          <w:color w:val="auto"/>
        </w:rPr>
      </w:pPr>
    </w:p>
    <w:p>
      <w:pPr>
        <w:ind w:left="1120" w:hanging="550"/>
        <w:spacing w:after="0"/>
        <w:tabs>
          <w:tab w:leader="none" w:pos="1120" w:val="left"/>
        </w:tabs>
        <w:numPr>
          <w:ilvl w:val="0"/>
          <w:numId w:val="885"/>
        </w:numPr>
        <w:rPr>
          <w:rFonts w:ascii="Arial" w:cs="Arial" w:eastAsia="Arial" w:hAnsi="Arial"/>
          <w:sz w:val="16"/>
          <w:szCs w:val="16"/>
          <w:color w:val="auto"/>
        </w:rPr>
      </w:pPr>
      <w:r>
        <w:rPr>
          <w:rFonts w:ascii="Arial" w:cs="Arial" w:eastAsia="Arial" w:hAnsi="Arial"/>
          <w:sz w:val="16"/>
          <w:szCs w:val="16"/>
          <w:b w:val="1"/>
          <w:bCs w:val="1"/>
          <w:color w:val="auto"/>
        </w:rPr>
        <w:t>Tax Evasion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97" w:lineRule="auto"/>
        <w:rPr>
          <w:rFonts w:ascii="Arial" w:cs="Arial" w:eastAsia="Arial" w:hAnsi="Arial"/>
          <w:sz w:val="16"/>
          <w:szCs w:val="16"/>
          <w:color w:val="auto"/>
        </w:rPr>
      </w:pPr>
      <w:r>
        <w:rPr>
          <w:rFonts w:ascii="Arial" w:cs="Arial" w:eastAsia="Arial" w:hAnsi="Arial"/>
          <w:sz w:val="14"/>
          <w:szCs w:val="14"/>
          <w:color w:val="auto"/>
        </w:rPr>
        <w:t>Neither Party, nor any of its Affiliates shall commit a tax evasion facilitation offence under Part 3 of the UK Criminal Finances Act 2017 in connection with or otherwise attributable to this Agreement or the transactions contemplated hereby. Each Party shall promptly report to the other Party any apparent breach of this Section 11.3(g) (Tax Evasion) and shall (a) answer, in reasonable detail, any written or oral inquiry from the other Party related to its and its Affiliates' compliance with this Section 11.3(g) (Tax Evasion), (b) facilitate the interview of employees of such Party by the other Party (or any agent of such Party) at any reasonable time specified by the inquiring Party related to such Party's compliance with this Section 11.3(g) (Tax Evasion), and (c) co-operate with the inquiring Party or any Governmental Authority in relation to any investigation relating to the matters referred to in this Section 11.3(g) (Tax Evasion), in all cases, as reasonably required to enable that other Party to comply with its undertaking in this Section 11.3(g) (Tax Evasion).</w:t>
      </w:r>
    </w:p>
    <w:p>
      <w:pPr>
        <w:spacing w:after="0" w:line="200" w:lineRule="exact"/>
        <w:rPr>
          <w:sz w:val="20"/>
          <w:szCs w:val="20"/>
          <w:color w:val="auto"/>
        </w:rPr>
      </w:pPr>
    </w:p>
    <w:p>
      <w:pPr>
        <w:spacing w:after="0" w:line="34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INDEMNIFICATION; LIMITATION OF LIABILITY; INSURANCE</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b w:val="1"/>
          <w:bCs w:val="1"/>
          <w:color w:val="auto"/>
        </w:rPr>
        <w:t>Indemnification of Biotheus by BioNTech</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9" w:lineRule="auto"/>
        <w:rPr>
          <w:sz w:val="20"/>
          <w:szCs w:val="20"/>
          <w:color w:val="auto"/>
        </w:rPr>
      </w:pPr>
      <w:r>
        <w:rPr>
          <w:rFonts w:ascii="Arial" w:cs="Arial" w:eastAsia="Arial" w:hAnsi="Arial"/>
          <w:sz w:val="16"/>
          <w:szCs w:val="16"/>
          <w:color w:val="auto"/>
        </w:rPr>
        <w:t>Subject to Section 12.3 (Conditions to Indemnification), BioNTech will defend, indemnify, and hold harmless Biotheus and its Affiliates, and their respective employees, officers, and directors ("</w:t>
      </w:r>
      <w:r>
        <w:rPr>
          <w:rFonts w:ascii="Arial" w:cs="Arial" w:eastAsia="Arial" w:hAnsi="Arial"/>
          <w:sz w:val="16"/>
          <w:szCs w:val="16"/>
          <w:b w:val="1"/>
          <w:bCs w:val="1"/>
          <w:color w:val="auto"/>
        </w:rPr>
        <w:t>Biotheus Indemnitees</w:t>
      </w:r>
      <w:r>
        <w:rPr>
          <w:rFonts w:ascii="Arial" w:cs="Arial" w:eastAsia="Arial" w:hAnsi="Arial"/>
          <w:sz w:val="16"/>
          <w:szCs w:val="16"/>
          <w:color w:val="auto"/>
        </w:rPr>
        <w:t>") from and against any and all liability, damage, loss, cost or expense of any nature (including reasonable attorney's fees and litigation expenses) ("</w:t>
      </w:r>
      <w:r>
        <w:rPr>
          <w:rFonts w:ascii="Arial" w:cs="Arial" w:eastAsia="Arial" w:hAnsi="Arial"/>
          <w:sz w:val="16"/>
          <w:szCs w:val="16"/>
          <w:b w:val="1"/>
          <w:bCs w:val="1"/>
          <w:color w:val="auto"/>
        </w:rPr>
        <w:t>Losses</w:t>
      </w:r>
      <w:r>
        <w:rPr>
          <w:rFonts w:ascii="Arial" w:cs="Arial" w:eastAsia="Arial" w:hAnsi="Arial"/>
          <w:sz w:val="16"/>
          <w:szCs w:val="16"/>
          <w:color w:val="auto"/>
        </w:rPr>
        <w:t>") incurred or imposed upon the Biotheus Indemnitees or any one of them in connection with any claims, suits, actions, demands, proceedings, causes of action or judgments resulting from a Third Party claim arising out of or relating to: (a) the conduct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102</w:t>
      </w:r>
    </w:p>
    <w:p>
      <w:pPr>
        <w:sectPr>
          <w:pgSz w:w="11900" w:h="16840" w:orient="portrait"/>
          <w:cols w:equalWidth="0" w:num="1">
            <w:col w:w="10580"/>
          </w:cols>
          <w:pgMar w:left="660" w:top="1440" w:right="660" w:bottom="1440" w:gutter="0" w:footer="0" w:header="0"/>
        </w:sectPr>
      </w:pPr>
    </w:p>
    <w:bookmarkStart w:id="872" w:name="page873"/>
    <w:bookmarkEnd w:id="87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31" w:lineRule="auto"/>
        <w:rPr>
          <w:sz w:val="20"/>
          <w:szCs w:val="20"/>
          <w:color w:val="auto"/>
        </w:rPr>
      </w:pPr>
      <w:r>
        <w:rPr>
          <w:rFonts w:ascii="Arial" w:cs="Arial" w:eastAsia="Arial" w:hAnsi="Arial"/>
          <w:sz w:val="16"/>
          <w:szCs w:val="16"/>
          <w:color w:val="auto"/>
        </w:rPr>
        <w:t>activities under the Global CDP by a BioNTech Indemnitee; (b) the Development, Manufacture or Commercialization of any Licensed Product by or on behalf of any BioNTech Indemnitee; (c) the breach by any BioNTech Indemnitee of any term of this Agreement; or (d) the negligence or wilful misconduct of any BioNTech Indemnitee except, in each case ((a) through (d)), to the extent that any such claim results or arises from a matter for which Biotheus is obligated to indemnify BioNTech under Section 12.2 (Indemnification of BioNTech by Biotheus).</w:t>
      </w:r>
    </w:p>
    <w:p>
      <w:pPr>
        <w:spacing w:after="0" w:line="26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b w:val="1"/>
          <w:bCs w:val="1"/>
          <w:color w:val="auto"/>
        </w:rPr>
        <w:t>Indemnification of BioNTech by Biotheus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Subject to Section 12.3 (Conditions to Indemnification), Biotheus will defend, indemnify, and hold harmless BioNTech and its Affiliates, Sublicensees, and licensees, and their respective employees, officers and directors ("</w:t>
      </w:r>
      <w:r>
        <w:rPr>
          <w:rFonts w:ascii="Arial" w:cs="Arial" w:eastAsia="Arial" w:hAnsi="Arial"/>
          <w:sz w:val="16"/>
          <w:szCs w:val="16"/>
          <w:b w:val="1"/>
          <w:bCs w:val="1"/>
          <w:color w:val="auto"/>
        </w:rPr>
        <w:t>BioNTech Indemnitees</w:t>
      </w:r>
      <w:r>
        <w:rPr>
          <w:rFonts w:ascii="Arial" w:cs="Arial" w:eastAsia="Arial" w:hAnsi="Arial"/>
          <w:sz w:val="16"/>
          <w:szCs w:val="16"/>
          <w:color w:val="auto"/>
        </w:rPr>
        <w:t xml:space="preserve"> ") from and against any and all Losses incurred or imposed upon the BioNTech Indemnitees or any one of them in connection with any claims, suits, actions, demands, proceedings, causes of action, or judgments resulting from a Third Party claim arising out of or relating to (a) the conduct of activities under the Global CDP or the Joint CDP by a Biotheus Indemnitee; (b) the Development, Manufacture or Commercialization of any Licensed Product by or on behalf of any Biotheus Indemnitee , (c) the breach by any Biotheus Indemnitee of any term of this Agreement; or (d) the negligence or wilful misconduct of any Biotheus Indemnitee except, in each case ((a) through (d)), to the extent that any such claim results or arises from a matter for which BioNTech is obligated to indemnify Biotheus under Section 12.1 (Indemnification of Biotheus by BioNTech).</w:t>
      </w:r>
    </w:p>
    <w:p>
      <w:pPr>
        <w:spacing w:after="0" w:line="26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b w:val="1"/>
          <w:bCs w:val="1"/>
          <w:color w:val="auto"/>
        </w:rPr>
        <w:t>Conditions to Indemnification</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500" w:lineRule="auto"/>
        <w:rPr>
          <w:sz w:val="20"/>
          <w:szCs w:val="20"/>
          <w:color w:val="auto"/>
        </w:rPr>
      </w:pPr>
      <w:r>
        <w:rPr>
          <w:rFonts w:ascii="Arial" w:cs="Arial" w:eastAsia="Arial" w:hAnsi="Arial"/>
          <w:sz w:val="14"/>
          <w:szCs w:val="14"/>
          <w:color w:val="auto"/>
        </w:rPr>
        <w:t xml:space="preserve">Any Person seeking indemnification (the " </w:t>
      </w:r>
      <w:r>
        <w:rPr>
          <w:rFonts w:ascii="Arial" w:cs="Arial" w:eastAsia="Arial" w:hAnsi="Arial"/>
          <w:sz w:val="14"/>
          <w:szCs w:val="14"/>
          <w:b w:val="1"/>
          <w:bCs w:val="1"/>
          <w:color w:val="auto"/>
        </w:rPr>
        <w:t>Indemnitee</w:t>
      </w:r>
      <w:r>
        <w:rPr>
          <w:rFonts w:ascii="Arial" w:cs="Arial" w:eastAsia="Arial" w:hAnsi="Arial"/>
          <w:sz w:val="14"/>
          <w:szCs w:val="14"/>
          <w:color w:val="auto"/>
        </w:rPr>
        <w:t>") under this Section 12 (Indemnification; Limitation Of Liability; Insurance) will give prompt written notice of the indemnity claim to the indemnifying Party and promptly provide a copy to the indemnifying Party of any complaint, summons, or other written or verbal notice that the Indemnitee receives in connection with any such claim. An Indemnitee's failure to deliver written notice will relieve the indemnifying Party of liability to the Indemnitee under this Section 12 (Indemnification; Limitation of Liability; Insurance) only to the extent such delay is prejudicial to the indemnifying Party's ability to defend or settle such claim. The indemnifying Party will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103</w:t>
      </w:r>
    </w:p>
    <w:p>
      <w:pPr>
        <w:sectPr>
          <w:pgSz w:w="11900" w:h="16840" w:orient="portrait"/>
          <w:cols w:equalWidth="0" w:num="1">
            <w:col w:w="10580"/>
          </w:cols>
          <w:pgMar w:left="660" w:top="1440" w:right="660" w:bottom="1440" w:gutter="0" w:footer="0" w:header="0"/>
        </w:sectPr>
      </w:pPr>
    </w:p>
    <w:bookmarkStart w:id="873" w:name="page874"/>
    <w:bookmarkEnd w:id="87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4" w:lineRule="auto"/>
        <w:rPr>
          <w:sz w:val="20"/>
          <w:szCs w:val="20"/>
          <w:color w:val="auto"/>
        </w:rPr>
      </w:pPr>
      <w:r>
        <w:rPr>
          <w:rFonts w:ascii="Arial" w:cs="Arial" w:eastAsia="Arial" w:hAnsi="Arial"/>
          <w:sz w:val="16"/>
          <w:szCs w:val="16"/>
          <w:color w:val="auto"/>
        </w:rPr>
        <w:t xml:space="preserve">have the right to assume and control the defense of the indemnification claim at its own expense with counsel selected by the indemnifying Party and reasonably acceptable to the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Indemnitee will have the right to retain its own counsel, with the fees and expenses to be paid by the indemnifying Party, if representation of such Indemnitee by the counsel retained by the indemnifying Party would be inappropriate due to actual or potential differing interests between the Indemnitee and any other party represented by such counsel in such proceedings. The indemnifying Party will act reasonably and in good faith with respect to all matters relating to such claim. If the indemnifying Party does not assume the defense of the indemnification claim as described in this Section 12.3 (Conditions to Indemnification), then the Indemnitee may defend the indemnification claim but will have no obligation to do so. The Indemnitee will not settle or compromise the indemnification claim without the prior written consent of the indemnifying Party, and the indemnifying Party will not settle or compromise the indemnification claim in any manner which would have an adverse effect on the Indemnitee's interests (including any rights under this Agreement or the scope, validity, or enforceability of any Patent Rights, Confidential Information, or other rights licensed to BioNTech by Biotheus hereunder), without the prior written consent of the Indemnitee, which consent, in each case (by the indemnifying Party or the Indemnitee, as the case may be), will not be unreasonably withheld, conditioned, or delayed. The Indemnitee will reasonably cooperate with the indemnifying Party at the indemnifying Party's expense and will make available to the indemnifying Party all pertinent information under the control of the Indemnitee, which information will be subject to 10.1 (Confidentiality). The indemnifying Party will not be liable for any settlement or other disposition of the claims by the Indemnitee if such settlement is reached without the written consent of the indemnifying Party pursuant to this Section 12.3 (Conditions to Indemnification).</w:t>
      </w:r>
    </w:p>
    <w:p>
      <w:pPr>
        <w:spacing w:after="0" w:line="27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4"/>
          <w:szCs w:val="14"/>
          <w:b w:val="1"/>
          <w:bCs w:val="1"/>
          <w:color w:val="auto"/>
        </w:rPr>
        <w:t>Limited Liability</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31" w:lineRule="auto"/>
        <w:rPr>
          <w:sz w:val="20"/>
          <w:szCs w:val="20"/>
          <w:color w:val="auto"/>
        </w:rPr>
      </w:pPr>
      <w:r>
        <w:rPr>
          <w:rFonts w:ascii="Arial" w:cs="Arial" w:eastAsia="Arial" w:hAnsi="Arial"/>
          <w:sz w:val="16"/>
          <w:szCs w:val="16"/>
          <w:color w:val="auto"/>
        </w:rPr>
        <w:t>NEITHER OF THE PARTIES WILL BE ENTITLED TO RECOVER FROM THE OTHER PARTY ANY SPECIAL, INCIDENTAL, INDIRECT, CONSEQUENTIAL, OR PUNITIVE DAMAGES OR DAMAGES FOR LOSS OF PROFIT OR LOST OPPORTUNITY IN CONNECTION WITH THIS AGREEMENT, ITS PERFORMANCE OR LACK OF PERFORMANCE HEREUNDER, OR ANY LICENSE GRANTED HEREUNDER, EXCEPT TO THE EXTENT RESULTING FROM (A) A PARTY'S WILLFUL MISCONDUCT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104</w:t>
      </w:r>
    </w:p>
    <w:p>
      <w:pPr>
        <w:sectPr>
          <w:pgSz w:w="11900" w:h="16840" w:orient="portrait"/>
          <w:cols w:equalWidth="0" w:num="1">
            <w:col w:w="10580"/>
          </w:cols>
          <w:pgMar w:left="660" w:top="1440" w:right="660" w:bottom="1440" w:gutter="0" w:footer="0" w:header="0"/>
        </w:sectPr>
      </w:pPr>
    </w:p>
    <w:bookmarkStart w:id="874" w:name="page875"/>
    <w:bookmarkEnd w:id="874"/>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right="20"/>
        <w:spacing w:after="0" w:line="505" w:lineRule="auto"/>
        <w:rPr>
          <w:sz w:val="20"/>
          <w:szCs w:val="20"/>
          <w:color w:val="auto"/>
        </w:rPr>
      </w:pPr>
      <w:r>
        <w:rPr>
          <w:rFonts w:ascii="Arial" w:cs="Arial" w:eastAsia="Arial" w:hAnsi="Arial"/>
          <w:sz w:val="14"/>
          <w:szCs w:val="14"/>
          <w:color w:val="auto"/>
        </w:rPr>
        <w:t>NEGLIGENCE UNDER THIS AGREEMENT, (B) A BREACH OF THE OBLIGATIONS OF A PARTY UNDER 10.1 (CONFIDENTIAL INFORMATION), OR (C) AMOUNTS REQUIRED TO BE PAID AS PART OF A CLAIM FOR WHICH A PARTY PROVIDES INDEMNIFICATION UNDER ARTICLE 12 (INDEMNIFICATION; LIMITATION OF LIABILITY; INSURANCE). No provision of this Agreement shall limit a Party's liability for death or personal injury caused by its negligence or for fraud or any other liability that cannot be excluded under Applicable Law.</w:t>
      </w:r>
    </w:p>
    <w:p>
      <w:pPr>
        <w:spacing w:after="0" w:line="22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4"/>
          <w:szCs w:val="14"/>
          <w:b w:val="1"/>
          <w:bCs w:val="1"/>
          <w:color w:val="auto"/>
        </w:rPr>
        <w:t>Insurance Obligations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Each Party will maintain during the Term and for a period of at least [***] years after the last commercial sale of any Licensed Product pursuant to this Agreement, at its cost, reasonable insurance (including but not limited to product liability insurance) with a reputable solvent insurer against liability and other risks associated with its activities contemplated by this Agreement in an amount appropriate for its business and products of the type that are the subject of this Agreement, and for its obligations under this Agreement. Without limiting the preceding sentence, where a Party is carrying out Clinical Trials pursuant to this Agreement, such Party will maintain, at its cost, specific Clinical Trials insurance that is appropriate for such activities in the applicable territory, in accordance with applicable law. For clarity, if Biotheus conducts the Joint Trials on BioNTech’s behalf pursuant to the terms of this Agreement, the costs of Clinical Trials insurance for any such Joint Trials shall [***] and be solely borne by [***]. Each Party will furnish to the other Party evidence of all such insurance upon request. Notwithstanding the foregoing, such obligation may be satisfied by a program of self-insurance.</w:t>
      </w:r>
    </w:p>
    <w:p>
      <w:pPr>
        <w:spacing w:after="0" w:line="26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6"/>
          <w:szCs w:val="16"/>
          <w:b w:val="1"/>
          <w:bCs w:val="1"/>
          <w:color w:val="auto"/>
        </w:rPr>
        <w:t>TERM AND TERMINATION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b w:val="1"/>
          <w:bCs w:val="1"/>
          <w:color w:val="auto"/>
        </w:rPr>
        <w:t>Term</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31" w:lineRule="auto"/>
        <w:rPr>
          <w:sz w:val="20"/>
          <w:szCs w:val="20"/>
          <w:color w:val="auto"/>
        </w:rPr>
      </w:pPr>
      <w:r>
        <w:rPr>
          <w:rFonts w:ascii="Arial" w:cs="Arial" w:eastAsia="Arial" w:hAnsi="Arial"/>
          <w:sz w:val="16"/>
          <w:szCs w:val="16"/>
          <w:color w:val="auto"/>
        </w:rPr>
        <w:t>This Agreement will commence on the Effective Date (except for Section 10.1 (Confidential Information), Article 11 (Representations, Warranties and Covenants) and Section 14.16 (HSR) which shall commence on the Execution Date) and, unless otherwise terminated pursuant to Section 13.2 (Termination), will continue on a Licensed Product-by-Licensed Product basis until the earlier of (a) the expiration of all applicable payment obligations with respect to each such Licensed Product on a country-by-country-basis in the Territory; (b) 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105</w:t>
      </w:r>
    </w:p>
    <w:p>
      <w:pPr>
        <w:sectPr>
          <w:pgSz w:w="11900" w:h="16840" w:orient="portrait"/>
          <w:cols w:equalWidth="0" w:num="1">
            <w:col w:w="10580"/>
          </w:cols>
          <w:pgMar w:left="660" w:top="1440" w:right="660" w:bottom="1440" w:gutter="0" w:footer="0" w:header="0"/>
        </w:sectPr>
      </w:pPr>
    </w:p>
    <w:bookmarkStart w:id="875" w:name="page876"/>
    <w:bookmarkEnd w:id="87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respect of PM8003 Licensed Products, in the event that BioNTech does not exercise the PM8003 Option, until the end of the PM8003 Option Period (including any extensions thereto); or (c) in respect of Preclinical Multispecific Licensed Products, in the event that BioNTech does not exercise the Preclinical Multispecific Option, until the end of the Preclinical Multispecific Option Period (including any extensions thereto) for each such Preclinical Multispecific Licensed Product (the "</w:t>
      </w:r>
      <w:r>
        <w:rPr>
          <w:rFonts w:ascii="Arial" w:cs="Arial" w:eastAsia="Arial" w:hAnsi="Arial"/>
          <w:sz w:val="16"/>
          <w:szCs w:val="16"/>
          <w:b w:val="1"/>
          <w:bCs w:val="1"/>
          <w:color w:val="auto"/>
        </w:rPr>
        <w:t>Term</w:t>
      </w:r>
      <w:r>
        <w:rPr>
          <w:rFonts w:ascii="Arial" w:cs="Arial" w:eastAsia="Arial" w:hAnsi="Arial"/>
          <w:sz w:val="16"/>
          <w:szCs w:val="16"/>
          <w:color w:val="auto"/>
        </w:rPr>
        <w:t>"). On a Licensed Product-by-Licensed Product and country-by-country basis (and, in the case of PM8003 Licensed Products and/or Preclinical Multispecific Licensed Products (as applicable), subject to BioNTech's exercise of the PM8003 Option or Preclinical Multispecific Option (as applicable)), effective upon the expiration of the Royalty Term for such Licensed Product in such country (but not upon any earlier termination of this Agreement for any reason), the licenses granted to BioNTech will each become exclusive, fully paid-up, royalty-free, irrevocable, and perpetual in such country with respect to such Licensed Product.</w:t>
      </w:r>
    </w:p>
    <w:p>
      <w:pPr>
        <w:spacing w:after="0" w:line="26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4"/>
          <w:szCs w:val="14"/>
          <w:b w:val="1"/>
          <w:bCs w:val="1"/>
          <w:color w:val="auto"/>
        </w:rPr>
        <w:t>Termination</w:t>
      </w:r>
    </w:p>
    <w:p>
      <w:pPr>
        <w:spacing w:after="0" w:line="200" w:lineRule="exact"/>
        <w:rPr>
          <w:sz w:val="20"/>
          <w:szCs w:val="20"/>
          <w:color w:val="auto"/>
        </w:r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Agreement may be terminated as follows:</w:t>
      </w:r>
    </w:p>
    <w:p>
      <w:pPr>
        <w:spacing w:after="0" w:line="200" w:lineRule="exact"/>
        <w:rPr>
          <w:sz w:val="20"/>
          <w:szCs w:val="20"/>
          <w:color w:val="auto"/>
        </w:rPr>
      </w:pPr>
    </w:p>
    <w:p>
      <w:pPr>
        <w:spacing w:after="0" w:line="226" w:lineRule="exact"/>
        <w:rPr>
          <w:sz w:val="20"/>
          <w:szCs w:val="20"/>
          <w:color w:val="auto"/>
        </w:rPr>
      </w:pPr>
    </w:p>
    <w:p>
      <w:pPr>
        <w:ind w:left="1120" w:hanging="550"/>
        <w:spacing w:after="0"/>
        <w:tabs>
          <w:tab w:leader="none" w:pos="1120" w:val="left"/>
        </w:tabs>
        <w:numPr>
          <w:ilvl w:val="0"/>
          <w:numId w:val="886"/>
        </w:numPr>
        <w:rPr>
          <w:rFonts w:ascii="Arial" w:cs="Arial" w:eastAsia="Arial" w:hAnsi="Arial"/>
          <w:sz w:val="16"/>
          <w:szCs w:val="16"/>
          <w:color w:val="auto"/>
        </w:rPr>
      </w:pPr>
      <w:r>
        <w:rPr>
          <w:rFonts w:ascii="Arial" w:cs="Arial" w:eastAsia="Arial" w:hAnsi="Arial"/>
          <w:sz w:val="16"/>
          <w:szCs w:val="16"/>
          <w:b w:val="1"/>
          <w:bCs w:val="1"/>
          <w:color w:val="auto"/>
        </w:rPr>
        <w:t>Termination for Convenience by BioNTech or Biotheus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26" w:lineRule="auto"/>
        <w:rPr>
          <w:rFonts w:ascii="Arial" w:cs="Arial" w:eastAsia="Arial" w:hAnsi="Arial"/>
          <w:sz w:val="16"/>
          <w:szCs w:val="16"/>
          <w:color w:val="auto"/>
        </w:rPr>
      </w:pPr>
      <w:r>
        <w:rPr>
          <w:rFonts w:ascii="Arial" w:cs="Arial" w:eastAsia="Arial" w:hAnsi="Arial"/>
          <w:sz w:val="16"/>
          <w:szCs w:val="16"/>
          <w:color w:val="auto"/>
        </w:rPr>
        <w:t>BioNTech may, at any time, terminate this Agreement as a whole or on a Licensed Product-by-Licensed Product basis at will, in its sole discretion: (i) on [***] (or [***] days where BioNTech terminates the Agreement pursuant to Article 8 (Financial Terms) due to the Qualification Date not being achieved) prior written notice to Biotheus where the notice for termination of a Licensed Product is provided before the completion of a Registrational Clinical Trial in respect of such Licensed Product; and (ii) on [***] prior written notice to Biotheus where the notice for termination of a Licensed Product is provided after the completion of a Registrational Clinical Trial in respect of such Licensed Product; provided that if the termination of this Agreement by BioNTech pursuant to this Section 13.2(a) (Termination for Convenience by BioNTech or Biotheus) requires a notice period of [***] under the foregoing clause (ii) and a milestone is achieved by or on behalf of BioNTech pursuant to Section 8.3 (Development and Approval Milestone Payments for Licensed Products) during said notice period of [***] days, BioNTech shall have no obligation to pay to Biotheus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106</w:t>
      </w:r>
    </w:p>
    <w:p>
      <w:pPr>
        <w:sectPr>
          <w:pgSz w:w="11900" w:h="16840" w:orient="portrait"/>
          <w:cols w:equalWidth="0" w:num="1">
            <w:col w:w="10580"/>
          </w:cols>
          <w:pgMar w:left="660" w:top="1440" w:right="660" w:bottom="1440" w:gutter="0" w:footer="0" w:header="0"/>
        </w:sectPr>
      </w:pPr>
    </w:p>
    <w:bookmarkStart w:id="876" w:name="page877"/>
    <w:bookmarkEnd w:id="87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70" w:right="20"/>
        <w:spacing w:after="0" w:line="436" w:lineRule="auto"/>
        <w:rPr>
          <w:sz w:val="20"/>
          <w:szCs w:val="20"/>
          <w:color w:val="auto"/>
        </w:rPr>
      </w:pPr>
      <w:r>
        <w:rPr>
          <w:rFonts w:ascii="Arial" w:cs="Arial" w:eastAsia="Arial" w:hAnsi="Arial"/>
          <w:sz w:val="16"/>
          <w:szCs w:val="16"/>
          <w:color w:val="auto"/>
        </w:rPr>
        <w:t>applicable milestone payment corresponding to such achieved milestone. If BioNTech does not complete the audit and, as applicable, qualification contemplated in Article 8 (Financial Terms) and notify Biotheus of the results thereof in writing on or before [***], Biotheus shall be entitled to terminate this Agreement as a whole on [***] days prior written notice to BioNTech.</w:t>
      </w:r>
    </w:p>
    <w:p>
      <w:pPr>
        <w:spacing w:after="0" w:line="256" w:lineRule="exact"/>
        <w:rPr>
          <w:sz w:val="20"/>
          <w:szCs w:val="20"/>
          <w:color w:val="auto"/>
        </w:rPr>
      </w:pPr>
    </w:p>
    <w:p>
      <w:pPr>
        <w:ind w:left="550" w:hanging="550"/>
        <w:spacing w:after="0"/>
        <w:tabs>
          <w:tab w:leader="none" w:pos="550" w:val="left"/>
        </w:tabs>
        <w:numPr>
          <w:ilvl w:val="0"/>
          <w:numId w:val="887"/>
        </w:numPr>
        <w:rPr>
          <w:rFonts w:ascii="Arial" w:cs="Arial" w:eastAsia="Arial" w:hAnsi="Arial"/>
          <w:sz w:val="16"/>
          <w:szCs w:val="16"/>
          <w:color w:val="auto"/>
        </w:rPr>
      </w:pPr>
      <w:r>
        <w:rPr>
          <w:rFonts w:ascii="Arial" w:cs="Arial" w:eastAsia="Arial" w:hAnsi="Arial"/>
          <w:sz w:val="16"/>
          <w:szCs w:val="16"/>
          <w:b w:val="1"/>
          <w:bCs w:val="1"/>
          <w:color w:val="auto"/>
        </w:rPr>
        <w:t>Termination for Breach</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570"/>
        <w:spacing w:after="0" w:line="497" w:lineRule="auto"/>
        <w:rPr>
          <w:rFonts w:ascii="Arial" w:cs="Arial" w:eastAsia="Arial" w:hAnsi="Arial"/>
          <w:sz w:val="16"/>
          <w:szCs w:val="16"/>
          <w:color w:val="auto"/>
        </w:rPr>
      </w:pPr>
      <w:r>
        <w:rPr>
          <w:rFonts w:ascii="Arial" w:cs="Arial" w:eastAsia="Arial" w:hAnsi="Arial"/>
          <w:sz w:val="14"/>
          <w:szCs w:val="14"/>
          <w:color w:val="auto"/>
        </w:rPr>
        <w:t>If a Party commits a material breach of this Agreement, then the other Party may terminate this Agreement with respect to the applicable Licensed Product that is the subject of such material breach, unless such material breach is cured within (a) the [***] day period after receipt of written notice from the non-breaching Party with respect to any breach of any payment obligation under this Agreement, or (b) the [***] period after receipt of written notice from the non-breaching Party with respect to any other material breach under this Agreement, provided that if the alleged breaching Party disputes in good faith the existence or materiality of any such material breach specified in the notice provided by the other Party, and the alleged breaching Party provides notice of such dispute within such [***] period, then the Party alleging such material breach will not have the right to terminate this Agreement unless and until such material breach has been confirmed through the dispute resolution process in accordance with Section 14.1 (Dispute Resolution).</w:t>
      </w:r>
    </w:p>
    <w:p>
      <w:pPr>
        <w:spacing w:after="0" w:line="200" w:lineRule="exact"/>
        <w:rPr>
          <w:rFonts w:ascii="Arial" w:cs="Arial" w:eastAsia="Arial" w:hAnsi="Arial"/>
          <w:sz w:val="16"/>
          <w:szCs w:val="16"/>
          <w:color w:val="auto"/>
        </w:rPr>
      </w:pPr>
    </w:p>
    <w:p>
      <w:pPr>
        <w:spacing w:after="0" w:line="347" w:lineRule="exact"/>
        <w:rPr>
          <w:rFonts w:ascii="Arial" w:cs="Arial" w:eastAsia="Arial" w:hAnsi="Arial"/>
          <w:sz w:val="16"/>
          <w:szCs w:val="16"/>
          <w:color w:val="auto"/>
        </w:rPr>
      </w:pPr>
    </w:p>
    <w:p>
      <w:pPr>
        <w:ind w:left="550" w:hanging="550"/>
        <w:spacing w:after="0"/>
        <w:tabs>
          <w:tab w:leader="none" w:pos="550" w:val="left"/>
        </w:tabs>
        <w:numPr>
          <w:ilvl w:val="0"/>
          <w:numId w:val="887"/>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0" w:hanging="550"/>
        <w:spacing w:after="0"/>
        <w:tabs>
          <w:tab w:leader="none" w:pos="550" w:val="left"/>
        </w:tabs>
        <w:numPr>
          <w:ilvl w:val="0"/>
          <w:numId w:val="887"/>
        </w:numPr>
        <w:rPr>
          <w:rFonts w:ascii="Arial" w:cs="Arial" w:eastAsia="Arial" w:hAnsi="Arial"/>
          <w:sz w:val="16"/>
          <w:szCs w:val="16"/>
          <w:color w:val="auto"/>
        </w:rPr>
      </w:pPr>
      <w:r>
        <w:rPr>
          <w:rFonts w:ascii="Arial" w:cs="Arial" w:eastAsia="Arial" w:hAnsi="Arial"/>
          <w:sz w:val="16"/>
          <w:szCs w:val="16"/>
          <w:b w:val="1"/>
          <w:bCs w:val="1"/>
          <w:color w:val="auto"/>
        </w:rPr>
        <w:t>Termination for Bankruptcy</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jc w:val="both"/>
        <w:ind w:left="570" w:right="20"/>
        <w:spacing w:after="0" w:line="485" w:lineRule="auto"/>
        <w:rPr>
          <w:rFonts w:ascii="Arial" w:cs="Arial" w:eastAsia="Arial" w:hAnsi="Arial"/>
          <w:sz w:val="16"/>
          <w:szCs w:val="16"/>
          <w:color w:val="auto"/>
        </w:rPr>
      </w:pPr>
      <w:r>
        <w:rPr>
          <w:rFonts w:ascii="Arial" w:cs="Arial" w:eastAsia="Arial" w:hAnsi="Arial"/>
          <w:sz w:val="14"/>
          <w:szCs w:val="14"/>
          <w:color w:val="auto"/>
        </w:rPr>
        <w:t xml:space="preserve">This Agreement may be terminated in its entirety by a Party (the " </w:t>
      </w:r>
      <w:r>
        <w:rPr>
          <w:rFonts w:ascii="Arial" w:cs="Arial" w:eastAsia="Arial" w:hAnsi="Arial"/>
          <w:sz w:val="14"/>
          <w:szCs w:val="14"/>
          <w:b w:val="1"/>
          <w:bCs w:val="1"/>
          <w:color w:val="auto"/>
        </w:rPr>
        <w:t>Non-Bankrupt Party</w:t>
      </w:r>
      <w:r>
        <w:rPr>
          <w:rFonts w:ascii="Arial" w:cs="Arial" w:eastAsia="Arial" w:hAnsi="Arial"/>
          <w:sz w:val="14"/>
          <w:szCs w:val="14"/>
          <w:color w:val="auto"/>
        </w:rPr>
        <w:t>") by providing written notice of termination to the other Party upon the filing or institution of bankruptcy, reorganization, liquidation or receivership proceedings, or upon an assignment of a substantial portion of the assets for the benefit of creditors by the other Party including in each case occurrence of the applicable or similar corresponding event under the Enterprise Bankruptcy Law of the People’s Republic of China, as may be modified (the "</w:t>
      </w:r>
      <w:r>
        <w:rPr>
          <w:rFonts w:ascii="Arial" w:cs="Arial" w:eastAsia="Arial" w:hAnsi="Arial"/>
          <w:sz w:val="14"/>
          <w:szCs w:val="14"/>
          <w:b w:val="1"/>
          <w:bCs w:val="1"/>
          <w:color w:val="auto"/>
        </w:rPr>
        <w:t>Bankrupt</w:t>
      </w:r>
      <w:r>
        <w:rPr>
          <w:rFonts w:ascii="Arial" w:cs="Arial" w:eastAsia="Arial" w:hAnsi="Arial"/>
          <w:sz w:val="14"/>
          <w:szCs w:val="14"/>
          <w:color w:val="auto"/>
        </w:rPr>
        <w:t xml:space="preserve"> </w:t>
      </w:r>
      <w:r>
        <w:rPr>
          <w:rFonts w:ascii="Arial" w:cs="Arial" w:eastAsia="Arial" w:hAnsi="Arial"/>
          <w:sz w:val="14"/>
          <w:szCs w:val="14"/>
          <w:b w:val="1"/>
          <w:bCs w:val="1"/>
          <w:color w:val="auto"/>
        </w:rPr>
        <w:t>Party</w:t>
      </w:r>
      <w:r>
        <w:rPr>
          <w:rFonts w:ascii="Arial" w:cs="Arial" w:eastAsia="Arial" w:hAnsi="Arial"/>
          <w:sz w:val="14"/>
          <w:szCs w:val="14"/>
          <w:color w:val="auto"/>
        </w:rPr>
        <w:t>"); provided, however, that in the event of any involuntary bankruptcy or receivership proceeding such right to terminate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90"/>
        <w:spacing w:after="0"/>
        <w:rPr>
          <w:sz w:val="20"/>
          <w:szCs w:val="20"/>
          <w:color w:val="auto"/>
        </w:rPr>
      </w:pPr>
      <w:r>
        <w:rPr>
          <w:rFonts w:ascii="Arial" w:cs="Arial" w:eastAsia="Arial" w:hAnsi="Arial"/>
          <w:sz w:val="16"/>
          <w:szCs w:val="16"/>
          <w:color w:val="auto"/>
        </w:rPr>
        <w:t>107</w:t>
      </w:r>
    </w:p>
    <w:p>
      <w:pPr>
        <w:sectPr>
          <w:pgSz w:w="11900" w:h="16840" w:orient="portrait"/>
          <w:cols w:equalWidth="0" w:num="1">
            <w:col w:w="10010"/>
          </w:cols>
          <w:pgMar w:left="1230" w:top="1440" w:right="660" w:bottom="1440" w:gutter="0" w:footer="0" w:header="0"/>
        </w:sectPr>
      </w:pPr>
    </w:p>
    <w:bookmarkStart w:id="877" w:name="page878"/>
    <w:bookmarkEnd w:id="877"/>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spacing w:after="0" w:line="419" w:lineRule="auto"/>
        <w:rPr>
          <w:sz w:val="20"/>
          <w:szCs w:val="20"/>
          <w:color w:val="auto"/>
        </w:rPr>
      </w:pPr>
      <w:r>
        <w:rPr>
          <w:rFonts w:ascii="Arial" w:cs="Arial" w:eastAsia="Arial" w:hAnsi="Arial"/>
          <w:sz w:val="16"/>
          <w:szCs w:val="16"/>
          <w:color w:val="auto"/>
        </w:rPr>
        <w:t>will only become effective if the Bankrupt Party consents to the involuntary bankruptcy or receivership or such proceeding is not dismissed within [***] days after the filing of such bankruptcy or receivership.</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4"/>
          <w:szCs w:val="14"/>
          <w:b w:val="1"/>
          <w:bCs w:val="1"/>
          <w:color w:val="auto"/>
        </w:rPr>
        <w:t>Effects of Termination</w:t>
      </w:r>
    </w:p>
    <w:p>
      <w:pPr>
        <w:spacing w:after="0" w:line="200" w:lineRule="exact"/>
        <w:rPr>
          <w:sz w:val="20"/>
          <w:szCs w:val="20"/>
          <w:color w:val="auto"/>
        </w:rPr>
      </w:pPr>
    </w:p>
    <w:p>
      <w:pPr>
        <w:spacing w:after="0" w:line="230" w:lineRule="exact"/>
        <w:rPr>
          <w:sz w:val="20"/>
          <w:szCs w:val="20"/>
          <w:color w:val="auto"/>
        </w:rPr>
      </w:pPr>
    </w:p>
    <w:p>
      <w:pPr>
        <w:ind w:left="580" w:right="20"/>
        <w:spacing w:after="0" w:line="460" w:lineRule="auto"/>
        <w:rPr>
          <w:sz w:val="20"/>
          <w:szCs w:val="20"/>
          <w:color w:val="auto"/>
        </w:rPr>
      </w:pPr>
      <w:r>
        <w:rPr>
          <w:rFonts w:ascii="Arial" w:cs="Arial" w:eastAsia="Arial" w:hAnsi="Arial"/>
          <w:sz w:val="16"/>
          <w:szCs w:val="16"/>
          <w:color w:val="auto"/>
        </w:rPr>
        <w:t>In the event of any termination of this Agreement, effective as of the effective date of termination, the following provisions will apply with respect to the terminated Licensed Products ("</w:t>
      </w:r>
      <w:r>
        <w:rPr>
          <w:rFonts w:ascii="Arial" w:cs="Arial" w:eastAsia="Arial" w:hAnsi="Arial"/>
          <w:sz w:val="16"/>
          <w:szCs w:val="16"/>
          <w:b w:val="1"/>
          <w:bCs w:val="1"/>
          <w:color w:val="auto"/>
        </w:rPr>
        <w:t>Terminated Products</w:t>
      </w:r>
      <w:r>
        <w:rPr>
          <w:rFonts w:ascii="Arial" w:cs="Arial" w:eastAsia="Arial" w:hAnsi="Arial"/>
          <w:sz w:val="16"/>
          <w:szCs w:val="16"/>
          <w:color w:val="auto"/>
        </w:rPr>
        <w:t>"), as applicable:</w:t>
      </w:r>
    </w:p>
    <w:p>
      <w:pPr>
        <w:spacing w:after="0" w:line="231" w:lineRule="exact"/>
        <w:rPr>
          <w:sz w:val="20"/>
          <w:szCs w:val="20"/>
          <w:color w:val="auto"/>
        </w:rPr>
      </w:pPr>
    </w:p>
    <w:p>
      <w:pPr>
        <w:ind w:left="1120" w:hanging="550"/>
        <w:spacing w:after="0"/>
        <w:tabs>
          <w:tab w:leader="none" w:pos="1120" w:val="left"/>
        </w:tabs>
        <w:numPr>
          <w:ilvl w:val="0"/>
          <w:numId w:val="888"/>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88"/>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20" w:hanging="550"/>
        <w:spacing w:after="0"/>
        <w:tabs>
          <w:tab w:leader="none" w:pos="1120" w:val="left"/>
        </w:tabs>
        <w:numPr>
          <w:ilvl w:val="0"/>
          <w:numId w:val="888"/>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120" w:hanging="550"/>
        <w:spacing w:after="0"/>
        <w:tabs>
          <w:tab w:leader="none" w:pos="1120" w:val="left"/>
        </w:tabs>
        <w:numPr>
          <w:ilvl w:val="0"/>
          <w:numId w:val="888"/>
        </w:numPr>
        <w:rPr>
          <w:rFonts w:ascii="Arial" w:cs="Arial" w:eastAsia="Arial" w:hAnsi="Arial"/>
          <w:sz w:val="16"/>
          <w:szCs w:val="16"/>
          <w:color w:val="auto"/>
        </w:rPr>
      </w:pPr>
      <w:r>
        <w:rPr>
          <w:rFonts w:ascii="Arial" w:cs="Arial" w:eastAsia="Arial" w:hAnsi="Arial"/>
          <w:sz w:val="16"/>
          <w:szCs w:val="16"/>
          <w:b w:val="1"/>
          <w:bCs w:val="1"/>
          <w:color w:val="auto"/>
        </w:rPr>
        <w:t>Ongoing Clinical Trials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5" w:lineRule="auto"/>
        <w:rPr>
          <w:rFonts w:ascii="Arial" w:cs="Arial" w:eastAsia="Arial" w:hAnsi="Arial"/>
          <w:sz w:val="16"/>
          <w:szCs w:val="16"/>
          <w:color w:val="auto"/>
        </w:rPr>
      </w:pPr>
      <w:r>
        <w:rPr>
          <w:rFonts w:ascii="Arial" w:cs="Arial" w:eastAsia="Arial" w:hAnsi="Arial"/>
          <w:sz w:val="16"/>
          <w:szCs w:val="16"/>
          <w:color w:val="auto"/>
        </w:rPr>
        <w:t>Notwithstanding any other provision in this Section 13.3 (Effects of Termination), if there are any Clinical Trials or patient treatments using a Licensed Product being conducted as of the effective date of termination, BioNTech shall be entitled to continue Developing or Exploiting Licensed Products to the extent and for the period necessary to effect an orderly transfer or wind down of such Clinical Trials or patient treatments in a timely manner and in accordance with all Applicable Laws. In addition, as promptly as practicable after such termination, BioNTech shall: (i) transfer or assign, or cause to be transferred or assigned, to Biotheus or its designee (or to the extent not so assignable, take all reasonable actions to make available to Biotheus or its designee the benefits of) all Regulatory Filings, Regulatory Documentation and Regulatory Authorization to the extent they solely relate to such Licensed Products in the Territory, whether held in the name of BioNTech or its Affiliate, or (ii) provide Biotheus with a right of reference with respect to any such Regulatory Filings and Regulatory Documentation at no cost to Biotheus; and (iii) take such other actions and execute such other instruments, assignments and documents as may be reasonably necessary to effect, evidence, register and record the transfer, assignment or other conveyance of rights under this Section 13.3(d) (Ongoing Clinical Trials) to Biotheus,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108</w:t>
      </w:r>
    </w:p>
    <w:p>
      <w:pPr>
        <w:sectPr>
          <w:pgSz w:w="11900" w:h="16840" w:orient="portrait"/>
          <w:cols w:equalWidth="0" w:num="1">
            <w:col w:w="10580"/>
          </w:cols>
          <w:pgMar w:left="660" w:top="1440" w:right="660" w:bottom="1440" w:gutter="0" w:footer="0" w:header="0"/>
        </w:sectPr>
      </w:pPr>
    </w:p>
    <w:bookmarkStart w:id="878" w:name="page879"/>
    <w:bookmarkEnd w:id="87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right="60"/>
        <w:spacing w:after="0" w:line="436" w:lineRule="auto"/>
        <w:rPr>
          <w:sz w:val="20"/>
          <w:szCs w:val="20"/>
          <w:color w:val="auto"/>
        </w:rPr>
      </w:pPr>
      <w:r>
        <w:rPr>
          <w:rFonts w:ascii="Arial" w:cs="Arial" w:eastAsia="Arial" w:hAnsi="Arial"/>
          <w:sz w:val="16"/>
          <w:szCs w:val="16"/>
          <w:color w:val="auto"/>
        </w:rPr>
        <w:t>in each case at the cost of BioNTech if this Agreement is terminated by BioNTech pursuant to Section 13.2(a) (Termination for Convenience by BioNTech or Biotheus) or by Biotheus pursuant to Section 13.2(b) (Termination for Breach) or 13.2(d) (Termination for Bankruptcy), or at the cost of Biotheus if this Agreement is terminated for any other reason whatsoever.</w:t>
      </w:r>
    </w:p>
    <w:p>
      <w:pPr>
        <w:spacing w:after="0" w:line="256" w:lineRule="exact"/>
        <w:rPr>
          <w:sz w:val="20"/>
          <w:szCs w:val="20"/>
          <w:color w:val="auto"/>
        </w:rPr>
      </w:pPr>
    </w:p>
    <w:p>
      <w:pPr>
        <w:ind w:left="1120" w:hanging="550"/>
        <w:spacing w:after="0"/>
        <w:tabs>
          <w:tab w:leader="none" w:pos="1120" w:val="left"/>
        </w:tabs>
        <w:numPr>
          <w:ilvl w:val="0"/>
          <w:numId w:val="889"/>
        </w:numPr>
        <w:rPr>
          <w:rFonts w:ascii="Arial" w:cs="Arial" w:eastAsia="Arial" w:hAnsi="Arial"/>
          <w:sz w:val="16"/>
          <w:szCs w:val="16"/>
          <w:color w:val="auto"/>
        </w:rPr>
      </w:pPr>
      <w:r>
        <w:rPr>
          <w:rFonts w:ascii="Arial" w:cs="Arial" w:eastAsia="Arial" w:hAnsi="Arial"/>
          <w:sz w:val="16"/>
          <w:szCs w:val="16"/>
          <w:b w:val="1"/>
          <w:bCs w:val="1"/>
          <w:color w:val="auto"/>
        </w:rPr>
        <w:t>Accrued Rights and Obligations</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5" w:lineRule="auto"/>
        <w:rPr>
          <w:rFonts w:ascii="Arial" w:cs="Arial" w:eastAsia="Arial" w:hAnsi="Arial"/>
          <w:sz w:val="16"/>
          <w:szCs w:val="16"/>
          <w:color w:val="auto"/>
        </w:rPr>
      </w:pPr>
      <w:r>
        <w:rPr>
          <w:rFonts w:ascii="Arial" w:cs="Arial" w:eastAsia="Arial" w:hAnsi="Arial"/>
          <w:sz w:val="16"/>
          <w:szCs w:val="16"/>
          <w:color w:val="auto"/>
        </w:rPr>
        <w:t>Neither expiration nor any termination of this Agreement for whatsoever reason shall relieve either Party of any obligation or liability accruing prior to such expiration or termination, nor shall expiration or any termination of this Agreement for whatsoever reason preclude either Party from pursuing all rights and remedies it may have under this Agreement, at law or in equity, with respect to breach of this Agreement. Such obligations and rights shall survive termination and expiration of this Agreement. For clarity, (i) except in the circumstances set out in Section 13.2(a)(ii), if any milestone event is achieved during the applicable termination notice period, then the corresponding milestone payment is accrued and BioNTech shall remain responsible for the payment of such milestone payment even if the due date of such milestone payment may come after the effective date of the termination; and (ii) BioNTech shall make payment to Biotheus for all applicable Eligible Development Costs incurred up to the effective date of termination of this Agreement and not yet paid for (if any) (including all non-cancellable documented commitments incurred consistent with the Joint CDP prior to the date of notice of termination of this Agreement).</w:t>
      </w:r>
    </w:p>
    <w:p>
      <w:pPr>
        <w:spacing w:after="0" w:line="268" w:lineRule="exact"/>
        <w:rPr>
          <w:rFonts w:ascii="Arial" w:cs="Arial" w:eastAsia="Arial" w:hAnsi="Arial"/>
          <w:sz w:val="16"/>
          <w:szCs w:val="16"/>
          <w:color w:val="auto"/>
        </w:rPr>
      </w:pPr>
    </w:p>
    <w:p>
      <w:pPr>
        <w:ind w:left="1120" w:hanging="550"/>
        <w:spacing w:after="0"/>
        <w:tabs>
          <w:tab w:leader="none" w:pos="1120" w:val="left"/>
        </w:tabs>
        <w:numPr>
          <w:ilvl w:val="0"/>
          <w:numId w:val="889"/>
        </w:numPr>
        <w:rPr>
          <w:rFonts w:ascii="Arial" w:cs="Arial" w:eastAsia="Arial" w:hAnsi="Arial"/>
          <w:sz w:val="16"/>
          <w:szCs w:val="16"/>
          <w:color w:val="auto"/>
        </w:rPr>
      </w:pPr>
      <w:r>
        <w:rPr>
          <w:rFonts w:ascii="Arial" w:cs="Arial" w:eastAsia="Arial" w:hAnsi="Arial"/>
          <w:sz w:val="16"/>
          <w:szCs w:val="16"/>
          <w:b w:val="1"/>
          <w:bCs w:val="1"/>
          <w:color w:val="auto"/>
        </w:rPr>
        <w:t>Other Effects</w:t>
      </w:r>
    </w:p>
    <w:p>
      <w:pPr>
        <w:spacing w:after="0" w:line="200" w:lineRule="exact"/>
        <w:rPr>
          <w:sz w:val="20"/>
          <w:szCs w:val="20"/>
          <w:color w:val="auto"/>
        </w:r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4"/>
          <w:szCs w:val="14"/>
          <w:b w:val="1"/>
          <w:bCs w:val="1"/>
          <w:color w:val="auto"/>
        </w:rPr>
        <w:t>Confidential Information and Materials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36" w:lineRule="auto"/>
        <w:rPr>
          <w:sz w:val="20"/>
          <w:szCs w:val="20"/>
          <w:color w:val="auto"/>
        </w:rPr>
      </w:pPr>
      <w:r>
        <w:rPr>
          <w:rFonts w:ascii="Arial" w:cs="Arial" w:eastAsia="Arial" w:hAnsi="Arial"/>
          <w:sz w:val="16"/>
          <w:szCs w:val="16"/>
          <w:color w:val="auto"/>
        </w:rPr>
        <w:t>Upon termination of this Agreement for any reason, the Receiving Party will: (i) return to the other Party any Materials provided to it in connection with this Agreement, within [***] days of termination except to the extent necessary for the Receiving Party to exercise any other license or right that survives such termination of this Agreement, provided that the Receiving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109</w:t>
      </w:r>
    </w:p>
    <w:p>
      <w:pPr>
        <w:sectPr>
          <w:pgSz w:w="11900" w:h="16840" w:orient="portrait"/>
          <w:cols w:equalWidth="0" w:num="1">
            <w:col w:w="10580"/>
          </w:cols>
          <w:pgMar w:left="660" w:top="1440" w:right="660" w:bottom="1440" w:gutter="0" w:footer="0" w:header="0"/>
        </w:sectPr>
      </w:pPr>
    </w:p>
    <w:bookmarkStart w:id="879" w:name="page880"/>
    <w:bookmarkEnd w:id="87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 xml:space="preserve">Party's use of such Materials will continue to be subject to Section 3.4(c) (Knowledge and Technology Transfer); and (ii) destroy all written, electronic, or other materials containing Confidential Information of the Disclosing Party provided to it by the Disclosing Party in connection with this Agreement, including all copies thereof, within [***] days of such termination and provide certification of such destruction to the Disclosing Party; </w:t>
      </w:r>
      <w:r>
        <w:rPr>
          <w:rFonts w:ascii="Arial" w:cs="Arial" w:eastAsia="Arial" w:hAnsi="Arial"/>
          <w:sz w:val="16"/>
          <w:szCs w:val="16"/>
          <w:i w:val="1"/>
          <w:iCs w:val="1"/>
          <w:color w:val="auto"/>
        </w:rPr>
        <w:t>provided</w:t>
      </w:r>
      <w:r>
        <w:rPr>
          <w:rFonts w:ascii="Arial" w:cs="Arial" w:eastAsia="Arial" w:hAnsi="Arial"/>
          <w:sz w:val="16"/>
          <w:szCs w:val="16"/>
          <w:color w:val="auto"/>
        </w:rPr>
        <w:t>, that (a) the Receiving Party may retain one copy in its archives solely for the purpose of monitoring its ongoing confidentiality obligations hereunder, and (b) the Receiving Party will not be obligated to destroy such materials containing Confidential Information of the Disclosing Party that are necessary for the Receiving Party to exercise any other license or right of the Receiving Party that survives such termination of this Agreement; PROVIDED THAT the Receiving Party's use of such Confidential Information of the Disclosing Party will continue to be subject to the requirements and restrictions set forth in Section 10.1 (Confidential Information).</w:t>
      </w:r>
    </w:p>
    <w:p>
      <w:pPr>
        <w:spacing w:after="0" w:line="26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4"/>
          <w:szCs w:val="14"/>
          <w:b w:val="1"/>
          <w:bCs w:val="1"/>
          <w:color w:val="auto"/>
        </w:rPr>
        <w:t>Surviving Provisions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Subject to the other terms and conditions regarding the termination and survival of obligations under this Agreement in the event of expiration or termination of this Agreement, upon expiration or termination of this Agreement, all provisions of this Agreement will cease to have any effect, except that the following provisions will survive any such expiration or termination for any reason for the period of time specified therein, or if not specified, then they will survive indefinitely: Article 1 (Definitions); Section 8.12 (Records and Audits); Section 9.1(a) (Ownership), Section 10.1 (Confidential Information); Article 12 (Indemnification, Limitation of Liability, Insurance), Article 13 (Term and Termination) and Article 14 (Miscellaneous). Termination of this Agreement will not relieve either Party of any liability that accrued hereunder prior to the effective date of such termination nor preclude either Party from pursuing all rights and remedies it may have hereunder or at law or in equity with respect to any breach of this Agreement. The remedies provided in this Article 13 (Term and Termination) are not exclusive of any other remedies a Party may have in law or equity.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110</w:t>
      </w:r>
    </w:p>
    <w:p>
      <w:pPr>
        <w:sectPr>
          <w:pgSz w:w="11900" w:h="16840" w:orient="portrait"/>
          <w:cols w:equalWidth="0" w:num="1">
            <w:col w:w="10580"/>
          </w:cols>
          <w:pgMar w:left="660" w:top="1440" w:right="660" w:bottom="1440" w:gutter="0" w:footer="0" w:header="0"/>
        </w:sectPr>
      </w:pPr>
    </w:p>
    <w:bookmarkStart w:id="880" w:name="page881"/>
    <w:bookmarkEnd w:id="88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MISCELLANEOUS</w:t>
      </w:r>
    </w:p>
    <w:p>
      <w:pPr>
        <w:spacing w:after="0" w:line="200" w:lineRule="exact"/>
        <w:rPr>
          <w:sz w:val="20"/>
          <w:szCs w:val="20"/>
          <w:color w:val="auto"/>
        </w:rPr>
      </w:pPr>
    </w:p>
    <w:p>
      <w:pPr>
        <w:spacing w:after="0" w:line="22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4"/>
          <w:szCs w:val="14"/>
          <w:b w:val="1"/>
          <w:bCs w:val="1"/>
          <w:color w:val="auto"/>
        </w:rPr>
        <w:t>Dispute Resolution</w:t>
      </w:r>
    </w:p>
    <w:p>
      <w:pPr>
        <w:spacing w:after="0" w:line="200" w:lineRule="exact"/>
        <w:rPr>
          <w:sz w:val="20"/>
          <w:szCs w:val="20"/>
          <w:color w:val="auto"/>
        </w:rPr>
      </w:pPr>
    </w:p>
    <w:p>
      <w:pPr>
        <w:spacing w:after="0" w:line="228" w:lineRule="exact"/>
        <w:rPr>
          <w:sz w:val="20"/>
          <w:szCs w:val="20"/>
          <w:color w:val="auto"/>
        </w:rPr>
      </w:pPr>
    </w:p>
    <w:p>
      <w:pPr>
        <w:ind w:left="1120" w:hanging="550"/>
        <w:spacing w:after="0"/>
        <w:tabs>
          <w:tab w:leader="none" w:pos="1120" w:val="left"/>
        </w:tabs>
        <w:numPr>
          <w:ilvl w:val="0"/>
          <w:numId w:val="890"/>
        </w:numPr>
        <w:rPr>
          <w:rFonts w:ascii="Arial" w:cs="Arial" w:eastAsia="Arial" w:hAnsi="Arial"/>
          <w:sz w:val="16"/>
          <w:szCs w:val="16"/>
          <w:color w:val="auto"/>
        </w:rPr>
      </w:pPr>
      <w:r>
        <w:rPr>
          <w:rFonts w:ascii="Arial" w:cs="Arial" w:eastAsia="Arial" w:hAnsi="Arial"/>
          <w:sz w:val="16"/>
          <w:szCs w:val="16"/>
          <w:b w:val="1"/>
          <w:bCs w:val="1"/>
          <w:color w:val="auto"/>
        </w:rPr>
        <w:t>Escalation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right="20"/>
        <w:spacing w:after="0" w:line="430" w:lineRule="auto"/>
        <w:rPr>
          <w:rFonts w:ascii="Arial" w:cs="Arial" w:eastAsia="Arial" w:hAnsi="Arial"/>
          <w:sz w:val="16"/>
          <w:szCs w:val="16"/>
          <w:color w:val="auto"/>
        </w:rPr>
      </w:pPr>
      <w:r>
        <w:rPr>
          <w:rFonts w:ascii="Arial" w:cs="Arial" w:eastAsia="Arial" w:hAnsi="Arial"/>
          <w:sz w:val="16"/>
          <w:szCs w:val="16"/>
          <w:color w:val="auto"/>
        </w:rPr>
        <w:t>In the event of any dispute, claim, controversy, or cause of action asserted by a Party against the other Party or by the Biotheus Indemnitees against BioNTech or by the BioNTech Indemnitees against Biotheus arising out of or related to this Agreement or performance of this Agreement (other than matters within the purview of the JSC, which will be resolved as set forth in Section 4.5 (Decision-Making)) (a "</w:t>
      </w:r>
      <w:r>
        <w:rPr>
          <w:rFonts w:ascii="Arial" w:cs="Arial" w:eastAsia="Arial" w:hAnsi="Arial"/>
          <w:sz w:val="16"/>
          <w:szCs w:val="16"/>
          <w:b w:val="1"/>
          <w:bCs w:val="1"/>
          <w:color w:val="auto"/>
        </w:rPr>
        <w:t>Claim</w:t>
      </w:r>
      <w:r>
        <w:rPr>
          <w:rFonts w:ascii="Arial" w:cs="Arial" w:eastAsia="Arial" w:hAnsi="Arial"/>
          <w:sz w:val="16"/>
          <w:szCs w:val="16"/>
          <w:color w:val="auto"/>
        </w:rPr>
        <w:t>"), including any alleged breach of this Agreement or claim for indemnification pursuant to Article 12 (Indemnification; Limitation of Liability; Insurance), such Party may, by written notice to the other Party, refer such matter to the Parties' respective officers designated below for attempted resolution (each, an "</w:t>
      </w:r>
      <w:r>
        <w:rPr>
          <w:rFonts w:ascii="Arial" w:cs="Arial" w:eastAsia="Arial" w:hAnsi="Arial"/>
          <w:sz w:val="16"/>
          <w:szCs w:val="16"/>
          <w:b w:val="1"/>
          <w:bCs w:val="1"/>
          <w:color w:val="auto"/>
        </w:rPr>
        <w:t>Executive Officer</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For BioNTech:   CEO (or other senior executive designated by BioNTech for such purpose)</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For Biotheus:  CEO (or other senior executive designated by Biotheus for such purpose)</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1120" w:hanging="550"/>
        <w:spacing w:after="0"/>
        <w:tabs>
          <w:tab w:leader="none" w:pos="1120" w:val="left"/>
        </w:tabs>
        <w:numPr>
          <w:ilvl w:val="0"/>
          <w:numId w:val="890"/>
        </w:numPr>
        <w:rPr>
          <w:rFonts w:ascii="Arial" w:cs="Arial" w:eastAsia="Arial" w:hAnsi="Arial"/>
          <w:sz w:val="16"/>
          <w:szCs w:val="16"/>
          <w:color w:val="auto"/>
        </w:rPr>
      </w:pPr>
      <w:r>
        <w:rPr>
          <w:rFonts w:ascii="Arial" w:cs="Arial" w:eastAsia="Arial" w:hAnsi="Arial"/>
          <w:sz w:val="16"/>
          <w:szCs w:val="16"/>
          <w:b w:val="1"/>
          <w:bCs w:val="1"/>
          <w:color w:val="auto"/>
        </w:rPr>
        <w:t>Arbitration</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jc w:val="both"/>
        <w:ind w:left="1140"/>
        <w:spacing w:after="0" w:line="427" w:lineRule="auto"/>
        <w:rPr>
          <w:rFonts w:ascii="Arial" w:cs="Arial" w:eastAsia="Arial" w:hAnsi="Arial"/>
          <w:sz w:val="16"/>
          <w:szCs w:val="16"/>
          <w:color w:val="auto"/>
        </w:rPr>
      </w:pPr>
      <w:r>
        <w:rPr>
          <w:rFonts w:ascii="Arial" w:cs="Arial" w:eastAsia="Arial" w:hAnsi="Arial"/>
          <w:sz w:val="16"/>
          <w:szCs w:val="16"/>
          <w:color w:val="auto"/>
        </w:rPr>
        <w:t>Except as otherwise expressly set forth in this Agreement, if such Executive Officers do not resolve the dispute within [***] days after receipt of such request, then any dispute arising out of or in connection with this Agreement, including any question regarding its existence, validity or termination, shall be referred to and finally resolved by binding arbitration administered by the Hong Kong International Arbitration Centre (“</w:t>
      </w:r>
      <w:r>
        <w:rPr>
          <w:rFonts w:ascii="Arial" w:cs="Arial" w:eastAsia="Arial" w:hAnsi="Arial"/>
          <w:sz w:val="16"/>
          <w:szCs w:val="16"/>
          <w:b w:val="1"/>
          <w:bCs w:val="1"/>
          <w:color w:val="auto"/>
        </w:rPr>
        <w:t>HKIAC</w:t>
      </w:r>
      <w:r>
        <w:rPr>
          <w:rFonts w:ascii="Arial" w:cs="Arial" w:eastAsia="Arial" w:hAnsi="Arial"/>
          <w:sz w:val="16"/>
          <w:szCs w:val="16"/>
          <w:color w:val="auto"/>
        </w:rPr>
        <w:t>”) (or any successor entity thereto) pursuant to the United Nations Commission on International Trade Law (“</w:t>
      </w:r>
      <w:r>
        <w:rPr>
          <w:rFonts w:ascii="Arial" w:cs="Arial" w:eastAsia="Arial" w:hAnsi="Arial"/>
          <w:sz w:val="16"/>
          <w:szCs w:val="16"/>
          <w:b w:val="1"/>
          <w:bCs w:val="1"/>
          <w:color w:val="auto"/>
        </w:rPr>
        <w:t>UNCITRAL</w:t>
      </w:r>
      <w:r>
        <w:rPr>
          <w:rFonts w:ascii="Arial" w:cs="Arial" w:eastAsia="Arial" w:hAnsi="Arial"/>
          <w:sz w:val="16"/>
          <w:szCs w:val="16"/>
          <w:color w:val="auto"/>
        </w:rPr>
        <w:t>”) Arbitration Rules in force when the notice of arbitration is submitted, as modified by the HKIAC Procedures for the Administration of Arbitration under the UNCITRAL Arbitration Rules. The number of arbitrators shall be [***]. If the issues in dispute involve scientific, technical 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111</w:t>
      </w:r>
    </w:p>
    <w:p>
      <w:pPr>
        <w:sectPr>
          <w:pgSz w:w="11900" w:h="16840" w:orient="portrait"/>
          <w:cols w:equalWidth="0" w:num="1">
            <w:col w:w="10580"/>
          </w:cols>
          <w:pgMar w:left="660" w:top="1440" w:right="660" w:bottom="1440" w:gutter="0" w:footer="0" w:header="0"/>
        </w:sectPr>
      </w:pPr>
    </w:p>
    <w:bookmarkStart w:id="881" w:name="page882"/>
    <w:bookmarkEnd w:id="881"/>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spacing w:after="0" w:line="505" w:lineRule="auto"/>
        <w:rPr>
          <w:sz w:val="20"/>
          <w:szCs w:val="20"/>
          <w:color w:val="auto"/>
        </w:rPr>
      </w:pPr>
      <w:r>
        <w:rPr>
          <w:rFonts w:ascii="Arial" w:cs="Arial" w:eastAsia="Arial" w:hAnsi="Arial"/>
          <w:sz w:val="14"/>
          <w:szCs w:val="14"/>
          <w:color w:val="auto"/>
        </w:rPr>
        <w:t>commercial matters, the arbitrators chosen hereunder shall engage experts having educational training or industry experience sufficient to demonstrate a reasonable level of relevant scientific, medical and industry knowledge, as necessary to resolve the dispute. The seat, or legal place, of arbitration shall be Hong Kong. The language to be used in the arbitral proceedings shall be English. The governing law of the Agreement shall be the substantive law of England and Wales as set out in Section 14.4 (Governing Law).</w:t>
      </w:r>
    </w:p>
    <w:p>
      <w:pPr>
        <w:spacing w:after="0" w:line="22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4"/>
          <w:szCs w:val="14"/>
          <w:b w:val="1"/>
          <w:bCs w:val="1"/>
          <w:color w:val="auto"/>
        </w:rPr>
        <w:t>Designation of Affiliates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29" w:lineRule="auto"/>
        <w:rPr>
          <w:sz w:val="20"/>
          <w:szCs w:val="20"/>
          <w:color w:val="auto"/>
        </w:rPr>
      </w:pPr>
      <w:r>
        <w:rPr>
          <w:rFonts w:ascii="Arial" w:cs="Arial" w:eastAsia="Arial" w:hAnsi="Arial"/>
          <w:sz w:val="16"/>
          <w:szCs w:val="16"/>
          <w:color w:val="auto"/>
        </w:rPr>
        <w:t>Each Party may discharge any obligations and exercise any rights under this Agreement through delegation of its obligations or rights to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a breach by such Party, and the other Party may proceed directly against such Party without any obligation to first proceed against such Party's Affiliate.</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4"/>
          <w:szCs w:val="14"/>
          <w:b w:val="1"/>
          <w:bCs w:val="1"/>
          <w:color w:val="auto"/>
        </w:rPr>
        <w:t>Injunctive Relief</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95" w:lineRule="auto"/>
        <w:rPr>
          <w:sz w:val="20"/>
          <w:szCs w:val="20"/>
          <w:color w:val="auto"/>
        </w:rPr>
      </w:pPr>
      <w:r>
        <w:rPr>
          <w:rFonts w:ascii="Arial" w:cs="Arial" w:eastAsia="Arial" w:hAnsi="Arial"/>
          <w:sz w:val="14"/>
          <w:szCs w:val="14"/>
          <w:color w:val="auto"/>
        </w:rPr>
        <w:t>Notwithstanding anything to the contrary set forth in this Agreement, the Parties each stipulate and agree that (a) the other Party's Confidential Information includes highly sensitive trade secret information, (b) a violation of the licenses granted to BioNTech under Section 3.1 (License Grants to BioNTech) or a breach of 10.1 (Confidential Information) by a Party with respect to such information may cause irrevocable harm for which monetary damages would not provide a sufficient remedy, and (c) in such case of a breach of Section 3.1 (License Grants to BioNTech) or 10.1 (Confidential Information), the non-breaching Party will be entitled to equitable relief (including temporary or permanent restraining orders, specific performance or other injunctive relief) from any court of competent jurisdiction. In addition, and notwithstanding anything to the contrary set forth in this Agreement, in the event of any other actual or threatened breach hereunder, the aggrieved Party may seek equitable relief (including temporary or permanent restraining orders, specific performance or other injunctive relief) from any court of competent jurisdiction without first submitting to the dispute resolution procedures set forth in Section 14.1 (Dispute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112</w:t>
      </w:r>
    </w:p>
    <w:p>
      <w:pPr>
        <w:sectPr>
          <w:pgSz w:w="11900" w:h="16840" w:orient="portrait"/>
          <w:cols w:equalWidth="0" w:num="1">
            <w:col w:w="10580"/>
          </w:cols>
          <w:pgMar w:left="660" w:top="1440" w:right="660" w:bottom="1440" w:gutter="0" w:footer="0" w:header="0"/>
        </w:sectPr>
      </w:pPr>
    </w:p>
    <w:bookmarkStart w:id="882" w:name="page883"/>
    <w:bookmarkEnd w:id="882"/>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4"/>
          <w:szCs w:val="14"/>
          <w:b w:val="1"/>
          <w:bCs w:val="1"/>
          <w:color w:val="auto"/>
        </w:rPr>
        <w:t>Governing Law</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516" w:lineRule="auto"/>
        <w:rPr>
          <w:sz w:val="20"/>
          <w:szCs w:val="20"/>
          <w:color w:val="auto"/>
        </w:rPr>
      </w:pPr>
      <w:r>
        <w:rPr>
          <w:rFonts w:ascii="Arial" w:cs="Arial" w:eastAsia="Arial" w:hAnsi="Arial"/>
          <w:sz w:val="14"/>
          <w:szCs w:val="14"/>
          <w:color w:val="auto"/>
        </w:rPr>
        <w:t>This Agreement and any issues, disputes or claims arising out of or in connection with it (whether contractual or non-contractual in nature such as claims in tort, from breach of statute or regulation or otherwise) will be governed by and construed in accordance with the laws of England and Wales without taking into consideration any choice of law principles that would lead to the application of the laws of another jurisdiction.</w:t>
      </w:r>
    </w:p>
    <w:p>
      <w:pPr>
        <w:spacing w:after="0" w:line="22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4"/>
          <w:szCs w:val="14"/>
          <w:b w:val="1"/>
          <w:bCs w:val="1"/>
          <w:color w:val="auto"/>
        </w:rPr>
        <w:t>Cumulative Remedies</w:t>
      </w:r>
    </w:p>
    <w:p>
      <w:pPr>
        <w:spacing w:after="0" w:line="200" w:lineRule="exact"/>
        <w:rPr>
          <w:sz w:val="20"/>
          <w:szCs w:val="20"/>
          <w:color w:val="auto"/>
        </w:rPr>
      </w:pPr>
    </w:p>
    <w:p>
      <w:pPr>
        <w:spacing w:after="0" w:line="230" w:lineRule="exact"/>
        <w:rPr>
          <w:sz w:val="20"/>
          <w:szCs w:val="20"/>
          <w:color w:val="auto"/>
        </w:rPr>
      </w:pPr>
    </w:p>
    <w:p>
      <w:pPr>
        <w:ind w:left="580" w:right="20"/>
        <w:spacing w:after="0" w:line="450" w:lineRule="auto"/>
        <w:rPr>
          <w:sz w:val="20"/>
          <w:szCs w:val="20"/>
          <w:color w:val="auto"/>
        </w:rPr>
      </w:pPr>
      <w:r>
        <w:rPr>
          <w:rFonts w:ascii="Arial" w:cs="Arial" w:eastAsia="Arial" w:hAnsi="Arial"/>
          <w:sz w:val="16"/>
          <w:szCs w:val="16"/>
          <w:color w:val="auto"/>
        </w:rPr>
        <w:t>The rights and remedies of the Parties under this Agreement are cumulative and not exclusive and, accordingly, are in addition to and not in lieu of any other rights and remedies of the Parties at law or in equity.</w:t>
      </w:r>
    </w:p>
    <w:p>
      <w:pPr>
        <w:spacing w:after="0" w:line="24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4"/>
          <w:szCs w:val="14"/>
          <w:b w:val="1"/>
          <w:bCs w:val="1"/>
          <w:color w:val="auto"/>
        </w:rPr>
        <w:t>Notices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516" w:lineRule="auto"/>
        <w:rPr>
          <w:sz w:val="20"/>
          <w:szCs w:val="20"/>
          <w:color w:val="auto"/>
        </w:rPr>
      </w:pPr>
      <w:r>
        <w:rPr>
          <w:rFonts w:ascii="Arial" w:cs="Arial" w:eastAsia="Arial" w:hAnsi="Arial"/>
          <w:sz w:val="14"/>
          <w:szCs w:val="14"/>
          <w:color w:val="auto"/>
        </w:rPr>
        <w:t>Any notice or report required or permitted to be given or made under this Agreement by either Party to the other will be in writing and delivered to the other Party at its address indicated below or to such other address as the addressee will have theretofore furnished in writing to the addressor by hand, courier or by registered or certified airmail (postage prepaid), in writing, by registered or certified airmail (postage prepaid):</w:t>
      </w:r>
    </w:p>
    <w:p>
      <w:pPr>
        <w:spacing w:after="0" w:line="220" w:lineRule="exact"/>
        <w:rPr>
          <w:sz w:val="20"/>
          <w:szCs w:val="20"/>
          <w:color w:val="auto"/>
        </w:rPr>
      </w:pPr>
    </w:p>
    <w:p>
      <w:pPr>
        <w:ind w:left="180" w:right="7220" w:firstLine="390"/>
        <w:spacing w:after="0" w:line="424" w:lineRule="auto"/>
        <w:tabs>
          <w:tab w:leader="none" w:pos="1123" w:val="left"/>
        </w:tabs>
        <w:numPr>
          <w:ilvl w:val="0"/>
          <w:numId w:val="891"/>
        </w:numPr>
        <w:rPr>
          <w:rFonts w:ascii="Arial" w:cs="Arial" w:eastAsia="Arial" w:hAnsi="Arial"/>
          <w:sz w:val="16"/>
          <w:szCs w:val="16"/>
          <w:color w:val="auto"/>
        </w:rPr>
      </w:pPr>
      <w:r>
        <w:rPr>
          <w:rFonts w:ascii="Arial" w:cs="Arial" w:eastAsia="Arial" w:hAnsi="Arial"/>
          <w:sz w:val="16"/>
          <w:szCs w:val="16"/>
          <w:b w:val="1"/>
          <w:bCs w:val="1"/>
          <w:color w:val="auto"/>
        </w:rPr>
        <w:t>If to BioNTech</w:t>
      </w:r>
      <w:r>
        <w:rPr>
          <w:rFonts w:ascii="Arial" w:cs="Arial" w:eastAsia="Arial" w:hAnsi="Arial"/>
          <w:sz w:val="16"/>
          <w:szCs w:val="16"/>
          <w:color w:val="auto"/>
        </w:rPr>
        <w:t>: BioNTech SE</w:t>
      </w:r>
      <w:r>
        <w:rPr>
          <w:rFonts w:ascii="Arial" w:cs="Arial" w:eastAsia="Arial" w:hAnsi="Arial"/>
          <w:sz w:val="16"/>
          <w:szCs w:val="16"/>
          <w:b w:val="1"/>
          <w:bCs w:val="1"/>
          <w:color w:val="auto"/>
        </w:rPr>
        <w:t xml:space="preserve"> </w:t>
      </w:r>
      <w:r>
        <w:rPr>
          <w:rFonts w:ascii="Arial" w:cs="Arial" w:eastAsia="Arial" w:hAnsi="Arial"/>
          <w:sz w:val="16"/>
          <w:szCs w:val="16"/>
          <w:color w:val="auto"/>
        </w:rPr>
        <w:t>An der Goldgrube 12,</w:t>
      </w:r>
    </w:p>
    <w:p>
      <w:pPr>
        <w:ind w:left="180" w:right="8760"/>
        <w:spacing w:after="0" w:line="549" w:lineRule="auto"/>
        <w:rPr>
          <w:rFonts w:ascii="Arial" w:cs="Arial" w:eastAsia="Arial" w:hAnsi="Arial"/>
          <w:sz w:val="16"/>
          <w:szCs w:val="16"/>
          <w:color w:val="auto"/>
        </w:rPr>
      </w:pPr>
      <w:r>
        <w:rPr>
          <w:rFonts w:ascii="Arial" w:cs="Arial" w:eastAsia="Arial" w:hAnsi="Arial"/>
          <w:sz w:val="14"/>
          <w:szCs w:val="14"/>
          <w:color w:val="auto"/>
        </w:rPr>
        <w:t>55131 Mainz, Germany Attention: [***]</w:t>
      </w:r>
    </w:p>
    <w:p>
      <w:pPr>
        <w:spacing w:after="0" w:line="200"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40" w:orient="portrait"/>
          <w:cols w:equalWidth="0" w:num="1">
            <w:col w:w="10560"/>
          </w:cols>
          <w:pgMar w:left="660" w:top="1440" w:right="680" w:bottom="1440" w:gutter="0" w:footer="0" w:header="0"/>
        </w:sectPr>
      </w:pPr>
    </w:p>
    <w:bookmarkStart w:id="883" w:name="page884"/>
    <w:bookmarkEnd w:id="883"/>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20" w:hanging="550"/>
        <w:spacing w:after="0"/>
        <w:tabs>
          <w:tab w:leader="none" w:pos="1120" w:val="left"/>
        </w:tabs>
        <w:numPr>
          <w:ilvl w:val="0"/>
          <w:numId w:val="892"/>
        </w:numPr>
        <w:rPr>
          <w:rFonts w:ascii="Arial" w:cs="Arial" w:eastAsia="Arial" w:hAnsi="Arial"/>
          <w:sz w:val="16"/>
          <w:szCs w:val="16"/>
          <w:color w:val="auto"/>
        </w:rPr>
      </w:pPr>
      <w:r>
        <w:rPr>
          <w:rFonts w:ascii="Arial" w:cs="Arial" w:eastAsia="Arial" w:hAnsi="Arial"/>
          <w:sz w:val="16"/>
          <w:szCs w:val="16"/>
          <w:b w:val="1"/>
          <w:bCs w:val="1"/>
          <w:color w:val="auto"/>
        </w:rPr>
        <w:t>If to Biotheus</w:t>
      </w:r>
      <w:r>
        <w:rPr>
          <w:rFonts w:ascii="Arial" w:cs="Arial" w:eastAsia="Arial" w:hAnsi="Arial"/>
          <w:sz w:val="16"/>
          <w:szCs w:val="16"/>
          <w:color w:val="auto"/>
        </w:rPr>
        <w:t>:  Biotheus Inc.</w:t>
      </w:r>
    </w:p>
    <w:p>
      <w:pPr>
        <w:spacing w:after="0" w:line="142" w:lineRule="exact"/>
        <w:rPr>
          <w:rFonts w:ascii="Arial" w:cs="Arial" w:eastAsia="Arial" w:hAnsi="Arial"/>
          <w:sz w:val="16"/>
          <w:szCs w:val="16"/>
          <w:color w:val="auto"/>
        </w:rPr>
      </w:pPr>
    </w:p>
    <w:p>
      <w:pPr>
        <w:ind w:left="180" w:right="7880"/>
        <w:spacing w:after="0" w:line="422" w:lineRule="auto"/>
        <w:rPr>
          <w:rFonts w:ascii="Arial" w:cs="Arial" w:eastAsia="Arial" w:hAnsi="Arial"/>
          <w:sz w:val="16"/>
          <w:szCs w:val="16"/>
          <w:color w:val="auto"/>
        </w:rPr>
      </w:pPr>
      <w:r>
        <w:rPr>
          <w:rFonts w:ascii="Arial" w:cs="Arial" w:eastAsia="Arial" w:hAnsi="Arial"/>
          <w:sz w:val="16"/>
          <w:szCs w:val="16"/>
          <w:color w:val="auto"/>
        </w:rPr>
        <w:t>12A, Building 4, No. 1 Keji 7th Road, Tangjiawan Town, Zhuhai, Guangdong, China 519080 Attention: [***]</w:t>
      </w:r>
    </w:p>
    <w:p>
      <w:pPr>
        <w:spacing w:after="0" w:line="2"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Email: [***]</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Copy to (which copy will not constitute notice):</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Goodwin Procter LLP</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New York Times Building</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620 Eighth Avenue</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New York, NY 10018 USA</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Attention: [***]</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140" w:right="20"/>
        <w:spacing w:after="0" w:line="436" w:lineRule="auto"/>
        <w:rPr>
          <w:sz w:val="20"/>
          <w:szCs w:val="20"/>
          <w:color w:val="auto"/>
        </w:rPr>
      </w:pPr>
      <w:r>
        <w:rPr>
          <w:rFonts w:ascii="Arial" w:cs="Arial" w:eastAsia="Arial" w:hAnsi="Arial"/>
          <w:sz w:val="16"/>
          <w:szCs w:val="16"/>
          <w:color w:val="auto"/>
        </w:rPr>
        <w:t>All notices will be deemed effective: (a) if by courier, on the Business Day of delivery as evidenced by the courier's receipt (or if delivered or sent on a non-Business Day, then on the next Business Day); or (b) if sent by registered or certified airmail, on the Business Day of receipt as evidenced on the return receipt.</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14.7</w:t>
      </w:r>
      <w:r>
        <w:rPr>
          <w:sz w:val="20"/>
          <w:szCs w:val="20"/>
          <w:color w:val="auto"/>
        </w:rPr>
        <w:tab/>
      </w:r>
      <w:r>
        <w:rPr>
          <w:rFonts w:ascii="Arial" w:cs="Arial" w:eastAsia="Arial" w:hAnsi="Arial"/>
          <w:sz w:val="14"/>
          <w:szCs w:val="14"/>
          <w:b w:val="1"/>
          <w:bCs w:val="1"/>
          <w:color w:val="auto"/>
        </w:rPr>
        <w:t>Amendment; Waiver</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94" w:lineRule="auto"/>
        <w:rPr>
          <w:sz w:val="20"/>
          <w:szCs w:val="20"/>
          <w:color w:val="auto"/>
        </w:rPr>
      </w:pPr>
      <w:r>
        <w:rPr>
          <w:rFonts w:ascii="Arial" w:cs="Arial" w:eastAsia="Arial" w:hAnsi="Arial"/>
          <w:sz w:val="14"/>
          <w:szCs w:val="14"/>
          <w:color w:val="auto"/>
        </w:rPr>
        <w:t>This Agreement may be amended, modified, superseded or cancelled only by a written agreement between the Parties, and any of the terms of this Agreement may be waived only by a written instrument executed by each Party or, in the case of waiver, by the Party or Parties waiving compliance. Except as otherwise provided in this Agreement, the Schedules to this Agreement may be amended, modified, superseded or cancelled only by a written agreement between the Parties. The delay or failure of either Party at any time or times to require performance of any provisions will in no manner affect the rights at a later time to enforce the same. No waiver by either Party of any condition or of the breach of any term contained in this Agreement, whether by conduct, or otherwise, in any one or more instances, will be deemed to be, or considered as, a further or continuing waiver of any such condition or of the breach of such term or any other term of this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114</w:t>
      </w:r>
    </w:p>
    <w:p>
      <w:pPr>
        <w:sectPr>
          <w:pgSz w:w="11900" w:h="16840" w:orient="portrait"/>
          <w:cols w:equalWidth="0" w:num="1">
            <w:col w:w="10580"/>
          </w:cols>
          <w:pgMar w:left="660" w:top="1440" w:right="660" w:bottom="1440" w:gutter="0" w:footer="0" w:header="0"/>
        </w:sectPr>
      </w:pPr>
    </w:p>
    <w:bookmarkStart w:id="884" w:name="page885"/>
    <w:bookmarkEnd w:id="884"/>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4"/>
          <w:szCs w:val="14"/>
          <w:b w:val="1"/>
          <w:bCs w:val="1"/>
          <w:color w:val="auto"/>
        </w:rPr>
        <w:t>Cyber Security Requirements</w:t>
      </w:r>
    </w:p>
    <w:p>
      <w:pPr>
        <w:spacing w:after="0" w:line="200" w:lineRule="exact"/>
        <w:rPr>
          <w:sz w:val="20"/>
          <w:szCs w:val="20"/>
          <w:color w:val="auto"/>
        </w:rPr>
      </w:pPr>
    </w:p>
    <w:p>
      <w:pPr>
        <w:spacing w:after="0" w:line="230" w:lineRule="exact"/>
        <w:rPr>
          <w:sz w:val="20"/>
          <w:szCs w:val="20"/>
          <w:color w:val="auto"/>
        </w:rPr>
      </w:pPr>
    </w:p>
    <w:p>
      <w:pPr>
        <w:jc w:val="both"/>
        <w:ind w:left="1140" w:right="20" w:hanging="570"/>
        <w:spacing w:after="0" w:line="436" w:lineRule="auto"/>
        <w:tabs>
          <w:tab w:leader="none" w:pos="1128" w:val="left"/>
        </w:tabs>
        <w:numPr>
          <w:ilvl w:val="0"/>
          <w:numId w:val="893"/>
        </w:numPr>
        <w:rPr>
          <w:rFonts w:ascii="Arial" w:cs="Arial" w:eastAsia="Arial" w:hAnsi="Arial"/>
          <w:sz w:val="16"/>
          <w:szCs w:val="16"/>
          <w:color w:val="auto"/>
        </w:rPr>
      </w:pPr>
      <w:r>
        <w:rPr>
          <w:rFonts w:ascii="Arial" w:cs="Arial" w:eastAsia="Arial" w:hAnsi="Arial"/>
          <w:sz w:val="16"/>
          <w:szCs w:val="16"/>
          <w:color w:val="auto"/>
        </w:rPr>
        <w:t>In performing its obligations and exercising its rights under this Agreement, each Party warrants and represents to the other Party that it will maintain adequate administrative, technical, and physical measures, controls, tools, systems, policies and procedures in accordance with good cyber security industry practice and all Applicable Laws.</w:t>
      </w:r>
    </w:p>
    <w:p>
      <w:pPr>
        <w:spacing w:after="0" w:line="257" w:lineRule="exact"/>
        <w:rPr>
          <w:rFonts w:ascii="Arial" w:cs="Arial" w:eastAsia="Arial" w:hAnsi="Arial"/>
          <w:sz w:val="16"/>
          <w:szCs w:val="16"/>
          <w:color w:val="auto"/>
        </w:rPr>
      </w:pPr>
    </w:p>
    <w:p>
      <w:pPr>
        <w:jc w:val="both"/>
        <w:ind w:left="1140" w:hanging="570"/>
        <w:spacing w:after="0" w:line="499" w:lineRule="auto"/>
        <w:tabs>
          <w:tab w:leader="none" w:pos="1128" w:val="left"/>
        </w:tabs>
        <w:numPr>
          <w:ilvl w:val="0"/>
          <w:numId w:val="893"/>
        </w:numPr>
        <w:rPr>
          <w:rFonts w:ascii="Arial" w:cs="Arial" w:eastAsia="Arial" w:hAnsi="Arial"/>
          <w:sz w:val="14"/>
          <w:szCs w:val="14"/>
          <w:color w:val="auto"/>
        </w:rPr>
      </w:pPr>
      <w:r>
        <w:rPr>
          <w:rFonts w:ascii="Arial" w:cs="Arial" w:eastAsia="Arial" w:hAnsi="Arial"/>
          <w:sz w:val="14"/>
          <w:szCs w:val="14"/>
          <w:color w:val="auto"/>
        </w:rPr>
        <w:t>Each Party will notify the other Party, in writing, of any security incident affecting, or which may affect, any IT Infrastructure or data or facilities owned, leased or used by and/or provided for use by such Party, which may affect the delivery of services under this Agreement, without undue delay and in any event within [***] hours after such Party becomes aware of or suspects that a security incident has occurred. Such notification will be, in the first instance, sent by e-mail to the following e-mail address: [***] (for notification to [***]) / e-mail address: [***] (for notification to [***]) and immediately followed up by telephone to [***] (for notification to [***]).</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4"/>
          <w:szCs w:val="14"/>
          <w:b w:val="1"/>
          <w:bCs w:val="1"/>
          <w:color w:val="auto"/>
        </w:rPr>
        <w:t>Assignment and Successors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91" w:lineRule="auto"/>
        <w:rPr>
          <w:sz w:val="20"/>
          <w:szCs w:val="20"/>
          <w:color w:val="auto"/>
        </w:rPr>
      </w:pPr>
      <w:r>
        <w:rPr>
          <w:rFonts w:ascii="Arial" w:cs="Arial" w:eastAsia="Arial" w:hAnsi="Arial"/>
          <w:sz w:val="14"/>
          <w:szCs w:val="14"/>
          <w:color w:val="auto"/>
        </w:rPr>
        <w:t xml:space="preserve">Neither Party may assign or transfer this Agreement in whole or in part, or the licenses granted under this Agreement, without the other Party's prior written consent </w:t>
      </w:r>
      <w:r>
        <w:rPr>
          <w:rFonts w:ascii="Arial" w:cs="Arial" w:eastAsia="Arial" w:hAnsi="Arial"/>
          <w:sz w:val="14"/>
          <w:szCs w:val="14"/>
          <w:i w:val="1"/>
          <w:iCs w:val="1"/>
          <w:color w:val="auto"/>
        </w:rPr>
        <w:t>unless</w:t>
      </w:r>
      <w:r>
        <w:rPr>
          <w:rFonts w:ascii="Arial" w:cs="Arial" w:eastAsia="Arial" w:hAnsi="Arial"/>
          <w:sz w:val="14"/>
          <w:szCs w:val="14"/>
          <w:color w:val="auto"/>
        </w:rPr>
        <w:t xml:space="preserve"> such assignment is to: (a) a Third Party successor or purchaser of all or substantially all of the assets or businesses to which this Agreement relates whether pursuant to a sale of assets, merger, or other similar transaction, in which case the assigning Party will provide prior written notice to the other Party and need not obtain the other Party's consent, or (b) an Affiliate of such Party, in which case the assigning Party will provide prior written notice to the other Party and need not obtain the other Party's consent; provided that, in either case, the assigning Party remains fully liable for the performance of its obligations hereunder by such assignee. Any other assignment of this Agreement by a Party requires the prior written consent of the other Party. An assignment to an Affiliate will terminate, and all rights so assigned will revert to the assigning Party, if and when such Affiliate ceases to be an Affiliate of the assigning Party. For clarity, any assignment in violation of this Section 14.9 (Assignment and Successors) will be null, void, and of no legal effect. This Agreement will be binding upon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115</w:t>
      </w:r>
    </w:p>
    <w:p>
      <w:pPr>
        <w:sectPr>
          <w:pgSz w:w="11900" w:h="16840" w:orient="portrait"/>
          <w:cols w:equalWidth="0" w:num="1">
            <w:col w:w="10580"/>
          </w:cols>
          <w:pgMar w:left="660" w:top="1440" w:right="660" w:bottom="1440" w:gutter="0" w:footer="0" w:header="0"/>
        </w:sectPr>
      </w:pPr>
    </w:p>
    <w:bookmarkStart w:id="885" w:name="page886"/>
    <w:bookmarkEnd w:id="885"/>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inure to the benefit of the Parties and their respective legal representatives, successors and permitted assigns.</w:t>
      </w:r>
    </w:p>
    <w:p>
      <w:pPr>
        <w:spacing w:after="0" w:line="200" w:lineRule="exact"/>
        <w:rPr>
          <w:sz w:val="20"/>
          <w:szCs w:val="20"/>
          <w:color w:val="auto"/>
        </w:rPr>
      </w:pP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14.10</w:t>
      </w:r>
      <w:r>
        <w:rPr>
          <w:sz w:val="20"/>
          <w:szCs w:val="20"/>
          <w:color w:val="auto"/>
        </w:rPr>
        <w:tab/>
      </w:r>
      <w:r>
        <w:rPr>
          <w:rFonts w:ascii="Arial" w:cs="Arial" w:eastAsia="Arial" w:hAnsi="Arial"/>
          <w:sz w:val="14"/>
          <w:szCs w:val="14"/>
          <w:b w:val="1"/>
          <w:bCs w:val="1"/>
          <w:color w:val="auto"/>
        </w:rPr>
        <w:t>Force Majeure</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 xml:space="preserve">Neither BioNTech nor Biotheus will be liable for failure of or delay in performing obligations set forth in this Agreement, and neither will be in breach of its obligations, to the extent such failure or delay is due to a Force Majeure;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Force Majeure will not excuse any Party from any payment obligations to the other Party under this Agreement. In event of such Force Majeure, the Party affected will use reasonable efforts to avoid or remove such causes of non-performance, and will continue to perform hereunder with reasonable dispatch whenever such causes are removed. The Party invoking such Force Majeure rights of this Section 14.10 (Force Majeure) must promptly notify the other Party by courier or overnight dispatch (</w:t>
      </w:r>
      <w:r>
        <w:rPr>
          <w:rFonts w:ascii="Arial" w:cs="Arial" w:eastAsia="Arial" w:hAnsi="Arial"/>
          <w:sz w:val="16"/>
          <w:szCs w:val="16"/>
          <w:i w:val="1"/>
          <w:iCs w:val="1"/>
          <w:color w:val="auto"/>
        </w:rPr>
        <w:t>e.g.</w:t>
      </w:r>
      <w:r>
        <w:rPr>
          <w:rFonts w:ascii="Arial" w:cs="Arial" w:eastAsia="Arial" w:hAnsi="Arial"/>
          <w:sz w:val="16"/>
          <w:szCs w:val="16"/>
          <w:color w:val="auto"/>
        </w:rPr>
        <w:t>, Federal Express) within a period of [***] days of both the first and last day of the Force Majeure. If the affected Party’s failure to perform due to such Force Majeure continues for a period of [***] days or more, then the Parties will discuss in good faith a plan to resolve the matter. Notwithstanding the foregoing, the payment of invoices due and owing hereunder shall in no event be delayed by the payer because of a Force Majeure affecting the payer.</w:t>
      </w:r>
    </w:p>
    <w:p>
      <w:pPr>
        <w:spacing w:after="0" w:line="2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4"/>
          <w:szCs w:val="14"/>
          <w:b w:val="1"/>
          <w:bCs w:val="1"/>
          <w:color w:val="auto"/>
        </w:rPr>
        <w:t>Interpretation</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The Parties acknowledge and agree that: (a) each Party and its counsel reviewed and negotiated the terms and provisions of this Agreement and have contributed to its revision; (b) the rule of construction to the effect that any ambiguities are resolved against the drafting Party will not be employed in the interpretation of this Agreement; and (c) the terms and provisions of this Agreement will be construed fairly as to each Party and not in a favor of or against either Party, regardless of which Party was generally responsible for the preparation of this Agreement. In addition, except as otherwise explicitly specified to the contrary, (i) references to a section, schedule or exhibit means a section of, or schedule or exhibit to this Agreement, unless another agreement is specified, (ii) the word "including" (in its various forms) means "including without limitation," (iii) the words "shall" and "will" have the same meaning, (iv) references to a particular statute or regulation include all rules and regulations thereunder and any predecessor or successor statute, rules or regulations, in each case as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116</w:t>
      </w:r>
    </w:p>
    <w:p>
      <w:pPr>
        <w:sectPr>
          <w:pgSz w:w="11900" w:h="16840" w:orient="portrait"/>
          <w:cols w:equalWidth="0" w:num="1">
            <w:col w:w="10580"/>
          </w:cols>
          <w:pgMar w:left="660" w:top="1440" w:right="660" w:bottom="1440" w:gutter="0" w:footer="0" w:header="0"/>
        </w:sectPr>
      </w:pPr>
    </w:p>
    <w:bookmarkStart w:id="886" w:name="page887"/>
    <w:bookmarkEnd w:id="886"/>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27" w:lineRule="auto"/>
        <w:rPr>
          <w:sz w:val="20"/>
          <w:szCs w:val="20"/>
          <w:color w:val="auto"/>
        </w:rPr>
      </w:pPr>
      <w:r>
        <w:rPr>
          <w:rFonts w:ascii="Arial" w:cs="Arial" w:eastAsia="Arial" w:hAnsi="Arial"/>
          <w:sz w:val="16"/>
          <w:szCs w:val="16"/>
          <w:color w:val="auto"/>
        </w:rPr>
        <w:t>amended or otherwise modified from time-to-time, (v) words in the singular will be held to include the plural and vice versa, and words of one gender will be held to include the other gender as the context requires, (vi) references to a particular Person include such Person's successors and assigns to the extent not prohibited by this Agreement, (vii) references to "days" will mean calendar days, unless otherwise specified, (viii) the word "or" will not be exclusive, unless the context otherwise requires, (ix) references to "written" or "in writing" include in electronic form, (x) the titles and headings contained in this Agreement are for reference purposes only and will not affect in any way the meaning or interpretation of this Agreement, (xi) the terms "hereof," "hereby," "hereto," and derivative or similar words refer to this entire Agreement, including any schedules or exhibits hereto, and (xii) unless otherwise specified, "$" is in reference to United States Dollars.</w:t>
      </w:r>
    </w:p>
    <w:p>
      <w:pPr>
        <w:spacing w:after="0" w:line="26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14.12</w:t>
      </w:r>
      <w:r>
        <w:rPr>
          <w:sz w:val="20"/>
          <w:szCs w:val="20"/>
          <w:color w:val="auto"/>
        </w:rPr>
        <w:tab/>
      </w:r>
      <w:r>
        <w:rPr>
          <w:rFonts w:ascii="Arial" w:cs="Arial" w:eastAsia="Arial" w:hAnsi="Arial"/>
          <w:sz w:val="14"/>
          <w:szCs w:val="14"/>
          <w:b w:val="1"/>
          <w:bCs w:val="1"/>
          <w:color w:val="auto"/>
        </w:rPr>
        <w:t>Integration</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36" w:lineRule="auto"/>
        <w:rPr>
          <w:sz w:val="20"/>
          <w:szCs w:val="20"/>
          <w:color w:val="auto"/>
        </w:rPr>
      </w:pPr>
      <w:r>
        <w:rPr>
          <w:rFonts w:ascii="Arial" w:cs="Arial" w:eastAsia="Arial" w:hAnsi="Arial"/>
          <w:sz w:val="16"/>
          <w:szCs w:val="16"/>
          <w:color w:val="auto"/>
        </w:rPr>
        <w:t>This Agreement, together with all agreements referred to herein and all exhibits and schedules attached hereto, sets forth the entire agreement with respect to the subject matter hereof and thereof and supersedes all other agreements and understandings between the Parties with respect to such subject matter, including the Confidentiality Agreement.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14.13</w:t>
      </w:r>
      <w:r>
        <w:rPr>
          <w:sz w:val="20"/>
          <w:szCs w:val="20"/>
          <w:color w:val="auto"/>
        </w:rPr>
        <w:tab/>
      </w:r>
      <w:r>
        <w:rPr>
          <w:rFonts w:ascii="Arial" w:cs="Arial" w:eastAsia="Arial" w:hAnsi="Arial"/>
          <w:sz w:val="14"/>
          <w:szCs w:val="14"/>
          <w:b w:val="1"/>
          <w:bCs w:val="1"/>
          <w:color w:val="auto"/>
        </w:rPr>
        <w:t>Severability</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26" w:lineRule="auto"/>
        <w:rPr>
          <w:sz w:val="20"/>
          <w:szCs w:val="20"/>
          <w:color w:val="auto"/>
        </w:rPr>
      </w:pPr>
      <w:r>
        <w:rPr>
          <w:rFonts w:ascii="Arial" w:cs="Arial" w:eastAsia="Arial" w:hAnsi="Arial"/>
          <w:sz w:val="16"/>
          <w:szCs w:val="16"/>
          <w:color w:val="auto"/>
        </w:rPr>
        <w:t>Each Party hereby agrees that it does not intend to violate any public policy, statutory or common laws, rules, regulations, treaty, or decision of any government agency or executive body thereof of any country or community or association of countries. Should one or more provisions of this Agreement be or become invalid, the Parties will substitute, by mutual consent, valid provisions for such invalid provisions, which valid provisions in their economic effect are sufficiently similar to the invalid provisions such that it can be reasonably assumed that the Parties would have entered into this Agreement with such valid provisions. In case such valid provisions cannot be agreed upon, the invalidity of one or several provisions of this Agreement will not affect the validity of this Agreement as a whole, unless the invalid provisions are of such essential importance to this Agreement such that it is to be reasonably assumed that the Parties would not have entered into this Agreement without the invalid provisions.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117</w:t>
      </w:r>
    </w:p>
    <w:p>
      <w:pPr>
        <w:sectPr>
          <w:pgSz w:w="11900" w:h="16840" w:orient="portrait"/>
          <w:cols w:equalWidth="0" w:num="1">
            <w:col w:w="10580"/>
          </w:cols>
          <w:pgMar w:left="660" w:top="1440" w:right="660" w:bottom="1440" w:gutter="0" w:footer="0" w:header="0"/>
        </w:sectPr>
      </w:pPr>
    </w:p>
    <w:bookmarkStart w:id="887" w:name="page888"/>
    <w:bookmarkEnd w:id="887"/>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14.14</w:t>
      </w:r>
      <w:r>
        <w:rPr>
          <w:sz w:val="20"/>
          <w:szCs w:val="20"/>
          <w:color w:val="auto"/>
        </w:rPr>
        <w:tab/>
      </w:r>
      <w:r>
        <w:rPr>
          <w:rFonts w:ascii="Arial" w:cs="Arial" w:eastAsia="Arial" w:hAnsi="Arial"/>
          <w:sz w:val="14"/>
          <w:szCs w:val="14"/>
          <w:b w:val="1"/>
          <w:bCs w:val="1"/>
          <w:color w:val="auto"/>
        </w:rPr>
        <w:t>Further Assurances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505" w:lineRule="auto"/>
        <w:rPr>
          <w:sz w:val="20"/>
          <w:szCs w:val="20"/>
          <w:color w:val="auto"/>
        </w:rPr>
      </w:pPr>
      <w:r>
        <w:rPr>
          <w:rFonts w:ascii="Arial" w:cs="Arial" w:eastAsia="Arial" w:hAnsi="Arial"/>
          <w:sz w:val="14"/>
          <w:szCs w:val="14"/>
          <w:color w:val="auto"/>
        </w:rPr>
        <w:t>Each of BioNTech and Biotheus agrees to duly execute and deliver, or cause to be duly executed and delivered, such further instruments and do and cause to be done such further acts and things, including, the filing of such additional assignments, agreements, documents and instruments, as the other Party may at any time and from time-to-time reasonably request in connection with this Agreement or to carry out more effectively the provisions and purposes of, or to better assure and confirm unto such other Party its rights and remedies under, this Agreement.</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14.15</w:t>
      </w:r>
      <w:r>
        <w:rPr>
          <w:sz w:val="20"/>
          <w:szCs w:val="20"/>
          <w:color w:val="auto"/>
        </w:rPr>
        <w:tab/>
      </w:r>
      <w:r>
        <w:rPr>
          <w:rFonts w:ascii="Arial" w:cs="Arial" w:eastAsia="Arial" w:hAnsi="Arial"/>
          <w:sz w:val="14"/>
          <w:szCs w:val="14"/>
          <w:b w:val="1"/>
          <w:bCs w:val="1"/>
          <w:color w:val="auto"/>
        </w:rPr>
        <w:t>Rights in Bankruptcy</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89" w:lineRule="auto"/>
        <w:rPr>
          <w:sz w:val="20"/>
          <w:szCs w:val="20"/>
          <w:color w:val="auto"/>
        </w:rPr>
      </w:pPr>
      <w:r>
        <w:rPr>
          <w:rFonts w:ascii="Arial" w:cs="Arial" w:eastAsia="Arial" w:hAnsi="Arial"/>
          <w:sz w:val="14"/>
          <w:szCs w:val="14"/>
          <w:color w:val="auto"/>
        </w:rPr>
        <w:t>All licenses and rights to licenses granted under or pursuant to this Agreement by the Bankrupt Party to the Non-Bankrupt Party are, and will otherwise be deemed to be, for purposes of Section 365(n) of the United States Bankruptcy Code (the "</w:t>
      </w:r>
      <w:r>
        <w:rPr>
          <w:rFonts w:ascii="Arial" w:cs="Arial" w:eastAsia="Arial" w:hAnsi="Arial"/>
          <w:sz w:val="14"/>
          <w:szCs w:val="14"/>
          <w:b w:val="1"/>
          <w:bCs w:val="1"/>
          <w:color w:val="auto"/>
        </w:rPr>
        <w:t>Bankruptcy Code</w:t>
      </w:r>
      <w:r>
        <w:rPr>
          <w:rFonts w:ascii="Arial" w:cs="Arial" w:eastAsia="Arial" w:hAnsi="Arial"/>
          <w:sz w:val="14"/>
          <w:szCs w:val="14"/>
          <w:color w:val="auto"/>
        </w:rPr>
        <w:t>"), licenses of rights to "intellectual property" as defined under Section 101(35A) of the Bankruptcy Code and that all Development Milestone Payments, Sales Milestone Payments, and Royalties will be "royalties" under the Bankruptcy Code. The Parties agree that the Non-Bankrupt Party, as a licensee of such rights under this Agreement, will retain and may fully exercise all of its rights and elections under the Bankruptcy Code. The Parties further agree that upon commencement of a bankruptcy proceeding by or against the Bankrupt Party under the Bankruptcy Code, the Non-Bankrupt Party will be entitled to a complete duplicate of, or complete access to (as the Non-Bankrupt Party deems appropriate), all such intellectual property and all embodiments of such intellectual property. Such intellectual property and all embodiments of such intellectual property will be promptly delivered to the Non-Bankrupt Party (a) upon any such commencement of a bankruptcy proceeding and upon written request by the Non-Bankrupt Party, unless the Bankrupt Party elects to continue to perform all of its obligations under this Agreement, or (b) if not delivered under (a) above, upon the rejection of this Agreement by or on behalf of the Bankrupt Party and upon written request by the Non-Bankrupt Party. The Bankrupt Party (in any capacity, including debtor-in-possession) and its successors and assigns (including any trustee) agrees not to interfere with the exercise by the Non-Bankrupt Party or its Affiliates of its rights and licenses to such intellectual property and such embodiments of intellectual property in accordance with this Agreement, and agrees to assist the Non-Bankrupt Party and its Affiliates in obtaining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118</w:t>
      </w:r>
    </w:p>
    <w:p>
      <w:pPr>
        <w:sectPr>
          <w:pgSz w:w="11900" w:h="16840" w:orient="portrait"/>
          <w:cols w:equalWidth="0" w:num="1">
            <w:col w:w="10580"/>
          </w:cols>
          <w:pgMar w:left="660" w:top="1440" w:right="660" w:bottom="1440" w:gutter="0" w:footer="0" w:header="0"/>
        </w:sectPr>
      </w:pPr>
    </w:p>
    <w:bookmarkStart w:id="888" w:name="page889"/>
    <w:bookmarkEnd w:id="88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20"/>
        <w:spacing w:after="0" w:line="436" w:lineRule="auto"/>
        <w:rPr>
          <w:sz w:val="20"/>
          <w:szCs w:val="20"/>
          <w:color w:val="auto"/>
        </w:rPr>
      </w:pPr>
      <w:r>
        <w:rPr>
          <w:rFonts w:ascii="Arial" w:cs="Arial" w:eastAsia="Arial" w:hAnsi="Arial"/>
          <w:sz w:val="16"/>
          <w:szCs w:val="16"/>
          <w:color w:val="auto"/>
        </w:rPr>
        <w:t>intellectual property and such embodiments of intellectual property in the possession or control of Third Parties as reasonably necessary or desirable for the Non-Bankrupt Party to exercise such rights and licenses in accordance with this Agreement. The foregoing provisions are without prejudice to any rights the Non-Bankrupt Party may have arising under the Bankruptcy Code or other Applicable Law.</w:t>
      </w:r>
    </w:p>
    <w:p>
      <w:pPr>
        <w:spacing w:after="0" w:line="25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14.16</w:t>
        <w:tab/>
        <w:t>HSR</w:t>
      </w:r>
    </w:p>
    <w:p>
      <w:pPr>
        <w:spacing w:after="0" w:line="200" w:lineRule="exact"/>
        <w:rPr>
          <w:sz w:val="20"/>
          <w:szCs w:val="20"/>
          <w:color w:val="auto"/>
        </w:rPr>
      </w:pPr>
    </w:p>
    <w:p>
      <w:pPr>
        <w:spacing w:after="0" w:line="228" w:lineRule="exact"/>
        <w:rPr>
          <w:sz w:val="20"/>
          <w:szCs w:val="20"/>
          <w:color w:val="auto"/>
        </w:rPr>
      </w:pPr>
    </w:p>
    <w:p>
      <w:pPr>
        <w:jc w:val="both"/>
        <w:ind w:left="580"/>
        <w:spacing w:after="0" w:line="425" w:lineRule="auto"/>
        <w:rPr>
          <w:sz w:val="20"/>
          <w:szCs w:val="20"/>
          <w:color w:val="auto"/>
        </w:rPr>
      </w:pPr>
      <w:r>
        <w:rPr>
          <w:rFonts w:ascii="Arial" w:cs="Arial" w:eastAsia="Arial" w:hAnsi="Arial"/>
          <w:sz w:val="16"/>
          <w:szCs w:val="16"/>
          <w:color w:val="auto"/>
        </w:rPr>
        <w:t>BioNTech and Biotheus shall as soon as reasonably practicable, but in any event within [***] Business Days after the Execution Date, file a Notification and Report Form (an “HSR Filing”) pursuant to the HSR Act and each Party shall use commercially reasonable efforts to obtain early termination or expiration of the waiting period under the HSR Act, including by requesting early termination of the HSR waiting period. In connection with obtaining any necessary approvals under the HSR Act, each Party shall promptly and in good faith respond to any request for additional information by the U.S. Federal Trade Commission and U.S. Department of Justice in connection with such notification and otherwise cooperate in good faith with each other and such Governmental Authority, provided that no Party shall have any obligation to (i) litigate any action or claim filed by a Governmental Authority in state or federal court alleging violation of any antitrust or other laws, (ii) sell, divest, hold separate or license any of their assets or lines of business, or (iii) change or modify any course of conduct or otherwise make any commitments to any Governmental Authority regarding future operations of BioNTech's or Biotheus' business. For the avoidance of doubt, BioNTech shall be responsible for paying any filing fees required in connection with such HSR Act filing.</w:t>
      </w:r>
    </w:p>
    <w:p>
      <w:pPr>
        <w:spacing w:after="0" w:line="271" w:lineRule="exact"/>
        <w:rPr>
          <w:sz w:val="20"/>
          <w:szCs w:val="20"/>
          <w:color w:val="auto"/>
        </w:rPr>
      </w:pPr>
    </w:p>
    <w:p>
      <w:pPr>
        <w:jc w:val="both"/>
        <w:ind w:left="580"/>
        <w:spacing w:after="0" w:line="427" w:lineRule="auto"/>
        <w:rPr>
          <w:sz w:val="20"/>
          <w:szCs w:val="20"/>
          <w:color w:val="auto"/>
        </w:rPr>
      </w:pPr>
      <w:r>
        <w:rPr>
          <w:rFonts w:ascii="Arial" w:cs="Arial" w:eastAsia="Arial" w:hAnsi="Arial"/>
          <w:sz w:val="16"/>
          <w:szCs w:val="16"/>
          <w:color w:val="auto"/>
        </w:rPr>
        <w:t>For any HSR Filings required, neither BioNTech nor Biotheus shall, and each shall use reasonable best efforts to cause their respective Affiliates not to, directly or indirectly take any action, including, directly or indirectly, acquiring or investing in any person or acquiring, leasing or licensing any assets, or agreement to do any of the foregoing, if doing so would reasonably be expected to impose any material delay in the obtaining of, or significantly increase the risk of not obtaining, any required approval under the HSR Act. BioNTech and Biotheus will promptly provide the other with copies of all substantive written communications (and memoranda setting forth the substance of all substantive oral communications) between each of them, any of their subsidiaries and their respective agents, representatives and advisors, on the one hand, and any Governmental Authority, on the other hand, with respect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119</w:t>
      </w:r>
    </w:p>
    <w:p>
      <w:pPr>
        <w:sectPr>
          <w:pgSz w:w="11900" w:h="16840" w:orient="portrait"/>
          <w:cols w:equalWidth="0" w:num="1">
            <w:col w:w="10580"/>
          </w:cols>
          <w:pgMar w:left="660" w:top="1440" w:right="660" w:bottom="1440" w:gutter="0" w:footer="0" w:header="0"/>
        </w:sectPr>
      </w:pPr>
    </w:p>
    <w:bookmarkStart w:id="889" w:name="page890"/>
    <w:bookmarkEnd w:id="889"/>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424" w:lineRule="auto"/>
        <w:rPr>
          <w:sz w:val="20"/>
          <w:szCs w:val="20"/>
          <w:color w:val="auto"/>
        </w:rPr>
      </w:pPr>
      <w:r>
        <w:rPr>
          <w:rFonts w:ascii="Arial" w:cs="Arial" w:eastAsia="Arial" w:hAnsi="Arial"/>
          <w:sz w:val="16"/>
          <w:szCs w:val="16"/>
          <w:color w:val="auto"/>
        </w:rPr>
        <w:t>to this Agreement. Without limiting the foregoing, BioNTech and Biotheus shall: (i) promptly inform the other of any communication to or from the U.S. Federal Trade Commission or the U.S. Department of Justice regarding the Agreement; (ii) permit each other to review in advance any proposed substantive written communication to any such Governmental Authority and incorporate reasonable comments thereto; (iii) give the other prompt written notice of the commencement of any legal proceeding with respect to the Agreement; (iv) not agree to participate in any substantive meeting or discussion with any such Governmental Authority in respect of any filing, investigation or inquiry concerning this Agreement unless, to the extent reasonably practicable, it consults with the other Party in advance and, to the extent permitted by such Governmental Authority,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Authority, on the other hand, in each case, with respect to this Agreement; provided that materials required to be supplied pursuant to this clause may be redacted (1) to remove references concerning valuation, (2) as necessary to comply with contractual arrangements, (3) as necessary to comply with applicable Law, and (4) as necessary to address reasonable privilege or confidentiality concerns; provided further, that a Party may reasonably designate any competitively sensitive material provided to another party under this clause as “Outside Counsel Only”.</w:t>
      </w:r>
    </w:p>
    <w:p>
      <w:pPr>
        <w:spacing w:after="0" w:line="275" w:lineRule="exact"/>
        <w:rPr>
          <w:sz w:val="20"/>
          <w:szCs w:val="20"/>
          <w:color w:val="auto"/>
        </w:rPr>
      </w:pPr>
    </w:p>
    <w:p>
      <w:pPr>
        <w:jc w:val="both"/>
        <w:spacing w:after="0" w:line="499" w:lineRule="auto"/>
        <w:rPr>
          <w:sz w:val="20"/>
          <w:szCs w:val="20"/>
          <w:color w:val="auto"/>
        </w:rPr>
      </w:pPr>
      <w:r>
        <w:rPr>
          <w:rFonts w:ascii="Arial" w:cs="Arial" w:eastAsia="Arial" w:hAnsi="Arial"/>
          <w:sz w:val="14"/>
          <w:szCs w:val="14"/>
          <w:color w:val="auto"/>
        </w:rPr>
        <w:t>Either Party may terminate this Agreement by notice in writing to the other Party if the expiration or termination of any applicable waiting period under the HSR Act with respect to this Agreement has not been satisfied (or if permitted by applicable Law, waived) on or before [***] days following the Execution Date (the “</w:t>
      </w:r>
      <w:r>
        <w:rPr>
          <w:rFonts w:ascii="Arial" w:cs="Arial" w:eastAsia="Arial" w:hAnsi="Arial"/>
          <w:sz w:val="14"/>
          <w:szCs w:val="14"/>
          <w:b w:val="1"/>
          <w:bCs w:val="1"/>
          <w:color w:val="auto"/>
        </w:rPr>
        <w:t>Outside Date</w:t>
      </w:r>
      <w:r>
        <w:rPr>
          <w:rFonts w:ascii="Arial" w:cs="Arial" w:eastAsia="Arial" w:hAnsi="Arial"/>
          <w:sz w:val="14"/>
          <w:szCs w:val="14"/>
          <w:color w:val="auto"/>
        </w:rPr>
        <w:t>”). If a Party terminates this Agreement pursuant to this Section 14.16 (HSR) then this Agreement shall be of no further force or effect, except that the rights and obligations of the Parties set forth in Section 10.1 (Confidential Information) and this Section 14.16 (HSR) and any relevant definitions in Article 1 (Definitions), shall survive such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120</w:t>
      </w:r>
    </w:p>
    <w:p>
      <w:pPr>
        <w:sectPr>
          <w:pgSz w:w="11900" w:h="16840" w:orient="portrait"/>
          <w:cols w:equalWidth="0" w:num="1">
            <w:col w:w="9980"/>
          </w:cols>
          <w:pgMar w:left="1240" w:top="1440" w:right="680" w:bottom="1440" w:gutter="0" w:footer="0" w:header="0"/>
        </w:sectPr>
      </w:pPr>
    </w:p>
    <w:bookmarkStart w:id="890" w:name="page891"/>
    <w:bookmarkEnd w:id="89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14.17</w:t>
      </w:r>
      <w:r>
        <w:rPr>
          <w:sz w:val="20"/>
          <w:szCs w:val="20"/>
          <w:color w:val="auto"/>
        </w:rPr>
        <w:tab/>
      </w:r>
      <w:r>
        <w:rPr>
          <w:rFonts w:ascii="Arial" w:cs="Arial" w:eastAsia="Arial" w:hAnsi="Arial"/>
          <w:sz w:val="14"/>
          <w:szCs w:val="14"/>
          <w:b w:val="1"/>
          <w:bCs w:val="1"/>
          <w:color w:val="auto"/>
        </w:rPr>
        <w:t>Counterparts</w:t>
      </w:r>
    </w:p>
    <w:p>
      <w:pPr>
        <w:spacing w:after="0" w:line="200" w:lineRule="exact"/>
        <w:rPr>
          <w:sz w:val="20"/>
          <w:szCs w:val="20"/>
          <w:color w:val="auto"/>
        </w:rPr>
      </w:pPr>
    </w:p>
    <w:p>
      <w:pPr>
        <w:spacing w:after="0" w:line="230" w:lineRule="exact"/>
        <w:rPr>
          <w:sz w:val="20"/>
          <w:szCs w:val="20"/>
          <w:color w:val="auto"/>
        </w:rPr>
      </w:pPr>
    </w:p>
    <w:p>
      <w:pPr>
        <w:jc w:val="both"/>
        <w:ind w:left="580" w:right="20"/>
        <w:spacing w:after="0" w:line="450" w:lineRule="auto"/>
        <w:rPr>
          <w:sz w:val="20"/>
          <w:szCs w:val="20"/>
          <w:color w:val="auto"/>
        </w:rPr>
      </w:pPr>
      <w:r>
        <w:rPr>
          <w:rFonts w:ascii="Arial" w:cs="Arial" w:eastAsia="Arial" w:hAnsi="Arial"/>
          <w:sz w:val="16"/>
          <w:szCs w:val="16"/>
          <w:color w:val="auto"/>
        </w:rPr>
        <w:t>This Agreement may be executed simultaneously in any number of counterparts by digital or telephonic facsimile transmission (including PDF), each of which will be an original and both of which, together, will constitute a single agreement.</w:t>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14.18</w:t>
      </w:r>
      <w:r>
        <w:rPr>
          <w:sz w:val="20"/>
          <w:szCs w:val="20"/>
          <w:color w:val="auto"/>
        </w:rPr>
        <w:tab/>
      </w:r>
      <w:r>
        <w:rPr>
          <w:rFonts w:ascii="Arial" w:cs="Arial" w:eastAsia="Arial" w:hAnsi="Arial"/>
          <w:sz w:val="14"/>
          <w:szCs w:val="14"/>
          <w:b w:val="1"/>
          <w:bCs w:val="1"/>
          <w:color w:val="auto"/>
        </w:rPr>
        <w:t>Relationship of the Parties</w:t>
      </w:r>
    </w:p>
    <w:p>
      <w:pPr>
        <w:spacing w:after="0" w:line="200" w:lineRule="exact"/>
        <w:rPr>
          <w:sz w:val="20"/>
          <w:szCs w:val="20"/>
          <w:color w:val="auto"/>
        </w:rPr>
      </w:pPr>
    </w:p>
    <w:p>
      <w:pPr>
        <w:spacing w:after="0" w:line="230" w:lineRule="exact"/>
        <w:rPr>
          <w:sz w:val="20"/>
          <w:szCs w:val="20"/>
          <w:color w:val="auto"/>
        </w:rPr>
      </w:pPr>
    </w:p>
    <w:p>
      <w:pPr>
        <w:jc w:val="both"/>
        <w:ind w:left="580"/>
        <w:spacing w:after="0" w:line="493" w:lineRule="auto"/>
        <w:rPr>
          <w:sz w:val="20"/>
          <w:szCs w:val="20"/>
          <w:color w:val="auto"/>
        </w:rPr>
      </w:pPr>
      <w:r>
        <w:rPr>
          <w:rFonts w:ascii="Arial" w:cs="Arial" w:eastAsia="Arial" w:hAnsi="Arial"/>
          <w:sz w:val="14"/>
          <w:szCs w:val="14"/>
          <w:color w:val="auto"/>
        </w:rPr>
        <w:t>In entering into this Agreement and performing their respective duties and obligations with respect to the Agreement, the Parties are acting, and intend to be treated, as independent entities, and the activities and resources of each Party shall be managed by such Party, acting independently and in its individual capacity. The relationship between the Parties is that of independent contractors, and neither Party shall have the power to bind or obligate the other Party in any manner. Nothing contained in this Agreement shall be construed or implied to create an agency, partnership, joint venture, fiduciary, or employer-employee relationship between the Parties. Except as otherwise expressly provided in this Agreement, neither Party may make any representation, warranty or commitment, whether express or implied, on behalf of or incur any charges or expenses for or in the name of the other Party. Neither Party shall hold itself out, or take any action, contrary to the terms of this Section 14.18 (Relationship of the Parties), and neither Party shall become liable due to any such representation, warranty, commitment, act or omission made by the other Party contrary to the provisions of this Section 14.18 (Relationship of the Parties). Subject to the terms of this Agreement, the activities and resources of each Party shall be managed by such Party, acting independently and in its individual capacity.</w:t>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121</w:t>
      </w:r>
    </w:p>
    <w:p>
      <w:pPr>
        <w:sectPr>
          <w:pgSz w:w="11900" w:h="16840" w:orient="portrait"/>
          <w:cols w:equalWidth="0" w:num="1">
            <w:col w:w="10580"/>
          </w:cols>
          <w:pgMar w:left="660" w:top="1440" w:right="660" w:bottom="1440" w:gutter="0" w:footer="0" w:header="0"/>
        </w:sectPr>
      </w:pPr>
    </w:p>
    <w:bookmarkStart w:id="891" w:name="page892"/>
    <w:bookmarkEnd w:id="891"/>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caused this Agreement to be executed by their duly authorized representatives.</w:t>
      </w:r>
    </w:p>
    <w:p>
      <w:pPr>
        <w:sectPr>
          <w:pgSz w:w="11900" w:h="16840" w:orient="portrait"/>
          <w:cols w:equalWidth="0" w:num="1">
            <w:col w:w="9800"/>
          </w:cols>
          <w:pgMar w:left="660" w:top="1440"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BIOTHEUS INC.</w:t>
      </w:r>
    </w:p>
    <w:p>
      <w:pPr>
        <w:spacing w:after="0" w:line="138" w:lineRule="exact"/>
        <w:rPr>
          <w:sz w:val="20"/>
          <w:szCs w:val="20"/>
          <w:color w:val="auto"/>
        </w:rPr>
      </w:pPr>
    </w:p>
    <w:p>
      <w:pPr>
        <w:ind w:left="60"/>
        <w:spacing w:after="0" w:line="195" w:lineRule="exact"/>
        <w:rPr>
          <w:sz w:val="20"/>
          <w:szCs w:val="20"/>
          <w:color w:val="auto"/>
        </w:rPr>
      </w:pPr>
      <w:r>
        <w:rPr>
          <w:rFonts w:ascii="Arial" w:cs="Arial" w:eastAsia="Arial" w:hAnsi="Arial"/>
          <w:sz w:val="16"/>
          <w:szCs w:val="16"/>
          <w:b w:val="1"/>
          <w:bCs w:val="1"/>
          <w:color w:val="auto"/>
        </w:rPr>
        <w:t>(</w:t>
      </w:r>
      <w:r>
        <w:rPr>
          <w:rFonts w:ascii="SimSun" w:cs="SimSun" w:eastAsia="SimSun" w:hAnsi="SimSun"/>
          <w:sz w:val="16"/>
          <w:szCs w:val="16"/>
          <w:b w:val="1"/>
          <w:bCs w:val="1"/>
          <w:color w:val="auto"/>
        </w:rPr>
        <w:t>普米斯生物技术</w:t>
      </w:r>
      <w:r>
        <w:rPr>
          <w:rFonts w:ascii="Times New Roman" w:cs="Times New Roman" w:eastAsia="Times New Roman" w:hAnsi="Times New Roman"/>
          <w:sz w:val="16"/>
          <w:szCs w:val="16"/>
          <w:b w:val="1"/>
          <w:bCs w:val="1"/>
          <w:color w:val="auto"/>
        </w:rPr>
        <w:t>(</w:t>
      </w:r>
      <w:r>
        <w:rPr>
          <w:rFonts w:ascii="SimSun" w:cs="SimSun" w:eastAsia="SimSun" w:hAnsi="SimSun"/>
          <w:sz w:val="16"/>
          <w:szCs w:val="16"/>
          <w:b w:val="1"/>
          <w:bCs w:val="1"/>
          <w:color w:val="auto"/>
        </w:rPr>
        <w:t>珠海</w:t>
      </w:r>
      <w:r>
        <w:rPr>
          <w:rFonts w:ascii="Times New Roman" w:cs="Times New Roman" w:eastAsia="Times New Roman" w:hAnsi="Times New Roman"/>
          <w:sz w:val="16"/>
          <w:szCs w:val="16"/>
          <w:b w:val="1"/>
          <w:bCs w:val="1"/>
          <w:color w:val="auto"/>
        </w:rPr>
        <w:t>)</w:t>
      </w:r>
      <w:r>
        <w:rPr>
          <w:rFonts w:ascii="SimSun" w:cs="SimSun" w:eastAsia="SimSun" w:hAnsi="SimSun"/>
          <w:sz w:val="16"/>
          <w:szCs w:val="16"/>
          <w:b w:val="1"/>
          <w:bCs w:val="1"/>
          <w:color w:val="auto"/>
        </w:rPr>
        <w:t>有限公司</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By: /s/ Xiaolin Liu</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 Xiaolin Liu</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Title: CEO</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BIONTECH 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By: /s/ Jens Holstein</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 Jens Holstein</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6"/>
          <w:szCs w:val="16"/>
          <w:color w:val="auto"/>
        </w:rPr>
        <w:t>By: /s/ Sierk Poetting</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 Sierk Poetting</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140"/>
        <w:spacing w:after="0"/>
        <w:rPr>
          <w:sz w:val="20"/>
          <w:szCs w:val="20"/>
          <w:color w:val="auto"/>
        </w:rPr>
      </w:pPr>
      <w:r>
        <w:rPr>
          <w:rFonts w:ascii="Arial" w:cs="Arial" w:eastAsia="Arial" w:hAnsi="Arial"/>
          <w:sz w:val="16"/>
          <w:szCs w:val="16"/>
          <w:i w:val="1"/>
          <w:iCs w:val="1"/>
          <w:color w:val="auto"/>
        </w:rPr>
        <w:t>[Signature Page to the Collaboration, License and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122</w:t>
      </w:r>
    </w:p>
    <w:p>
      <w:pPr>
        <w:sectPr>
          <w:pgSz w:w="11900" w:h="16840" w:orient="portrait"/>
          <w:cols w:equalWidth="0" w:num="1">
            <w:col w:w="9800"/>
          </w:cols>
          <w:pgMar w:left="660" w:top="1440" w:right="1440" w:bottom="1440" w:gutter="0" w:footer="0" w:header="0"/>
          <w:type w:val="continuous"/>
        </w:sectPr>
      </w:pPr>
    </w:p>
    <w:bookmarkStart w:id="892" w:name="page893"/>
    <w:bookmarkEnd w:id="892"/>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1</w:t>
      </w:r>
    </w:p>
    <w:p>
      <w:pPr>
        <w:spacing w:after="0" w:line="128" w:lineRule="exact"/>
        <w:rPr>
          <w:sz w:val="20"/>
          <w:szCs w:val="20"/>
          <w:color w:val="auto"/>
        </w:rPr>
      </w:pPr>
    </w:p>
    <w:p>
      <w:pPr>
        <w:jc w:val="right"/>
        <w:ind w:right="3480"/>
        <w:spacing w:after="0"/>
        <w:rPr>
          <w:sz w:val="20"/>
          <w:szCs w:val="20"/>
          <w:color w:val="auto"/>
        </w:rPr>
      </w:pPr>
      <w:r>
        <w:rPr>
          <w:rFonts w:ascii="Arial" w:cs="Arial" w:eastAsia="Arial" w:hAnsi="Arial"/>
          <w:sz w:val="16"/>
          <w:szCs w:val="16"/>
          <w:b w:val="1"/>
          <w:bCs w:val="1"/>
          <w:color w:val="auto"/>
        </w:rPr>
        <w:t>GLOBAL CDP &amp; JOINT CDP</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123</w:t>
      </w:r>
    </w:p>
    <w:p>
      <w:pPr>
        <w:sectPr>
          <w:pgSz w:w="11900" w:h="16840" w:orient="portrait"/>
          <w:cols w:equalWidth="0" w:num="1">
            <w:col w:w="9800"/>
          </w:cols>
          <w:pgMar w:left="660" w:top="1440" w:right="1440" w:bottom="1440" w:gutter="0" w:footer="0" w:header="0"/>
        </w:sectPr>
      </w:pPr>
    </w:p>
    <w:bookmarkStart w:id="893" w:name="page894"/>
    <w:bookmarkEnd w:id="893"/>
    <w:p>
      <w:pPr>
        <w:spacing w:after="0" w:line="200" w:lineRule="exact"/>
        <w:rPr>
          <w:sz w:val="20"/>
          <w:szCs w:val="20"/>
          <w:color w:val="auto"/>
        </w:rPr>
      </w:pPr>
    </w:p>
    <w:p>
      <w:pPr>
        <w:spacing w:after="0" w:line="34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Schedule 2</w:t>
      </w:r>
    </w:p>
    <w:p>
      <w:pPr>
        <w:spacing w:after="0" w:line="128"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EXCEPTIONS TO REPRESENTATIONS AND WARRANTIES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124</w:t>
      </w:r>
    </w:p>
    <w:p>
      <w:pPr>
        <w:sectPr>
          <w:pgSz w:w="11900" w:h="16840" w:orient="portrait"/>
          <w:cols w:equalWidth="0" w:num="1">
            <w:col w:w="9020"/>
          </w:cols>
          <w:pgMar w:left="1440" w:top="1440" w:right="1440" w:bottom="1440" w:gutter="0" w:footer="0" w:header="0"/>
        </w:sectPr>
      </w:pPr>
    </w:p>
    <w:bookmarkStart w:id="894" w:name="page895"/>
    <w:bookmarkEnd w:id="894"/>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3</w:t>
      </w:r>
    </w:p>
    <w:p>
      <w:pPr>
        <w:spacing w:after="0" w:line="128" w:lineRule="exact"/>
        <w:rPr>
          <w:sz w:val="20"/>
          <w:szCs w:val="20"/>
          <w:color w:val="auto"/>
        </w:rPr>
      </w:pPr>
    </w:p>
    <w:p>
      <w:pPr>
        <w:jc w:val="right"/>
        <w:ind w:right="3480"/>
        <w:spacing w:after="0"/>
        <w:rPr>
          <w:sz w:val="20"/>
          <w:szCs w:val="20"/>
          <w:color w:val="auto"/>
        </w:rPr>
      </w:pPr>
      <w:r>
        <w:rPr>
          <w:rFonts w:ascii="Arial" w:cs="Arial" w:eastAsia="Arial" w:hAnsi="Arial"/>
          <w:sz w:val="16"/>
          <w:szCs w:val="16"/>
          <w:b w:val="1"/>
          <w:bCs w:val="1"/>
          <w:color w:val="auto"/>
        </w:rPr>
        <w:t>LICENSED PATENT RIGHTS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125</w:t>
      </w:r>
    </w:p>
    <w:p>
      <w:pPr>
        <w:sectPr>
          <w:pgSz w:w="11900" w:h="16840" w:orient="portrait"/>
          <w:cols w:equalWidth="0" w:num="1">
            <w:col w:w="9800"/>
          </w:cols>
          <w:pgMar w:left="660" w:top="1440" w:right="1440" w:bottom="1440" w:gutter="0" w:footer="0" w:header="0"/>
        </w:sectPr>
      </w:pPr>
    </w:p>
    <w:bookmarkStart w:id="895" w:name="page896"/>
    <w:bookmarkEnd w:id="895"/>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4</w:t>
      </w:r>
    </w:p>
    <w:p>
      <w:pPr>
        <w:spacing w:after="0" w:line="128" w:lineRule="exact"/>
        <w:rPr>
          <w:sz w:val="20"/>
          <w:szCs w:val="20"/>
          <w:color w:val="auto"/>
        </w:rPr>
      </w:pPr>
    </w:p>
    <w:p>
      <w:pPr>
        <w:jc w:val="right"/>
        <w:ind w:right="2860"/>
        <w:spacing w:after="0"/>
        <w:rPr>
          <w:sz w:val="20"/>
          <w:szCs w:val="20"/>
          <w:color w:val="auto"/>
        </w:rPr>
      </w:pPr>
      <w:r>
        <w:rPr>
          <w:rFonts w:ascii="Arial" w:cs="Arial" w:eastAsia="Arial" w:hAnsi="Arial"/>
          <w:sz w:val="16"/>
          <w:szCs w:val="16"/>
          <w:b w:val="1"/>
          <w:bCs w:val="1"/>
          <w:color w:val="auto"/>
        </w:rPr>
        <w:t>MANUFACTURING AND CMC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126</w:t>
      </w:r>
    </w:p>
    <w:p>
      <w:pPr>
        <w:sectPr>
          <w:pgSz w:w="11900" w:h="16840" w:orient="portrait"/>
          <w:cols w:equalWidth="0" w:num="1">
            <w:col w:w="9800"/>
          </w:cols>
          <w:pgMar w:left="660" w:top="1440" w:right="1440" w:bottom="1440" w:gutter="0" w:footer="0" w:header="0"/>
        </w:sectPr>
      </w:pPr>
    </w:p>
    <w:bookmarkStart w:id="896" w:name="page897"/>
    <w:bookmarkEnd w:id="896"/>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5</w:t>
      </w:r>
    </w:p>
    <w:p>
      <w:pPr>
        <w:spacing w:after="0" w:line="128" w:lineRule="exact"/>
        <w:rPr>
          <w:sz w:val="20"/>
          <w:szCs w:val="20"/>
          <w:color w:val="auto"/>
        </w:rPr>
      </w:pPr>
    </w:p>
    <w:p>
      <w:pPr>
        <w:jc w:val="right"/>
        <w:ind w:right="3040"/>
        <w:spacing w:after="0"/>
        <w:rPr>
          <w:sz w:val="20"/>
          <w:szCs w:val="20"/>
          <w:color w:val="auto"/>
        </w:rPr>
      </w:pPr>
      <w:r>
        <w:rPr>
          <w:rFonts w:ascii="Arial" w:cs="Arial" w:eastAsia="Arial" w:hAnsi="Arial"/>
          <w:sz w:val="16"/>
          <w:szCs w:val="16"/>
          <w:b w:val="1"/>
          <w:bCs w:val="1"/>
          <w:color w:val="auto"/>
        </w:rPr>
        <w:t>BIONTECH BACKGROUND KNOW-HOW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127</w:t>
      </w:r>
    </w:p>
    <w:p>
      <w:pPr>
        <w:sectPr>
          <w:pgSz w:w="11900" w:h="16840" w:orient="portrait"/>
          <w:cols w:equalWidth="0" w:num="1">
            <w:col w:w="9800"/>
          </w:cols>
          <w:pgMar w:left="660" w:top="1440" w:right="1440" w:bottom="1440" w:gutter="0" w:footer="0" w:header="0"/>
        </w:sectPr>
      </w:pPr>
    </w:p>
    <w:bookmarkStart w:id="897" w:name="page898"/>
    <w:bookmarkEnd w:id="8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6</w:t>
      </w:r>
    </w:p>
    <w:p>
      <w:pPr>
        <w:spacing w:after="0" w:line="128" w:lineRule="exact"/>
        <w:rPr>
          <w:sz w:val="20"/>
          <w:szCs w:val="20"/>
          <w:color w:val="auto"/>
        </w:rPr>
      </w:pPr>
    </w:p>
    <w:p>
      <w:pPr>
        <w:jc w:val="right"/>
        <w:ind w:right="3420"/>
        <w:spacing w:after="0"/>
        <w:rPr>
          <w:sz w:val="20"/>
          <w:szCs w:val="20"/>
          <w:color w:val="auto"/>
        </w:rPr>
      </w:pPr>
      <w:r>
        <w:rPr>
          <w:rFonts w:ascii="Arial" w:cs="Arial" w:eastAsia="Arial" w:hAnsi="Arial"/>
          <w:sz w:val="16"/>
          <w:szCs w:val="16"/>
          <w:b w:val="1"/>
          <w:bCs w:val="1"/>
          <w:color w:val="auto"/>
        </w:rPr>
        <w:t>BIOTHEUS BACKGROUND IP</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128</w:t>
      </w:r>
    </w:p>
    <w:p>
      <w:pPr>
        <w:sectPr>
          <w:pgSz w:w="11900" w:h="16840" w:orient="portrait"/>
          <w:cols w:equalWidth="0" w:num="1">
            <w:col w:w="9800"/>
          </w:cols>
          <w:pgMar w:left="660" w:top="1440" w:right="1440" w:bottom="1440" w:gutter="0" w:footer="0" w:header="0"/>
        </w:sectPr>
      </w:pPr>
    </w:p>
    <w:bookmarkStart w:id="898" w:name="page899"/>
    <w:bookmarkEnd w:id="8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7</w:t>
      </w:r>
    </w:p>
    <w:p>
      <w:pPr>
        <w:spacing w:after="0" w:line="128" w:lineRule="exact"/>
        <w:rPr>
          <w:sz w:val="20"/>
          <w:szCs w:val="20"/>
          <w:color w:val="auto"/>
        </w:rPr>
      </w:pPr>
    </w:p>
    <w:p>
      <w:pPr>
        <w:jc w:val="right"/>
        <w:ind w:right="3520"/>
        <w:spacing w:after="0"/>
        <w:rPr>
          <w:sz w:val="20"/>
          <w:szCs w:val="20"/>
          <w:color w:val="auto"/>
        </w:rPr>
      </w:pPr>
      <w:r>
        <w:rPr>
          <w:rFonts w:ascii="Arial" w:cs="Arial" w:eastAsia="Arial" w:hAnsi="Arial"/>
          <w:sz w:val="16"/>
          <w:szCs w:val="16"/>
          <w:b w:val="1"/>
          <w:bCs w:val="1"/>
          <w:color w:val="auto"/>
        </w:rPr>
        <w:t>BIONTECH COMPETITORS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129</w:t>
      </w:r>
    </w:p>
    <w:p>
      <w:pPr>
        <w:sectPr>
          <w:pgSz w:w="11900" w:h="16840" w:orient="portrait"/>
          <w:cols w:equalWidth="0" w:num="1">
            <w:col w:w="9800"/>
          </w:cols>
          <w:pgMar w:left="660" w:top="1440" w:right="1440" w:bottom="1440" w:gutter="0" w:footer="0" w:header="0"/>
        </w:sectPr>
      </w:pPr>
    </w:p>
    <w:bookmarkStart w:id="899" w:name="page900"/>
    <w:bookmarkEnd w:id="899"/>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8</w:t>
      </w:r>
    </w:p>
    <w:p>
      <w:pPr>
        <w:spacing w:after="0" w:line="128" w:lineRule="exact"/>
        <w:rPr>
          <w:sz w:val="20"/>
          <w:szCs w:val="20"/>
          <w:color w:val="auto"/>
        </w:rPr>
      </w:pPr>
    </w:p>
    <w:p>
      <w:pPr>
        <w:jc w:val="right"/>
        <w:ind w:right="3460"/>
        <w:spacing w:after="0"/>
        <w:rPr>
          <w:sz w:val="20"/>
          <w:szCs w:val="20"/>
          <w:color w:val="auto"/>
        </w:rPr>
      </w:pPr>
      <w:r>
        <w:rPr>
          <w:rFonts w:ascii="Arial" w:cs="Arial" w:eastAsia="Arial" w:hAnsi="Arial"/>
          <w:sz w:val="16"/>
          <w:szCs w:val="16"/>
          <w:b w:val="1"/>
          <w:bCs w:val="1"/>
          <w:color w:val="auto"/>
        </w:rPr>
        <w:t>(A) BIOTHEUS IN-LICENSES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130</w:t>
      </w:r>
    </w:p>
    <w:p>
      <w:pPr>
        <w:sectPr>
          <w:pgSz w:w="11900" w:h="16840" w:orient="portrait"/>
          <w:cols w:equalWidth="0" w:num="1">
            <w:col w:w="9800"/>
          </w:cols>
          <w:pgMar w:left="660" w:top="1440" w:right="1440" w:bottom="1440" w:gutter="0" w:footer="0" w:header="0"/>
        </w:sectPr>
      </w:pPr>
    </w:p>
    <w:bookmarkStart w:id="900" w:name="page901"/>
    <w:bookmarkEnd w:id="900"/>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9</w:t>
      </w:r>
    </w:p>
    <w:p>
      <w:pPr>
        <w:spacing w:after="0" w:line="128" w:lineRule="exact"/>
        <w:rPr>
          <w:sz w:val="20"/>
          <w:szCs w:val="20"/>
          <w:color w:val="auto"/>
        </w:rPr>
      </w:pPr>
    </w:p>
    <w:p>
      <w:pPr>
        <w:jc w:val="right"/>
        <w:ind w:right="3440"/>
        <w:spacing w:after="0"/>
        <w:rPr>
          <w:sz w:val="20"/>
          <w:szCs w:val="20"/>
          <w:color w:val="auto"/>
        </w:rPr>
      </w:pPr>
      <w:r>
        <w:rPr>
          <w:rFonts w:ascii="Arial" w:cs="Arial" w:eastAsia="Arial" w:hAnsi="Arial"/>
          <w:sz w:val="16"/>
          <w:szCs w:val="16"/>
          <w:b w:val="1"/>
          <w:bCs w:val="1"/>
          <w:color w:val="auto"/>
        </w:rPr>
        <w:t>BIOTHEUS PRESS RELEASE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131</w:t>
      </w:r>
    </w:p>
    <w:p>
      <w:pPr>
        <w:sectPr>
          <w:pgSz w:w="11900" w:h="16840" w:orient="portrait"/>
          <w:cols w:equalWidth="0" w:num="1">
            <w:col w:w="9800"/>
          </w:cols>
          <w:pgMar w:left="660" w:top="1440" w:right="1440" w:bottom="1440" w:gutter="0" w:footer="0" w:header="0"/>
        </w:sectPr>
      </w:pPr>
    </w:p>
    <w:bookmarkStart w:id="901" w:name="page902"/>
    <w:bookmarkEnd w:id="901"/>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10</w:t>
      </w:r>
    </w:p>
    <w:p>
      <w:pPr>
        <w:spacing w:after="0" w:line="128" w:lineRule="exact"/>
        <w:rPr>
          <w:sz w:val="20"/>
          <w:szCs w:val="20"/>
          <w:color w:val="auto"/>
        </w:rPr>
      </w:pPr>
    </w:p>
    <w:p>
      <w:pPr>
        <w:jc w:val="right"/>
        <w:ind w:right="3320"/>
        <w:spacing w:after="0"/>
        <w:rPr>
          <w:sz w:val="20"/>
          <w:szCs w:val="20"/>
          <w:color w:val="auto"/>
        </w:rPr>
      </w:pPr>
      <w:r>
        <w:rPr>
          <w:rFonts w:ascii="Arial" w:cs="Arial" w:eastAsia="Arial" w:hAnsi="Arial"/>
          <w:sz w:val="16"/>
          <w:szCs w:val="16"/>
          <w:b w:val="1"/>
          <w:bCs w:val="1"/>
          <w:color w:val="auto"/>
        </w:rPr>
        <w:t>PM8002 LICENSED COMPOUND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132</w:t>
      </w:r>
    </w:p>
    <w:p>
      <w:pPr>
        <w:sectPr>
          <w:pgSz w:w="11900" w:h="16840" w:orient="portrait"/>
          <w:cols w:equalWidth="0" w:num="1">
            <w:col w:w="9800"/>
          </w:cols>
          <w:pgMar w:left="660" w:top="1440" w:right="1440" w:bottom="1440" w:gutter="0" w:footer="0" w:header="0"/>
        </w:sectPr>
      </w:pPr>
    </w:p>
    <w:bookmarkStart w:id="902" w:name="page903"/>
    <w:bookmarkEnd w:id="902"/>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Schedule 11</w:t>
      </w:r>
    </w:p>
    <w:p>
      <w:pPr>
        <w:spacing w:after="0" w:line="128" w:lineRule="exact"/>
        <w:rPr>
          <w:sz w:val="20"/>
          <w:szCs w:val="20"/>
          <w:color w:val="auto"/>
        </w:rPr>
      </w:pPr>
    </w:p>
    <w:p>
      <w:pPr>
        <w:jc w:val="right"/>
        <w:ind w:right="3320"/>
        <w:spacing w:after="0"/>
        <w:rPr>
          <w:sz w:val="20"/>
          <w:szCs w:val="20"/>
          <w:color w:val="auto"/>
        </w:rPr>
      </w:pPr>
      <w:r>
        <w:rPr>
          <w:rFonts w:ascii="Arial" w:cs="Arial" w:eastAsia="Arial" w:hAnsi="Arial"/>
          <w:sz w:val="16"/>
          <w:szCs w:val="16"/>
          <w:b w:val="1"/>
          <w:bCs w:val="1"/>
          <w:color w:val="auto"/>
        </w:rPr>
        <w:t>PM8003 LICENSED COMPOUND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133</w:t>
      </w:r>
    </w:p>
    <w:p>
      <w:pPr>
        <w:sectPr>
          <w:pgSz w:w="11900" w:h="16840" w:orient="portrait"/>
          <w:cols w:equalWidth="0" w:num="1">
            <w:col w:w="9800"/>
          </w:cols>
          <w:pgMar w:left="660" w:top="1440" w:right="1440" w:bottom="1440" w:gutter="0" w:footer="0" w:header="0"/>
        </w:sectPr>
      </w:pPr>
    </w:p>
    <w:bookmarkStart w:id="903" w:name="page904"/>
    <w:bookmarkEnd w:id="903"/>
    <w:p>
      <w:pPr>
        <w:jc w:val="right"/>
        <w:spacing w:after="0"/>
        <w:rPr>
          <w:sz w:val="20"/>
          <w:szCs w:val="20"/>
          <w:color w:val="auto"/>
        </w:rPr>
      </w:pPr>
      <w:r>
        <w:rPr>
          <w:rFonts w:ascii="Times New Roman" w:cs="Times New Roman" w:eastAsia="Times New Roman" w:hAnsi="Times New Roman"/>
          <w:sz w:val="16"/>
          <w:szCs w:val="16"/>
          <w:b w:val="1"/>
          <w:bCs w:val="1"/>
          <w:color w:val="auto"/>
        </w:rPr>
        <w:t>Exhibit 4.54</w:t>
      </w:r>
    </w:p>
    <w:p>
      <w:pPr>
        <w:spacing w:after="0" w:line="68" w:lineRule="exact"/>
        <w:rPr>
          <w:sz w:val="20"/>
          <w:szCs w:val="20"/>
          <w:color w:val="auto"/>
        </w:rPr>
      </w:pPr>
    </w:p>
    <w:p>
      <w:pPr>
        <w:ind w:left="320" w:right="280" w:firstLine="2"/>
        <w:spacing w:after="0" w:line="235" w:lineRule="auto"/>
        <w:tabs>
          <w:tab w:leader="none" w:pos="692" w:val="left"/>
        </w:tabs>
        <w:numPr>
          <w:ilvl w:val="0"/>
          <w:numId w:val="8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Certain information in this document has been omitted from this exhibit because it is both (i) not material and (ii)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LICENSE AND OPTION AGREEMENT</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AUTOLUS LIMITED</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AUTOLUS HOLDINGS (UK) LIMITED</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299246678 v1</w:t>
      </w:r>
    </w:p>
    <w:p>
      <w:pPr>
        <w:sectPr>
          <w:pgSz w:w="11900" w:h="16840" w:orient="portrait"/>
          <w:cols w:equalWidth="0" w:num="1">
            <w:col w:w="10560"/>
          </w:cols>
          <w:pgMar w:left="680" w:top="555" w:right="660" w:bottom="1440" w:gutter="0" w:footer="0" w:header="0"/>
        </w:sectPr>
      </w:pPr>
    </w:p>
    <w:bookmarkStart w:id="904" w:name="page905"/>
    <w:bookmarkEnd w:id="90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Definitions.  1</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Scope and Governance.</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Overview</w:t>
            </w:r>
            <w:r>
              <w:rPr>
                <w:rFonts w:ascii="Times New Roman" w:cs="Times New Roman" w:eastAsia="Times New Roman" w:hAnsi="Times New Roman"/>
                <w:sz w:val="18"/>
                <w:szCs w:val="18"/>
                <w:color w:val="auto"/>
              </w:rPr>
              <w:t>.</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24</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Alliance Managers</w:t>
            </w:r>
            <w:r>
              <w:rPr>
                <w:rFonts w:ascii="Times New Roman" w:cs="Times New Roman" w:eastAsia="Times New Roman" w:hAnsi="Times New Roman"/>
                <w:sz w:val="18"/>
                <w:szCs w:val="18"/>
                <w:color w:val="auto"/>
                <w:w w:val="99"/>
              </w:rPr>
              <w: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Subcommittees</w:t>
            </w:r>
            <w:r>
              <w:rPr>
                <w:rFonts w:ascii="Times New Roman" w:cs="Times New Roman" w:eastAsia="Times New Roman" w:hAnsi="Times New Roman"/>
                <w:sz w:val="18"/>
                <w:szCs w:val="18"/>
                <w:color w:val="auto"/>
              </w:rPr>
              <w:t>.   26</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Collaboration Agreements.   26</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 and Commercial Services Agreement</w:t>
            </w:r>
          </w:p>
        </w:tc>
        <w:tc>
          <w:tcPr>
            <w:tcW w:w="1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9"/>
              </w:rPr>
              <w:t>26</w:t>
            </w: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Collaboration Agreement</w:t>
            </w:r>
          </w:p>
        </w:tc>
        <w:tc>
          <w:tcPr>
            <w:tcW w:w="10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27</w:t>
            </w:r>
          </w:p>
        </w:tc>
      </w:tr>
      <w:tr>
        <w:trPr>
          <w:trHeight w:val="28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Product Options.   27</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Options</w:t>
            </w:r>
            <w:r>
              <w:rPr>
                <w:rFonts w:ascii="Times New Roman" w:cs="Times New Roman" w:eastAsia="Times New Roman" w:hAnsi="Times New Roman"/>
                <w:sz w:val="18"/>
                <w:szCs w:val="18"/>
                <w:color w:val="auto"/>
              </w:rPr>
              <w:t>.</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of Data</w:t>
            </w:r>
            <w:r>
              <w:rPr>
                <w:rFonts w:ascii="Times New Roman" w:cs="Times New Roman" w:eastAsia="Times New Roman" w:hAnsi="Times New Roman"/>
                <w:sz w:val="18"/>
                <w:szCs w:val="18"/>
                <w:color w:val="auto"/>
              </w:rPr>
              <w:t>.</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Negotiation of Product Agreement</w:t>
            </w:r>
          </w:p>
        </w:tc>
        <w:tc>
          <w:tcPr>
            <w:tcW w:w="15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29</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Exercise Option or Rejection of Baseball Arbitration</w:t>
            </w:r>
            <w:r>
              <w:rPr>
                <w:rFonts w:ascii="Times New Roman" w:cs="Times New Roman" w:eastAsia="Times New Roman" w:hAnsi="Times New Roman"/>
                <w:sz w:val="18"/>
                <w:szCs w:val="18"/>
                <w:color w:val="auto"/>
              </w:rPr>
              <w:t>.   30</w:t>
            </w: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Rights of BioNTech if Autolus does not wish to Develop.</w:t>
            </w: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Next Generation Products Option.</w:t>
            </w:r>
          </w:p>
        </w:tc>
        <w:tc>
          <w:tcPr>
            <w:tcW w:w="15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Negotiation of Next Gen Product Agreement </w:t>
            </w:r>
            <w:r>
              <w:rPr>
                <w:rFonts w:ascii="Times New Roman" w:cs="Times New Roman" w:eastAsia="Times New Roman" w:hAnsi="Times New Roman"/>
                <w:sz w:val="18"/>
                <w:szCs w:val="18"/>
                <w:color w:val="auto"/>
              </w:rPr>
              <w:t>.   33</w:t>
            </w:r>
          </w:p>
        </w:tc>
        <w:tc>
          <w:tcPr>
            <w:tcW w:w="1020" w:type="dxa"/>
            <w:vAlign w:val="bottom"/>
          </w:tcPr>
          <w:p>
            <w:pPr>
              <w:spacing w:after="0"/>
              <w:rPr>
                <w:sz w:val="24"/>
                <w:szCs w:val="24"/>
                <w:color w:val="auto"/>
              </w:rPr>
            </w:pPr>
          </w:p>
        </w:tc>
      </w:tr>
    </w:tbl>
    <w:p>
      <w:pPr>
        <w:spacing w:after="0" w:line="50" w:lineRule="exact"/>
        <w:rPr>
          <w:sz w:val="20"/>
          <w:szCs w:val="20"/>
          <w:color w:val="auto"/>
        </w:rPr>
      </w:pPr>
    </w:p>
    <w:p>
      <w:pPr>
        <w:ind w:left="580"/>
        <w:spacing w:after="0"/>
        <w:tabs>
          <w:tab w:leader="none" w:pos="3660" w:val="left"/>
        </w:tabs>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Referral to Baseball Arbitration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
        <w:t>33</w:t>
      </w:r>
    </w:p>
    <w:p>
      <w:pPr>
        <w:spacing w:after="0" w:line="81" w:lineRule="exact"/>
        <w:rPr>
          <w:sz w:val="20"/>
          <w:szCs w:val="20"/>
          <w:color w:val="auto"/>
        </w:rPr>
      </w:pPr>
    </w:p>
    <w:p>
      <w:pPr>
        <w:ind w:left="580"/>
        <w:spacing w:after="0"/>
        <w:tabs>
          <w:tab w:leader="none" w:pos="6060" w:val="left"/>
        </w:tabs>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Failure to Exercise Option or Rejection of Baseball Arbitration</w:t>
      </w:r>
      <w:r>
        <w:rPr>
          <w:rFonts w:ascii="Times New Roman" w:cs="Times New Roman" w:eastAsia="Times New Roman" w:hAnsi="Times New Roman"/>
          <w:sz w:val="18"/>
          <w:szCs w:val="18"/>
          <w:color w:val="auto"/>
        </w:rPr>
        <w:t>.</w:t>
        <w:tab/>
        <w:t>33</w:t>
      </w:r>
    </w:p>
    <w:p>
      <w:pPr>
        <w:spacing w:after="0" w:line="81" w:lineRule="exact"/>
        <w:rPr>
          <w:sz w:val="20"/>
          <w:szCs w:val="20"/>
          <w:color w:val="auto"/>
        </w:rPr>
      </w:pPr>
    </w:p>
    <w:p>
      <w:pPr>
        <w:ind w:left="580"/>
        <w:spacing w:after="0"/>
        <w:tabs>
          <w:tab w:leader="none" w:pos="3220" w:val="left"/>
        </w:tabs>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Next Gen Option Exercise.</w:t>
      </w:r>
      <w:r>
        <w:rPr>
          <w:rFonts w:ascii="Times New Roman" w:cs="Times New Roman" w:eastAsia="Times New Roman" w:hAnsi="Times New Roman"/>
          <w:sz w:val="18"/>
          <w:szCs w:val="18"/>
          <w:color w:val="auto"/>
        </w:rPr>
        <w:tab/>
        <w:t>33</w:t>
      </w:r>
    </w:p>
    <w:p>
      <w:pPr>
        <w:spacing w:after="0" w:line="81" w:lineRule="exact"/>
        <w:rPr>
          <w:sz w:val="20"/>
          <w:szCs w:val="20"/>
          <w:color w:val="auto"/>
        </w:rPr>
      </w:pPr>
    </w:p>
    <w:p>
      <w:pPr>
        <w:ind w:left="580"/>
        <w:spacing w:after="0"/>
        <w:tabs>
          <w:tab w:leader="none" w:pos="3920" w:val="left"/>
        </w:tabs>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If Autolus does not wish to Develop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
        <w:t>34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5......... License To [***] and [***] Binders.   34</w:t>
            </w:r>
          </w:p>
        </w:tc>
        <w:tc>
          <w:tcPr>
            <w:tcW w:w="400" w:type="dxa"/>
            <w:vAlign w:val="bottom"/>
          </w:tcPr>
          <w:p>
            <w:pPr>
              <w:spacing w:after="0"/>
              <w:rPr>
                <w:sz w:val="20"/>
                <w:szCs w:val="20"/>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License Grant  </w:t>
            </w:r>
            <w:r>
              <w:rPr>
                <w:rFonts w:ascii="Times New Roman" w:cs="Times New Roman" w:eastAsia="Times New Roman" w:hAnsi="Times New Roman"/>
                <w:sz w:val="18"/>
                <w:szCs w:val="18"/>
                <w:color w:val="auto"/>
              </w:rPr>
              <w:t>34</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Right of Negotiation</w:t>
            </w:r>
            <w:r>
              <w:rPr>
                <w:rFonts w:ascii="Times New Roman" w:cs="Times New Roman" w:eastAsia="Times New Roman" w:hAnsi="Times New Roman"/>
                <w:sz w:val="18"/>
                <w:szCs w:val="18"/>
                <w:color w:val="auto"/>
              </w:rPr>
              <w:t>.</w:t>
            </w: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Sublicense Rights; Subcontracting</w:t>
            </w: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35</w:t>
            </w: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Retention of Rights</w:t>
            </w:r>
            <w:r>
              <w:rPr>
                <w:rFonts w:ascii="Times New Roman" w:cs="Times New Roman" w:eastAsia="Times New Roman" w:hAnsi="Times New Roman"/>
                <w:sz w:val="18"/>
                <w:szCs w:val="18"/>
                <w:color w:val="auto"/>
              </w:rPr>
              <w:t>.</w:t>
            </w:r>
          </w:p>
        </w:tc>
        <w:tc>
          <w:tcPr>
            <w:tcW w:w="1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 Implied Licenses</w:t>
            </w:r>
            <w:r>
              <w:rPr>
                <w:rFonts w:ascii="Times New Roman" w:cs="Times New Roman" w:eastAsia="Times New Roman" w:hAnsi="Times New Roman"/>
                <w:sz w:val="18"/>
                <w:szCs w:val="18"/>
                <w:color w:val="auto"/>
              </w:rPr>
              <w:t>.</w:t>
            </w: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Scope</w:t>
            </w:r>
            <w:r>
              <w:rPr>
                <w:rFonts w:ascii="Times New Roman" w:cs="Times New Roman" w:eastAsia="Times New Roman" w:hAnsi="Times New Roman"/>
                <w:sz w:val="18"/>
                <w:szCs w:val="18"/>
                <w:color w:val="auto"/>
              </w:rPr>
              <w:t>.</w:t>
            </w:r>
          </w:p>
        </w:tc>
        <w:tc>
          <w:tcPr>
            <w:tcW w:w="11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Know-How</w:t>
            </w:r>
            <w:r>
              <w:rPr>
                <w:rFonts w:ascii="Times New Roman" w:cs="Times New Roman" w:eastAsia="Times New Roman" w:hAnsi="Times New Roman"/>
                <w:sz w:val="18"/>
                <w:szCs w:val="18"/>
                <w:color w:val="auto"/>
              </w:rPr>
              <w:t>.  36</w:t>
            </w:r>
          </w:p>
        </w:tc>
        <w:tc>
          <w:tcPr>
            <w:tcW w:w="400" w:type="dxa"/>
            <w:vAlign w:val="bottom"/>
          </w:tcPr>
          <w:p>
            <w:pPr>
              <w:spacing w:after="0"/>
              <w:rPr>
                <w:sz w:val="24"/>
                <w:szCs w:val="24"/>
                <w:color w:val="auto"/>
              </w:rPr>
            </w:pPr>
          </w:p>
        </w:tc>
      </w:tr>
      <w:tr>
        <w:trPr>
          <w:trHeight w:val="288"/>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Development and Commercialization</w:t>
            </w:r>
            <w:r>
              <w:rPr>
                <w:rFonts w:ascii="Times New Roman" w:cs="Times New Roman" w:eastAsia="Times New Roman" w:hAnsi="Times New Roman"/>
                <w:sz w:val="18"/>
                <w:szCs w:val="18"/>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299246678 v1</w:t>
      </w:r>
    </w:p>
    <w:p>
      <w:pPr>
        <w:sectPr>
          <w:pgSz w:w="11900" w:h="16840" w:orient="portrait"/>
          <w:cols w:equalWidth="0" w:num="1">
            <w:col w:w="10480"/>
          </w:cols>
          <w:pgMar w:left="660" w:top="553" w:right="760" w:bottom="1440" w:gutter="0" w:footer="0" w:header="0"/>
        </w:sectPr>
      </w:pPr>
    </w:p>
    <w:bookmarkStart w:id="905" w:name="page906"/>
    <w:bookmarkEnd w:id="90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jc w:val="center"/>
        <w:ind w:right="-99"/>
        <w:spacing w:after="0" w:line="208" w:lineRule="auto"/>
        <w:rPr>
          <w:sz w:val="20"/>
          <w:szCs w:val="20"/>
          <w:color w:val="auto"/>
        </w:rPr>
      </w:pP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5.10</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Licensed Product Diligence</w:t>
            </w:r>
            <w:r>
              <w:rPr>
                <w:rFonts w:ascii="Times New Roman" w:cs="Times New Roman" w:eastAsia="Times New Roman" w:hAnsi="Times New Roman"/>
                <w:sz w:val="18"/>
                <w:szCs w:val="18"/>
                <w:color w:val="auto"/>
              </w:rPr>
              <w:t>.  37</w:t>
            </w:r>
          </w:p>
        </w:tc>
      </w:tr>
      <w:tr>
        <w:trPr>
          <w:trHeight w:val="28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5.11</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37</w:t>
            </w:r>
          </w:p>
        </w:tc>
      </w:tr>
      <w:tr>
        <w:trPr>
          <w:trHeight w:val="288"/>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5.12</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Regulatory Matters   </w:t>
            </w:r>
            <w:r>
              <w:rPr>
                <w:rFonts w:ascii="Times New Roman" w:cs="Times New Roman" w:eastAsia="Times New Roman" w:hAnsi="Times New Roman"/>
                <w:sz w:val="18"/>
                <w:szCs w:val="18"/>
                <w:color w:val="auto"/>
              </w:rPr>
              <w:t>37</w:t>
            </w: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Technologies Options.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6.1</w:t>
            </w: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Non-Exclusive License Grant</w:t>
            </w:r>
          </w:p>
        </w:tc>
        <w:tc>
          <w:tcPr>
            <w:tcW w:w="11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38</w:t>
            </w: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6.2</w:t>
            </w:r>
          </w:p>
        </w:tc>
        <w:tc>
          <w:tcPr>
            <w:tcW w:w="3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Technologies Option Technology</w:t>
            </w:r>
            <w:r>
              <w:rPr>
                <w:rFonts w:ascii="Times New Roman" w:cs="Times New Roman" w:eastAsia="Times New Roman" w:hAnsi="Times New Roman"/>
                <w:sz w:val="18"/>
                <w:szCs w:val="18"/>
                <w:color w:val="auto"/>
              </w:rPr>
              <w:t>.</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6.3</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39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6.4</w:t>
            </w:r>
          </w:p>
        </w:tc>
        <w:tc>
          <w:tcPr>
            <w:tcW w:w="3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Gatekeeping for Other AE Licensed Products</w:t>
            </w:r>
            <w:r>
              <w:rPr>
                <w:rFonts w:ascii="Times New Roman" w:cs="Times New Roman" w:eastAsia="Times New Roman" w:hAnsi="Times New Roman"/>
                <w:sz w:val="18"/>
                <w:szCs w:val="18"/>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6.5</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Exercise</w:t>
            </w: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6.6</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Exercise Fee</w:t>
            </w:r>
            <w:r>
              <w:rPr>
                <w:rFonts w:ascii="Times New Roman" w:cs="Times New Roman" w:eastAsia="Times New Roman" w:hAnsi="Times New Roman"/>
                <w:sz w:val="18"/>
                <w:szCs w:val="18"/>
                <w:color w:val="auto"/>
              </w:rPr>
              <w:t>.</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6.7</w:t>
            </w:r>
          </w:p>
        </w:tc>
        <w:tc>
          <w:tcPr>
            <w:tcW w:w="3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Exercise Technologies Option</w:t>
            </w:r>
            <w:r>
              <w:rPr>
                <w:rFonts w:ascii="Times New Roman" w:cs="Times New Roman" w:eastAsia="Times New Roman" w:hAnsi="Times New Roman"/>
                <w:sz w:val="18"/>
                <w:szCs w:val="18"/>
                <w:color w:val="auto"/>
              </w:rPr>
              <w:t>.   44</w:t>
            </w:r>
          </w:p>
        </w:tc>
        <w:tc>
          <w:tcPr>
            <w:tcW w:w="540" w:type="dxa"/>
            <w:vAlign w:val="bottom"/>
          </w:tcPr>
          <w:p>
            <w:pPr>
              <w:spacing w:after="0"/>
              <w:rPr>
                <w:sz w:val="24"/>
                <w:szCs w:val="24"/>
                <w:color w:val="auto"/>
              </w:rPr>
            </w:pPr>
          </w:p>
        </w:tc>
      </w:tr>
      <w:tr>
        <w:trPr>
          <w:trHeight w:val="28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Obe-Cel Product.   44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7.1</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7.2</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Potential Support</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7.3</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7.4</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Obe-cel Milestones</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7.5</w:t>
            </w:r>
          </w:p>
        </w:tc>
        <w:tc>
          <w:tcPr>
            <w:tcW w:w="3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Obe-cel Revenue Interest Payments</w:t>
            </w:r>
            <w:r>
              <w:rPr>
                <w:rFonts w:ascii="Times New Roman" w:cs="Times New Roman" w:eastAsia="Times New Roman" w:hAnsi="Times New Roman"/>
                <w:sz w:val="18"/>
                <w:szCs w:val="18"/>
                <w:color w:val="auto"/>
              </w:rPr>
              <w:t>.   46</w:t>
            </w: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7.6</w:t>
            </w: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Obe-cel Product Diligence</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228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8......... [***]   46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Financial Provisions.</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9.1</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License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9.2</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Royalty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9.3</w:t>
            </w:r>
          </w:p>
        </w:tc>
        <w:tc>
          <w:tcPr>
            <w:tcW w:w="2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9.4</w:t>
            </w:r>
          </w:p>
        </w:tc>
        <w:tc>
          <w:tcPr>
            <w:tcW w:w="42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Cap on Option Exercise and Milestone Payments   </w:t>
            </w:r>
            <w:r>
              <w:rPr>
                <w:rFonts w:ascii="Times New Roman" w:cs="Times New Roman" w:eastAsia="Times New Roman" w:hAnsi="Times New Roman"/>
                <w:sz w:val="18"/>
                <w:szCs w:val="18"/>
                <w:color w:val="auto"/>
              </w:rPr>
              <w:t>50</w:t>
            </w:r>
          </w:p>
        </w:tc>
      </w:tr>
      <w:tr>
        <w:trPr>
          <w:trHeight w:val="288"/>
        </w:trPr>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9.5</w:t>
            </w: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Existing Third Party Payments</w:t>
            </w:r>
            <w:r>
              <w:rPr>
                <w:rFonts w:ascii="Times New Roman" w:cs="Times New Roman" w:eastAsia="Times New Roman" w:hAnsi="Times New Roman"/>
                <w:sz w:val="18"/>
                <w:szCs w:val="18"/>
                <w:color w:val="auto"/>
              </w:rPr>
              <w:t>.</w:t>
            </w:r>
          </w:p>
        </w:tc>
        <w:tc>
          <w:tcPr>
            <w:tcW w:w="11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24"/>
                <w:szCs w:val="24"/>
                <w:color w:val="auto"/>
              </w:rPr>
            </w:pP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Reports and Payment Terms.</w:t>
            </w:r>
          </w:p>
        </w:tc>
        <w:tc>
          <w:tcPr>
            <w:tcW w:w="264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50</w:t>
            </w: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Reports; Timing of Payment and Royalty Statements   </w:t>
            </w:r>
            <w:r>
              <w:rPr>
                <w:rFonts w:ascii="Times New Roman" w:cs="Times New Roman" w:eastAsia="Times New Roman" w:hAnsi="Times New Roman"/>
                <w:sz w:val="18"/>
                <w:szCs w:val="18"/>
                <w:color w:val="auto"/>
              </w:rPr>
              <w:t>50</w:t>
            </w: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Mode of Payment and Currency</w:t>
            </w:r>
            <w:r>
              <w:rPr>
                <w:rFonts w:ascii="Times New Roman" w:cs="Times New Roman" w:eastAsia="Times New Roman" w:hAnsi="Times New Roman"/>
                <w:sz w:val="18"/>
                <w:szCs w:val="18"/>
                <w:color w:val="auto"/>
              </w:rPr>
              <w:t>.   51</w:t>
            </w: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2640" w:type="dxa"/>
            <w:vAlign w:val="bottom"/>
          </w:tcPr>
          <w:p>
            <w:pPr>
              <w:spacing w:after="0"/>
              <w:rPr>
                <w:sz w:val="24"/>
                <w:szCs w:val="24"/>
                <w:color w:val="auto"/>
              </w:rPr>
            </w:pP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Records</w:t>
            </w:r>
            <w:r>
              <w:rPr>
                <w:rFonts w:ascii="Times New Roman" w:cs="Times New Roman" w:eastAsia="Times New Roman" w:hAnsi="Times New Roman"/>
                <w:sz w:val="18"/>
                <w:szCs w:val="18"/>
                <w:color w:val="auto"/>
              </w:rPr>
              <w:t>.   52</w:t>
            </w:r>
          </w:p>
        </w:tc>
        <w:tc>
          <w:tcPr>
            <w:tcW w:w="2640" w:type="dxa"/>
            <w:vAlign w:val="bottom"/>
          </w:tcPr>
          <w:p>
            <w:pPr>
              <w:spacing w:after="0"/>
              <w:rPr>
                <w:sz w:val="24"/>
                <w:szCs w:val="24"/>
                <w:color w:val="auto"/>
              </w:rPr>
            </w:pP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 Rights</w:t>
            </w:r>
            <w:r>
              <w:rPr>
                <w:rFonts w:ascii="Times New Roman" w:cs="Times New Roman" w:eastAsia="Times New Roman" w:hAnsi="Times New Roman"/>
                <w:sz w:val="18"/>
                <w:szCs w:val="18"/>
                <w:color w:val="auto"/>
              </w:rPr>
              <w:t>.</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w:t>
            </w:r>
          </w:p>
        </w:tc>
        <w:tc>
          <w:tcPr>
            <w:tcW w:w="2640" w:type="dxa"/>
            <w:vAlign w:val="bottom"/>
          </w:tcPr>
          <w:p>
            <w:pPr>
              <w:spacing w:after="0"/>
              <w:rPr>
                <w:sz w:val="24"/>
                <w:szCs w:val="24"/>
                <w:color w:val="auto"/>
              </w:rPr>
            </w:pP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52</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8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Intellectual Property Rights.</w:t>
            </w:r>
          </w:p>
        </w:tc>
        <w:tc>
          <w:tcPr>
            <w:tcW w:w="26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w w:val="88"/>
              </w:rPr>
              <w:t>54</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299246678 v1</w:t>
      </w:r>
    </w:p>
    <w:p>
      <w:pPr>
        <w:sectPr>
          <w:pgSz w:w="11900" w:h="16840" w:orient="portrait"/>
          <w:cols w:equalWidth="0" w:num="1">
            <w:col w:w="10480"/>
          </w:cols>
          <w:pgMar w:left="660" w:top="550" w:right="760" w:bottom="1440" w:gutter="0" w:footer="0" w:header="0"/>
        </w:sectPr>
      </w:pPr>
    </w:p>
    <w:bookmarkStart w:id="906" w:name="page907"/>
    <w:bookmarkEnd w:id="90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jc w:val="center"/>
        <w:ind w:right="-99"/>
        <w:spacing w:after="0" w:line="208" w:lineRule="auto"/>
        <w:rPr>
          <w:sz w:val="20"/>
          <w:szCs w:val="20"/>
          <w:color w:val="auto"/>
        </w:rPr>
      </w:pP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11.1</w:t>
            </w:r>
          </w:p>
        </w:tc>
        <w:tc>
          <w:tcPr>
            <w:tcW w:w="27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Background Intellectual Property</w:t>
            </w: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080" w:type="dxa"/>
            <w:vAlign w:val="bottom"/>
          </w:tcPr>
          <w:p>
            <w:pPr>
              <w:spacing w:after="0"/>
              <w:rPr>
                <w:sz w:val="20"/>
                <w:szCs w:val="20"/>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11.2</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Inventions</w:t>
            </w:r>
            <w:r>
              <w:rPr>
                <w:rFonts w:ascii="Times New Roman" w:cs="Times New Roman" w:eastAsia="Times New Roman" w:hAnsi="Times New Roman"/>
                <w:sz w:val="18"/>
                <w:szCs w:val="18"/>
                <w:color w:val="auto"/>
                <w:w w:val="98"/>
              </w:rPr>
              <w:t>.</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11.3</w:t>
            </w:r>
          </w:p>
        </w:tc>
        <w:tc>
          <w:tcPr>
            <w:tcW w:w="52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Patent Prosecution and Maintenance of [***] Licensed Patents   </w:t>
            </w:r>
            <w:r>
              <w:rPr>
                <w:rFonts w:ascii="Times New Roman" w:cs="Times New Roman" w:eastAsia="Times New Roman" w:hAnsi="Times New Roman"/>
                <w:sz w:val="18"/>
                <w:szCs w:val="18"/>
                <w:color w:val="auto"/>
              </w:rPr>
              <w:t>55</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11.4</w:t>
            </w:r>
          </w:p>
        </w:tc>
        <w:tc>
          <w:tcPr>
            <w:tcW w:w="31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Enforcement of [***] Licensed Patents</w:t>
            </w:r>
            <w:r>
              <w:rPr>
                <w:rFonts w:ascii="Times New Roman" w:cs="Times New Roman" w:eastAsia="Times New Roman" w:hAnsi="Times New Roman"/>
                <w:sz w:val="18"/>
                <w:szCs w:val="18"/>
                <w:color w:val="auto"/>
              </w:rPr>
              <w:t>.</w:t>
            </w:r>
          </w:p>
        </w:tc>
        <w:tc>
          <w:tcPr>
            <w:tcW w:w="20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56</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11.5</w:t>
            </w:r>
          </w:p>
        </w:tc>
        <w:tc>
          <w:tcPr>
            <w:tcW w:w="31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Infringement Claims by Third Parties</w:t>
            </w:r>
            <w:r>
              <w:rPr>
                <w:rFonts w:ascii="Times New Roman" w:cs="Times New Roman" w:eastAsia="Times New Roman" w:hAnsi="Times New Roman"/>
                <w:sz w:val="18"/>
                <w:szCs w:val="18"/>
                <w:color w:val="auto"/>
              </w:rPr>
              <w:t>.</w:t>
            </w:r>
          </w:p>
        </w:tc>
        <w:tc>
          <w:tcPr>
            <w:tcW w:w="208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57</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11.6</w:t>
            </w:r>
          </w:p>
        </w:tc>
        <w:tc>
          <w:tcPr>
            <w:tcW w:w="27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Defense of [***] Licensed Patents</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Patent Linkage</w:t>
            </w: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Confidentiality.</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Duty of Confidence</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12.3</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Authorized Disclosures</w:t>
            </w:r>
            <w:r>
              <w:rPr>
                <w:rFonts w:ascii="Times New Roman" w:cs="Times New Roman" w:eastAsia="Times New Roman" w:hAnsi="Times New Roman"/>
                <w:sz w:val="18"/>
                <w:szCs w:val="18"/>
                <w:color w:val="auto"/>
              </w:rPr>
              <w:t>.</w:t>
            </w: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99"/>
              </w:rPr>
              <w:t>58</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12.5</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Disclosure of Agreement</w:t>
            </w:r>
          </w:p>
        </w:tc>
        <w:tc>
          <w:tcPr>
            <w:tcW w:w="100" w:type="dxa"/>
            <w:vAlign w:val="bottom"/>
          </w:tcPr>
          <w:p>
            <w:pPr>
              <w:spacing w:after="0"/>
              <w:rPr>
                <w:sz w:val="24"/>
                <w:szCs w:val="24"/>
                <w:color w:val="auto"/>
              </w:rPr>
            </w:pP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59</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12.6</w:t>
            </w:r>
          </w:p>
        </w:tc>
        <w:tc>
          <w:tcPr>
            <w:tcW w:w="31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Ongoing Obligation for Confidentiality</w:t>
            </w:r>
            <w:r>
              <w:rPr>
                <w:rFonts w:ascii="Times New Roman" w:cs="Times New Roman" w:eastAsia="Times New Roman" w:hAnsi="Times New Roman"/>
                <w:sz w:val="18"/>
                <w:szCs w:val="18"/>
                <w:color w:val="auto"/>
              </w:rPr>
              <w:t>.</w:t>
            </w:r>
          </w:p>
        </w:tc>
        <w:tc>
          <w:tcPr>
            <w:tcW w:w="20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60</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12.7</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Use of Name</w:t>
            </w:r>
            <w:r>
              <w:rPr>
                <w:rFonts w:ascii="Times New Roman" w:cs="Times New Roman" w:eastAsia="Times New Roman" w:hAnsi="Times New Roman"/>
                <w:sz w:val="18"/>
                <w:szCs w:val="18"/>
                <w:color w:val="auto"/>
              </w:rPr>
              <w:t>.</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12.8</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20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13....... Term and Termination.  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13.1</w:t>
            </w: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Term; Effect of Expiration</w:t>
            </w:r>
            <w:r>
              <w:rPr>
                <w:rFonts w:ascii="Times New Roman" w:cs="Times New Roman" w:eastAsia="Times New Roman" w:hAnsi="Times New Roman"/>
                <w:sz w:val="18"/>
                <w:szCs w:val="18"/>
                <w:color w:val="auto"/>
                <w:w w:val="99"/>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13.2</w:t>
            </w:r>
          </w:p>
        </w:tc>
        <w:tc>
          <w:tcPr>
            <w:tcW w:w="52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 for Material Breach; Insolvency</w:t>
            </w:r>
            <w:r>
              <w:rPr>
                <w:rFonts w:ascii="Times New Roman" w:cs="Times New Roman" w:eastAsia="Times New Roman" w:hAnsi="Times New Roman"/>
                <w:sz w:val="18"/>
                <w:szCs w:val="18"/>
                <w:color w:val="auto"/>
              </w:rPr>
              <w:t>.   61</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13.3</w:t>
            </w:r>
          </w:p>
        </w:tc>
        <w:tc>
          <w:tcPr>
            <w:tcW w:w="52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 by BioNTech Without Cause</w:t>
            </w:r>
            <w:r>
              <w:rPr>
                <w:rFonts w:ascii="Times New Roman" w:cs="Times New Roman" w:eastAsia="Times New Roman" w:hAnsi="Times New Roman"/>
                <w:sz w:val="18"/>
                <w:szCs w:val="18"/>
                <w:color w:val="auto"/>
              </w:rPr>
              <w:t>.   62</w:t>
            </w:r>
          </w:p>
        </w:tc>
      </w:tr>
      <w:tr>
        <w:trPr>
          <w:trHeight w:val="288"/>
        </w:trPr>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14....... Effects of Termination.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14.1</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Upon Termination</w:t>
            </w: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14.2</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BioNTech’s Options</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14.3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15....... Warranties and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15.1</w:t>
            </w: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Warranties by Each Party</w:t>
            </w:r>
            <w:r>
              <w:rPr>
                <w:rFonts w:ascii="Times New Roman" w:cs="Times New Roman" w:eastAsia="Times New Roman" w:hAnsi="Times New Roman"/>
                <w:sz w:val="18"/>
                <w:szCs w:val="18"/>
                <w:color w:val="auto"/>
              </w:rPr>
              <w:t>.</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15.2</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Warranties by Autolus</w:t>
            </w:r>
            <w:r>
              <w:rPr>
                <w:rFonts w:ascii="Times New Roman" w:cs="Times New Roman" w:eastAsia="Times New Roman" w:hAnsi="Times New Roman"/>
                <w:sz w:val="18"/>
                <w:szCs w:val="18"/>
                <w:color w:val="auto"/>
              </w:rPr>
              <w:t>.</w:t>
            </w: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99"/>
              </w:rPr>
              <w:t>64</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15.3</w:t>
            </w: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Warranties by BioNTech</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15.4</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Covenants</w:t>
            </w:r>
            <w:r>
              <w:rPr>
                <w:rFonts w:ascii="Times New Roman" w:cs="Times New Roman" w:eastAsia="Times New Roman" w:hAnsi="Times New Roman"/>
                <w:sz w:val="18"/>
                <w:szCs w:val="18"/>
                <w:color w:val="auto"/>
                <w:w w:val="98"/>
              </w:rPr>
              <w:t>.</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15.5</w:t>
            </w: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 Other Warranties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299246678 v1</w:t>
      </w:r>
    </w:p>
    <w:p>
      <w:pPr>
        <w:sectPr>
          <w:pgSz w:w="11900" w:h="16840" w:orient="portrait"/>
          <w:cols w:equalWidth="0" w:num="1">
            <w:col w:w="10480"/>
          </w:cols>
          <w:pgMar w:left="660" w:top="550" w:right="760" w:bottom="1440" w:gutter="0" w:footer="0" w:header="0"/>
        </w:sectPr>
      </w:pPr>
    </w:p>
    <w:bookmarkStart w:id="907" w:name="page908"/>
    <w:bookmarkEnd w:id="90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jc w:val="center"/>
        <w:ind w:right="-99"/>
        <w:spacing w:after="0" w:line="208" w:lineRule="auto"/>
        <w:rPr>
          <w:sz w:val="20"/>
          <w:szCs w:val="20"/>
          <w:color w:val="auto"/>
        </w:rPr>
      </w:pP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15.6</w:t>
            </w: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Upstream Obligations</w:t>
            </w: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15.7</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15.8</w:t>
            </w:r>
          </w:p>
        </w:tc>
        <w:tc>
          <w:tcPr>
            <w:tcW w:w="29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r>
              <w:rPr>
                <w:rFonts w:ascii="Times New Roman" w:cs="Times New Roman" w:eastAsia="Times New Roman" w:hAnsi="Times New Roman"/>
                <w:sz w:val="18"/>
                <w:szCs w:val="18"/>
                <w:color w:val="auto"/>
              </w:rPr>
              <w:t>.</w:t>
            </w:r>
          </w:p>
        </w:tc>
        <w:tc>
          <w:tcPr>
            <w:tcW w:w="18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70</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15.9</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Efforts</w:t>
            </w:r>
            <w:r>
              <w:rPr>
                <w:rFonts w:ascii="Times New Roman" w:cs="Times New Roman" w:eastAsia="Times New Roman" w:hAnsi="Times New Roman"/>
                <w:sz w:val="18"/>
                <w:szCs w:val="18"/>
                <w:color w:val="auto"/>
              </w:rPr>
              <w:t>.</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2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16....... Indemnification; Liability.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16.1</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Indemnification by Autolus</w:t>
            </w:r>
            <w:r>
              <w:rPr>
                <w:rFonts w:ascii="Times New Roman" w:cs="Times New Roman" w:eastAsia="Times New Roman" w:hAnsi="Times New Roman"/>
                <w:sz w:val="18"/>
                <w:szCs w:val="18"/>
                <w:color w:val="auto"/>
              </w:rPr>
              <w:t>.</w:t>
            </w: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16.2</w:t>
            </w:r>
          </w:p>
        </w:tc>
        <w:tc>
          <w:tcPr>
            <w:tcW w:w="29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Indemnification by BioNTech</w:t>
            </w:r>
            <w:r>
              <w:rPr>
                <w:rFonts w:ascii="Times New Roman" w:cs="Times New Roman" w:eastAsia="Times New Roman" w:hAnsi="Times New Roman"/>
                <w:sz w:val="18"/>
                <w:szCs w:val="18"/>
                <w:color w:val="auto"/>
              </w:rPr>
              <w:t>.   72</w:t>
            </w: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16.3</w:t>
            </w:r>
          </w:p>
        </w:tc>
        <w:tc>
          <w:tcPr>
            <w:tcW w:w="47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Indemnification Procedure; Settlement; Quantification</w:t>
            </w:r>
            <w:r>
              <w:rPr>
                <w:rFonts w:ascii="Times New Roman" w:cs="Times New Roman" w:eastAsia="Times New Roman" w:hAnsi="Times New Roman"/>
                <w:sz w:val="18"/>
                <w:szCs w:val="18"/>
                <w:color w:val="auto"/>
              </w:rPr>
              <w:t>.   72</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16.5</w:t>
            </w:r>
          </w:p>
        </w:tc>
        <w:tc>
          <w:tcPr>
            <w:tcW w:w="29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Special, Indirect and other Losses </w:t>
            </w:r>
            <w:r>
              <w:rPr>
                <w:rFonts w:ascii="Times New Roman" w:cs="Times New Roman" w:eastAsia="Times New Roman" w:hAnsi="Times New Roman"/>
                <w:sz w:val="18"/>
                <w:szCs w:val="18"/>
                <w:color w:val="auto"/>
              </w:rPr>
              <w:t>.</w:t>
            </w:r>
          </w:p>
        </w:tc>
        <w:tc>
          <w:tcPr>
            <w:tcW w:w="18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72</w:t>
            </w: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16.6</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After-Tax Basis</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3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17....... Governing Law and Dispute Resolution.  73</w:t>
            </w: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17.1</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17.2</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17.3</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Patent Disputes</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17.4</w:t>
            </w: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18....... General Provisions.</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18.3</w:t>
            </w: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Extension to Affiliates</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75</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18.5</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75</w:t>
            </w: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18.6</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76</w:t>
            </w: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18.7</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76</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18.8</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Further Assurances</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18.9</w:t>
            </w: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18.10</w:t>
            </w: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 Third Party Beneficiary Rights</w:t>
            </w:r>
            <w:r>
              <w:rPr>
                <w:rFonts w:ascii="Times New Roman" w:cs="Times New Roman" w:eastAsia="Times New Roman" w:hAnsi="Times New Roman"/>
                <w:sz w:val="18"/>
                <w:szCs w:val="18"/>
                <w:color w:val="auto"/>
              </w:rPr>
              <w:t>.</w:t>
            </w:r>
          </w:p>
        </w:tc>
        <w:tc>
          <w:tcPr>
            <w:tcW w:w="18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77</w:t>
            </w: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18.11</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English Language</w:t>
            </w:r>
            <w:r>
              <w:rPr>
                <w:rFonts w:ascii="Times New Roman" w:cs="Times New Roman" w:eastAsia="Times New Roman" w:hAnsi="Times New Roman"/>
                <w:sz w:val="18"/>
                <w:szCs w:val="18"/>
                <w:color w:val="auto"/>
              </w:rPr>
              <w:t>.</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18.12</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18.13</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18.14</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18.15</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18.16</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299246678 v1</w:t>
      </w:r>
    </w:p>
    <w:p>
      <w:pPr>
        <w:sectPr>
          <w:pgSz w:w="11900" w:h="16840" w:orient="portrait"/>
          <w:cols w:equalWidth="0" w:num="1">
            <w:col w:w="10480"/>
          </w:cols>
          <w:pgMar w:left="660" w:top="550" w:right="760" w:bottom="1440" w:gutter="0" w:footer="0" w:header="0"/>
        </w:sectPr>
      </w:pPr>
    </w:p>
    <w:bookmarkStart w:id="908" w:name="page909"/>
    <w:bookmarkEnd w:id="908"/>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LICENSE AND OPTION AGREEMENT</w:t>
      </w:r>
    </w:p>
    <w:p>
      <w:pPr>
        <w:spacing w:after="0" w:line="200" w:lineRule="exact"/>
        <w:rPr>
          <w:sz w:val="20"/>
          <w:szCs w:val="20"/>
          <w:color w:val="auto"/>
        </w:rPr>
      </w:pPr>
    </w:p>
    <w:p>
      <w:pPr>
        <w:spacing w:after="0" w:line="349" w:lineRule="exact"/>
        <w:rPr>
          <w:sz w:val="20"/>
          <w:szCs w:val="20"/>
          <w:color w:val="auto"/>
        </w:rPr>
      </w:pPr>
    </w:p>
    <w:p>
      <w:pPr>
        <w:jc w:val="both"/>
        <w:ind w:firstLine="576"/>
        <w:spacing w:after="0" w:line="20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License and Option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this 6 </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February, 2024 (“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xml:space="preserve">”), subject to Section 13.1(a), by and among (a) </w:t>
      </w:r>
      <w:r>
        <w:rPr>
          <w:rFonts w:ascii="Times New Roman" w:cs="Times New Roman" w:eastAsia="Times New Roman" w:hAnsi="Times New Roman"/>
          <w:sz w:val="18"/>
          <w:szCs w:val="18"/>
          <w:b w:val="1"/>
          <w:bCs w:val="1"/>
          <w:color w:val="auto"/>
        </w:rPr>
        <w:t>Autolus Limited</w:t>
      </w:r>
      <w:r>
        <w:rPr>
          <w:rFonts w:ascii="Times New Roman" w:cs="Times New Roman" w:eastAsia="Times New Roman" w:hAnsi="Times New Roman"/>
          <w:sz w:val="18"/>
          <w:szCs w:val="18"/>
          <w:color w:val="auto"/>
        </w:rPr>
        <w:t xml:space="preserve">, a company organized under the laws of England and Wales, with company number 09115837, and its registered office address at The Mediaworks, 191 Wood Lane, London, England, W12 7FP, (b) </w:t>
      </w:r>
      <w:r>
        <w:rPr>
          <w:rFonts w:ascii="Times New Roman" w:cs="Times New Roman" w:eastAsia="Times New Roman" w:hAnsi="Times New Roman"/>
          <w:sz w:val="18"/>
          <w:szCs w:val="18"/>
          <w:b w:val="1"/>
          <w:bCs w:val="1"/>
          <w:color w:val="auto"/>
        </w:rPr>
        <w:t>Autolus Holdings (UK)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Limited</w:t>
      </w:r>
      <w:r>
        <w:rPr>
          <w:rFonts w:ascii="Times New Roman" w:cs="Times New Roman" w:eastAsia="Times New Roman" w:hAnsi="Times New Roman"/>
          <w:sz w:val="18"/>
          <w:szCs w:val="18"/>
          <w:color w:val="auto"/>
        </w:rPr>
        <w:t>, a company organized under the laws of England and Wales, with company number 11365111, and its registered office address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Mediaworks, 191 Wood Lane, London, England, W12 7FP ((a) and (b) collectively “ </w:t>
      </w:r>
      <w:r>
        <w:rPr>
          <w:rFonts w:ascii="Times New Roman" w:cs="Times New Roman" w:eastAsia="Times New Roman" w:hAnsi="Times New Roman"/>
          <w:sz w:val="18"/>
          <w:szCs w:val="18"/>
          <w:b w:val="1"/>
          <w:bCs w:val="1"/>
          <w:color w:val="auto"/>
        </w:rPr>
        <w:t>Autolus</w:t>
      </w:r>
      <w:r>
        <w:rPr>
          <w:rFonts w:ascii="Times New Roman" w:cs="Times New Roman" w:eastAsia="Times New Roman" w:hAnsi="Times New Roman"/>
          <w:sz w:val="18"/>
          <w:szCs w:val="18"/>
          <w:color w:val="auto"/>
        </w:rPr>
        <w:t xml:space="preserve"> ”); and (c) </w:t>
      </w:r>
      <w:r>
        <w:rPr>
          <w:rFonts w:ascii="Times New Roman" w:cs="Times New Roman" w:eastAsia="Times New Roman" w:hAnsi="Times New Roman"/>
          <w:sz w:val="18"/>
          <w:szCs w:val="18"/>
          <w:b w:val="1"/>
          <w:bCs w:val="1"/>
          <w:color w:val="auto"/>
        </w:rPr>
        <w:t>BioNTech SE,</w:t>
      </w:r>
      <w:r>
        <w:rPr>
          <w:rFonts w:ascii="Times New Roman" w:cs="Times New Roman" w:eastAsia="Times New Roman" w:hAnsi="Times New Roman"/>
          <w:sz w:val="18"/>
          <w:szCs w:val="18"/>
          <w:color w:val="auto"/>
        </w:rPr>
        <w:t xml:space="preserve"> a corporation organized and existing under the laws of Germany, registered with the commercial register of the lower court (Amtsgericht) of Mainz under HRB 48720 and having its place of business at An der Goldgrube 12, D-55131 Mainz, Germany (“ </w:t>
      </w:r>
      <w:r>
        <w:rPr>
          <w:rFonts w:ascii="Times New Roman" w:cs="Times New Roman" w:eastAsia="Times New Roman" w:hAnsi="Times New Roman"/>
          <w:sz w:val="18"/>
          <w:szCs w:val="18"/>
          <w:b w:val="1"/>
          <w:bCs w:val="1"/>
          <w:color w:val="auto"/>
        </w:rPr>
        <w:t>BioNTech</w:t>
      </w:r>
      <w:r>
        <w:rPr>
          <w:rFonts w:ascii="Times New Roman" w:cs="Times New Roman" w:eastAsia="Times New Roman" w:hAnsi="Times New Roman"/>
          <w:sz w:val="18"/>
          <w:szCs w:val="18"/>
          <w:color w:val="auto"/>
        </w:rPr>
        <w:t>”). Autolus and BioNTech are each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5"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Autolus is a clinical stage biotechnology company that owns or otherwise controls certain products and technologies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CAR-T cell therapy;</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BioNTech is a biotechnology company with expertise in the research, development, and commercialization of drug products;</w:t>
      </w:r>
    </w:p>
    <w:p>
      <w:pPr>
        <w:spacing w:after="0" w:line="16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and conditions of this Agreement, Autolus desires to grant, and BioNTech desires to accept, certain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and licenses to develop, manufacture and commercialize products on the terms, and subject to the conditions, set out below;</w:t>
      </w:r>
    </w:p>
    <w:p>
      <w:pPr>
        <w:spacing w:after="0" w:line="130" w:lineRule="exact"/>
        <w:rPr>
          <w:sz w:val="20"/>
          <w:szCs w:val="20"/>
          <w:color w:val="auto"/>
        </w:rPr>
      </w:pPr>
    </w:p>
    <w:p>
      <w:pPr>
        <w:jc w:val="both"/>
        <w:ind w:right="40" w:firstLine="576"/>
        <w:spacing w:after="0" w:line="22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simultaneously with entering into this Agreement, Autolus and BioNTech are entering into (a) that certain securities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pursuant to which Autolus will sell to BioNTech, and BioNTech will purchase from Autolus, Autolus’s ordinary shares in the form of American depository shares, all in accordance with the terms and conditions set forth in the Share Purchase Agreement, and (b) that certain side letter agreement and that certain registration rights agreement pursuant to which Autolus will grant BioNTech certain rights (including registration rights) in connection with BioNTech’s purchase of Autolus’s ordinary shares in the form of American depository shares; and</w:t>
      </w:r>
    </w:p>
    <w:p>
      <w:pPr>
        <w:spacing w:after="0" w:line="134"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Share Purchase Agreement contemplates a staggered signing and Initial Closing (as defined in the Share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save as specifically provided herein, the terms of this Agreement shall become effective as of the Initial Closing.</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herein contained, the Parties agree as follows.</w:t>
      </w:r>
    </w:p>
    <w:p>
      <w:pPr>
        <w:spacing w:after="0" w:line="165" w:lineRule="exact"/>
        <w:rPr>
          <w:sz w:val="20"/>
          <w:szCs w:val="20"/>
          <w:color w:val="auto"/>
        </w:rPr>
      </w:pPr>
    </w:p>
    <w:p>
      <w:pPr>
        <w:ind w:left="580" w:hanging="574"/>
        <w:spacing w:after="0"/>
        <w:tabs>
          <w:tab w:leader="none" w:pos="580" w:val="left"/>
        </w:tabs>
        <w:numPr>
          <w:ilvl w:val="0"/>
          <w:numId w:val="8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6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terms in this Agreement with initial letters capitalized have the meanings set forth below, or the meaning as designated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indicated places throughout this Agreement.</w:t>
      </w:r>
    </w:p>
    <w:p>
      <w:pPr>
        <w:spacing w:after="0" w:line="130" w:lineRule="exact"/>
        <w:rPr>
          <w:sz w:val="20"/>
          <w:szCs w:val="20"/>
          <w:color w:val="auto"/>
        </w:rPr>
      </w:pPr>
    </w:p>
    <w:p>
      <w:pPr>
        <w:ind w:left="100" w:right="40" w:firstLine="576"/>
        <w:spacing w:after="0" w:line="24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Accounting Standards</w:t>
      </w:r>
      <w:r>
        <w:rPr>
          <w:rFonts w:ascii="Times New Roman" w:cs="Times New Roman" w:eastAsia="Times New Roman" w:hAnsi="Times New Roman"/>
          <w:sz w:val="18"/>
          <w:szCs w:val="18"/>
          <w:color w:val="auto"/>
        </w:rPr>
        <w:t>” means IFRS (International Financial Reporting Standards) or U.S. GAAP (Generally Accepted Accounting Principles), as generally and consistently applied by a Party, its Affiliates, Sublicensees or Autolus Licensees (as applicable).</w:t>
      </w:r>
    </w:p>
    <w:p>
      <w:pPr>
        <w:spacing w:after="0" w:line="123" w:lineRule="exact"/>
        <w:rPr>
          <w:sz w:val="20"/>
          <w:szCs w:val="20"/>
          <w:color w:val="auto"/>
        </w:rPr>
      </w:pPr>
    </w:p>
    <w:p>
      <w:pPr>
        <w:ind w:left="680"/>
        <w:spacing w:after="0"/>
        <w:tabs>
          <w:tab w:leader="none" w:pos="1120" w:val="left"/>
        </w:tabs>
        <w:rPr>
          <w:sz w:val="20"/>
          <w:szCs w:val="20"/>
          <w:color w:val="auto"/>
        </w:rPr>
      </w:pPr>
      <w:r>
        <w:rPr>
          <w:rFonts w:ascii="Times New Roman" w:cs="Times New Roman" w:eastAsia="Times New Roman" w:hAnsi="Times New Roman"/>
          <w:sz w:val="18"/>
          <w:szCs w:val="18"/>
          <w:color w:val="auto"/>
        </w:rPr>
        <w:t>1.2</w:t>
        <w:tab/>
        <w:t>“</w:t>
      </w:r>
      <w:r>
        <w:rPr>
          <w:rFonts w:ascii="Times New Roman" w:cs="Times New Roman" w:eastAsia="Times New Roman" w:hAnsi="Times New Roman"/>
          <w:sz w:val="18"/>
          <w:szCs w:val="18"/>
          <w:b w:val="1"/>
          <w:bCs w:val="1"/>
          <w:color w:val="auto"/>
        </w:rPr>
        <w:t>Acquirer</w:t>
      </w:r>
      <w:r>
        <w:rPr>
          <w:rFonts w:ascii="Times New Roman" w:cs="Times New Roman" w:eastAsia="Times New Roman" w:hAnsi="Times New Roman"/>
          <w:sz w:val="18"/>
          <w:szCs w:val="18"/>
          <w:color w:val="auto"/>
        </w:rPr>
        <w:t>” means any Person that becomes an Affiliate of a Party following the Effective Date as a result of an Acquisition.</w:t>
      </w:r>
    </w:p>
    <w:p>
      <w:pPr>
        <w:ind w:left="100"/>
        <w:spacing w:after="0"/>
        <w:rPr>
          <w:sz w:val="20"/>
          <w:szCs w:val="20"/>
          <w:color w:val="auto"/>
        </w:rPr>
      </w:pPr>
      <w:r>
        <w:rPr>
          <w:rFonts w:ascii="Times New Roman" w:cs="Times New Roman" w:eastAsia="Times New Roman" w:hAnsi="Times New Roman"/>
          <w:sz w:val="18"/>
          <w:szCs w:val="18"/>
          <w:color w:val="auto"/>
        </w:rPr>
        <w:t>“Acquirer” does not include any Person that was an Affiliate of a Party prior to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40" w:orient="portrait"/>
          <w:cols w:equalWidth="0" w:num="1">
            <w:col w:w="10580"/>
          </w:cols>
          <w:pgMar w:left="660" w:top="1440" w:right="660" w:bottom="1440" w:gutter="0" w:footer="0" w:header="0"/>
        </w:sectPr>
      </w:pPr>
    </w:p>
    <w:bookmarkStart w:id="909" w:name="page910"/>
    <w:bookmarkEnd w:id="909"/>
    <w:p>
      <w:pPr>
        <w:spacing w:after="0" w:line="254"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with respect to a Party or an Affiliate, from and after the Effective Date: (a) a merger, consolidation or similar transaction involving such Person, in which the shareholders of such Person immediately prior to such transaction cease to control (as defined in Section 1.11) such Person after such transaction; (b) a sale, transfer or other disposition of all or substantially all of the business or assets of such Person to a Third Party; or (c) a sale of a controlling (as defined in Section 1.11) interest of such Person to a Third Party. Notwithstanding the foregoing, a sale of stock of such Person to underwriters in an underwritten public offering of such Person’s stock solely for the purpose of financing does not constitute an Acquisition.</w:t>
      </w:r>
    </w:p>
    <w:p>
      <w:pPr>
        <w:spacing w:after="0" w:line="134"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Activity Enhancement Licensed IP</w:t>
      </w:r>
      <w:r>
        <w:rPr>
          <w:rFonts w:ascii="Times New Roman" w:cs="Times New Roman" w:eastAsia="Times New Roman" w:hAnsi="Times New Roman"/>
          <w:sz w:val="18"/>
          <w:szCs w:val="18"/>
          <w:color w:val="auto"/>
        </w:rPr>
        <w:t>” means the Activity Enhancement Licensed Know-How and the Activity Enhancement Licensed Patents.</w:t>
      </w:r>
    </w:p>
    <w:p>
      <w:pPr>
        <w:spacing w:after="0" w:line="130" w:lineRule="exact"/>
        <w:rPr>
          <w:sz w:val="20"/>
          <w:szCs w:val="20"/>
          <w:color w:val="auto"/>
        </w:rPr>
      </w:pPr>
    </w:p>
    <w:p>
      <w:pPr>
        <w:jc w:val="both"/>
        <w:ind w:right="40" w:firstLine="576"/>
        <w:spacing w:after="0" w:line="225"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Activity Enhancement Licensed Know -How</w:t>
      </w:r>
      <w:r>
        <w:rPr>
          <w:rFonts w:ascii="Times New Roman" w:cs="Times New Roman" w:eastAsia="Times New Roman" w:hAnsi="Times New Roman"/>
          <w:sz w:val="18"/>
          <w:szCs w:val="18"/>
          <w:color w:val="auto"/>
        </w:rPr>
        <w:t>” means all Know-How, including [***], that is (a) Controlled by Autolus or any of its Affiliates, as of the Effective Date or during the Term, and (b) necessary or reasonably useful for (i) the Exploitation of the Activity Enhancement Licensed Technology, or (ii) the Exploitation of such Activity Enhancement Licensed Technology in an Activity Enhancement Licensed Product. Notwithstanding the foregoing, the Activity Enhancement Licensed Know -How excludes [***], except [***].</w:t>
      </w:r>
    </w:p>
    <w:p>
      <w:pPr>
        <w:spacing w:after="0" w:line="136"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Activity Enhancement Licensed Patents</w:t>
      </w:r>
      <w:r>
        <w:rPr>
          <w:rFonts w:ascii="Times New Roman" w:cs="Times New Roman" w:eastAsia="Times New Roman" w:hAnsi="Times New Roman"/>
          <w:sz w:val="18"/>
          <w:szCs w:val="18"/>
          <w:color w:val="auto"/>
        </w:rPr>
        <w:t>” means all Patents, including Patents that Cover [***], that (a) are Controlled by Autolus or any of its Affiliates, as of the Effective Date or during the Term, and (b) claim or Cover (i) Activity Enhancement Licensed Technology, (ii) Activity Enhancement Licensed Know-How, or (iii) the Exploitation of such Activity Enhancement Licensed Technology or Activity Enhancement Licensed Know- How in an Activity Enhancement Licensed Product.</w:t>
      </w:r>
    </w:p>
    <w:p>
      <w:pPr>
        <w:spacing w:after="0" w:line="136"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Activity Enhancement Licensed Products</w:t>
      </w:r>
      <w:r>
        <w:rPr>
          <w:rFonts w:ascii="Times New Roman" w:cs="Times New Roman" w:eastAsia="Times New Roman" w:hAnsi="Times New Roman"/>
          <w:sz w:val="18"/>
          <w:szCs w:val="18"/>
          <w:color w:val="auto"/>
        </w:rPr>
        <w:t xml:space="preserve">” means any pharmaceutical or biologic product that includes any Activity Enhancement Licensed Technology. For the purposes of this Agreement,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w:t>
      </w:r>
    </w:p>
    <w:p>
      <w:pPr>
        <w:spacing w:after="0" w:line="13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color w:val="auto"/>
        </w:rPr>
        <w:t>Activity Enhancement Licensed Technology</w:t>
      </w:r>
      <w:r>
        <w:rPr>
          <w:rFonts w:ascii="Times New Roman" w:cs="Times New Roman" w:eastAsia="Times New Roman" w:hAnsi="Times New Roman"/>
          <w:sz w:val="18"/>
          <w:szCs w:val="18"/>
          <w:color w:val="auto"/>
        </w:rPr>
        <w:t xml:space="preserve">” means each module listed in </w:t>
      </w:r>
      <w:r>
        <w:rPr>
          <w:rFonts w:ascii="Times New Roman" w:cs="Times New Roman" w:eastAsia="Times New Roman" w:hAnsi="Times New Roman"/>
          <w:sz w:val="18"/>
          <w:szCs w:val="18"/>
          <w:u w:val="single" w:color="auto"/>
          <w:color w:val="auto"/>
        </w:rPr>
        <w:t>Schedule 1.8</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w:t>
        <w:tab/>
        <w:t>“</w:t>
      </w:r>
      <w:r>
        <w:rPr>
          <w:rFonts w:ascii="Times New Roman" w:cs="Times New Roman" w:eastAsia="Times New Roman" w:hAnsi="Times New Roman"/>
          <w:sz w:val="18"/>
          <w:szCs w:val="18"/>
          <w:b w:val="1"/>
          <w:bCs w:val="1"/>
          <w:color w:val="auto"/>
        </w:rPr>
        <w:t>Activity Enhancement Option</w:t>
      </w:r>
      <w:r>
        <w:rPr>
          <w:rFonts w:ascii="Times New Roman" w:cs="Times New Roman" w:eastAsia="Times New Roman" w:hAnsi="Times New Roman"/>
          <w:sz w:val="18"/>
          <w:szCs w:val="18"/>
          <w:color w:val="auto"/>
        </w:rPr>
        <w:t>” means the options granted by Autolus to BioNTech in Section 6.3(d) and Section 6.3(e).</w:t>
      </w:r>
    </w:p>
    <w:p>
      <w:pPr>
        <w:spacing w:after="0" w:line="165"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8"/>
          <w:szCs w:val="18"/>
          <w:color w:val="auto"/>
        </w:rPr>
        <w:t xml:space="preserve">1.10 “ </w:t>
      </w:r>
      <w:r>
        <w:rPr>
          <w:rFonts w:ascii="Times New Roman" w:cs="Times New Roman" w:eastAsia="Times New Roman" w:hAnsi="Times New Roman"/>
          <w:sz w:val="18"/>
          <w:szCs w:val="18"/>
          <w:b w:val="1"/>
          <w:bCs w:val="1"/>
          <w:color w:val="auto"/>
        </w:rPr>
        <w:t>ADC</w:t>
      </w:r>
      <w:r>
        <w:rPr>
          <w:rFonts w:ascii="Times New Roman" w:cs="Times New Roman" w:eastAsia="Times New Roman" w:hAnsi="Times New Roman"/>
          <w:sz w:val="18"/>
          <w:szCs w:val="18"/>
          <w:color w:val="auto"/>
        </w:rPr>
        <w:t>” means an antibody-drug conjugate, being a pharmaceutical or biologic product that contains an antibody, or an antibody derivative, that can be linked directly or indirectly to a payload such as a chemical moiety. Such antibody or antibody derivative and payload [***]. For these purposes, “antibody derivative” includes antibodies that have (a) been modified via isotype switching; (b) undergone a modification of effector function; (c) been adapted to enable the antibody to carry payloads; (d) been altered to change the expression characteristics, stability or biological half-life of the antibody; (e) been mutated using an affinity maturation strategy designed to modify the affinity of either the variable regions and/or the constant regions of the antibody for any ligands, antigens or receptors; or (f) been modified or combined to bind additional moieties. Antibody derivatives may be full length antibodies, monoclonal and polyclonal antibodies, and multispecific antibodies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bi-specific antibodies), as well as antibody fragments and antibody-like fragments (including Fab, Fab’, F(ab’)2, Fv fragments, scFv, diabodies, linear antibodies and single-chain antibodies). Antibodies and antibody derivatives can be of any origin, whether human, humanized, chimeric or otherwise.</w:t>
      </w:r>
    </w:p>
    <w:p>
      <w:pPr>
        <w:spacing w:after="0" w:line="138" w:lineRule="exact"/>
        <w:rPr>
          <w:sz w:val="20"/>
          <w:szCs w:val="20"/>
          <w:color w:val="auto"/>
        </w:rPr>
      </w:pPr>
    </w:p>
    <w:p>
      <w:pPr>
        <w:jc w:val="both"/>
        <w:ind w:right="20" w:firstLine="576"/>
        <w:spacing w:after="0" w:line="220"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Party, any Person that controls, is controlled by, or is under common control with that Party.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w:t>
      </w:r>
    </w:p>
    <w:p>
      <w:pPr>
        <w:sectPr>
          <w:pgSz w:w="11900" w:h="16840" w:orient="portrait"/>
          <w:cols w:equalWidth="0" w:num="1">
            <w:col w:w="10480"/>
          </w:cols>
          <w:pgMar w:left="760" w:top="1440" w:right="660" w:bottom="1440" w:gutter="0" w:footer="0" w:header="0"/>
        </w:sectPr>
      </w:pPr>
    </w:p>
    <w:bookmarkStart w:id="910" w:name="page911"/>
    <w:bookmarkEnd w:id="910"/>
    <w:p>
      <w:pPr>
        <w:spacing w:after="0" w:line="258"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 xml:space="preserve">maximum percentage ownership permitted by law for a foreign investor may be less than fifty percent (50%) and, in such case, such lower percentage shall be substituted in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foreign investor has the power to direct the management and policies of such entity.</w:t>
      </w:r>
    </w:p>
    <w:p>
      <w:pPr>
        <w:spacing w:after="0" w:line="136" w:lineRule="exact"/>
        <w:rPr>
          <w:sz w:val="20"/>
          <w:szCs w:val="20"/>
          <w:color w:val="auto"/>
        </w:rPr>
      </w:pPr>
    </w:p>
    <w:p>
      <w:pPr>
        <w:jc w:val="both"/>
        <w:ind w:right="40" w:firstLine="576"/>
        <w:spacing w:after="0" w:line="22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the Sherman Act, as amended, the Clayton Act, as amended, the HSR Act, the Federal Trade Commission Act, as amended, and all other applicable laws and regulations (including non- U.S. laws and regulations) issued by a governmental authority that are designed or intended to preserve and protect competition, prohibit and restrict monopolization, attempted monopolization, restraint of trade and abuse of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35"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Applicable Data Protection Law</w:t>
      </w:r>
      <w:r>
        <w:rPr>
          <w:rFonts w:ascii="Times New Roman" w:cs="Times New Roman" w:eastAsia="Times New Roman" w:hAnsi="Times New Roman"/>
          <w:sz w:val="18"/>
          <w:szCs w:val="18"/>
          <w:color w:val="auto"/>
        </w:rPr>
        <w:t>” means all Applicable Laws in any jurisdiction relating to privacy or the processing or protection of Personal Data, including the General Data Protection Regulation (EU) 2016/679 (EU GDPR), the UK Data Protection Act 2018, the UK GDPR (as defined in section 3(10) (as supplemented by section 205(4)) of the UK Data Protection Act 2018), the e-Privacy Directive (2002/58/EC), the UK Privacy and Electronic Communications Regulations 2003 (SI 2003 No. 2426) as amended and the comparable Applicable Laws in other jurisdictions and all guidance issued by any applicable data protection authority, including the Information Commissioner’s Office statutory data sharing code of practice which came into force on 5 October 2021, as updated or amended from time to time.</w:t>
      </w:r>
    </w:p>
    <w:p>
      <w:pPr>
        <w:spacing w:after="0" w:line="211" w:lineRule="exact"/>
        <w:rPr>
          <w:sz w:val="20"/>
          <w:szCs w:val="20"/>
          <w:color w:val="auto"/>
        </w:rPr>
      </w:pPr>
    </w:p>
    <w:p>
      <w:pPr>
        <w:jc w:val="both"/>
        <w:ind w:right="20" w:firstLine="576"/>
        <w:spacing w:after="0" w:line="225"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laws, statutes, rules, regulations and other pronouncements having the effect of law of any federal, national, multinational, state, cantonal,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36"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has the meaning set out in Section 10.5(a).</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1.16</w:t>
        <w:tab/>
        <w:t>“</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has the meaning set out in Section 10.5(a).</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1.17</w:t>
        <w:tab/>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has the meaning set out in Section 10.5(a).</w:t>
      </w:r>
    </w:p>
    <w:p>
      <w:pPr>
        <w:spacing w:after="0" w:line="16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1.18</w:t>
        <w:tab/>
        <w:t>“[***]” has the meaning set out in [***].</w:t>
      </w:r>
    </w:p>
    <w:p>
      <w:pPr>
        <w:spacing w:after="0" w:line="161"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1.19</w:t>
        <w:tab/>
        <w:t>“</w:t>
      </w:r>
      <w:r>
        <w:rPr>
          <w:rFonts w:ascii="Times New Roman" w:cs="Times New Roman" w:eastAsia="Times New Roman" w:hAnsi="Times New Roman"/>
          <w:sz w:val="18"/>
          <w:szCs w:val="18"/>
          <w:b w:val="1"/>
          <w:bCs w:val="1"/>
          <w:color w:val="auto"/>
        </w:rPr>
        <w:t>Autolus Indemnitees</w:t>
      </w:r>
      <w:r>
        <w:rPr>
          <w:rFonts w:ascii="Times New Roman" w:cs="Times New Roman" w:eastAsia="Times New Roman" w:hAnsi="Times New Roman"/>
          <w:sz w:val="18"/>
          <w:szCs w:val="18"/>
          <w:color w:val="auto"/>
        </w:rPr>
        <w:t>” has the meaning set out in Section 16.2.</w:t>
      </w:r>
    </w:p>
    <w:p>
      <w:pPr>
        <w:spacing w:after="0" w:line="165"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Autolus IP</w:t>
      </w:r>
      <w:r>
        <w:rPr>
          <w:rFonts w:ascii="Times New Roman" w:cs="Times New Roman" w:eastAsia="Times New Roman" w:hAnsi="Times New Roman"/>
          <w:sz w:val="18"/>
          <w:szCs w:val="18"/>
          <w:color w:val="auto"/>
        </w:rPr>
        <w:t>” means (a) [***] Licensed IP, (b) [***] Licensed IP, (c) Safety Switch Licensed IP, (d) Activity Enhancement Licensed IP, and (e) [***] Licensed IP.</w:t>
      </w:r>
    </w:p>
    <w:p>
      <w:pPr>
        <w:spacing w:after="0" w:line="13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1.21</w:t>
        <w:tab/>
        <w:t>“</w:t>
      </w:r>
      <w:r>
        <w:rPr>
          <w:rFonts w:ascii="Times New Roman" w:cs="Times New Roman" w:eastAsia="Times New Roman" w:hAnsi="Times New Roman"/>
          <w:sz w:val="18"/>
          <w:szCs w:val="18"/>
          <w:b w:val="1"/>
          <w:bCs w:val="1"/>
          <w:color w:val="auto"/>
        </w:rPr>
        <w:t>Autolus Know-How</w:t>
      </w:r>
      <w:r>
        <w:rPr>
          <w:rFonts w:ascii="Times New Roman" w:cs="Times New Roman" w:eastAsia="Times New Roman" w:hAnsi="Times New Roman"/>
          <w:sz w:val="18"/>
          <w:szCs w:val="18"/>
          <w:color w:val="auto"/>
        </w:rPr>
        <w:t>” means all Know-How included within the Autolus IP.</w:t>
      </w:r>
    </w:p>
    <w:p>
      <w:pPr>
        <w:spacing w:after="0" w:line="165" w:lineRule="exact"/>
        <w:rPr>
          <w:sz w:val="20"/>
          <w:szCs w:val="20"/>
          <w:color w:val="auto"/>
        </w:rPr>
      </w:pPr>
    </w:p>
    <w:p>
      <w:pPr>
        <w:jc w:val="both"/>
        <w:ind w:right="40" w:firstLine="576"/>
        <w:spacing w:after="0" w:line="231"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Autolus Licensees</w:t>
      </w:r>
      <w:r>
        <w:rPr>
          <w:rFonts w:ascii="Times New Roman" w:cs="Times New Roman" w:eastAsia="Times New Roman" w:hAnsi="Times New Roman"/>
          <w:sz w:val="18"/>
          <w:szCs w:val="18"/>
          <w:color w:val="auto"/>
        </w:rPr>
        <w:t xml:space="preserve">” means a licensee or sublicensee (regardless of how many tiers of (sub)licensee there are) of Autolus or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 provision to the contrary set forth in this Agreement, distributors and wholesalers will not be considered Autolus Licensees.</w:t>
      </w:r>
    </w:p>
    <w:p>
      <w:pPr>
        <w:spacing w:after="0" w:line="135"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Autolus Patents</w:t>
      </w:r>
      <w:r>
        <w:rPr>
          <w:rFonts w:ascii="Times New Roman" w:cs="Times New Roman" w:eastAsia="Times New Roman" w:hAnsi="Times New Roman"/>
          <w:sz w:val="18"/>
          <w:szCs w:val="18"/>
          <w:color w:val="auto"/>
        </w:rPr>
        <w:t>” means (a) [***] Licensed Patents, (b) [***] Licensed Patents, (c) Safety Switch Licensed Patents, (d) Activity Enhancement Licensed Patents, and (e) [***] Licensed Patents.</w:t>
      </w:r>
    </w:p>
    <w:p>
      <w:pPr>
        <w:spacing w:after="0" w:line="130"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Autolus Product</w:t>
      </w:r>
      <w:r>
        <w:rPr>
          <w:rFonts w:ascii="Times New Roman" w:cs="Times New Roman" w:eastAsia="Times New Roman" w:hAnsi="Times New Roman"/>
          <w:sz w:val="18"/>
          <w:szCs w:val="18"/>
          <w:color w:val="auto"/>
        </w:rPr>
        <w:t>” means an AUTO1/22 Product, AUTO6NG Product, and Obe-cel Product, in each case in the form in which such product exists as of the Effective Date.</w:t>
      </w:r>
    </w:p>
    <w:p>
      <w:pPr>
        <w:spacing w:after="0" w:line="13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1.25</w:t>
        <w:tab/>
        <w:t>“</w:t>
      </w:r>
      <w:r>
        <w:rPr>
          <w:rFonts w:ascii="Times New Roman" w:cs="Times New Roman" w:eastAsia="Times New Roman" w:hAnsi="Times New Roman"/>
          <w:sz w:val="18"/>
          <w:szCs w:val="18"/>
          <w:b w:val="1"/>
          <w:bCs w:val="1"/>
          <w:color w:val="auto"/>
        </w:rPr>
        <w:t>Autolus’s Knowledge</w:t>
      </w:r>
      <w:r>
        <w:rPr>
          <w:rFonts w:ascii="Times New Roman" w:cs="Times New Roman" w:eastAsia="Times New Roman" w:hAnsi="Times New Roman"/>
          <w:sz w:val="18"/>
          <w:szCs w:val="18"/>
          <w:color w:val="auto"/>
        </w:rPr>
        <w:t>” means the [***] knowledge [***], of any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w:t>
      </w:r>
    </w:p>
    <w:p>
      <w:pPr>
        <w:sectPr>
          <w:pgSz w:w="11900" w:h="16840" w:orient="portrait"/>
          <w:cols w:equalWidth="0" w:num="1">
            <w:col w:w="10500"/>
          </w:cols>
          <w:pgMar w:left="760" w:top="1440" w:right="640" w:bottom="1440" w:gutter="0" w:footer="0" w:header="0"/>
        </w:sectPr>
      </w:pPr>
    </w:p>
    <w:bookmarkStart w:id="911" w:name="page912"/>
    <w:bookmarkEnd w:id="911"/>
    <w:p>
      <w:pPr>
        <w:spacing w:after="0" w:line="254"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1.26</w:t>
        <w:tab/>
        <w:t>“</w:t>
      </w:r>
      <w:r>
        <w:rPr>
          <w:rFonts w:ascii="Times New Roman" w:cs="Times New Roman" w:eastAsia="Times New Roman" w:hAnsi="Times New Roman"/>
          <w:sz w:val="18"/>
          <w:szCs w:val="18"/>
          <w:b w:val="1"/>
          <w:bCs w:val="1"/>
          <w:color w:val="auto"/>
        </w:rPr>
        <w:t>AUTO1/22 Next Gen Product</w:t>
      </w:r>
      <w:r>
        <w:rPr>
          <w:rFonts w:ascii="Times New Roman" w:cs="Times New Roman" w:eastAsia="Times New Roman" w:hAnsi="Times New Roman"/>
          <w:sz w:val="18"/>
          <w:szCs w:val="18"/>
          <w:color w:val="auto"/>
        </w:rPr>
        <w:t>” means any AUTO1/22 Product Developed by Autolus or its Affiliates to [***].</w:t>
      </w:r>
    </w:p>
    <w:p>
      <w:pPr>
        <w:spacing w:after="0" w:line="165"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AUTO1/22 Product</w:t>
      </w:r>
      <w:r>
        <w:rPr>
          <w:rFonts w:ascii="Times New Roman" w:cs="Times New Roman" w:eastAsia="Times New Roman" w:hAnsi="Times New Roman"/>
          <w:sz w:val="18"/>
          <w:szCs w:val="18"/>
          <w:color w:val="auto"/>
        </w:rPr>
        <w:t xml:space="preserve">” means Autolus’s proprietary autologous CAR-T Cell Therapy targeting CD19 and CD22 in the form under Development as of the Effective Date, as more particularly set forth on </w:t>
      </w:r>
      <w:r>
        <w:rPr>
          <w:rFonts w:ascii="Times New Roman" w:cs="Times New Roman" w:eastAsia="Times New Roman" w:hAnsi="Times New Roman"/>
          <w:sz w:val="18"/>
          <w:szCs w:val="18"/>
          <w:u w:val="single" w:color="auto"/>
          <w:color w:val="auto"/>
        </w:rPr>
        <w:t>Schedule 1.27</w:t>
      </w:r>
      <w:r>
        <w:rPr>
          <w:rFonts w:ascii="Times New Roman" w:cs="Times New Roman" w:eastAsia="Times New Roman" w:hAnsi="Times New Roman"/>
          <w:sz w:val="18"/>
          <w:szCs w:val="18"/>
          <w:color w:val="auto"/>
        </w:rPr>
        <w:t xml:space="preserve"> , together with any new dosage forms, strengths, methods of manufacture, or methods of administration thereof and any improvements or modifications of such products, but excluding any AUTO1/22 Next Gen Product.</w:t>
      </w:r>
    </w:p>
    <w:p>
      <w:pPr>
        <w:spacing w:after="0" w:line="136"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1.28</w:t>
        <w:tab/>
        <w:t>“</w:t>
      </w:r>
      <w:r>
        <w:rPr>
          <w:rFonts w:ascii="Times New Roman" w:cs="Times New Roman" w:eastAsia="Times New Roman" w:hAnsi="Times New Roman"/>
          <w:sz w:val="18"/>
          <w:szCs w:val="18"/>
          <w:b w:val="1"/>
          <w:bCs w:val="1"/>
          <w:color w:val="auto"/>
        </w:rPr>
        <w:t>AUTO6NG Next Gen Product</w:t>
      </w:r>
      <w:r>
        <w:rPr>
          <w:rFonts w:ascii="Times New Roman" w:cs="Times New Roman" w:eastAsia="Times New Roman" w:hAnsi="Times New Roman"/>
          <w:sz w:val="18"/>
          <w:szCs w:val="18"/>
          <w:color w:val="auto"/>
        </w:rPr>
        <w:t>” means any AUTO6NG Product Developed by Autolus or its Affiliates to [***].</w:t>
      </w:r>
    </w:p>
    <w:p>
      <w:pPr>
        <w:spacing w:after="0" w:line="165"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AUTO6NG Product</w:t>
      </w:r>
      <w:r>
        <w:rPr>
          <w:rFonts w:ascii="Times New Roman" w:cs="Times New Roman" w:eastAsia="Times New Roman" w:hAnsi="Times New Roman"/>
          <w:sz w:val="18"/>
          <w:szCs w:val="18"/>
          <w:color w:val="auto"/>
        </w:rPr>
        <w:t xml:space="preserve">” means Autolus’s proprietary autologous CAR-T Cell Therapy targeting GD2 in the form under Development as of the Effective Date, as more particularly set forth on </w:t>
      </w:r>
      <w:r>
        <w:rPr>
          <w:rFonts w:ascii="Times New Roman" w:cs="Times New Roman" w:eastAsia="Times New Roman" w:hAnsi="Times New Roman"/>
          <w:sz w:val="18"/>
          <w:szCs w:val="18"/>
          <w:u w:val="single" w:color="auto"/>
          <w:color w:val="auto"/>
        </w:rPr>
        <w:t>Schedule 1.29</w:t>
      </w:r>
      <w:r>
        <w:rPr>
          <w:rFonts w:ascii="Times New Roman" w:cs="Times New Roman" w:eastAsia="Times New Roman" w:hAnsi="Times New Roman"/>
          <w:sz w:val="18"/>
          <w:szCs w:val="18"/>
          <w:color w:val="auto"/>
        </w:rPr>
        <w:t>, together with any new dosage forms, strengths, methods of manufacture, or methods of administration thereof and any improvements or modifications of such products, but excluding any AUTO6NG Next Gen Product.</w:t>
      </w:r>
    </w:p>
    <w:p>
      <w:pPr>
        <w:spacing w:after="0" w:line="14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1.30</w:t>
        <w:tab/>
        <w:t>“[***]” means [***].</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 has the meaning [***].</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 has the meaning [***].</w:t>
      </w:r>
    </w:p>
    <w:p>
      <w:pPr>
        <w:spacing w:after="0" w:line="161"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has the meaning set out in Section 6.4(b).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color w:val="auto"/>
        </w:rPr>
        <w:t>Availability Notice</w:t>
      </w:r>
      <w:r>
        <w:rPr>
          <w:rFonts w:ascii="Times New Roman" w:cs="Times New Roman" w:eastAsia="Times New Roman" w:hAnsi="Times New Roman"/>
          <w:sz w:val="18"/>
          <w:szCs w:val="18"/>
          <w:color w:val="auto"/>
        </w:rPr>
        <w:t>” has the meaning set out in Section 6.4(b).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has the meaning set out in Section 11.1.</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color w:val="auto"/>
        </w:rPr>
        <w:t>Baseball Arbitration</w:t>
      </w:r>
      <w:r>
        <w:rPr>
          <w:rFonts w:ascii="Times New Roman" w:cs="Times New Roman" w:eastAsia="Times New Roman" w:hAnsi="Times New Roman"/>
          <w:sz w:val="18"/>
          <w:szCs w:val="18"/>
          <w:color w:val="auto"/>
        </w:rPr>
        <w:t xml:space="preserve">” means the baseball arbitration procedure set out in </w:t>
      </w:r>
      <w:r>
        <w:rPr>
          <w:rFonts w:ascii="Times New Roman" w:cs="Times New Roman" w:eastAsia="Times New Roman" w:hAnsi="Times New Roman"/>
          <w:sz w:val="18"/>
          <w:szCs w:val="18"/>
          <w:u w:val="single" w:color="auto"/>
          <w:color w:val="auto"/>
        </w:rPr>
        <w:t>Schedule 1.36</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1.37</w:t>
        <w:tab/>
        <w:t>“[***]” means [***].</w:t>
      </w:r>
    </w:p>
    <w:p>
      <w:pPr>
        <w:spacing w:after="0" w:line="161"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1.38 “[***] </w:t>
      </w:r>
      <w:r>
        <w:rPr>
          <w:rFonts w:ascii="Times New Roman" w:cs="Times New Roman" w:eastAsia="Times New Roman" w:hAnsi="Times New Roman"/>
          <w:sz w:val="18"/>
          <w:szCs w:val="18"/>
          <w:b w:val="1"/>
          <w:bCs w:val="1"/>
          <w:color w:val="auto"/>
        </w:rPr>
        <w:t>Licensed Binder</w:t>
      </w:r>
      <w:r>
        <w:rPr>
          <w:rFonts w:ascii="Times New Roman" w:cs="Times New Roman" w:eastAsia="Times New Roman" w:hAnsi="Times New Roman"/>
          <w:sz w:val="18"/>
          <w:szCs w:val="18"/>
          <w:color w:val="auto"/>
        </w:rPr>
        <w:t>” means (a) that certain Binder of [***], and (b) [***], provided that clause (b) shall not include any Binder that (i) [***], or (ii) [***].</w:t>
      </w:r>
    </w:p>
    <w:p>
      <w:pPr>
        <w:spacing w:after="0" w:line="13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1.39</w:t>
        <w:tab/>
        <w:t xml:space="preserve">“[***] </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 Licensed Know-How and the [***] Licensed Patents.</w:t>
      </w:r>
    </w:p>
    <w:p>
      <w:pPr>
        <w:spacing w:after="0" w:line="165" w:lineRule="exact"/>
        <w:rPr>
          <w:sz w:val="20"/>
          <w:szCs w:val="20"/>
          <w:color w:val="auto"/>
        </w:rPr>
      </w:pPr>
    </w:p>
    <w:p>
      <w:pPr>
        <w:jc w:val="both"/>
        <w:ind w:right="4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1.40 “[***]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all Know-How, including [***], that is (a) Controlled by Autolus or its Affiliates, as of the Effective Date or during the Term, and (b) necessary or reasonably useful for (i) the Development of the [***] Licensed Binder, or (ii) the Exploitation of such Binder in a [***] Licensed Product. Notwithstanding the foregoing, the [***] Licensed Know-How [***].</w:t>
      </w:r>
    </w:p>
    <w:p>
      <w:pPr>
        <w:spacing w:after="0" w:line="135"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1.41 “[***]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all Patents, including Patents that Cover [***], that (a) are Controlled by Autolus or any of its Affiliates, as of the Effective Date or during the Term, and (b) claim or Cover (i) the [***] Licensed Binder, (ii) the [***] Licensed Know- How, or (iii) the Exploitation of the [***] Licensed Binder in a [***] Licensed Product.</w:t>
      </w:r>
    </w:p>
    <w:p>
      <w:pPr>
        <w:spacing w:after="0" w:line="135"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1.42 “[***]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means any pharmaceutical or biologic product that expresses In Vivo one or more [***] Licensed Binder(s), including any dosage strengths, presentations, formulations or methods of administration. For the purposes of this Agreement,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w:t>
      </w:r>
    </w:p>
    <w:p>
      <w:pPr>
        <w:sectPr>
          <w:pgSz w:w="11900" w:h="16840" w:orient="portrait"/>
          <w:cols w:equalWidth="0" w:num="1">
            <w:col w:w="10480"/>
          </w:cols>
          <w:pgMar w:left="760" w:top="1440" w:right="660" w:bottom="1440" w:gutter="0" w:footer="0" w:header="0"/>
        </w:sectPr>
      </w:pPr>
    </w:p>
    <w:bookmarkStart w:id="912" w:name="page913"/>
    <w:bookmarkEnd w:id="912"/>
    <w:p>
      <w:pPr>
        <w:spacing w:after="0" w:line="254"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1.43</w:t>
        <w:tab/>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has the meaning set out in Section 6.3(b).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1.44</w:t>
        <w:tab/>
        <w:t xml:space="preserve">“[***]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has the meaning set out in Section 6.1.</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1.45</w:t>
        <w:tab/>
        <w:t>“</w:t>
      </w:r>
      <w:r>
        <w:rPr>
          <w:rFonts w:ascii="Times New Roman" w:cs="Times New Roman" w:eastAsia="Times New Roman" w:hAnsi="Times New Roman"/>
          <w:sz w:val="18"/>
          <w:szCs w:val="18"/>
          <w:b w:val="1"/>
          <w:bCs w:val="1"/>
          <w:color w:val="auto"/>
        </w:rPr>
        <w:t>Binder</w:t>
      </w:r>
      <w:r>
        <w:rPr>
          <w:rFonts w:ascii="Times New Roman" w:cs="Times New Roman" w:eastAsia="Times New Roman" w:hAnsi="Times New Roman"/>
          <w:sz w:val="18"/>
          <w:szCs w:val="18"/>
          <w:color w:val="auto"/>
        </w:rPr>
        <w:t>” means a protein domain that is capable of binding an antigen.</w:t>
      </w:r>
    </w:p>
    <w:p>
      <w:pPr>
        <w:spacing w:after="0" w:line="16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1.46</w:t>
        <w:tab/>
        <w:t>“[***]” has the meaning set out in [***].</w:t>
      </w:r>
    </w:p>
    <w:p>
      <w:pPr>
        <w:spacing w:after="0" w:line="161"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1.47</w:t>
        <w:tab/>
        <w:t>“</w:t>
      </w:r>
      <w:r>
        <w:rPr>
          <w:rFonts w:ascii="Times New Roman" w:cs="Times New Roman" w:eastAsia="Times New Roman" w:hAnsi="Times New Roman"/>
          <w:sz w:val="18"/>
          <w:szCs w:val="18"/>
          <w:b w:val="1"/>
          <w:bCs w:val="1"/>
          <w:color w:val="auto"/>
        </w:rPr>
        <w:t>BioNTech Indemnitees</w:t>
      </w:r>
      <w:r>
        <w:rPr>
          <w:rFonts w:ascii="Times New Roman" w:cs="Times New Roman" w:eastAsia="Times New Roman" w:hAnsi="Times New Roman"/>
          <w:sz w:val="18"/>
          <w:szCs w:val="18"/>
          <w:color w:val="auto"/>
        </w:rPr>
        <w:t>” has the meaning set out in Section 16.1.</w:t>
      </w:r>
    </w:p>
    <w:p>
      <w:pPr>
        <w:spacing w:after="0" w:line="165"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means, in a particular country with respect to a particular [***] Licensed Product, a product that: (a) has received all necessary approvals by the applicable Regulatory Authorities in such country to place on the market such product as a biopharmaceutical product; (b) is marketed or sold by a Third Party that has not obtained the rights to such product as a Sublicensee or distributor of, or through any other contractual relationship with, BioNTech or any of its Affiliates or Sublicensees; and (c) is approved as a “biosimilar” (in the United States) or a “similar biological medicinal product” (in the EU) or using a comparable procedure in other countries whereby the [***] Licensed Product is the “reference medicinal product” and an expedited Regulatory Approval process for the approval of generic versions of biological products is used based on Applicable Laws and once all regulatory exclusivities and intellectual property rights for the [***] Licensed Product have expired.</w:t>
      </w:r>
    </w:p>
    <w:p>
      <w:pPr>
        <w:spacing w:after="0" w:line="13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1.49</w:t>
        <w:tab/>
        <w:t>“[***]” means [***].</w:t>
      </w:r>
    </w:p>
    <w:p>
      <w:pPr>
        <w:spacing w:after="0" w:line="161"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BNT211</w:t>
      </w:r>
      <w:r>
        <w:rPr>
          <w:rFonts w:ascii="Times New Roman" w:cs="Times New Roman" w:eastAsia="Times New Roman" w:hAnsi="Times New Roman"/>
          <w:sz w:val="17"/>
          <w:szCs w:val="17"/>
          <w:color w:val="auto"/>
        </w:rPr>
        <w:t>” has the meaning set out in Section 3.1(a).</w:t>
      </w:r>
    </w:p>
    <w:p>
      <w:pPr>
        <w:spacing w:after="0" w:line="165"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a bank or other public holiday in London, England or Mainz, Germany.</w:t>
      </w:r>
    </w:p>
    <w:p>
      <w:pPr>
        <w:spacing w:after="0" w:line="130"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xml:space="preserve">” means the respective periods of three (3) consecutive calendar months ending on March 31, June 30, September 30 and December 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the first Calendar Quarter of the Term shall extend from the Effective Date to the end of the first such three (3) -month period thereafter; and (b) the final Calendar Quarter of the Term shall extend from the first day of such three (3)- month period until the last day of the Term.</w:t>
      </w:r>
    </w:p>
    <w:p>
      <w:pPr>
        <w:spacing w:after="0" w:line="136" w:lineRule="exact"/>
        <w:rPr>
          <w:sz w:val="20"/>
          <w:szCs w:val="20"/>
          <w:color w:val="auto"/>
        </w:rPr>
      </w:pPr>
    </w:p>
    <w:p>
      <w:pPr>
        <w:jc w:val="both"/>
        <w:ind w:firstLine="576"/>
        <w:spacing w:after="0" w:line="231"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xml:space="preserve">” means a period of twelve (12) consecutive calendar months ending on December 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the first Calendar Year of the Term shall extend from the Effective Date to December 31; and (b) the final Calendar Year of the Term shall extend from January 1 until the last day of the Term.</w:t>
      </w:r>
    </w:p>
    <w:p>
      <w:pPr>
        <w:spacing w:after="0" w:line="13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1.54</w:t>
        <w:tab/>
        <w:t>“</w:t>
      </w:r>
      <w:r>
        <w:rPr>
          <w:rFonts w:ascii="Times New Roman" w:cs="Times New Roman" w:eastAsia="Times New Roman" w:hAnsi="Times New Roman"/>
          <w:sz w:val="18"/>
          <w:szCs w:val="18"/>
          <w:b w:val="1"/>
          <w:bCs w:val="1"/>
          <w:color w:val="auto"/>
        </w:rPr>
        <w:t>CAR</w:t>
      </w:r>
      <w:r>
        <w:rPr>
          <w:rFonts w:ascii="Times New Roman" w:cs="Times New Roman" w:eastAsia="Times New Roman" w:hAnsi="Times New Roman"/>
          <w:sz w:val="18"/>
          <w:szCs w:val="18"/>
          <w:color w:val="auto"/>
        </w:rPr>
        <w:t>” means a chimeric antigen receptor.</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1.55</w:t>
        <w:tab/>
        <w:t>“</w:t>
      </w:r>
      <w:r>
        <w:rPr>
          <w:rFonts w:ascii="Times New Roman" w:cs="Times New Roman" w:eastAsia="Times New Roman" w:hAnsi="Times New Roman"/>
          <w:sz w:val="18"/>
          <w:szCs w:val="18"/>
          <w:b w:val="1"/>
          <w:bCs w:val="1"/>
          <w:color w:val="auto"/>
        </w:rPr>
        <w:t>CAR-T</w:t>
      </w:r>
      <w:r>
        <w:rPr>
          <w:rFonts w:ascii="Times New Roman" w:cs="Times New Roman" w:eastAsia="Times New Roman" w:hAnsi="Times New Roman"/>
          <w:sz w:val="18"/>
          <w:szCs w:val="18"/>
          <w:color w:val="auto"/>
        </w:rPr>
        <w:t>” means a T-cell incorporating a CAR.</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1.56</w:t>
        <w:tab/>
        <w:t>“</w:t>
      </w:r>
      <w:r>
        <w:rPr>
          <w:rFonts w:ascii="Times New Roman" w:cs="Times New Roman" w:eastAsia="Times New Roman" w:hAnsi="Times New Roman"/>
          <w:sz w:val="18"/>
          <w:szCs w:val="18"/>
          <w:b w:val="1"/>
          <w:bCs w:val="1"/>
          <w:color w:val="auto"/>
        </w:rPr>
        <w:t>CAR-T Cell Therapy</w:t>
      </w:r>
      <w:r>
        <w:rPr>
          <w:rFonts w:ascii="Times New Roman" w:cs="Times New Roman" w:eastAsia="Times New Roman" w:hAnsi="Times New Roman"/>
          <w:sz w:val="18"/>
          <w:szCs w:val="18"/>
          <w:color w:val="auto"/>
        </w:rPr>
        <w:t>” means a therapy comprising a T-cell that [***].</w:t>
      </w:r>
    </w:p>
    <w:p>
      <w:pPr>
        <w:spacing w:after="0" w:line="16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1.57</w:t>
        <w:tab/>
        <w:t>“[***]” means a protein product of the [***] molecule gene.</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1.58</w:t>
        <w:tab/>
        <w:t>“[***]” means a protein product of the [***] molecule gene.</w:t>
      </w:r>
    </w:p>
    <w:p>
      <w:pPr>
        <w:spacing w:after="0" w:line="161"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1.59</w:t>
        <w:tab/>
        <w:t xml:space="preserv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out in Section 1.70.</w:t>
      </w:r>
    </w:p>
    <w:p>
      <w:pPr>
        <w:spacing w:after="0" w:line="165"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1.60 “[***] </w:t>
      </w:r>
      <w:r>
        <w:rPr>
          <w:rFonts w:ascii="Times New Roman" w:cs="Times New Roman" w:eastAsia="Times New Roman" w:hAnsi="Times New Roman"/>
          <w:sz w:val="18"/>
          <w:szCs w:val="18"/>
          <w:b w:val="1"/>
          <w:bCs w:val="1"/>
          <w:color w:val="auto"/>
        </w:rPr>
        <w:t>Licensed Binder</w:t>
      </w:r>
      <w:r>
        <w:rPr>
          <w:rFonts w:ascii="Times New Roman" w:cs="Times New Roman" w:eastAsia="Times New Roman" w:hAnsi="Times New Roman"/>
          <w:sz w:val="18"/>
          <w:szCs w:val="18"/>
          <w:color w:val="auto"/>
        </w:rPr>
        <w:t>” means (a) that certain Binder of [***], and (b) [***], provided that clause (b) shall not include any Binder that (i) [***], or (ii) [***].</w:t>
      </w:r>
    </w:p>
    <w:p>
      <w:pPr>
        <w:spacing w:after="0" w:line="130"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1.61 “[***] </w:t>
      </w:r>
      <w:r>
        <w:rPr>
          <w:rFonts w:ascii="Times New Roman" w:cs="Times New Roman" w:eastAsia="Times New Roman" w:hAnsi="Times New Roman"/>
          <w:sz w:val="18"/>
          <w:szCs w:val="18"/>
          <w:b w:val="1"/>
          <w:bCs w:val="1"/>
          <w:color w:val="auto"/>
        </w:rPr>
        <w:t>Licensed Binder</w:t>
      </w:r>
      <w:r>
        <w:rPr>
          <w:rFonts w:ascii="Times New Roman" w:cs="Times New Roman" w:eastAsia="Times New Roman" w:hAnsi="Times New Roman"/>
          <w:sz w:val="18"/>
          <w:szCs w:val="18"/>
          <w:color w:val="auto"/>
        </w:rPr>
        <w:t>” means (a) that certain Binder of [***], and (b) [***], provided that clause (b) shall not include any Binder that (i) [***], or (ii)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w:t>
      </w:r>
    </w:p>
    <w:p>
      <w:pPr>
        <w:sectPr>
          <w:pgSz w:w="11900" w:h="16840" w:orient="portrait"/>
          <w:cols w:equalWidth="0" w:num="1">
            <w:col w:w="10480"/>
          </w:cols>
          <w:pgMar w:left="760" w:top="1440" w:right="660" w:bottom="1440" w:gutter="0" w:footer="0" w:header="0"/>
        </w:sectPr>
      </w:pPr>
    </w:p>
    <w:bookmarkStart w:id="913" w:name="page914"/>
    <w:bookmarkEnd w:id="913"/>
    <w:p>
      <w:pPr>
        <w:spacing w:after="0" w:line="254"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1.62 “[***] </w:t>
      </w:r>
      <w:r>
        <w:rPr>
          <w:rFonts w:ascii="Times New Roman" w:cs="Times New Roman" w:eastAsia="Times New Roman" w:hAnsi="Times New Roman"/>
          <w:sz w:val="18"/>
          <w:szCs w:val="18"/>
          <w:b w:val="1"/>
          <w:bCs w:val="1"/>
          <w:color w:val="auto"/>
        </w:rPr>
        <w:t>Binder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any Patents (a) Controlled by BioNTech or its Affiliates and (b) that claim or Cover [***] Licensed Binder and/or a [***] Licensed Binder that were made by or on behalf of BioNTech, its Affiliates, Sublicensees, or their Subcontractors unless [***].</w:t>
      </w:r>
    </w:p>
    <w:p>
      <w:pPr>
        <w:spacing w:after="0" w:line="13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1.63</w:t>
        <w:tab/>
        <w:t xml:space="preserve">“[***] </w:t>
      </w:r>
      <w:r>
        <w:rPr>
          <w:rFonts w:ascii="Times New Roman" w:cs="Times New Roman" w:eastAsia="Times New Roman" w:hAnsi="Times New Roman"/>
          <w:sz w:val="18"/>
          <w:szCs w:val="18"/>
          <w:b w:val="1"/>
          <w:bCs w:val="1"/>
          <w:color w:val="auto"/>
        </w:rPr>
        <w:t>Competing Product</w:t>
      </w:r>
      <w:r>
        <w:rPr>
          <w:rFonts w:ascii="Times New Roman" w:cs="Times New Roman" w:eastAsia="Times New Roman" w:hAnsi="Times New Roman"/>
          <w:sz w:val="18"/>
          <w:szCs w:val="18"/>
          <w:color w:val="auto"/>
        </w:rPr>
        <w:t>” has the meaning set out in Section 9.2(c).</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1.64</w:t>
        <w:tab/>
        <w:t xml:space="preserv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has the meaning set out in Section 5.1(a).</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1.65</w:t>
        <w:tab/>
        <w:t xml:space="preserve">“[***] </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 Licensed Know-How and the [***] Licensed Patents.</w:t>
      </w:r>
    </w:p>
    <w:p>
      <w:pPr>
        <w:spacing w:after="0" w:line="165" w:lineRule="exact"/>
        <w:rPr>
          <w:sz w:val="20"/>
          <w:szCs w:val="20"/>
          <w:color w:val="auto"/>
        </w:rPr>
      </w:pPr>
    </w:p>
    <w:p>
      <w:pPr>
        <w:jc w:val="both"/>
        <w:ind w:right="4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1.66 “[***]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all Know-How that is (a) Controlled by Autolus or its Affiliates, as of the Effective Date or during the Term, and (b) necessary or reasonably useful for (i) the Development of a [***] Licensed Binder and/or a [***] Licensed Binder, or (ii) the Exploitation of a [***] Licensed Product. Notwithstanding the foregoing, the [***] Licensed Know-How excludes [***].</w:t>
      </w:r>
    </w:p>
    <w:p>
      <w:pPr>
        <w:spacing w:after="0" w:line="135" w:lineRule="exact"/>
        <w:rPr>
          <w:sz w:val="20"/>
          <w:szCs w:val="20"/>
          <w:color w:val="auto"/>
        </w:rPr>
      </w:pPr>
    </w:p>
    <w:p>
      <w:pPr>
        <w:jc w:val="both"/>
        <w:ind w:right="4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1.67 “[***]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all Patents that are (a) are Controlled by Autolus or its Affiliates, as of the Effective Date or during the Term, and (b) that claim or Cover (i) a [***] Licensed Binder and/or a [***] Licensed Binder, (ii) [***] Licensed Know-How, or (iii) the Exploitation of such Binders in a [***] Licensed Product.</w:t>
      </w:r>
    </w:p>
    <w:p>
      <w:pPr>
        <w:spacing w:after="0" w:line="135" w:lineRule="exact"/>
        <w:rPr>
          <w:sz w:val="20"/>
          <w:szCs w:val="20"/>
          <w:color w:val="auto"/>
        </w:rPr>
      </w:pPr>
    </w:p>
    <w:p>
      <w:pPr>
        <w:jc w:val="both"/>
        <w:ind w:firstLine="576"/>
        <w:spacing w:after="0" w:line="231" w:lineRule="auto"/>
        <w:rPr>
          <w:sz w:val="20"/>
          <w:szCs w:val="20"/>
          <w:color w:val="auto"/>
        </w:rPr>
      </w:pPr>
      <w:r>
        <w:rPr>
          <w:rFonts w:ascii="Times New Roman" w:cs="Times New Roman" w:eastAsia="Times New Roman" w:hAnsi="Times New Roman"/>
          <w:sz w:val="18"/>
          <w:szCs w:val="18"/>
          <w:color w:val="auto"/>
        </w:rPr>
        <w:t xml:space="preserve">1. 68 “[***]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means any pharmaceutical or biologic product that expresses In Vivo one or more [***] Licensed Binder(s) and/or [***] Licensed Binder(s), including any dosage strengths, presentations, formulations or methods of administration. For the purposes of this Agreement,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 For clarity, [***].</w:t>
      </w:r>
    </w:p>
    <w:p>
      <w:pPr>
        <w:spacing w:after="0" w:line="135"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1.69 “[***]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xml:space="preserve"> ” means, on a [***] Licensed Product-by-[***] Licensed Product and country-by-country basis, the period commencing on the date of First Commercial Sale of such [***] Licensed Product in such country and expiring on [***].</w:t>
      </w:r>
    </w:p>
    <w:p>
      <w:pPr>
        <w:spacing w:after="0" w:line="13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1.70</w:t>
        <w:tab/>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means [***] to a Third Party (the “[***]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1.71</w:t>
        <w:tab/>
        <w:t>“</w:t>
      </w:r>
      <w:r>
        <w:rPr>
          <w:rFonts w:ascii="Times New Roman" w:cs="Times New Roman" w:eastAsia="Times New Roman" w:hAnsi="Times New Roman"/>
          <w:sz w:val="18"/>
          <w:szCs w:val="18"/>
          <w:b w:val="1"/>
          <w:bCs w:val="1"/>
          <w:color w:val="auto"/>
        </w:rPr>
        <w:t>CDR</w:t>
      </w:r>
      <w:r>
        <w:rPr>
          <w:rFonts w:ascii="Times New Roman" w:cs="Times New Roman" w:eastAsia="Times New Roman" w:hAnsi="Times New Roman"/>
          <w:sz w:val="18"/>
          <w:szCs w:val="18"/>
          <w:color w:val="auto"/>
        </w:rPr>
        <w:t>” means complementarity determining sequences.</w:t>
      </w:r>
    </w:p>
    <w:p>
      <w:pPr>
        <w:spacing w:after="0" w:line="165"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1.72 “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all Third Party demands, claims, actions, proceedings and liability (whether criminal or civil, in contract, tort or otherwise) for losses, damages, reasonable legal costs and other reasonable expenses of any nature whatsoever.</w:t>
      </w:r>
    </w:p>
    <w:p>
      <w:pPr>
        <w:spacing w:after="0" w:line="130"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Clinical Study Report</w:t>
      </w:r>
      <w:r>
        <w:rPr>
          <w:rFonts w:ascii="Times New Roman" w:cs="Times New Roman" w:eastAsia="Times New Roman" w:hAnsi="Times New Roman"/>
          <w:sz w:val="18"/>
          <w:szCs w:val="18"/>
          <w:color w:val="auto"/>
        </w:rPr>
        <w:t xml:space="preserve"> ” means the final clinical study report containing the results of a [***], in the form in which it is provided to Autolus by the Sponsor (or prepared by Autolus, if Autolus is the Sponsor).</w:t>
      </w:r>
    </w:p>
    <w:p>
      <w:pPr>
        <w:spacing w:after="0" w:line="130"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any human clinical study or trial of a product, including Phase 1 Trials, Phase 2 Trials, Pivotal Trials, Phase 3 clinical trials and Phase 4 clinical trials or any other equivalent, combined or other trial a product is administered to a human subject.</w:t>
      </w:r>
    </w:p>
    <w:p>
      <w:pPr>
        <w:spacing w:after="0" w:line="130"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Co-Exclusive</w:t>
      </w:r>
      <w:r>
        <w:rPr>
          <w:rFonts w:ascii="Times New Roman" w:cs="Times New Roman" w:eastAsia="Times New Roman" w:hAnsi="Times New Roman"/>
          <w:sz w:val="18"/>
          <w:szCs w:val="18"/>
          <w:color w:val="auto"/>
        </w:rPr>
        <w:t>” means each of BioNTech and Autolus and their respective Affiliates may practice the Activity Enhancement Licensed IP with respect to products owned or controlled by such Party or one of its Affiliates, and that neither Party nor any of its Affiliates may grant Third Parties, [***], any right or license to practice the Activity Enhancement Licensed IP with any products other than products owned or controlled by such Party or one of its Affiliates.</w:t>
      </w:r>
    </w:p>
    <w:p>
      <w:pPr>
        <w:spacing w:after="0" w:line="136"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 xml:space="preserve">1.76 “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a Revenue-Bearing Product in combination with [***] other therapeutically active ingredients; (b) a co- packaged Revenue- Bearing Product containing [***] separate pharmaceutical products (one of which is a Revenue-Bearing Product) in the same presentation; or (c) a Revenue-Bearing Product used as part of a treatment regimen where such Revenue -Bearing Product is approved for use with other pharmaceutical or biologic products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6</w:t>
      </w:r>
    </w:p>
    <w:p>
      <w:pPr>
        <w:sectPr>
          <w:pgSz w:w="11900" w:h="16840" w:orient="portrait"/>
          <w:cols w:equalWidth="0" w:num="1">
            <w:col w:w="10480"/>
          </w:cols>
          <w:pgMar w:left="760" w:top="1440" w:right="660" w:bottom="1440" w:gutter="0" w:footer="0" w:header="0"/>
        </w:sectPr>
      </w:pPr>
    </w:p>
    <w:bookmarkStart w:id="914" w:name="page915"/>
    <w:bookmarkEnd w:id="914"/>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not each such pharmaceutical or biologic product is sold separately) and sold for a single price. For the avoidance of doubt, [***].</w:t>
      </w:r>
    </w:p>
    <w:p>
      <w:pPr>
        <w:spacing w:after="0" w:line="161" w:lineRule="exact"/>
        <w:rPr>
          <w:sz w:val="20"/>
          <w:szCs w:val="20"/>
          <w:color w:val="auto"/>
        </w:rPr>
      </w:pPr>
    </w:p>
    <w:p>
      <w:pPr>
        <w:jc w:val="both"/>
        <w:ind w:right="20" w:firstLine="576"/>
        <w:spacing w:after="0" w:line="225"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to market, promote, distribute, import, export, offer to sell or sell a product or conduct other commercialization activities with respect to a product, including activities relating to marketing, promoting, distributing, importing, exporting, offering for sale or selling a product, and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has a correlative meaning. Commercialize and Commercialization do not include Manufacture, Manufactured or Manufacturing or Develop, Development or Developed.</w:t>
      </w:r>
    </w:p>
    <w:p>
      <w:pPr>
        <w:spacing w:after="0" w:line="12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1.78</w:t>
        <w:tab/>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 Party’s activities, such [***] efforts to undertake an activity as</w:t>
      </w:r>
    </w:p>
    <w:p>
      <w:pPr>
        <w:ind w:right="20" w:firstLine="2"/>
        <w:spacing w:after="0" w:line="228" w:lineRule="auto"/>
        <w:tabs>
          <w:tab w:leader="none" w:pos="443"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normally use to accomplish a similar objective under similar circumstances, with respect to a product that is of similar market and economic potential as the applicable product, and at a similar stage in its development or product life as such product, taking into account [***].</w:t>
      </w:r>
    </w:p>
    <w:p>
      <w:pPr>
        <w:spacing w:after="0" w:line="13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1.79</w:t>
        <w:tab/>
        <w:t>“</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has the meaning set out in Section 11.4(b).</w:t>
      </w:r>
    </w:p>
    <w:p>
      <w:pPr>
        <w:spacing w:after="0" w:line="165" w:lineRule="exact"/>
        <w:rPr>
          <w:sz w:val="20"/>
          <w:szCs w:val="20"/>
          <w:color w:val="auto"/>
        </w:rPr>
      </w:pPr>
    </w:p>
    <w:p>
      <w:pPr>
        <w:jc w:val="both"/>
        <w:ind w:right="20" w:firstLine="576"/>
        <w:spacing w:after="0" w:line="225" w:lineRule="auto"/>
        <w:rPr>
          <w:sz w:val="20"/>
          <w:szCs w:val="20"/>
          <w:color w:val="auto"/>
        </w:rPr>
      </w:pPr>
      <w:r>
        <w:rPr>
          <w:rFonts w:ascii="Times New Roman" w:cs="Times New Roman" w:eastAsia="Times New Roman" w:hAnsi="Times New Roman"/>
          <w:sz w:val="18"/>
          <w:szCs w:val="18"/>
          <w:color w:val="auto"/>
        </w:rPr>
        <w:t>1. 80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Know-How and other proprietary information and data of any kind, including of a financial, scientific, commercial or technical nature that the Disclosing Party has supplied or otherwise made available to the Recipient Party, whether made available orally, in writing or in electronic form, including information comprising or relating to concepts, discoveries, inventions, data (including Personal Data), designs or formulae in relation to this Agreement.</w:t>
      </w:r>
    </w:p>
    <w:p>
      <w:pPr>
        <w:spacing w:after="0" w:line="136"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means with respect to any Know-How, material, Patent, or other property right, the possession of the right, whether directly or indirectly, and whether by ownership, license, covenant not to sue, or otherwise (other than by operation of the license and other grants in this Agreement), for a Party or its Affiliates to grant a license, sublicense, or other right to or under such Know- How, material, Patent, or other property right as provided for herein without violating the terms of any agreement or other arrangement with any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such Party nor its Affiliates shall be deemed to “Control” any Know- How, material, Patent, or other property right that: (a) [***] of such Party, to the extent that [***] (i) [***], or (ii) [***], in each case ((i) or (ii)), except if ***], or (b) [***],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 such Know- How, material, Patent, or other property right ***] Know-How, material, Patent, or other property right [***], and such license [***] the license or sublicense is under any Know-How, material, Patent [***], or other property right, and [***], as applicable.</w:t>
      </w:r>
    </w:p>
    <w:p>
      <w:pPr>
        <w:spacing w:after="0" w:line="135"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on a country-by-country basis, with respect to a particular subject matter at issue [***] and one or more claim(s) in a relevant Patent, that, in the absence of ownership of, or a license under, such Patent, the Exploitation of such subject matter in such country would infringe one or more issued Valid Claims of such Patent, or, as to a pending claim included in such Patent, the Exploitation of such subject matter would infringe such Patent if such pending claim were to issue in an issued patent, in such country.</w:t>
      </w:r>
    </w:p>
    <w:p>
      <w:pPr>
        <w:spacing w:after="0" w:line="136"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Data Package</w:t>
      </w:r>
      <w:r>
        <w:rPr>
          <w:rFonts w:ascii="Times New Roman" w:cs="Times New Roman" w:eastAsia="Times New Roman" w:hAnsi="Times New Roman"/>
          <w:sz w:val="18"/>
          <w:szCs w:val="18"/>
          <w:color w:val="auto"/>
        </w:rPr>
        <w:t>” means, with respect to the AUTO1/22 Product, AUTO6NG Product, AUTO1/22 Next Gen Product and AUTO6NG Next Gen Product, [***].</w:t>
      </w:r>
    </w:p>
    <w:p>
      <w:pPr>
        <w:spacing w:after="0" w:line="130" w:lineRule="exact"/>
        <w:rPr>
          <w:sz w:val="20"/>
          <w:szCs w:val="20"/>
          <w:color w:val="auto"/>
        </w:rPr>
      </w:pPr>
    </w:p>
    <w:p>
      <w:pPr>
        <w:jc w:val="both"/>
        <w:ind w:firstLine="576"/>
        <w:spacing w:after="0" w:line="222"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drug research and development activities, including test method development and stability testing, assay development and audit development, toxicology, formulation, quality assurance/quality control development, technical development, process development, statistical analysis, pre-clinical and Clinical Trials, packaging development, regulatory affairs, and the preparation, filing and prosecution of Regulatory Filings. “</w:t>
      </w:r>
      <w:r>
        <w:rPr>
          <w:rFonts w:ascii="Times New Roman" w:cs="Times New Roman" w:eastAsia="Times New Roman" w:hAnsi="Times New Roman"/>
          <w:sz w:val="18"/>
          <w:szCs w:val="18"/>
          <w:b w:val="1"/>
          <w:bCs w:val="1"/>
          <w:color w:val="auto"/>
        </w:rPr>
        <w:t>Developed</w:t>
      </w:r>
      <w:r>
        <w:rPr>
          <w:rFonts w:ascii="Times New Roman" w:cs="Times New Roman" w:eastAsia="Times New Roman" w:hAnsi="Times New Roman"/>
          <w:sz w:val="18"/>
          <w:szCs w:val="18"/>
          <w:color w:val="auto"/>
        </w:rPr>
        <w:t>” has a correlative meaning. Develop, Development and Developed do not include Manufacture, Manufactured or Manufacturing or Commercialize or Commercialization.</w:t>
      </w:r>
    </w:p>
    <w:p>
      <w:pPr>
        <w:spacing w:after="0" w:line="13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1.85</w:t>
        <w:tab/>
        <w:t>“</w:t>
      </w:r>
      <w:r>
        <w:rPr>
          <w:rFonts w:ascii="Times New Roman" w:cs="Times New Roman" w:eastAsia="Times New Roman" w:hAnsi="Times New Roman"/>
          <w:sz w:val="18"/>
          <w:szCs w:val="18"/>
          <w:b w:val="1"/>
          <w:bCs w:val="1"/>
          <w:color w:val="auto"/>
        </w:rPr>
        <w:t>Development Plan Trigger Notice</w:t>
      </w:r>
      <w:r>
        <w:rPr>
          <w:rFonts w:ascii="Times New Roman" w:cs="Times New Roman" w:eastAsia="Times New Roman" w:hAnsi="Times New Roman"/>
          <w:sz w:val="18"/>
          <w:szCs w:val="18"/>
          <w:color w:val="auto"/>
        </w:rPr>
        <w:t>” has the meaning set out in Section 4.3.</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1.86</w:t>
        <w:tab/>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out in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w:t>
      </w:r>
    </w:p>
    <w:p>
      <w:pPr>
        <w:sectPr>
          <w:pgSz w:w="11900" w:h="16840" w:orient="portrait"/>
          <w:cols w:equalWidth="0" w:num="1">
            <w:col w:w="10480"/>
          </w:cols>
          <w:pgMar w:left="760" w:top="1440" w:right="660" w:bottom="1440" w:gutter="0" w:footer="0" w:header="0"/>
        </w:sectPr>
      </w:pPr>
    </w:p>
    <w:bookmarkStart w:id="915" w:name="page916"/>
    <w:bookmarkEnd w:id="915"/>
    <w:p>
      <w:pPr>
        <w:spacing w:after="0" w:line="254"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1.87</w:t>
        <w:tab/>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set out in Section 17.2.</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1.88</w:t>
        <w:tab/>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w:t>
      </w:r>
    </w:p>
    <w:p>
      <w:pPr>
        <w:spacing w:after="0" w:line="158"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1.89</w:t>
        <w:tab/>
        <w:t>“</w:t>
      </w:r>
      <w:r>
        <w:rPr>
          <w:rFonts w:ascii="Times New Roman" w:cs="Times New Roman" w:eastAsia="Times New Roman" w:hAnsi="Times New Roman"/>
          <w:sz w:val="18"/>
          <w:szCs w:val="18"/>
          <w:b w:val="1"/>
          <w:bCs w:val="1"/>
          <w:color w:val="auto"/>
        </w:rPr>
        <w:t>Drug Approval Application</w:t>
      </w:r>
      <w:r>
        <w:rPr>
          <w:rFonts w:ascii="Times New Roman" w:cs="Times New Roman" w:eastAsia="Times New Roman" w:hAnsi="Times New Roman"/>
          <w:sz w:val="18"/>
          <w:szCs w:val="18"/>
          <w:color w:val="auto"/>
        </w:rPr>
        <w:t xml:space="preserve">” means (a) a New Drug Application, submitted to the FDA pursuant to 21 CFR § 314.50 (“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jc w:val="both"/>
        <w:ind w:right="40" w:firstLine="2"/>
        <w:spacing w:after="0" w:line="213" w:lineRule="auto"/>
        <w:tabs>
          <w:tab w:leader="none" w:pos="281" w:val="left"/>
        </w:tabs>
        <w:numPr>
          <w:ilvl w:val="0"/>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Biologics License Application submitted to the FDA pursuant to Section 351(a) of the Public Health Service Act and the regulations promulgated thereunder (“</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(c) an application for authorization to market or sell a biological or pharmaceutical product submitted to a Regulatory Authority in any country or jurisdiction other than the U.S., including, with respect to the European Union, a marketing authorization application filed with the EMA pursuant to the Centralized Approval Procedure or with the applicable Regulatory Authority of a country in the European Economic Area with respect to the decentralized procedure, mutual recognition or any national approval procedure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or (d) with respect to any biological or pharmaceutical product for which an NDA, BLA or MAA has been approved by the applicable Regulatory Authority, an application to supplement or amend such NDA, BLA or MAA to expand the approved label for such biological product to include use of such biological product for an additional Indication.</w:t>
      </w:r>
    </w:p>
    <w:p>
      <w:pPr>
        <w:spacing w:after="0" w:line="139"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1.90</w:t>
        <w:tab/>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of the Initial Closing.</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1.91</w:t>
        <w:tab/>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has the meaning set forth in the preamble.</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1.92</w:t>
        <w:tab/>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entity thereto.</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Evaluation</w:t>
      </w:r>
      <w:r>
        <w:rPr>
          <w:rFonts w:ascii="Times New Roman" w:cs="Times New Roman" w:eastAsia="Times New Roman" w:hAnsi="Times New Roman"/>
          <w:sz w:val="17"/>
          <w:szCs w:val="17"/>
          <w:color w:val="auto"/>
        </w:rPr>
        <w:t>” has the meaning set out in Section 6.1.</w:t>
      </w:r>
    </w:p>
    <w:p>
      <w:pPr>
        <w:spacing w:after="0" w:line="165" w:lineRule="exact"/>
        <w:rPr>
          <w:sz w:val="20"/>
          <w:szCs w:val="20"/>
          <w:color w:val="auto"/>
        </w:rPr>
      </w:pPr>
    </w:p>
    <w:p>
      <w:pPr>
        <w:jc w:val="both"/>
        <w:ind w:right="60" w:firstLine="576"/>
        <w:spacing w:after="0" w:line="231" w:lineRule="auto"/>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to make, have made, import, have imported, export, have exported, use, have used, sell, have sold, offer for sale, or have offered for sale, including to research, Develop, Commercialize, register, modify, enhance, improve, Manufacture, have Manufactured, hold, or keep (whether for disposal or otherwise), or otherwise dispose of.</w:t>
      </w:r>
    </w:p>
    <w:p>
      <w:pPr>
        <w:spacing w:after="0" w:line="13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1.95</w:t>
        <w:tab/>
        <w:t>“</w:t>
      </w:r>
      <w:r>
        <w:rPr>
          <w:rFonts w:ascii="Times New Roman" w:cs="Times New Roman" w:eastAsia="Times New Roman" w:hAnsi="Times New Roman"/>
          <w:sz w:val="18"/>
          <w:szCs w:val="18"/>
          <w:b w:val="1"/>
          <w:bCs w:val="1"/>
          <w:color w:val="auto"/>
        </w:rPr>
        <w:t>Failure to Develop</w:t>
      </w:r>
      <w:r>
        <w:rPr>
          <w:rFonts w:ascii="Times New Roman" w:cs="Times New Roman" w:eastAsia="Times New Roman" w:hAnsi="Times New Roman"/>
          <w:sz w:val="18"/>
          <w:szCs w:val="18"/>
          <w:color w:val="auto"/>
        </w:rPr>
        <w:t>” has the meaning set out in Section 4.6(b).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1.96</w:t>
        <w:tab/>
        <w:t>“</w:t>
      </w:r>
      <w:r>
        <w:rPr>
          <w:rFonts w:ascii="Times New Roman" w:cs="Times New Roman" w:eastAsia="Times New Roman" w:hAnsi="Times New Roman"/>
          <w:sz w:val="18"/>
          <w:szCs w:val="18"/>
          <w:b w:val="1"/>
          <w:bCs w:val="1"/>
          <w:color w:val="auto"/>
        </w:rPr>
        <w:t>Failure to Develop Notice</w:t>
      </w:r>
      <w:r>
        <w:rPr>
          <w:rFonts w:ascii="Times New Roman" w:cs="Times New Roman" w:eastAsia="Times New Roman" w:hAnsi="Times New Roman"/>
          <w:sz w:val="18"/>
          <w:szCs w:val="18"/>
          <w:color w:val="auto"/>
        </w:rPr>
        <w:t>” has the meaning set out in Section 4.6(b).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1.97</w:t>
        <w:tab/>
        <w:t>“</w:t>
      </w:r>
      <w:r>
        <w:rPr>
          <w:rFonts w:ascii="Times New Roman" w:cs="Times New Roman" w:eastAsia="Times New Roman" w:hAnsi="Times New Roman"/>
          <w:sz w:val="18"/>
          <w:szCs w:val="18"/>
          <w:b w:val="1"/>
          <w:bCs w:val="1"/>
          <w:color w:val="auto"/>
        </w:rPr>
        <w:t>Failure to Develop Period</w:t>
      </w:r>
      <w:r>
        <w:rPr>
          <w:rFonts w:ascii="Times New Roman" w:cs="Times New Roman" w:eastAsia="Times New Roman" w:hAnsi="Times New Roman"/>
          <w:sz w:val="18"/>
          <w:szCs w:val="18"/>
          <w:color w:val="auto"/>
        </w:rPr>
        <w:t>” has the meaning set out in Section 4.6(b).</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1.98</w:t>
        <w:tab/>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means</w:t>
      </w:r>
      <w:r>
        <w:rPr>
          <w:rFonts w:ascii="Times New Roman" w:cs="Times New Roman" w:eastAsia="Times New Roman" w:hAnsi="Times New Roman"/>
          <w:sz w:val="18"/>
          <w:szCs w:val="18"/>
          <w:color w:val="auto"/>
        </w:rPr>
        <w:t xml:space="preserve"> the U. S. Food and Drug Administration or any successor entity thereto.</w:t>
      </w:r>
    </w:p>
    <w:p>
      <w:pPr>
        <w:spacing w:after="0" w:line="16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1.99</w:t>
        <w:tab/>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treatment and prophylaxis of diseases and conditions in humans.</w:t>
      </w:r>
    </w:p>
    <w:p>
      <w:pPr>
        <w:spacing w:after="0" w:line="165" w:lineRule="exact"/>
        <w:rPr>
          <w:sz w:val="20"/>
          <w:szCs w:val="20"/>
          <w:color w:val="auto"/>
        </w:rPr>
      </w:pPr>
    </w:p>
    <w:p>
      <w:pPr>
        <w:jc w:val="both"/>
        <w:ind w:right="60" w:firstLine="576"/>
        <w:spacing w:after="0" w:line="220" w:lineRule="auto"/>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 means, with respect to an Obe -cel Product, or [***] Licensed Product, as the case may be, in a country, the first arm’s length sale for monetary value: (a) in respect to Obe-cel Products, of such Obe-cel Product by Autolus, its Affiliates, or Autolus Licensees, or (b) in respect of [***] Licensed Products by BioNTech, its Affiliates, or their Sublicensees, as applicable to a Third Party for end use or consumption in such country following Regulatory Approval for sale of such Obe-cel Product or [***] Licensed Product in such country. Sales prior to receipt of Regulatory Approval for such product, such as so-called “treatment IND sales,” “named patient sales,” and “compassionate use sales,” shall not be construed as a First Commercial Sale.</w:t>
      </w:r>
    </w:p>
    <w:p>
      <w:pPr>
        <w:spacing w:after="0" w:line="134" w:lineRule="exact"/>
        <w:rPr>
          <w:sz w:val="20"/>
          <w:szCs w:val="20"/>
          <w:color w:val="auto"/>
        </w:rPr>
      </w:pPr>
    </w:p>
    <w:p>
      <w:pPr>
        <w:jc w:val="both"/>
        <w:ind w:right="60" w:firstLine="576"/>
        <w:spacing w:after="0" w:line="231" w:lineRule="auto"/>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Foreign Investment Laws</w:t>
      </w:r>
      <w:r>
        <w:rPr>
          <w:rFonts w:ascii="Times New Roman" w:cs="Times New Roman" w:eastAsia="Times New Roman" w:hAnsi="Times New Roman"/>
          <w:sz w:val="18"/>
          <w:szCs w:val="18"/>
          <w:color w:val="auto"/>
        </w:rPr>
        <w:t>” means any Applicable Laws that are designed or intended to screen, prohibit, restrict or regulate actions by Persons seeking to acquire rights in or control over domestic equities, securities, entities, assets, land or other interests in order to address national security or public order goals.</w:t>
      </w:r>
    </w:p>
    <w:p>
      <w:pPr>
        <w:spacing w:after="0" w:line="135" w:lineRule="exact"/>
        <w:rPr>
          <w:sz w:val="20"/>
          <w:szCs w:val="20"/>
          <w:color w:val="auto"/>
        </w:rPr>
      </w:pPr>
    </w:p>
    <w:p>
      <w:pPr>
        <w:jc w:val="both"/>
        <w:ind w:right="80" w:firstLine="576"/>
        <w:spacing w:after="0" w:line="231" w:lineRule="auto"/>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a full time equivalent person -year based upon a total of [***] working hours per Calendar Year of scientific or technical work carried out by a duly qualified employee of Autolus on or directly related to the work to be conducted under the Agreement. The portion of a FTE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w:t>
      </w:r>
    </w:p>
    <w:p>
      <w:pPr>
        <w:sectPr>
          <w:pgSz w:w="11900" w:h="16840" w:orient="portrait"/>
          <w:cols w:equalWidth="0" w:num="1">
            <w:col w:w="10520"/>
          </w:cols>
          <w:pgMar w:left="760" w:top="1440" w:right="620" w:bottom="1440" w:gutter="0" w:footer="0" w:header="0"/>
        </w:sectPr>
      </w:pPr>
    </w:p>
    <w:bookmarkStart w:id="916" w:name="page917"/>
    <w:bookmarkEnd w:id="916"/>
    <w:p>
      <w:pPr>
        <w:spacing w:after="0" w:line="258"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 xml:space="preserve">billable by Autolus for one (1) individual during a given accounting period shall be determined by dividing the number of hours worked directly by said individual on the work to be conducted under the Agreement during such accounting period and the number of FTE hours applicable for such accounting period based 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hours worked will not be counted by any multiplier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overtime or time-and-a-half).</w:t>
      </w:r>
    </w:p>
    <w:p>
      <w:pPr>
        <w:spacing w:after="0" w:line="136"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the rate of FTE costs incurred by Autolus, which for the purpose of this Agreement shall be [***] per FTE per Calendar Year. Beginning on [***], and on [***] of each subsequent Calendar Year during the Term, the FTE Rate is subject to annual adjustment by the percentage increase in the [***] in the preceding Calendar Year.</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Gatekeeper</w:t>
      </w:r>
      <w:r>
        <w:rPr>
          <w:rFonts w:ascii="Times New Roman" w:cs="Times New Roman" w:eastAsia="Times New Roman" w:hAnsi="Times New Roman"/>
          <w:sz w:val="18"/>
          <w:szCs w:val="18"/>
          <w:color w:val="auto"/>
        </w:rPr>
        <w:t>” means a mutually agreed independent Third Party patent attorney.</w:t>
      </w:r>
    </w:p>
    <w:p>
      <w:pPr>
        <w:spacing w:after="0" w:line="165" w:lineRule="exact"/>
        <w:rPr>
          <w:sz w:val="20"/>
          <w:szCs w:val="20"/>
          <w:color w:val="auto"/>
        </w:rPr>
      </w:pPr>
    </w:p>
    <w:p>
      <w:pPr>
        <w:jc w:val="both"/>
        <w:ind w:firstLine="576"/>
        <w:spacing w:after="0" w:line="245" w:lineRule="auto"/>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the good laboratory practice standards set out in Schedules 1 and 2 of Directive 2004/10/EC and Directive 2004/9/EC, or the equivalent Applicable Law in the relevant jurisdiction.</w:t>
      </w:r>
    </w:p>
    <w:p>
      <w:pPr>
        <w:spacing w:after="0" w:line="130" w:lineRule="exact"/>
        <w:rPr>
          <w:sz w:val="20"/>
          <w:szCs w:val="20"/>
          <w:color w:val="auto"/>
        </w:rPr>
      </w:pPr>
    </w:p>
    <w:p>
      <w:pPr>
        <w:jc w:val="both"/>
        <w:ind w:right="20" w:firstLine="576"/>
        <w:spacing w:after="0" w:line="222" w:lineRule="auto"/>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(a) any officer, employee (including physicians, hospital administrators 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(b) any candidate for political office, any political party or any official of a political party; or (c) any person acting in an official capacity on behalf of any of the foregoing.</w:t>
      </w:r>
    </w:p>
    <w:p>
      <w:pPr>
        <w:spacing w:after="0" w:line="135"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1.107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federal, state, local, municipal, provincial or other governmental authority of any nature (including any governmental division, prefecture, subdivision, department, agency, bureau, branch, office, commission, council, court or other tribunal).</w:t>
      </w:r>
    </w:p>
    <w:p>
      <w:pPr>
        <w:spacing w:after="0" w:line="135"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codified at 15 U.S.C. §18a, as may be amended from time to time, and the rules and regulations promulgated thereunder.</w:t>
      </w:r>
    </w:p>
    <w:p>
      <w:pPr>
        <w:spacing w:after="0" w:line="130"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HSR Clearance</w:t>
      </w:r>
      <w:r>
        <w:rPr>
          <w:rFonts w:ascii="Times New Roman" w:cs="Times New Roman" w:eastAsia="Times New Roman" w:hAnsi="Times New Roman"/>
          <w:sz w:val="18"/>
          <w:szCs w:val="18"/>
          <w:color w:val="auto"/>
        </w:rPr>
        <w:t>” means the expiration or termination of all applicable waiting periods and requests for information (and any extensions thereof) under the HSR Act with respect thereto with respect to any Technologies Option or other option exercise.</w:t>
      </w:r>
    </w:p>
    <w:p>
      <w:pPr>
        <w:spacing w:after="0" w:line="130"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1.110 “ </w:t>
      </w:r>
      <w:r>
        <w:rPr>
          <w:rFonts w:ascii="Times New Roman" w:cs="Times New Roman" w:eastAsia="Times New Roman" w:hAnsi="Times New Roman"/>
          <w:sz w:val="18"/>
          <w:szCs w:val="18"/>
          <w:b w:val="1"/>
          <w:bCs w:val="1"/>
          <w:color w:val="auto"/>
        </w:rPr>
        <w:t>HSR Filing</w:t>
      </w:r>
      <w:r>
        <w:rPr>
          <w:rFonts w:ascii="Times New Roman" w:cs="Times New Roman" w:eastAsia="Times New Roman" w:hAnsi="Times New Roman"/>
          <w:sz w:val="18"/>
          <w:szCs w:val="18"/>
          <w:color w:val="auto"/>
        </w:rPr>
        <w:t>” means filings by Autolus or BioNTech with the United States Federal Trade Commission and the Antitrust Division of the United States Department of Justice of a Notification and Report Form, together with all required documentary attachments thereto with respect to any Technologies Option or other option exercise.</w:t>
      </w:r>
    </w:p>
    <w:p>
      <w:pPr>
        <w:spacing w:after="0" w:line="135"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1.111 “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in the U.S. filed with the FDA or the corresponding application for the investigation of pharmaceutical or biologic products in any other country or group of countries, as defined in Applicable Law and filed with the Regulatory Authority of a given country or group of countries.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has the meaning set out in Section 16.3.</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set out in Section 16.3.</w:t>
      </w:r>
    </w:p>
    <w:p>
      <w:pPr>
        <w:spacing w:after="0" w:line="165" w:lineRule="exact"/>
        <w:rPr>
          <w:sz w:val="20"/>
          <w:szCs w:val="20"/>
          <w:color w:val="auto"/>
        </w:rPr>
      </w:pPr>
    </w:p>
    <w:p>
      <w:pPr>
        <w:jc w:val="both"/>
        <w:ind w:firstLine="576"/>
        <w:spacing w:after="0" w:line="245"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separate and distinct disease or medical condition in humans, and [***], for which [***] with [***], as applicable.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42 U.S.C. §§ 1320f et seq., (or any amended or successor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9</w:t>
      </w:r>
    </w:p>
    <w:p>
      <w:pPr>
        <w:sectPr>
          <w:pgSz w:w="11900" w:h="16840" w:orient="portrait"/>
          <w:cols w:equalWidth="0" w:num="1">
            <w:col w:w="10480"/>
          </w:cols>
          <w:pgMar w:left="760" w:top="1440" w:right="660" w:bottom="1440" w:gutter="0" w:footer="0" w:header="0"/>
        </w:sectPr>
      </w:pPr>
    </w:p>
    <w:bookmarkStart w:id="917" w:name="page918"/>
    <w:bookmarkEnd w:id="917"/>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has the meaning given to it in the Share Purchase Agreement.</w:t>
      </w:r>
    </w:p>
    <w:p>
      <w:pPr>
        <w:spacing w:after="0" w:line="165" w:lineRule="exact"/>
        <w:rPr>
          <w:sz w:val="20"/>
          <w:szCs w:val="20"/>
          <w:color w:val="auto"/>
        </w:rPr>
      </w:pPr>
    </w:p>
    <w:p>
      <w:pPr>
        <w:jc w:val="both"/>
        <w:ind w:right="40" w:firstLine="576"/>
        <w:spacing w:after="0" w:line="225" w:lineRule="auto"/>
        <w:rPr>
          <w:sz w:val="20"/>
          <w:szCs w:val="20"/>
          <w:color w:val="auto"/>
        </w:rPr>
      </w:pPr>
      <w:r>
        <w:rPr>
          <w:rFonts w:ascii="Times New Roman" w:cs="Times New Roman" w:eastAsia="Times New Roman" w:hAnsi="Times New Roman"/>
          <w:sz w:val="18"/>
          <w:szCs w:val="18"/>
          <w:color w:val="auto"/>
        </w:rPr>
        <w:t xml:space="preserve">1.117 “ </w:t>
      </w:r>
      <w:r>
        <w:rPr>
          <w:rFonts w:ascii="Times New Roman" w:cs="Times New Roman" w:eastAsia="Times New Roman" w:hAnsi="Times New Roman"/>
          <w:sz w:val="18"/>
          <w:szCs w:val="18"/>
          <w:b w:val="1"/>
          <w:bCs w:val="1"/>
          <w:color w:val="auto"/>
        </w:rPr>
        <w:t>Initial Tech Transfer Package</w:t>
      </w:r>
      <w:r>
        <w:rPr>
          <w:rFonts w:ascii="Times New Roman" w:cs="Times New Roman" w:eastAsia="Times New Roman" w:hAnsi="Times New Roman"/>
          <w:sz w:val="18"/>
          <w:szCs w:val="18"/>
          <w:color w:val="auto"/>
        </w:rPr>
        <w:t xml:space="preserve"> ” means all Know- How, [***], that are in the possession of Autolus or its Affiliates at the Effective Date, that form part of the (a) [***] Licensed Know-How, (b) [***] Licensed Know-How, (c) Activity Enhancement Licensed Know-How, (d) Safety Switch Licensed Know-How, or (e) [***] Licensed Know -How and [***], or [***], in the format held by Autolus or its Affiliates on the Effective Date.</w:t>
      </w:r>
    </w:p>
    <w:p>
      <w:pPr>
        <w:spacing w:after="0" w:line="136"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means, (a) with respect to a Phase 1 Trial, the first dosing of the [***] human subject in such Phase 1 Trial, and (b) with respect to any other Clinical Trial, the first dosing of the [***] human subject in such Clinical Trial.</w:t>
      </w:r>
    </w:p>
    <w:p>
      <w:pPr>
        <w:spacing w:after="0" w:line="130" w:lineRule="exact"/>
        <w:rPr>
          <w:sz w:val="20"/>
          <w:szCs w:val="20"/>
          <w:color w:val="auto"/>
        </w:rPr>
      </w:pPr>
    </w:p>
    <w:p>
      <w:pPr>
        <w:jc w:val="both"/>
        <w:ind w:firstLine="576"/>
        <w:spacing w:after="0" w:line="224" w:lineRule="auto"/>
        <w:rPr>
          <w:sz w:val="20"/>
          <w:szCs w:val="20"/>
          <w:color w:val="auto"/>
        </w:rPr>
      </w:pPr>
      <w:r>
        <w:rPr>
          <w:rFonts w:ascii="Times New Roman" w:cs="Times New Roman" w:eastAsia="Times New Roman" w:hAnsi="Times New Roman"/>
          <w:sz w:val="17"/>
          <w:szCs w:val="17"/>
          <w:color w:val="auto"/>
        </w:rPr>
        <w:t>1. 119 “</w:t>
      </w:r>
      <w:r>
        <w:rPr>
          <w:rFonts w:ascii="Times New Roman" w:cs="Times New Roman" w:eastAsia="Times New Roman" w:hAnsi="Times New Roman"/>
          <w:sz w:val="17"/>
          <w:szCs w:val="17"/>
          <w:b w:val="1"/>
          <w:bCs w:val="1"/>
          <w:color w:val="auto"/>
        </w:rPr>
        <w:t>Insolvency Event</w:t>
      </w:r>
      <w:r>
        <w:rPr>
          <w:rFonts w:ascii="Times New Roman" w:cs="Times New Roman" w:eastAsia="Times New Roman" w:hAnsi="Times New Roman"/>
          <w:sz w:val="17"/>
          <w:szCs w:val="17"/>
          <w:color w:val="auto"/>
        </w:rPr>
        <w:t>” means, in relation to either Party, any of the following: (a) that a Party admits in writing to that the other Party that is has or will cease to function as a going concern by suspending or discontinuing its business; (b) that Party shall commence any case, proceeding or other action (i) under any existing or future law of any jurisdiction relating to bankruptcy, insolvency, reorganization or relief of debtors, seeking to have an order for relief entered with respect to it, or seeking to adjudicate it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any such Party shall make a general assignment for the benefit of its creditors; (c) there shall be commenced against such Party any case, proceeding or other action of a nature referred to in clause (b) above that (1) results in the entry of an order for relief or any such adjudication or appointment or</w:t>
      </w:r>
    </w:p>
    <w:p>
      <w:pPr>
        <w:spacing w:after="0" w:line="5" w:lineRule="exact"/>
        <w:rPr>
          <w:sz w:val="20"/>
          <w:szCs w:val="20"/>
          <w:color w:val="auto"/>
        </w:rPr>
      </w:pPr>
    </w:p>
    <w:p>
      <w:pPr>
        <w:jc w:val="both"/>
        <w:ind w:firstLine="2"/>
        <w:spacing w:after="0" w:line="216" w:lineRule="auto"/>
        <w:tabs>
          <w:tab w:leader="none" w:pos="260"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undismissed, undischarged or unbonded for a period of [***]; (d) any case, proceeding or other action has been commenced against such Party seeking issuance of a warrant of attachment, execution, distraint or similar process against all or any substantial part of its assets that results in the entry of an order for any such relief that shall not have been vacated, discharged, or stayed or bonded pending appeal within [***] from the entry thereof; or (e) such Party shall take any action in furtherance of, or indicating its consent to, approval of, or acquiescence in, any of the acts set forth in clauses (b), (c) or (d) above.</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color w:val="auto"/>
        </w:rPr>
        <w:t>Internal Program</w:t>
      </w:r>
      <w:r>
        <w:rPr>
          <w:rFonts w:ascii="Times New Roman" w:cs="Times New Roman" w:eastAsia="Times New Roman" w:hAnsi="Times New Roman"/>
          <w:sz w:val="18"/>
          <w:szCs w:val="18"/>
          <w:color w:val="auto"/>
        </w:rPr>
        <w:t>” means an internal Autolus research program for which Autolus or any of its Affiliates has [***].</w:t>
      </w:r>
    </w:p>
    <w:p>
      <w:pPr>
        <w:spacing w:after="0" w:line="165"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color w:val="auto"/>
        </w:rPr>
        <w:t>Intra-Group License</w:t>
      </w:r>
      <w:r>
        <w:rPr>
          <w:rFonts w:ascii="Times New Roman" w:cs="Times New Roman" w:eastAsia="Times New Roman" w:hAnsi="Times New Roman"/>
          <w:sz w:val="18"/>
          <w:szCs w:val="18"/>
          <w:color w:val="auto"/>
        </w:rPr>
        <w:t>” means that certain License Agreement, dated [***], by and between Autolus Limited and Autolus Holdings (UK) Limited.</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color w:val="auto"/>
        </w:rPr>
        <w:t>In Vivo</w:t>
      </w:r>
      <w:r>
        <w:rPr>
          <w:rFonts w:ascii="Times New Roman" w:cs="Times New Roman" w:eastAsia="Times New Roman" w:hAnsi="Times New Roman"/>
          <w:sz w:val="18"/>
          <w:szCs w:val="18"/>
          <w:color w:val="auto"/>
        </w:rPr>
        <w:t>” means [***] in which [***] in any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color w:val="auto"/>
        </w:rPr>
        <w:t>In Vivo AE Licensed Products</w:t>
      </w:r>
      <w:r>
        <w:rPr>
          <w:rFonts w:ascii="Times New Roman" w:cs="Times New Roman" w:eastAsia="Times New Roman" w:hAnsi="Times New Roman"/>
          <w:sz w:val="18"/>
          <w:szCs w:val="18"/>
          <w:color w:val="auto"/>
        </w:rPr>
        <w:t>” has the meaning set out in Section 6.3(d).</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has the meaning set out in Section 2.2(a).</w:t>
      </w:r>
    </w:p>
    <w:p>
      <w:pPr>
        <w:spacing w:after="0" w:line="165"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color w:val="auto"/>
        </w:rPr>
        <w:t>Know- How</w:t>
      </w:r>
      <w:r>
        <w:rPr>
          <w:rFonts w:ascii="Times New Roman" w:cs="Times New Roman" w:eastAsia="Times New Roman" w:hAnsi="Times New Roman"/>
          <w:sz w:val="18"/>
          <w:szCs w:val="18"/>
          <w:color w:val="auto"/>
        </w:rPr>
        <w:t>” means all information, know-how and data, including inventions (whether patentable or not), discoveries, trade secrets, specifications, instructions, processes, formulae, materials, expertise and other technology applicable to compounds, formulations, compositions, products or to their Manufacture, Development, registration, use, Commercialization or other Exploitation,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(including Personal Data), instructions, processes, formulae, expertise and information, regulatory filings and copies thereof, relevant to the Development, Manufacture, registration, use, Commercialization or other Exploitation of or which may be useful in studying, testing, Developing, producing or formulating products, or intermediates for the synthesis thereof.</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1.126 “[***]” has the meaning set out 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w:t>
      </w:r>
    </w:p>
    <w:p>
      <w:pPr>
        <w:sectPr>
          <w:pgSz w:w="11900" w:h="16840" w:orient="portrait"/>
          <w:cols w:equalWidth="0" w:num="1">
            <w:col w:w="10480"/>
          </w:cols>
          <w:pgMar w:left="760" w:top="1440" w:right="660" w:bottom="1440" w:gutter="0" w:footer="0" w:header="0"/>
        </w:sectPr>
      </w:pPr>
    </w:p>
    <w:bookmarkStart w:id="918" w:name="page919"/>
    <w:bookmarkEnd w:id="918"/>
    <w:p>
      <w:pPr>
        <w:spacing w:after="0" w:line="2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set out in Section 16.1.</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color w:val="auto"/>
        </w:rPr>
        <w:t>Major Markets</w:t>
      </w:r>
      <w:r>
        <w:rPr>
          <w:rFonts w:ascii="Times New Roman" w:cs="Times New Roman" w:eastAsia="Times New Roman" w:hAnsi="Times New Roman"/>
          <w:sz w:val="18"/>
          <w:szCs w:val="18"/>
          <w:color w:val="auto"/>
        </w:rPr>
        <w:t>” means any of [***].</w:t>
      </w:r>
    </w:p>
    <w:p>
      <w:pPr>
        <w:spacing w:after="0" w:line="165" w:lineRule="exact"/>
        <w:rPr>
          <w:sz w:val="20"/>
          <w:szCs w:val="20"/>
          <w:color w:val="auto"/>
        </w:rPr>
      </w:pPr>
    </w:p>
    <w:p>
      <w:pPr>
        <w:jc w:val="both"/>
        <w:ind w:left="100" w:right="20" w:firstLine="576"/>
        <w:spacing w:after="0" w:line="222"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with respect to a compound or product, activities directed to the sourcing and purchasing of materials, producing, manufacturing, supplying, processing, compounding, filling, finishing, packing, packaging, labeling, leafleting, quality assurance, quality control testing and release, shipping, storage, and sample retention of such compound or product. “</w:t>
      </w:r>
      <w:r>
        <w:rPr>
          <w:rFonts w:ascii="Times New Roman" w:cs="Times New Roman" w:eastAsia="Times New Roman" w:hAnsi="Times New Roman"/>
          <w:sz w:val="18"/>
          <w:szCs w:val="18"/>
          <w:b w:val="1"/>
          <w:bCs w:val="1"/>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have correlative meanings. Manufacture and Manufacturing do not include Develop or Developed or Commercialize or Commercialization.</w:t>
      </w:r>
    </w:p>
    <w:p>
      <w:pPr>
        <w:spacing w:after="0" w:line="1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color w:val="auto"/>
        </w:rPr>
        <w:t>MCSA</w:t>
      </w:r>
      <w:r>
        <w:rPr>
          <w:rFonts w:ascii="Times New Roman" w:cs="Times New Roman" w:eastAsia="Times New Roman" w:hAnsi="Times New Roman"/>
          <w:sz w:val="18"/>
          <w:szCs w:val="18"/>
          <w:color w:val="auto"/>
        </w:rPr>
        <w:t>” has the meaning set out in Section 3.1(a).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color w:val="auto"/>
        </w:rPr>
        <w:t>MCSA Negotiation Period</w:t>
      </w:r>
      <w:r>
        <w:rPr>
          <w:rFonts w:ascii="Times New Roman" w:cs="Times New Roman" w:eastAsia="Times New Roman" w:hAnsi="Times New Roman"/>
          <w:sz w:val="18"/>
          <w:szCs w:val="18"/>
          <w:color w:val="auto"/>
        </w:rPr>
        <w:t>” has the meaning set out in Section 3.1(a).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color w:val="auto"/>
        </w:rPr>
        <w:t>Module Option</w:t>
      </w:r>
      <w:r>
        <w:rPr>
          <w:rFonts w:ascii="Times New Roman" w:cs="Times New Roman" w:eastAsia="Times New Roman" w:hAnsi="Times New Roman"/>
          <w:sz w:val="18"/>
          <w:szCs w:val="18"/>
          <w:color w:val="auto"/>
        </w:rPr>
        <w:t>” means (a) the Safety Switch Option, or (b) the Activity Enhancement Option.</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color w:val="auto"/>
        </w:rPr>
        <w:t>Module Option Period</w:t>
      </w:r>
      <w:r>
        <w:rPr>
          <w:rFonts w:ascii="Times New Roman" w:cs="Times New Roman" w:eastAsia="Times New Roman" w:hAnsi="Times New Roman"/>
          <w:sz w:val="18"/>
          <w:szCs w:val="18"/>
          <w:color w:val="auto"/>
        </w:rPr>
        <w:t>” has the meaning set out in Section 6.1.</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color w:val="auto"/>
        </w:rPr>
        <w:t>Negotiation Trigger Notice</w:t>
      </w:r>
      <w:r>
        <w:rPr>
          <w:rFonts w:ascii="Times New Roman" w:cs="Times New Roman" w:eastAsia="Times New Roman" w:hAnsi="Times New Roman"/>
          <w:sz w:val="18"/>
          <w:szCs w:val="18"/>
          <w:color w:val="auto"/>
        </w:rPr>
        <w:t>” has the meaning set out in Section 4.4(a).</w:t>
      </w:r>
    </w:p>
    <w:p>
      <w:pPr>
        <w:spacing w:after="0" w:line="165" w:lineRule="exact"/>
        <w:rPr>
          <w:sz w:val="20"/>
          <w:szCs w:val="20"/>
          <w:color w:val="auto"/>
        </w:rPr>
      </w:pPr>
    </w:p>
    <w:p>
      <w:pPr>
        <w:jc w:val="both"/>
        <w:ind w:left="100" w:right="20" w:firstLine="576"/>
        <w:spacing w:after="0" w:line="222" w:lineRule="auto"/>
        <w:rPr>
          <w:sz w:val="20"/>
          <w:szCs w:val="20"/>
          <w:color w:val="auto"/>
        </w:rPr>
      </w:pPr>
      <w:r>
        <w:rPr>
          <w:rFonts w:ascii="Times New Roman" w:cs="Times New Roman" w:eastAsia="Times New Roman" w:hAnsi="Times New Roman"/>
          <w:sz w:val="18"/>
          <w:szCs w:val="18"/>
          <w:color w:val="auto"/>
        </w:rPr>
        <w:t>1. 135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(i) with respect to any Obe-cel Product, the gross amounts [***] by Autolus, its Affiliates or Autolus Licensees to Third Party customers for sales of such Obe-cel Product, or (ii) with respect to any [***] Licensed Product, the gross amount [***] by BioNTech, its Affiliates or Sublicensees to Third Party customers for sales of such [***] Licensed Product, in each case ((i) and (ii)) less the following to the extent reasonable and customary and paid, incurred, or otherwise taken and not reimbursed by any Third Party in accordance with applicable Accounting Standards with respect to such sales;</w:t>
      </w:r>
    </w:p>
    <w:p>
      <w:pPr>
        <w:spacing w:after="0" w:line="139" w:lineRule="exact"/>
        <w:rPr>
          <w:sz w:val="20"/>
          <w:szCs w:val="20"/>
          <w:color w:val="auto"/>
        </w:rPr>
      </w:pPr>
    </w:p>
    <w:p>
      <w:pPr>
        <w:ind w:left="1740" w:hanging="582"/>
        <w:spacing w:after="0"/>
        <w:tabs>
          <w:tab w:leader="none" w:pos="174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65"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576"/>
        <w:spacing w:after="0" w:line="217" w:lineRule="auto"/>
        <w:rPr>
          <w:sz w:val="20"/>
          <w:szCs w:val="20"/>
          <w:color w:val="auto"/>
        </w:rPr>
      </w:pPr>
      <w:r>
        <w:rPr>
          <w:rFonts w:ascii="Times New Roman" w:cs="Times New Roman" w:eastAsia="Times New Roman" w:hAnsi="Times New Roman"/>
          <w:sz w:val="18"/>
          <w:szCs w:val="18"/>
          <w:color w:val="auto"/>
        </w:rPr>
        <w:t>Notwithstanding any provision to the contrary set forth in this Agreement, [***]. Net Sales will only be determined on the first sale by a Selling Party to (1) [***] or (2) [***]. Notwithstanding the foregoing, amounts received or invoiced by a Selling Party for the sale of such Revenue-Bearing Product to [***] for resale will not be included in the computation of Net Sales hereunder, and the amounts invoiced by [***] on such resale to [***] will be included in the computation of Net Sales hereunder. For purposes of determining Net Sales, a Revenue -Bearing Product will be deemed to be sold when [***]. Net Sales will be accounted for in accordance with the applicable Accounting Standards. A particular deduction may only be accounted for once in the calculation of Net Sales. Net Sales will exclude any Revenue-Bearing Product made available to the patient [***].</w:t>
      </w:r>
    </w:p>
    <w:p>
      <w:pPr>
        <w:spacing w:after="0" w:line="142" w:lineRule="exact"/>
        <w:rPr>
          <w:sz w:val="20"/>
          <w:szCs w:val="20"/>
          <w:color w:val="auto"/>
        </w:rPr>
      </w:pPr>
    </w:p>
    <w:p>
      <w:pPr>
        <w:ind w:right="20" w:firstLine="576"/>
        <w:spacing w:after="0"/>
        <w:rPr>
          <w:sz w:val="20"/>
          <w:szCs w:val="20"/>
          <w:color w:val="auto"/>
        </w:rPr>
      </w:pPr>
      <w:r>
        <w:rPr>
          <w:rFonts w:ascii="Times New Roman" w:cs="Times New Roman" w:eastAsia="Times New Roman" w:hAnsi="Times New Roman"/>
          <w:sz w:val="18"/>
          <w:szCs w:val="18"/>
          <w:color w:val="auto"/>
        </w:rPr>
        <w:t>In the event that the Revenue-Bearing Product is sold as part of a Combination Product, the Net Sales of such Revenue-Bearing Product, for the purposes of determining royalty payments, shall be determined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w:t>
      </w:r>
    </w:p>
    <w:p>
      <w:pPr>
        <w:sectPr>
          <w:pgSz w:w="11900" w:h="16840" w:orient="portrait"/>
          <w:cols w:equalWidth="0" w:num="1">
            <w:col w:w="10580"/>
          </w:cols>
          <w:pgMar w:left="660" w:top="1440" w:right="660" w:bottom="1440" w:gutter="0" w:footer="0" w:header="0"/>
        </w:sectPr>
      </w:pPr>
    </w:p>
    <w:bookmarkStart w:id="919" w:name="page920"/>
    <w:bookmarkEnd w:id="919"/>
    <w:p>
      <w:pPr>
        <w:spacing w:after="0" w:line="258" w:lineRule="exact"/>
        <w:rPr>
          <w:sz w:val="20"/>
          <w:szCs w:val="20"/>
          <w:color w:val="auto"/>
        </w:rPr>
      </w:pPr>
    </w:p>
    <w:p>
      <w:pPr>
        <w:jc w:val="both"/>
        <w:ind w:right="20" w:firstLine="576"/>
        <w:spacing w:after="0" w:line="229" w:lineRule="auto"/>
        <w:rPr>
          <w:sz w:val="20"/>
          <w:szCs w:val="20"/>
          <w:color w:val="auto"/>
        </w:rPr>
      </w:pPr>
      <w:r>
        <w:rPr>
          <w:rFonts w:ascii="Times New Roman" w:cs="Times New Roman" w:eastAsia="Times New Roman" w:hAnsi="Times New Roman"/>
          <w:sz w:val="18"/>
          <w:szCs w:val="18"/>
          <w:color w:val="auto"/>
        </w:rPr>
        <w:t>In the event that the weighted average sale price of the Revenue-Bearing Product when sold separately in finished form can be determined but the weighted average sale price of the other active compound(s)/active ingredient(s) when sold separately in finished form cannot be determined, Net Sales shall be calculated by [***].</w:t>
      </w:r>
    </w:p>
    <w:p>
      <w:pPr>
        <w:spacing w:after="0" w:line="140" w:lineRule="exact"/>
        <w:rPr>
          <w:sz w:val="20"/>
          <w:szCs w:val="20"/>
          <w:color w:val="auto"/>
        </w:rPr>
      </w:pPr>
    </w:p>
    <w:p>
      <w:pPr>
        <w:jc w:val="both"/>
        <w:ind w:firstLine="576"/>
        <w:spacing w:after="0" w:line="229" w:lineRule="auto"/>
        <w:rPr>
          <w:sz w:val="20"/>
          <w:szCs w:val="20"/>
          <w:color w:val="auto"/>
        </w:rPr>
      </w:pPr>
      <w:r>
        <w:rPr>
          <w:rFonts w:ascii="Times New Roman" w:cs="Times New Roman" w:eastAsia="Times New Roman" w:hAnsi="Times New Roman"/>
          <w:sz w:val="18"/>
          <w:szCs w:val="18"/>
          <w:color w:val="auto"/>
        </w:rPr>
        <w:t>In the event that the weighted average sale price of the other active compound(s)/active ingredient(s) when sold separately in finished form can be determined but the weighted average sale price of the Revenue -Bearing Product when sold separately in finished form cannot be determined, Net Sales, shall be calculated by ***].</w:t>
      </w:r>
    </w:p>
    <w:p>
      <w:pPr>
        <w:spacing w:after="0" w:line="140" w:lineRule="exact"/>
        <w:rPr>
          <w:sz w:val="20"/>
          <w:szCs w:val="20"/>
          <w:color w:val="auto"/>
        </w:rPr>
      </w:pPr>
    </w:p>
    <w:p>
      <w:pPr>
        <w:jc w:val="both"/>
        <w:ind w:firstLine="576"/>
        <w:spacing w:after="0" w:line="229" w:lineRule="auto"/>
        <w:rPr>
          <w:sz w:val="20"/>
          <w:szCs w:val="20"/>
          <w:color w:val="auto"/>
        </w:rPr>
      </w:pPr>
      <w:r>
        <w:rPr>
          <w:rFonts w:ascii="Times New Roman" w:cs="Times New Roman" w:eastAsia="Times New Roman" w:hAnsi="Times New Roman"/>
          <w:sz w:val="18"/>
          <w:szCs w:val="18"/>
          <w:color w:val="auto"/>
        </w:rPr>
        <w:t xml:space="preserve">In the event that the weighted average sale price of both the Revenue -Bearing Product and the other active compound(s)/active ingredient(s) in the Combination Product, in each case, when sold separately in finished form, cannot be determined, the Net Sales of the Revenue-Bearing Product shall be determined by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40" w:lineRule="exact"/>
        <w:rPr>
          <w:sz w:val="20"/>
          <w:szCs w:val="20"/>
          <w:color w:val="auto"/>
        </w:rPr>
      </w:pPr>
    </w:p>
    <w:p>
      <w:pPr>
        <w:jc w:val="both"/>
        <w:ind w:firstLine="576"/>
        <w:spacing w:after="0" w:line="229" w:lineRule="auto"/>
        <w:rPr>
          <w:sz w:val="20"/>
          <w:szCs w:val="20"/>
          <w:color w:val="auto"/>
        </w:rPr>
      </w:pPr>
      <w:r>
        <w:rPr>
          <w:rFonts w:ascii="Times New Roman" w:cs="Times New Roman" w:eastAsia="Times New Roman" w:hAnsi="Times New Roman"/>
          <w:sz w:val="18"/>
          <w:szCs w:val="18"/>
          <w:color w:val="auto"/>
        </w:rPr>
        <w:t>The weighted average sale price for a Revenue-Bearing Product, other active compound(s)/active ingredient(s), or Combination Product ***]. When determining the weighted average sale price of a Revenue- Bearing Product, other active compound(s)/active ingredient(s), or Combination Product, the weighted average sale price shall be calculated by [***]. Any overpayment or underpayment due to [***] will be [***].</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color w:val="auto"/>
        </w:rPr>
        <w:t>Next Gen Development Plan Trigger Notice</w:t>
      </w:r>
      <w:r>
        <w:rPr>
          <w:rFonts w:ascii="Times New Roman" w:cs="Times New Roman" w:eastAsia="Times New Roman" w:hAnsi="Times New Roman"/>
          <w:sz w:val="18"/>
          <w:szCs w:val="18"/>
          <w:color w:val="auto"/>
        </w:rPr>
        <w:t>” has the meaning set out in Section 4.8(b).</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color w:val="auto"/>
        </w:rPr>
        <w:t>Next Gen Negotiation Trigger Notice</w:t>
      </w:r>
      <w:r>
        <w:rPr>
          <w:rFonts w:ascii="Times New Roman" w:cs="Times New Roman" w:eastAsia="Times New Roman" w:hAnsi="Times New Roman"/>
          <w:sz w:val="18"/>
          <w:szCs w:val="18"/>
          <w:color w:val="auto"/>
        </w:rPr>
        <w:t>” has the meaning set out in Section 4.8(c).</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color w:val="auto"/>
        </w:rPr>
        <w:t>Next Gen Notification Period</w:t>
      </w:r>
      <w:r>
        <w:rPr>
          <w:rFonts w:ascii="Times New Roman" w:cs="Times New Roman" w:eastAsia="Times New Roman" w:hAnsi="Times New Roman"/>
          <w:sz w:val="18"/>
          <w:szCs w:val="18"/>
          <w:color w:val="auto"/>
        </w:rPr>
        <w:t>” has the meaning set out in Section 4.8(b).</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color w:val="auto"/>
        </w:rPr>
        <w:t>Next Gen Option Exercise Notice</w:t>
      </w:r>
      <w:r>
        <w:rPr>
          <w:rFonts w:ascii="Times New Roman" w:cs="Times New Roman" w:eastAsia="Times New Roman" w:hAnsi="Times New Roman"/>
          <w:sz w:val="18"/>
          <w:szCs w:val="18"/>
          <w:color w:val="auto"/>
        </w:rPr>
        <w:t>” has the meaning set out in Section 4.12(a).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color w:val="auto"/>
        </w:rPr>
        <w:t>Next Gen Product</w:t>
      </w:r>
      <w:r>
        <w:rPr>
          <w:rFonts w:ascii="Times New Roman" w:cs="Times New Roman" w:eastAsia="Times New Roman" w:hAnsi="Times New Roman"/>
          <w:sz w:val="18"/>
          <w:szCs w:val="18"/>
          <w:color w:val="auto"/>
        </w:rPr>
        <w:t>” means (a) AUTO1/22 Next Gen Product or (b) AUTO6NG Next Gen Product, as applicable.</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color w:val="auto"/>
        </w:rPr>
        <w:t>Next Gen Product Agreement</w:t>
      </w:r>
      <w:r>
        <w:rPr>
          <w:rFonts w:ascii="Times New Roman" w:cs="Times New Roman" w:eastAsia="Times New Roman" w:hAnsi="Times New Roman"/>
          <w:sz w:val="18"/>
          <w:szCs w:val="18"/>
          <w:color w:val="auto"/>
        </w:rPr>
        <w:t xml:space="preserve"> ” has the meaning set out in Section 4.8(c).</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color w:val="auto"/>
        </w:rPr>
        <w:t>Next Gen Product Development Plan</w:t>
      </w:r>
      <w:r>
        <w:rPr>
          <w:rFonts w:ascii="Times New Roman" w:cs="Times New Roman" w:eastAsia="Times New Roman" w:hAnsi="Times New Roman"/>
          <w:sz w:val="18"/>
          <w:szCs w:val="18"/>
          <w:color w:val="auto"/>
        </w:rPr>
        <w:t>” has the meaning set out in Section 4.8(b).</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color w:val="auto"/>
        </w:rPr>
        <w:t>Next Gen Product Negotiation Period</w:t>
      </w:r>
      <w:r>
        <w:rPr>
          <w:rFonts w:ascii="Times New Roman" w:cs="Times New Roman" w:eastAsia="Times New Roman" w:hAnsi="Times New Roman"/>
          <w:sz w:val="18"/>
          <w:szCs w:val="18"/>
          <w:color w:val="auto"/>
        </w:rPr>
        <w:t>” has the meaning set out in Section 4.9.</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color w:val="auto"/>
        </w:rPr>
        <w:t>Next Gen Product Option</w:t>
      </w:r>
      <w:r>
        <w:rPr>
          <w:rFonts w:ascii="Times New Roman" w:cs="Times New Roman" w:eastAsia="Times New Roman" w:hAnsi="Times New Roman"/>
          <w:sz w:val="18"/>
          <w:szCs w:val="18"/>
          <w:color w:val="auto"/>
        </w:rPr>
        <w:t>” has the meaning set out in Section 4.8(a).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color w:val="auto"/>
        </w:rPr>
        <w:t>Next Gen Product Option Period</w:t>
      </w:r>
      <w:r>
        <w:rPr>
          <w:rFonts w:ascii="Times New Roman" w:cs="Times New Roman" w:eastAsia="Times New Roman" w:hAnsi="Times New Roman"/>
          <w:sz w:val="18"/>
          <w:szCs w:val="18"/>
          <w:color w:val="auto"/>
        </w:rPr>
        <w:t>” means, on a Next Gen Product-by-Next Gen Product basis, the [***].</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color w:val="auto"/>
        </w:rPr>
        <w:t>Nominated Target</w:t>
      </w:r>
      <w:r>
        <w:rPr>
          <w:rFonts w:ascii="Times New Roman" w:cs="Times New Roman" w:eastAsia="Times New Roman" w:hAnsi="Times New Roman"/>
          <w:sz w:val="18"/>
          <w:szCs w:val="18"/>
          <w:color w:val="auto"/>
        </w:rPr>
        <w:t>” has the meaning set out in Section 6.4(b).</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color w:val="auto"/>
        </w:rPr>
        <w:t>Nomination Notice</w:t>
      </w:r>
      <w:r>
        <w:rPr>
          <w:rFonts w:ascii="Times New Roman" w:cs="Times New Roman" w:eastAsia="Times New Roman" w:hAnsi="Times New Roman"/>
          <w:sz w:val="18"/>
          <w:szCs w:val="18"/>
          <w:color w:val="auto"/>
        </w:rPr>
        <w:t>” has the meaning set out in Section 6.4(b).</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color w:val="auto"/>
        </w:rPr>
        <w:t>Obe-cel Buyer</w:t>
      </w:r>
      <w:r>
        <w:rPr>
          <w:rFonts w:ascii="Times New Roman" w:cs="Times New Roman" w:eastAsia="Times New Roman" w:hAnsi="Times New Roman"/>
          <w:sz w:val="18"/>
          <w:szCs w:val="18"/>
          <w:color w:val="auto"/>
        </w:rPr>
        <w:t>” has the meaning set out in Section 1.153.</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1.149 “</w:t>
      </w:r>
      <w:r>
        <w:rPr>
          <w:rFonts w:ascii="Times New Roman" w:cs="Times New Roman" w:eastAsia="Times New Roman" w:hAnsi="Times New Roman"/>
          <w:sz w:val="18"/>
          <w:szCs w:val="18"/>
          <w:b w:val="1"/>
          <w:bCs w:val="1"/>
          <w:color w:val="auto"/>
        </w:rPr>
        <w:t>Obe-cel Milestone 1</w:t>
      </w:r>
      <w:r>
        <w:rPr>
          <w:rFonts w:ascii="Times New Roman" w:cs="Times New Roman" w:eastAsia="Times New Roman" w:hAnsi="Times New Roman"/>
          <w:sz w:val="18"/>
          <w:szCs w:val="18"/>
          <w:color w:val="auto"/>
        </w:rPr>
        <w:t>” has the meaning set out in Section 7.4(a).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1.150 “</w:t>
      </w:r>
      <w:r>
        <w:rPr>
          <w:rFonts w:ascii="Times New Roman" w:cs="Times New Roman" w:eastAsia="Times New Roman" w:hAnsi="Times New Roman"/>
          <w:sz w:val="18"/>
          <w:szCs w:val="18"/>
          <w:b w:val="1"/>
          <w:bCs w:val="1"/>
          <w:color w:val="auto"/>
        </w:rPr>
        <w:t>Obe-cel Milestone 2</w:t>
      </w:r>
      <w:r>
        <w:rPr>
          <w:rFonts w:ascii="Times New Roman" w:cs="Times New Roman" w:eastAsia="Times New Roman" w:hAnsi="Times New Roman"/>
          <w:sz w:val="18"/>
          <w:szCs w:val="18"/>
          <w:color w:val="auto"/>
        </w:rPr>
        <w:t>” has the meaning set out in Section 7.4(a).</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1.151 “</w:t>
      </w:r>
      <w:r>
        <w:rPr>
          <w:rFonts w:ascii="Times New Roman" w:cs="Times New Roman" w:eastAsia="Times New Roman" w:hAnsi="Times New Roman"/>
          <w:sz w:val="18"/>
          <w:szCs w:val="18"/>
          <w:b w:val="1"/>
          <w:bCs w:val="1"/>
          <w:color w:val="auto"/>
        </w:rPr>
        <w:t>Obe-cel Milestone 3</w:t>
      </w:r>
      <w:r>
        <w:rPr>
          <w:rFonts w:ascii="Times New Roman" w:cs="Times New Roman" w:eastAsia="Times New Roman" w:hAnsi="Times New Roman"/>
          <w:sz w:val="18"/>
          <w:szCs w:val="18"/>
          <w:color w:val="auto"/>
        </w:rPr>
        <w:t>” has the meaning set out in Section 7.4(a).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w:t>
      </w:r>
    </w:p>
    <w:p>
      <w:pPr>
        <w:sectPr>
          <w:pgSz w:w="11900" w:h="16840" w:orient="portrait"/>
          <w:cols w:equalWidth="0" w:num="1">
            <w:col w:w="10580"/>
          </w:cols>
          <w:pgMar w:left="660" w:top="1440" w:right="660" w:bottom="1440" w:gutter="0" w:footer="0" w:header="0"/>
        </w:sectPr>
      </w:pPr>
    </w:p>
    <w:bookmarkStart w:id="920" w:name="page921"/>
    <w:bookmarkEnd w:id="920"/>
    <w:p>
      <w:pPr>
        <w:spacing w:after="0" w:line="254"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1.152 “ </w:t>
      </w:r>
      <w:r>
        <w:rPr>
          <w:rFonts w:ascii="Times New Roman" w:cs="Times New Roman" w:eastAsia="Times New Roman" w:hAnsi="Times New Roman"/>
          <w:sz w:val="18"/>
          <w:szCs w:val="18"/>
          <w:b w:val="1"/>
          <w:bCs w:val="1"/>
          <w:color w:val="auto"/>
        </w:rPr>
        <w:t>Obe-cel Product</w:t>
      </w:r>
      <w:r>
        <w:rPr>
          <w:rFonts w:ascii="Times New Roman" w:cs="Times New Roman" w:eastAsia="Times New Roman" w:hAnsi="Times New Roman"/>
          <w:sz w:val="18"/>
          <w:szCs w:val="18"/>
          <w:color w:val="auto"/>
        </w:rPr>
        <w:t xml:space="preserve"> ” means the autologous CD19 CAR- T Cell Therapy known as obecabtagene autoleucel or obe-cel, as further set out in </w:t>
      </w:r>
      <w:r>
        <w:rPr>
          <w:rFonts w:ascii="Times New Roman" w:cs="Times New Roman" w:eastAsia="Times New Roman" w:hAnsi="Times New Roman"/>
          <w:sz w:val="18"/>
          <w:szCs w:val="18"/>
          <w:u w:val="single" w:color="auto"/>
          <w:color w:val="auto"/>
        </w:rPr>
        <w:t>Schedule 1.152</w:t>
      </w:r>
      <w:r>
        <w:rPr>
          <w:rFonts w:ascii="Times New Roman" w:cs="Times New Roman" w:eastAsia="Times New Roman" w:hAnsi="Times New Roman"/>
          <w:sz w:val="18"/>
          <w:szCs w:val="18"/>
          <w:color w:val="auto"/>
        </w:rPr>
        <w:t>, regardless of the brand name under which it is sold, Indication, or dose.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1.153 “</w:t>
      </w:r>
      <w:r>
        <w:rPr>
          <w:rFonts w:ascii="Times New Roman" w:cs="Times New Roman" w:eastAsia="Times New Roman" w:hAnsi="Times New Roman"/>
          <w:sz w:val="18"/>
          <w:szCs w:val="18"/>
          <w:b w:val="1"/>
          <w:bCs w:val="1"/>
          <w:color w:val="auto"/>
        </w:rPr>
        <w:t>Obe-cel Product Transaction</w:t>
      </w:r>
      <w:r>
        <w:rPr>
          <w:rFonts w:ascii="Times New Roman" w:cs="Times New Roman" w:eastAsia="Times New Roman" w:hAnsi="Times New Roman"/>
          <w:sz w:val="18"/>
          <w:szCs w:val="18"/>
          <w:color w:val="auto"/>
        </w:rPr>
        <w:t xml:space="preserve">” means the [***] to a Third Party (the “ </w:t>
      </w:r>
      <w:r>
        <w:rPr>
          <w:rFonts w:ascii="Times New Roman" w:cs="Times New Roman" w:eastAsia="Times New Roman" w:hAnsi="Times New Roman"/>
          <w:sz w:val="18"/>
          <w:szCs w:val="18"/>
          <w:b w:val="1"/>
          <w:bCs w:val="1"/>
          <w:color w:val="auto"/>
        </w:rPr>
        <w:t>Obe-cel Buyer</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1.154 “</w:t>
      </w:r>
      <w:r>
        <w:rPr>
          <w:rFonts w:ascii="Times New Roman" w:cs="Times New Roman" w:eastAsia="Times New Roman" w:hAnsi="Times New Roman"/>
          <w:sz w:val="18"/>
          <w:szCs w:val="18"/>
          <w:b w:val="1"/>
          <w:bCs w:val="1"/>
          <w:color w:val="auto"/>
        </w:rPr>
        <w:t>Obe-cel Revenue Interest</w:t>
      </w:r>
      <w:r>
        <w:rPr>
          <w:rFonts w:ascii="Times New Roman" w:cs="Times New Roman" w:eastAsia="Times New Roman" w:hAnsi="Times New Roman"/>
          <w:sz w:val="18"/>
          <w:szCs w:val="18"/>
          <w:color w:val="auto"/>
        </w:rPr>
        <w:t>” has the meaning set out in Section 7.5.</w:t>
      </w:r>
    </w:p>
    <w:p>
      <w:pPr>
        <w:spacing w:after="0" w:line="165"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1.155 “</w:t>
      </w:r>
      <w:r>
        <w:rPr>
          <w:rFonts w:ascii="Times New Roman" w:cs="Times New Roman" w:eastAsia="Times New Roman" w:hAnsi="Times New Roman"/>
          <w:sz w:val="18"/>
          <w:szCs w:val="18"/>
          <w:b w:val="1"/>
          <w:bCs w:val="1"/>
          <w:color w:val="auto"/>
        </w:rPr>
        <w:t>Obe-cel Revenue Interest Term</w:t>
      </w:r>
      <w:r>
        <w:rPr>
          <w:rFonts w:ascii="Times New Roman" w:cs="Times New Roman" w:eastAsia="Times New Roman" w:hAnsi="Times New Roman"/>
          <w:sz w:val="18"/>
          <w:szCs w:val="18"/>
          <w:color w:val="auto"/>
        </w:rPr>
        <w:t>” means, on a [***], with respect to [***] Obe-cel Product by Autolus, its Affiliates or Autolus Licensees, the period commencing on [***] and [***].</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1.156 “</w:t>
      </w:r>
      <w:r>
        <w:rPr>
          <w:rFonts w:ascii="Times New Roman" w:cs="Times New Roman" w:eastAsia="Times New Roman" w:hAnsi="Times New Roman"/>
          <w:sz w:val="18"/>
          <w:szCs w:val="18"/>
          <w:b w:val="1"/>
          <w:bCs w:val="1"/>
          <w:color w:val="auto"/>
        </w:rPr>
        <w:t>OP/NGOP Buyer</w:t>
      </w:r>
      <w:r>
        <w:rPr>
          <w:rFonts w:ascii="Times New Roman" w:cs="Times New Roman" w:eastAsia="Times New Roman" w:hAnsi="Times New Roman"/>
          <w:sz w:val="18"/>
          <w:szCs w:val="18"/>
          <w:color w:val="auto"/>
        </w:rPr>
        <w:t>” has the meaning set out in Section 1.159.</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1.157 “</w:t>
      </w:r>
      <w:r>
        <w:rPr>
          <w:rFonts w:ascii="Times New Roman" w:cs="Times New Roman" w:eastAsia="Times New Roman" w:hAnsi="Times New Roman"/>
          <w:sz w:val="18"/>
          <w:szCs w:val="18"/>
          <w:b w:val="1"/>
          <w:bCs w:val="1"/>
          <w:color w:val="auto"/>
        </w:rPr>
        <w:t>Option Product Development Plan</w:t>
      </w:r>
      <w:r>
        <w:rPr>
          <w:rFonts w:ascii="Times New Roman" w:cs="Times New Roman" w:eastAsia="Times New Roman" w:hAnsi="Times New Roman"/>
          <w:sz w:val="18"/>
          <w:szCs w:val="18"/>
          <w:color w:val="auto"/>
        </w:rPr>
        <w:t>” has the meaning set out in Section 4.3.</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1.158 “</w:t>
      </w:r>
      <w:r>
        <w:rPr>
          <w:rFonts w:ascii="Times New Roman" w:cs="Times New Roman" w:eastAsia="Times New Roman" w:hAnsi="Times New Roman"/>
          <w:sz w:val="18"/>
          <w:szCs w:val="18"/>
          <w:b w:val="1"/>
          <w:bCs w:val="1"/>
          <w:color w:val="auto"/>
        </w:rPr>
        <w:t>Option Product</w:t>
      </w:r>
      <w:r>
        <w:rPr>
          <w:rFonts w:ascii="Times New Roman" w:cs="Times New Roman" w:eastAsia="Times New Roman" w:hAnsi="Times New Roman"/>
          <w:sz w:val="18"/>
          <w:szCs w:val="18"/>
          <w:color w:val="auto"/>
        </w:rPr>
        <w:t>” means each of (a) AUTO1/22 Product and (b) AUTO6NG Product.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1.159 “</w:t>
      </w:r>
      <w:r>
        <w:rPr>
          <w:rFonts w:ascii="Times New Roman" w:cs="Times New Roman" w:eastAsia="Times New Roman" w:hAnsi="Times New Roman"/>
          <w:sz w:val="18"/>
          <w:szCs w:val="18"/>
          <w:b w:val="1"/>
          <w:bCs w:val="1"/>
          <w:color w:val="auto"/>
        </w:rPr>
        <w:t>Option Product or Next Gen Option Product Transaction</w:t>
      </w:r>
      <w:r>
        <w:rPr>
          <w:rFonts w:ascii="Times New Roman" w:cs="Times New Roman" w:eastAsia="Times New Roman" w:hAnsi="Times New Roman"/>
          <w:sz w:val="18"/>
          <w:szCs w:val="18"/>
          <w:color w:val="auto"/>
        </w:rPr>
        <w:t xml:space="preserve"> ” means the [***] to a Third Party (the “ </w:t>
      </w:r>
      <w:r>
        <w:rPr>
          <w:rFonts w:ascii="Times New Roman" w:cs="Times New Roman" w:eastAsia="Times New Roman" w:hAnsi="Times New Roman"/>
          <w:sz w:val="18"/>
          <w:szCs w:val="18"/>
          <w:b w:val="1"/>
          <w:bCs w:val="1"/>
          <w:color w:val="auto"/>
        </w:rPr>
        <w:t>OP/NGOP Buyer</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1.160 “</w:t>
      </w:r>
      <w:r>
        <w:rPr>
          <w:rFonts w:ascii="Times New Roman" w:cs="Times New Roman" w:eastAsia="Times New Roman" w:hAnsi="Times New Roman"/>
          <w:sz w:val="18"/>
          <w:szCs w:val="18"/>
          <w:b w:val="1"/>
          <w:bCs w:val="1"/>
          <w:color w:val="auto"/>
        </w:rPr>
        <w:t>Option Product Right</w:t>
      </w:r>
      <w:r>
        <w:rPr>
          <w:rFonts w:ascii="Times New Roman" w:cs="Times New Roman" w:eastAsia="Times New Roman" w:hAnsi="Times New Roman"/>
          <w:sz w:val="18"/>
          <w:szCs w:val="18"/>
          <w:color w:val="auto"/>
        </w:rPr>
        <w:t>” has the meaning set out in Section 4.7(a).</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1.161 “</w:t>
      </w:r>
      <w:r>
        <w:rPr>
          <w:rFonts w:ascii="Times New Roman" w:cs="Times New Roman" w:eastAsia="Times New Roman" w:hAnsi="Times New Roman"/>
          <w:sz w:val="18"/>
          <w:szCs w:val="18"/>
          <w:b w:val="1"/>
          <w:bCs w:val="1"/>
          <w:color w:val="auto"/>
        </w:rPr>
        <w:t>Other AE Licensed Products</w:t>
      </w:r>
      <w:r>
        <w:rPr>
          <w:rFonts w:ascii="Times New Roman" w:cs="Times New Roman" w:eastAsia="Times New Roman" w:hAnsi="Times New Roman"/>
          <w:sz w:val="18"/>
          <w:szCs w:val="18"/>
          <w:color w:val="auto"/>
        </w:rPr>
        <w:t>” has the meaning set out in Section 6.3(e).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1.162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1.163 “[***]” means [***].</w:t>
      </w:r>
    </w:p>
    <w:p>
      <w:pPr>
        <w:spacing w:after="0" w:line="161" w:lineRule="exact"/>
        <w:rPr>
          <w:sz w:val="20"/>
          <w:szCs w:val="20"/>
          <w:color w:val="auto"/>
        </w:rPr>
      </w:pPr>
    </w:p>
    <w:p>
      <w:pPr>
        <w:jc w:val="both"/>
        <w:ind w:firstLine="576"/>
        <w:spacing w:after="0" w:line="215" w:lineRule="auto"/>
        <w:rPr>
          <w:sz w:val="20"/>
          <w:szCs w:val="20"/>
          <w:color w:val="auto"/>
        </w:rPr>
      </w:pPr>
      <w:r>
        <w:rPr>
          <w:rFonts w:ascii="Times New Roman" w:cs="Times New Roman" w:eastAsia="Times New Roman" w:hAnsi="Times New Roman"/>
          <w:sz w:val="18"/>
          <w:szCs w:val="18"/>
          <w:color w:val="auto"/>
        </w:rPr>
        <w:t>1.164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all national, regional and international patents and patent applications, including provisional patent applications and any and all rights to claim priority thereto, (b) all patent applications filed either from such patents, patent applications, or provisional applications or from an application claiming priority from any of these, including divisionals, continuations, continuations -in-part, provisionals, converted provisionals, continued prosecution applications and reissue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or other patents resulting from post-grant proceedings ((a), (b), and (c)), and (e) any similar patent rights, including so-called pipeline protection or any importation, revalidation, confirmation, or introduction patent or registration patent or patent of additions to any of such foregoing patent applications and patents.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1.165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has the meaning set out in Section 10.6(b)(i).</w:t>
      </w:r>
    </w:p>
    <w:p>
      <w:pPr>
        <w:spacing w:after="0" w:line="165"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1.166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corporation, limited or general partnership, limited liability company, joint venture, trust, unincorporated association, governmental body, authority, bureau or agency, any other entity or body, or an individual.</w:t>
      </w:r>
    </w:p>
    <w:p>
      <w:pPr>
        <w:spacing w:after="0" w:line="130"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1.167 “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shall mean any information collected or received by Autolus and provided to BioNTech as a Data Package pursuant to this Agreement and that relates to an identified or identifiable natural person in accordance with Applicable Data Protection Law.</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1.168 “</w:t>
      </w:r>
      <w:r>
        <w:rPr>
          <w:rFonts w:ascii="Times New Roman" w:cs="Times New Roman" w:eastAsia="Times New Roman" w:hAnsi="Times New Roman"/>
          <w:sz w:val="18"/>
          <w:szCs w:val="18"/>
          <w:b w:val="1"/>
          <w:bCs w:val="1"/>
          <w:color w:val="auto"/>
        </w:rPr>
        <w:t>Phase 1 Trial</w:t>
      </w:r>
      <w:r>
        <w:rPr>
          <w:rFonts w:ascii="Times New Roman" w:cs="Times New Roman" w:eastAsia="Times New Roman" w:hAnsi="Times New Roman"/>
          <w:sz w:val="18"/>
          <w:szCs w:val="18"/>
          <w:color w:val="auto"/>
        </w:rPr>
        <w:t>” means a human clinical trial of a product that satisfies the requirements for a Phase 1 study as defined in 21 CFR</w:t>
      </w:r>
    </w:p>
    <w:p>
      <w:pPr>
        <w:ind w:left="140" w:hanging="138"/>
        <w:spacing w:after="0"/>
        <w:tabs>
          <w:tab w:leader="none" w:pos="14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312.21(a) (or any amended or successor regulations), regardless of where such clinical trial is conducted.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40" w:orient="portrait"/>
          <w:cols w:equalWidth="0" w:num="1">
            <w:col w:w="10480"/>
          </w:cols>
          <w:pgMar w:left="760" w:top="1440" w:right="660" w:bottom="1440" w:gutter="0" w:footer="0" w:header="0"/>
        </w:sectPr>
      </w:pPr>
    </w:p>
    <w:bookmarkStart w:id="921" w:name="page922"/>
    <w:bookmarkEnd w:id="921"/>
    <w:p>
      <w:pPr>
        <w:spacing w:after="0" w:line="254"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1.169 “ </w:t>
      </w:r>
      <w:r>
        <w:rPr>
          <w:rFonts w:ascii="Times New Roman" w:cs="Times New Roman" w:eastAsia="Times New Roman" w:hAnsi="Times New Roman"/>
          <w:sz w:val="18"/>
          <w:szCs w:val="18"/>
          <w:b w:val="1"/>
          <w:bCs w:val="1"/>
          <w:color w:val="auto"/>
        </w:rPr>
        <w:t>Phase 2 Trial</w:t>
      </w:r>
      <w:r>
        <w:rPr>
          <w:rFonts w:ascii="Times New Roman" w:cs="Times New Roman" w:eastAsia="Times New Roman" w:hAnsi="Times New Roman"/>
          <w:sz w:val="18"/>
          <w:szCs w:val="18"/>
          <w:color w:val="auto"/>
        </w:rPr>
        <w:t>” means a human clinical trial of a product that satisfies the requirements for a Phase 2 study as defined in 21 CFR § 312.21(b) (or any amended or successor regulations), regardless of where such clinical trial is conducted.</w:t>
      </w:r>
    </w:p>
    <w:p>
      <w:pPr>
        <w:spacing w:after="0" w:line="130"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1.170 “</w:t>
      </w:r>
      <w:r>
        <w:rPr>
          <w:rFonts w:ascii="Times New Roman" w:cs="Times New Roman" w:eastAsia="Times New Roman" w:hAnsi="Times New Roman"/>
          <w:sz w:val="18"/>
          <w:szCs w:val="18"/>
          <w:b w:val="1"/>
          <w:bCs w:val="1"/>
          <w:color w:val="auto"/>
        </w:rPr>
        <w:t>Phase 3 Trial</w:t>
      </w:r>
      <w:r>
        <w:rPr>
          <w:rFonts w:ascii="Times New Roman" w:cs="Times New Roman" w:eastAsia="Times New Roman" w:hAnsi="Times New Roman"/>
          <w:sz w:val="18"/>
          <w:szCs w:val="18"/>
          <w:color w:val="auto"/>
        </w:rPr>
        <w:t>” means a human clinical trial of a product that satisfies the requirements for a Phase 3 study as defined in 21 CFR § 312.21(c) (or any amended or successor regulations), regardless of where such clinical trial is conducted.</w:t>
      </w:r>
    </w:p>
    <w:p>
      <w:pPr>
        <w:spacing w:after="0" w:line="130" w:lineRule="exact"/>
        <w:rPr>
          <w:sz w:val="20"/>
          <w:szCs w:val="20"/>
          <w:color w:val="auto"/>
        </w:rPr>
      </w:pPr>
    </w:p>
    <w:p>
      <w:pPr>
        <w:jc w:val="both"/>
        <w:ind w:right="20" w:firstLine="576"/>
        <w:spacing w:after="0" w:line="225" w:lineRule="auto"/>
        <w:rPr>
          <w:sz w:val="20"/>
          <w:szCs w:val="20"/>
          <w:color w:val="auto"/>
        </w:rPr>
      </w:pPr>
      <w:r>
        <w:rPr>
          <w:rFonts w:ascii="Times New Roman" w:cs="Times New Roman" w:eastAsia="Times New Roman" w:hAnsi="Times New Roman"/>
          <w:sz w:val="18"/>
          <w:szCs w:val="18"/>
          <w:color w:val="auto"/>
        </w:rPr>
        <w:t>1.171 “</w:t>
      </w:r>
      <w:r>
        <w:rPr>
          <w:rFonts w:ascii="Times New Roman" w:cs="Times New Roman" w:eastAsia="Times New Roman" w:hAnsi="Times New Roman"/>
          <w:sz w:val="18"/>
          <w:szCs w:val="18"/>
          <w:b w:val="1"/>
          <w:bCs w:val="1"/>
          <w:color w:val="auto"/>
        </w:rPr>
        <w:t>Pivotal Trial</w:t>
      </w:r>
      <w:r>
        <w:rPr>
          <w:rFonts w:ascii="Times New Roman" w:cs="Times New Roman" w:eastAsia="Times New Roman" w:hAnsi="Times New Roman"/>
          <w:sz w:val="18"/>
          <w:szCs w:val="18"/>
          <w:color w:val="auto"/>
        </w:rPr>
        <w:t>” means a human clinical trial of a product, the principal purpose of which is a determination of safety and efficacy in the target patient population in order to evaluate the overall benefit-risk relationship of the drug and to provide an adequate basis for physician labeling and the filing for Regulatory Approval, or a similar clinical study prescribed by the Regulatory Authorities, from time to time, pursuant to Applicable Law or otherwise, including the trials referred to in 21 C.F.R. §312.21(c), as amended.</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1.172 “</w:t>
      </w:r>
      <w:r>
        <w:rPr>
          <w:rFonts w:ascii="Times New Roman" w:cs="Times New Roman" w:eastAsia="Times New Roman" w:hAnsi="Times New Roman"/>
          <w:sz w:val="18"/>
          <w:szCs w:val="18"/>
          <w:b w:val="1"/>
          <w:bCs w:val="1"/>
          <w:color w:val="auto"/>
        </w:rPr>
        <w:t>Product Agreement</w:t>
      </w:r>
      <w:r>
        <w:rPr>
          <w:rFonts w:ascii="Times New Roman" w:cs="Times New Roman" w:eastAsia="Times New Roman" w:hAnsi="Times New Roman"/>
          <w:sz w:val="18"/>
          <w:szCs w:val="18"/>
          <w:color w:val="auto"/>
        </w:rPr>
        <w:t>” has the meaning set out in Section 4.4(a).</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1.173 “</w:t>
      </w:r>
      <w:r>
        <w:rPr>
          <w:rFonts w:ascii="Times New Roman" w:cs="Times New Roman" w:eastAsia="Times New Roman" w:hAnsi="Times New Roman"/>
          <w:sz w:val="18"/>
          <w:szCs w:val="18"/>
          <w:b w:val="1"/>
          <w:bCs w:val="1"/>
          <w:color w:val="auto"/>
        </w:rPr>
        <w:t>Product Negotiation Period</w:t>
      </w:r>
      <w:r>
        <w:rPr>
          <w:rFonts w:ascii="Times New Roman" w:cs="Times New Roman" w:eastAsia="Times New Roman" w:hAnsi="Times New Roman"/>
          <w:sz w:val="18"/>
          <w:szCs w:val="18"/>
          <w:color w:val="auto"/>
        </w:rPr>
        <w:t>” has the meaning set out in Section 4.4(b).</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1.174 “</w:t>
      </w:r>
      <w:r>
        <w:rPr>
          <w:rFonts w:ascii="Times New Roman" w:cs="Times New Roman" w:eastAsia="Times New Roman" w:hAnsi="Times New Roman"/>
          <w:sz w:val="18"/>
          <w:szCs w:val="18"/>
          <w:b w:val="1"/>
          <w:bCs w:val="1"/>
          <w:color w:val="auto"/>
        </w:rPr>
        <w:t>Product Option</w:t>
      </w:r>
      <w:r>
        <w:rPr>
          <w:rFonts w:ascii="Times New Roman" w:cs="Times New Roman" w:eastAsia="Times New Roman" w:hAnsi="Times New Roman"/>
          <w:sz w:val="18"/>
          <w:szCs w:val="18"/>
          <w:color w:val="auto"/>
        </w:rPr>
        <w:t>” has the meaning set out in Section 4.1.</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1.175 “</w:t>
      </w:r>
      <w:r>
        <w:rPr>
          <w:rFonts w:ascii="Times New Roman" w:cs="Times New Roman" w:eastAsia="Times New Roman" w:hAnsi="Times New Roman"/>
          <w:sz w:val="18"/>
          <w:szCs w:val="18"/>
          <w:b w:val="1"/>
          <w:bCs w:val="1"/>
          <w:color w:val="auto"/>
        </w:rPr>
        <w:t>Product Option Exercise Notice</w:t>
      </w:r>
      <w:r>
        <w:rPr>
          <w:rFonts w:ascii="Times New Roman" w:cs="Times New Roman" w:eastAsia="Times New Roman" w:hAnsi="Times New Roman"/>
          <w:sz w:val="18"/>
          <w:szCs w:val="18"/>
          <w:color w:val="auto"/>
        </w:rPr>
        <w:t>” has the meaning set out in Section 4.5(a).</w:t>
      </w:r>
    </w:p>
    <w:p>
      <w:pPr>
        <w:spacing w:after="0" w:line="165" w:lineRule="exact"/>
        <w:rPr>
          <w:sz w:val="20"/>
          <w:szCs w:val="20"/>
          <w:color w:val="auto"/>
        </w:rPr>
      </w:pPr>
    </w:p>
    <w:p>
      <w:pPr>
        <w:jc w:val="both"/>
        <w:ind w:right="20" w:firstLine="576"/>
        <w:spacing w:after="0" w:line="231" w:lineRule="auto"/>
        <w:rPr>
          <w:sz w:val="20"/>
          <w:szCs w:val="20"/>
          <w:color w:val="auto"/>
        </w:rPr>
      </w:pPr>
      <w:r>
        <w:rPr>
          <w:rFonts w:ascii="Times New Roman" w:cs="Times New Roman" w:eastAsia="Times New Roman" w:hAnsi="Times New Roman"/>
          <w:sz w:val="18"/>
          <w:szCs w:val="18"/>
          <w:color w:val="auto"/>
        </w:rPr>
        <w:t>1.176 “</w:t>
      </w:r>
      <w:r>
        <w:rPr>
          <w:rFonts w:ascii="Times New Roman" w:cs="Times New Roman" w:eastAsia="Times New Roman" w:hAnsi="Times New Roman"/>
          <w:sz w:val="18"/>
          <w:szCs w:val="18"/>
          <w:b w:val="1"/>
          <w:bCs w:val="1"/>
          <w:color w:val="auto"/>
        </w:rPr>
        <w:t>Product Option Period</w:t>
      </w:r>
      <w:r>
        <w:rPr>
          <w:rFonts w:ascii="Times New Roman" w:cs="Times New Roman" w:eastAsia="Times New Roman" w:hAnsi="Times New Roman"/>
          <w:sz w:val="18"/>
          <w:szCs w:val="18"/>
          <w:color w:val="auto"/>
        </w:rPr>
        <w:t xml:space="preserve"> ” means the period commencing on [***] and ending on (a) with respect to AUTO1/22 Product, [***] and (b) with respect to the AUTO6NG Product,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BioNTech provides a Development Plan Trigger Notice pursuant to Section 4.3, then the Product Option Period for the applicable Option Product shall [***].</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1.177 “[***]” means [***].</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1.178 “</w:t>
      </w:r>
      <w:r>
        <w:rPr>
          <w:rFonts w:ascii="Times New Roman" w:cs="Times New Roman" w:eastAsia="Times New Roman" w:hAnsi="Times New Roman"/>
          <w:sz w:val="18"/>
          <w:szCs w:val="18"/>
          <w:b w:val="1"/>
          <w:bCs w:val="1"/>
          <w:color w:val="auto"/>
        </w:rPr>
        <w:t>Qualified Indication</w:t>
      </w:r>
      <w:r>
        <w:rPr>
          <w:rFonts w:ascii="Times New Roman" w:cs="Times New Roman" w:eastAsia="Times New Roman" w:hAnsi="Times New Roman"/>
          <w:sz w:val="18"/>
          <w:szCs w:val="18"/>
          <w:color w:val="auto"/>
        </w:rPr>
        <w:t>” means any of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1.179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means has the meaning set out in Section 10.6(b)(ii).</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1.180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has the meaning set out in Section 12.1.</w:t>
      </w:r>
    </w:p>
    <w:p>
      <w:pPr>
        <w:spacing w:after="0" w:line="165" w:lineRule="exact"/>
        <w:rPr>
          <w:sz w:val="20"/>
          <w:szCs w:val="20"/>
          <w:color w:val="auto"/>
        </w:rPr>
      </w:pPr>
    </w:p>
    <w:p>
      <w:pPr>
        <w:jc w:val="both"/>
        <w:ind w:firstLine="576"/>
        <w:spacing w:after="0" w:line="231" w:lineRule="auto"/>
        <w:rPr>
          <w:sz w:val="20"/>
          <w:szCs w:val="20"/>
          <w:color w:val="auto"/>
        </w:rPr>
      </w:pPr>
      <w:r>
        <w:rPr>
          <w:rFonts w:ascii="Times New Roman" w:cs="Times New Roman" w:eastAsia="Times New Roman" w:hAnsi="Times New Roman"/>
          <w:sz w:val="18"/>
          <w:szCs w:val="18"/>
          <w:color w:val="auto"/>
        </w:rPr>
        <w:t>1.181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xml:space="preserve"> ” means, with respect to a product in any country or other jurisdiction, any approval (including, where required, pricing and reimbursement approvals), registration, license or authorization from a Regulatory Authority in such country or other jurisdiction that is necessary to market and sell such product in such country or jurisdiction, including in the US, an EUA.</w:t>
      </w:r>
    </w:p>
    <w:p>
      <w:pPr>
        <w:spacing w:after="0" w:line="135"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1.182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governmental agency or authority responsible for granting Regulatory Approvals for biopharmaceutical products, including the FDA, EMA, European Commission and any corresponding national or regional regulatory authorities.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1.183 “[***]” means, [***].</w:t>
      </w:r>
    </w:p>
    <w:p>
      <w:pPr>
        <w:spacing w:after="0" w:line="161" w:lineRule="exact"/>
        <w:rPr>
          <w:sz w:val="20"/>
          <w:szCs w:val="20"/>
          <w:color w:val="auto"/>
        </w:rPr>
      </w:pPr>
    </w:p>
    <w:p>
      <w:pPr>
        <w:jc w:val="both"/>
        <w:ind w:firstLine="576"/>
        <w:spacing w:after="0" w:line="225" w:lineRule="auto"/>
        <w:rPr>
          <w:sz w:val="20"/>
          <w:szCs w:val="20"/>
          <w:color w:val="auto"/>
        </w:rPr>
      </w:pPr>
      <w:r>
        <w:rPr>
          <w:rFonts w:ascii="Times New Roman" w:cs="Times New Roman" w:eastAsia="Times New Roman" w:hAnsi="Times New Roman"/>
          <w:sz w:val="18"/>
          <w:szCs w:val="18"/>
          <w:color w:val="auto"/>
        </w:rPr>
        <w:t>1.184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means, with respect to a product, any submission to a Regulatory Authority of any appropriate regulatory application with respect to such product, including any submission to a regulatory advisory board, Drug Approval Application, and any supplement or amendment thereto, including any IND, or the corresponding application in any other country or group of countries with respect to such product.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1.185 “</w:t>
      </w:r>
      <w:r>
        <w:rPr>
          <w:rFonts w:ascii="Times New Roman" w:cs="Times New Roman" w:eastAsia="Times New Roman" w:hAnsi="Times New Roman"/>
          <w:sz w:val="18"/>
          <w:szCs w:val="18"/>
          <w:b w:val="1"/>
          <w:bCs w:val="1"/>
          <w:color w:val="auto"/>
        </w:rPr>
        <w:t>Research and Development Collaboration Agreement</w:t>
      </w:r>
      <w:r>
        <w:rPr>
          <w:rFonts w:ascii="Times New Roman" w:cs="Times New Roman" w:eastAsia="Times New Roman" w:hAnsi="Times New Roman"/>
          <w:sz w:val="18"/>
          <w:szCs w:val="18"/>
          <w:color w:val="auto"/>
        </w:rPr>
        <w:t>” has the meaning set out in Section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14</w:t>
      </w:r>
    </w:p>
    <w:p>
      <w:pPr>
        <w:sectPr>
          <w:pgSz w:w="11900" w:h="16840" w:orient="portrait"/>
          <w:cols w:equalWidth="0" w:num="1">
            <w:col w:w="10480"/>
          </w:cols>
          <w:pgMar w:left="760" w:top="1440" w:right="660" w:bottom="1440" w:gutter="0" w:footer="0" w:header="0"/>
        </w:sectPr>
      </w:pPr>
    </w:p>
    <w:bookmarkStart w:id="922" w:name="page923"/>
    <w:bookmarkEnd w:id="922"/>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1.186 “</w:t>
      </w:r>
      <w:r>
        <w:rPr>
          <w:rFonts w:ascii="Times New Roman" w:cs="Times New Roman" w:eastAsia="Times New Roman" w:hAnsi="Times New Roman"/>
          <w:sz w:val="18"/>
          <w:szCs w:val="18"/>
          <w:b w:val="1"/>
          <w:bCs w:val="1"/>
          <w:color w:val="auto"/>
        </w:rPr>
        <w:t>Reserved Target</w:t>
      </w:r>
      <w:r>
        <w:rPr>
          <w:rFonts w:ascii="Times New Roman" w:cs="Times New Roman" w:eastAsia="Times New Roman" w:hAnsi="Times New Roman"/>
          <w:sz w:val="18"/>
          <w:szCs w:val="18"/>
          <w:color w:val="auto"/>
        </w:rPr>
        <w:t>” has the meaning set out in Section 6.4(c).</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1.187 “</w:t>
      </w:r>
      <w:r>
        <w:rPr>
          <w:rFonts w:ascii="Times New Roman" w:cs="Times New Roman" w:eastAsia="Times New Roman" w:hAnsi="Times New Roman"/>
          <w:sz w:val="18"/>
          <w:szCs w:val="18"/>
          <w:b w:val="1"/>
          <w:bCs w:val="1"/>
          <w:color w:val="auto"/>
        </w:rPr>
        <w:t>Restricted Target</w:t>
      </w:r>
      <w:r>
        <w:rPr>
          <w:rFonts w:ascii="Times New Roman" w:cs="Times New Roman" w:eastAsia="Times New Roman" w:hAnsi="Times New Roman"/>
          <w:sz w:val="18"/>
          <w:szCs w:val="18"/>
          <w:color w:val="auto"/>
        </w:rPr>
        <w:t>” the meaning set forth in Section 6.4(d).</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1.188 “[***]” have the meaning set forth in [***].</w:t>
      </w:r>
    </w:p>
    <w:p>
      <w:pPr>
        <w:spacing w:after="0" w:line="161"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1.189 “</w:t>
      </w:r>
      <w:r>
        <w:rPr>
          <w:rFonts w:ascii="Times New Roman" w:cs="Times New Roman" w:eastAsia="Times New Roman" w:hAnsi="Times New Roman"/>
          <w:sz w:val="18"/>
          <w:szCs w:val="18"/>
          <w:b w:val="1"/>
          <w:bCs w:val="1"/>
          <w:color w:val="auto"/>
        </w:rPr>
        <w:t>Revenue-Bearing Product</w:t>
      </w:r>
      <w:r>
        <w:rPr>
          <w:rFonts w:ascii="Times New Roman" w:cs="Times New Roman" w:eastAsia="Times New Roman" w:hAnsi="Times New Roman"/>
          <w:sz w:val="18"/>
          <w:szCs w:val="18"/>
          <w:color w:val="auto"/>
        </w:rPr>
        <w:t>” means (a) Obe-cel Product when Autolus or its Affiliate, or an Autolus Licensee is the Selling Party or (b) [***] Licensed Product when BioNTech, its Affiliate, or a Sublicensee is the Selling Party.</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1.190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has the meaning set out in Section 4.7(a).</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1.191 “</w:t>
      </w:r>
      <w:r>
        <w:rPr>
          <w:rFonts w:ascii="Times New Roman" w:cs="Times New Roman" w:eastAsia="Times New Roman" w:hAnsi="Times New Roman"/>
          <w:sz w:val="18"/>
          <w:szCs w:val="18"/>
          <w:b w:val="1"/>
          <w:bCs w:val="1"/>
          <w:color w:val="auto"/>
        </w:rPr>
        <w:t>Safety Switch Field</w:t>
      </w:r>
      <w:r>
        <w:rPr>
          <w:rFonts w:ascii="Times New Roman" w:cs="Times New Roman" w:eastAsia="Times New Roman" w:hAnsi="Times New Roman"/>
          <w:sz w:val="18"/>
          <w:szCs w:val="18"/>
          <w:color w:val="auto"/>
        </w:rPr>
        <w:t xml:space="preserve">” means any and all uses, subject to the limitations set out in </w:t>
      </w:r>
      <w:r>
        <w:rPr>
          <w:rFonts w:ascii="Times New Roman" w:cs="Times New Roman" w:eastAsia="Times New Roman" w:hAnsi="Times New Roman"/>
          <w:sz w:val="18"/>
          <w:szCs w:val="18"/>
          <w:u w:val="single" w:color="auto"/>
          <w:color w:val="auto"/>
        </w:rPr>
        <w:t>Schedule 1.191</w:t>
      </w:r>
      <w:r>
        <w:rPr>
          <w:rFonts w:ascii="Times New Roman" w:cs="Times New Roman" w:eastAsia="Times New Roman" w:hAnsi="Times New Roman"/>
          <w:sz w:val="18"/>
          <w:szCs w:val="18"/>
          <w:color w:val="auto"/>
        </w:rPr>
        <w:t>, Part B.</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1.192 “</w:t>
      </w:r>
      <w:r>
        <w:rPr>
          <w:rFonts w:ascii="Times New Roman" w:cs="Times New Roman" w:eastAsia="Times New Roman" w:hAnsi="Times New Roman"/>
          <w:sz w:val="18"/>
          <w:szCs w:val="18"/>
          <w:b w:val="1"/>
          <w:bCs w:val="1"/>
          <w:color w:val="auto"/>
        </w:rPr>
        <w:t>Safety Switch Licensed IP</w:t>
      </w:r>
      <w:r>
        <w:rPr>
          <w:rFonts w:ascii="Times New Roman" w:cs="Times New Roman" w:eastAsia="Times New Roman" w:hAnsi="Times New Roman"/>
          <w:sz w:val="18"/>
          <w:szCs w:val="18"/>
          <w:color w:val="auto"/>
        </w:rPr>
        <w:t>” mean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the Safety Switch Licensed Know-How and the Safety Switch Licensed Patents.</w:t>
      </w:r>
    </w:p>
    <w:p>
      <w:pPr>
        <w:spacing w:after="0" w:line="165" w:lineRule="exact"/>
        <w:rPr>
          <w:sz w:val="20"/>
          <w:szCs w:val="20"/>
          <w:color w:val="auto"/>
        </w:rPr>
      </w:pPr>
    </w:p>
    <w:p>
      <w:pPr>
        <w:jc w:val="both"/>
        <w:ind w:right="40" w:firstLine="576"/>
        <w:spacing w:after="0" w:line="225" w:lineRule="auto"/>
        <w:rPr>
          <w:sz w:val="20"/>
          <w:szCs w:val="20"/>
          <w:color w:val="auto"/>
        </w:rPr>
      </w:pPr>
      <w:r>
        <w:rPr>
          <w:rFonts w:ascii="Times New Roman" w:cs="Times New Roman" w:eastAsia="Times New Roman" w:hAnsi="Times New Roman"/>
          <w:sz w:val="18"/>
          <w:szCs w:val="18"/>
          <w:color w:val="auto"/>
        </w:rPr>
        <w:t>1.193 “</w:t>
      </w:r>
      <w:r>
        <w:rPr>
          <w:rFonts w:ascii="Times New Roman" w:cs="Times New Roman" w:eastAsia="Times New Roman" w:hAnsi="Times New Roman"/>
          <w:sz w:val="18"/>
          <w:szCs w:val="18"/>
          <w:b w:val="1"/>
          <w:bCs w:val="1"/>
          <w:color w:val="auto"/>
        </w:rPr>
        <w:t>Safety Switch Licensed Know-How</w:t>
      </w:r>
      <w:r>
        <w:rPr>
          <w:rFonts w:ascii="Times New Roman" w:cs="Times New Roman" w:eastAsia="Times New Roman" w:hAnsi="Times New Roman"/>
          <w:sz w:val="18"/>
          <w:szCs w:val="18"/>
          <w:color w:val="auto"/>
        </w:rPr>
        <w:t>” means all Know-How, including [***], that is (a) Controlled by Autolus or any of its Affiliates, as of the Effective Date or during the Term, and (b) necessary or reasonably useful for (i) the Exploitation of the Safety Switch Licensed Technology, or (ii) the Exploitation of such Safety Switch Licensed Technology in a Safety Switch Licensed Product. Notwithstanding the foregoing, [***].</w:t>
      </w:r>
    </w:p>
    <w:p>
      <w:pPr>
        <w:spacing w:after="0" w:line="136" w:lineRule="exact"/>
        <w:rPr>
          <w:sz w:val="20"/>
          <w:szCs w:val="20"/>
          <w:color w:val="auto"/>
        </w:rPr>
      </w:pPr>
    </w:p>
    <w:p>
      <w:pPr>
        <w:jc w:val="both"/>
        <w:ind w:firstLine="576"/>
        <w:spacing w:after="0" w:line="231" w:lineRule="auto"/>
        <w:rPr>
          <w:sz w:val="20"/>
          <w:szCs w:val="20"/>
          <w:color w:val="auto"/>
        </w:rPr>
      </w:pPr>
      <w:r>
        <w:rPr>
          <w:rFonts w:ascii="Times New Roman" w:cs="Times New Roman" w:eastAsia="Times New Roman" w:hAnsi="Times New Roman"/>
          <w:sz w:val="18"/>
          <w:szCs w:val="18"/>
          <w:color w:val="auto"/>
        </w:rPr>
        <w:t>1.194 “</w:t>
      </w:r>
      <w:r>
        <w:rPr>
          <w:rFonts w:ascii="Times New Roman" w:cs="Times New Roman" w:eastAsia="Times New Roman" w:hAnsi="Times New Roman"/>
          <w:sz w:val="18"/>
          <w:szCs w:val="18"/>
          <w:b w:val="1"/>
          <w:bCs w:val="1"/>
          <w:color w:val="auto"/>
        </w:rPr>
        <w:t>Safety Switch Licensed Patents</w:t>
      </w:r>
      <w:r>
        <w:rPr>
          <w:rFonts w:ascii="Times New Roman" w:cs="Times New Roman" w:eastAsia="Times New Roman" w:hAnsi="Times New Roman"/>
          <w:sz w:val="18"/>
          <w:szCs w:val="18"/>
          <w:color w:val="auto"/>
        </w:rPr>
        <w:t>” means all Patents, including Patents that Cover [***], that (a) are Controlled by Autolus or any of its Affiliates, as of the Effective Date or during the Term, and (b) claim or Cover (i) the Safety Switch Licensed Technology, (ii) the Safety Switch Licensed Know-How, or (iii) the Exploitation of such Safety Switch Licensed Technology in a Safety Switch Licensed Product.</w:t>
      </w:r>
    </w:p>
    <w:p>
      <w:pPr>
        <w:spacing w:after="0" w:line="135"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1.195 “</w:t>
      </w:r>
      <w:r>
        <w:rPr>
          <w:rFonts w:ascii="Times New Roman" w:cs="Times New Roman" w:eastAsia="Times New Roman" w:hAnsi="Times New Roman"/>
          <w:sz w:val="18"/>
          <w:szCs w:val="18"/>
          <w:b w:val="1"/>
          <w:bCs w:val="1"/>
          <w:color w:val="auto"/>
        </w:rPr>
        <w:t>Safety Switch Licensed Product</w:t>
      </w:r>
      <w:r>
        <w:rPr>
          <w:rFonts w:ascii="Times New Roman" w:cs="Times New Roman" w:eastAsia="Times New Roman" w:hAnsi="Times New Roman"/>
          <w:sz w:val="18"/>
          <w:szCs w:val="18"/>
          <w:color w:val="auto"/>
        </w:rPr>
        <w:t xml:space="preserve">” means any pharmaceutical or biologic product, in any form, that contains or incorporates any Safety Switch Licensed Technology. For the purposes of this Agreement,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1.196 “</w:t>
      </w:r>
      <w:r>
        <w:rPr>
          <w:rFonts w:ascii="Times New Roman" w:cs="Times New Roman" w:eastAsia="Times New Roman" w:hAnsi="Times New Roman"/>
          <w:sz w:val="18"/>
          <w:szCs w:val="18"/>
          <w:b w:val="1"/>
          <w:bCs w:val="1"/>
          <w:color w:val="auto"/>
        </w:rPr>
        <w:t>Safety Switch Licensed Technology</w:t>
      </w:r>
      <w:r>
        <w:rPr>
          <w:rFonts w:ascii="Times New Roman" w:cs="Times New Roman" w:eastAsia="Times New Roman" w:hAnsi="Times New Roman"/>
          <w:sz w:val="18"/>
          <w:szCs w:val="18"/>
          <w:color w:val="auto"/>
        </w:rPr>
        <w:t xml:space="preserve">” means each regulatable control module listed in </w:t>
      </w:r>
      <w:r>
        <w:rPr>
          <w:rFonts w:ascii="Times New Roman" w:cs="Times New Roman" w:eastAsia="Times New Roman" w:hAnsi="Times New Roman"/>
          <w:sz w:val="18"/>
          <w:szCs w:val="18"/>
          <w:u w:val="single" w:color="auto"/>
          <w:color w:val="auto"/>
        </w:rPr>
        <w:t>Schedule 1.191</w:t>
      </w:r>
      <w:r>
        <w:rPr>
          <w:rFonts w:ascii="Times New Roman" w:cs="Times New Roman" w:eastAsia="Times New Roman" w:hAnsi="Times New Roman"/>
          <w:sz w:val="18"/>
          <w:szCs w:val="18"/>
          <w:color w:val="auto"/>
        </w:rPr>
        <w:t>, Part A.</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1.197 “</w:t>
      </w:r>
      <w:r>
        <w:rPr>
          <w:rFonts w:ascii="Times New Roman" w:cs="Times New Roman" w:eastAsia="Times New Roman" w:hAnsi="Times New Roman"/>
          <w:sz w:val="18"/>
          <w:szCs w:val="18"/>
          <w:b w:val="1"/>
          <w:bCs w:val="1"/>
          <w:color w:val="auto"/>
        </w:rPr>
        <w:t>Safety Switch Option</w:t>
      </w:r>
      <w:r>
        <w:rPr>
          <w:rFonts w:ascii="Times New Roman" w:cs="Times New Roman" w:eastAsia="Times New Roman" w:hAnsi="Times New Roman"/>
          <w:sz w:val="18"/>
          <w:szCs w:val="18"/>
          <w:color w:val="auto"/>
        </w:rPr>
        <w:t>” has the meaning set out in Section 6.3(c).</w:t>
      </w:r>
    </w:p>
    <w:p>
      <w:pPr>
        <w:spacing w:after="0" w:line="165"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 198 “</w:t>
      </w:r>
      <w:r>
        <w:rPr>
          <w:rFonts w:ascii="Times New Roman" w:cs="Times New Roman" w:eastAsia="Times New Roman" w:hAnsi="Times New Roman"/>
          <w:sz w:val="18"/>
          <w:szCs w:val="18"/>
          <w:b w:val="1"/>
          <w:bCs w:val="1"/>
          <w:color w:val="auto"/>
        </w:rPr>
        <w:t>Sales Tax</w:t>
      </w:r>
      <w:r>
        <w:rPr>
          <w:rFonts w:ascii="Times New Roman" w:cs="Times New Roman" w:eastAsia="Times New Roman" w:hAnsi="Times New Roman"/>
          <w:sz w:val="18"/>
          <w:szCs w:val="18"/>
          <w:color w:val="auto"/>
        </w:rPr>
        <w:t>” means any sales, goods, services, value-added, turnover, consumption, use or similar tax and any tax charged on the import or export of any goods or services.</w:t>
      </w:r>
    </w:p>
    <w:p>
      <w:pPr>
        <w:spacing w:after="0" w:line="130"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1. 199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xml:space="preserve"> ” means (a) with respect to Obe-cel Product, Autolus, its Affiliates or Autolus Licensees, as applicable and (b) with respect to any [***] Licensed Product, BioNTech, its Affiliates or Sublicensees, as applicable.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1.200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has the meaning set out in the recitals to this Agreement.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1.201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the sponsor of the [***] of the applicable Option Product or Next Gen Product.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1.202 “</w:t>
      </w:r>
      <w:r>
        <w:rPr>
          <w:rFonts w:ascii="Times New Roman" w:cs="Times New Roman" w:eastAsia="Times New Roman" w:hAnsi="Times New Roman"/>
          <w:sz w:val="18"/>
          <w:szCs w:val="18"/>
          <w:b w:val="1"/>
          <w:bCs w:val="1"/>
          <w:color w:val="auto"/>
        </w:rPr>
        <w:t>Subcommittee</w:t>
      </w:r>
      <w:r>
        <w:rPr>
          <w:rFonts w:ascii="Times New Roman" w:cs="Times New Roman" w:eastAsia="Times New Roman" w:hAnsi="Times New Roman"/>
          <w:sz w:val="18"/>
          <w:szCs w:val="18"/>
          <w:color w:val="auto"/>
        </w:rPr>
        <w:t>” has the meaning set out in Section 2.4.</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1.203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has the meaning set out in Section 5.3</w:t>
      </w:r>
    </w:p>
    <w:p>
      <w:pPr>
        <w:spacing w:after="0" w:line="165"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1.204 “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 Third Party to whom BioNTech or any of its Affiliates has granted a sublicense of any of its rights under this Agreement to Exploit [***]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15</w:t>
      </w:r>
    </w:p>
    <w:p>
      <w:pPr>
        <w:sectPr>
          <w:pgSz w:w="11900" w:h="16840" w:orient="portrait"/>
          <w:cols w:equalWidth="0" w:num="1">
            <w:col w:w="10500"/>
          </w:cols>
          <w:pgMar w:left="760" w:top="1440" w:right="640" w:bottom="1440" w:gutter="0" w:footer="0" w:header="0"/>
        </w:sectPr>
      </w:pPr>
    </w:p>
    <w:bookmarkStart w:id="923" w:name="page924"/>
    <w:bookmarkEnd w:id="923"/>
    <w:p>
      <w:pPr>
        <w:spacing w:after="0" w:line="25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any provision to the contrary set forth in this Agreement, Subcontractors, distributors and wholesalers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Sublicensees.</w:t>
      </w:r>
    </w:p>
    <w:p>
      <w:pPr>
        <w:spacing w:after="0" w:line="133"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1.205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means one or more biological targets identified by BioNTech in respect of which BioNTech wishes to exercise any Module Option,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in respect of [***], if [***].</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1.206 “[***]” has the meaning set out in [***].</w:t>
      </w:r>
    </w:p>
    <w:p>
      <w:pPr>
        <w:spacing w:after="0" w:line="161"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1.207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taxes, duties, levies or imposts and other charges in the nature of tax and all related withholding or deductions.</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1.208 “</w:t>
      </w:r>
      <w:r>
        <w:rPr>
          <w:rFonts w:ascii="Times New Roman" w:cs="Times New Roman" w:eastAsia="Times New Roman" w:hAnsi="Times New Roman"/>
          <w:sz w:val="18"/>
          <w:szCs w:val="18"/>
          <w:b w:val="1"/>
          <w:bCs w:val="1"/>
          <w:color w:val="auto"/>
        </w:rPr>
        <w:t>Technologies License Agreement</w:t>
      </w:r>
      <w:r>
        <w:rPr>
          <w:rFonts w:ascii="Times New Roman" w:cs="Times New Roman" w:eastAsia="Times New Roman" w:hAnsi="Times New Roman"/>
          <w:sz w:val="18"/>
          <w:szCs w:val="18"/>
          <w:color w:val="auto"/>
        </w:rPr>
        <w:t>” has the meaning set out in Section 6.5.</w:t>
      </w:r>
    </w:p>
    <w:p>
      <w:pPr>
        <w:spacing w:after="0" w:line="165"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1.209 “</w:t>
      </w:r>
      <w:r>
        <w:rPr>
          <w:rFonts w:ascii="Times New Roman" w:cs="Times New Roman" w:eastAsia="Times New Roman" w:hAnsi="Times New Roman"/>
          <w:sz w:val="18"/>
          <w:szCs w:val="18"/>
          <w:b w:val="1"/>
          <w:bCs w:val="1"/>
          <w:color w:val="auto"/>
        </w:rPr>
        <w:t>Technologies Option</w:t>
      </w:r>
      <w:r>
        <w:rPr>
          <w:rFonts w:ascii="Times New Roman" w:cs="Times New Roman" w:eastAsia="Times New Roman" w:hAnsi="Times New Roman"/>
          <w:sz w:val="18"/>
          <w:szCs w:val="18"/>
          <w:color w:val="auto"/>
        </w:rPr>
        <w:t>” means (a) the [***] Option, (b) the Safety Switch Option, (c) the Activity Enhancement Option, or (d) [***] Option, as applicable.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b w:val="1"/>
          <w:bCs w:val="1"/>
          <w:color w:val="auto"/>
        </w:rPr>
        <w:t>Technologies Option Buyer</w:t>
      </w:r>
      <w:r>
        <w:rPr>
          <w:rFonts w:ascii="Times New Roman" w:cs="Times New Roman" w:eastAsia="Times New Roman" w:hAnsi="Times New Roman"/>
          <w:sz w:val="18"/>
          <w:szCs w:val="18"/>
          <w:color w:val="auto"/>
        </w:rPr>
        <w:t>” has the meaning set out in Section 1.217.</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b w:val="1"/>
          <w:bCs w:val="1"/>
          <w:color w:val="auto"/>
        </w:rPr>
        <w:t>Technologies Option Exercise Fee</w:t>
      </w:r>
      <w:r>
        <w:rPr>
          <w:rFonts w:ascii="Times New Roman" w:cs="Times New Roman" w:eastAsia="Times New Roman" w:hAnsi="Times New Roman"/>
          <w:sz w:val="18"/>
          <w:szCs w:val="18"/>
          <w:color w:val="auto"/>
        </w:rPr>
        <w:t>” has the meaning set out in Section 6.6.</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b w:val="1"/>
          <w:bCs w:val="1"/>
          <w:color w:val="auto"/>
        </w:rPr>
        <w:t>Technologies Option Exercise Fee Cap</w:t>
      </w:r>
      <w:r>
        <w:rPr>
          <w:rFonts w:ascii="Times New Roman" w:cs="Times New Roman" w:eastAsia="Times New Roman" w:hAnsi="Times New Roman"/>
          <w:sz w:val="18"/>
          <w:szCs w:val="18"/>
          <w:color w:val="auto"/>
        </w:rPr>
        <w:t>” has the meaning set out in Section 6.6.</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b w:val="1"/>
          <w:bCs w:val="1"/>
          <w:color w:val="auto"/>
        </w:rPr>
        <w:t>Technologies Option Exercise Notice</w:t>
      </w:r>
      <w:r>
        <w:rPr>
          <w:rFonts w:ascii="Times New Roman" w:cs="Times New Roman" w:eastAsia="Times New Roman" w:hAnsi="Times New Roman"/>
          <w:sz w:val="18"/>
          <w:szCs w:val="18"/>
          <w:color w:val="auto"/>
        </w:rPr>
        <w:t>” has the meaning set out in Section 6.5.</w:t>
      </w:r>
    </w:p>
    <w:p>
      <w:pPr>
        <w:spacing w:after="0" w:line="165"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1.214 “</w:t>
      </w:r>
      <w:r>
        <w:rPr>
          <w:rFonts w:ascii="Times New Roman" w:cs="Times New Roman" w:eastAsia="Times New Roman" w:hAnsi="Times New Roman"/>
          <w:sz w:val="18"/>
          <w:szCs w:val="18"/>
          <w:b w:val="1"/>
          <w:bCs w:val="1"/>
          <w:color w:val="auto"/>
        </w:rPr>
        <w:t>Technologies Option IP</w:t>
      </w:r>
      <w:r>
        <w:rPr>
          <w:rFonts w:ascii="Times New Roman" w:cs="Times New Roman" w:eastAsia="Times New Roman" w:hAnsi="Times New Roman"/>
          <w:sz w:val="18"/>
          <w:szCs w:val="18"/>
          <w:color w:val="auto"/>
        </w:rPr>
        <w:t>” means (a) the [***] Licensed IP, (b) the Safety Switch Licensed IP, (c) Activity Enhancement Licensed IP, and (d) [***] Licensed IP.</w:t>
      </w:r>
    </w:p>
    <w:p>
      <w:pPr>
        <w:spacing w:after="0" w:line="130" w:lineRule="exact"/>
        <w:rPr>
          <w:sz w:val="20"/>
          <w:szCs w:val="20"/>
          <w:color w:val="auto"/>
        </w:rPr>
      </w:pPr>
    </w:p>
    <w:p>
      <w:pPr>
        <w:jc w:val="both"/>
        <w:ind w:right="20" w:firstLine="576"/>
        <w:spacing w:after="0" w:line="245" w:lineRule="auto"/>
        <w:rPr>
          <w:sz w:val="20"/>
          <w:szCs w:val="20"/>
          <w:color w:val="auto"/>
        </w:rPr>
      </w:pPr>
      <w:r>
        <w:rPr>
          <w:rFonts w:ascii="Times New Roman" w:cs="Times New Roman" w:eastAsia="Times New Roman" w:hAnsi="Times New Roman"/>
          <w:sz w:val="18"/>
          <w:szCs w:val="18"/>
          <w:color w:val="auto"/>
        </w:rPr>
        <w:t>1.215 “</w:t>
      </w:r>
      <w:r>
        <w:rPr>
          <w:rFonts w:ascii="Times New Roman" w:cs="Times New Roman" w:eastAsia="Times New Roman" w:hAnsi="Times New Roman"/>
          <w:sz w:val="18"/>
          <w:szCs w:val="18"/>
          <w:b w:val="1"/>
          <w:bCs w:val="1"/>
          <w:color w:val="auto"/>
        </w:rPr>
        <w:t>Technologies Option Period</w:t>
      </w:r>
      <w:r>
        <w:rPr>
          <w:rFonts w:ascii="Times New Roman" w:cs="Times New Roman" w:eastAsia="Times New Roman" w:hAnsi="Times New Roman"/>
          <w:sz w:val="18"/>
          <w:szCs w:val="18"/>
          <w:color w:val="auto"/>
        </w:rPr>
        <w:t>” means the period of time commencing on the Effective Date and ending on the later of the expiration of (a) the [***] Option Period, (b) the Module Option Period, and (c) [***] Option Period.</w:t>
      </w:r>
    </w:p>
    <w:p>
      <w:pPr>
        <w:spacing w:after="0" w:line="130"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1.216 “</w:t>
      </w:r>
      <w:r>
        <w:rPr>
          <w:rFonts w:ascii="Times New Roman" w:cs="Times New Roman" w:eastAsia="Times New Roman" w:hAnsi="Times New Roman"/>
          <w:sz w:val="18"/>
          <w:szCs w:val="18"/>
          <w:b w:val="1"/>
          <w:bCs w:val="1"/>
          <w:color w:val="auto"/>
        </w:rPr>
        <w:t>Technologies Option Technology</w:t>
      </w:r>
      <w:r>
        <w:rPr>
          <w:rFonts w:ascii="Times New Roman" w:cs="Times New Roman" w:eastAsia="Times New Roman" w:hAnsi="Times New Roman"/>
          <w:sz w:val="18"/>
          <w:szCs w:val="18"/>
          <w:color w:val="auto"/>
        </w:rPr>
        <w:t xml:space="preserve"> ” means the [***] Licensed Binder, [***] Licensed Binder, Safety Switch Licensed Technology, Activity Enhancement Licensed Technology, and [***] Licensed Binder.</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1.217 “</w:t>
      </w:r>
      <w:r>
        <w:rPr>
          <w:rFonts w:ascii="Times New Roman" w:cs="Times New Roman" w:eastAsia="Times New Roman" w:hAnsi="Times New Roman"/>
          <w:sz w:val="18"/>
          <w:szCs w:val="18"/>
          <w:b w:val="1"/>
          <w:bCs w:val="1"/>
          <w:color w:val="auto"/>
        </w:rPr>
        <w:t>Technologies Option Transaction</w:t>
      </w:r>
      <w:r>
        <w:rPr>
          <w:rFonts w:ascii="Times New Roman" w:cs="Times New Roman" w:eastAsia="Times New Roman" w:hAnsi="Times New Roman"/>
          <w:sz w:val="18"/>
          <w:szCs w:val="18"/>
          <w:color w:val="auto"/>
        </w:rPr>
        <w:t xml:space="preserve">” means the [***] to a Third Party (the “ </w:t>
      </w:r>
      <w:r>
        <w:rPr>
          <w:rFonts w:ascii="Times New Roman" w:cs="Times New Roman" w:eastAsia="Times New Roman" w:hAnsi="Times New Roman"/>
          <w:sz w:val="18"/>
          <w:szCs w:val="18"/>
          <w:b w:val="1"/>
          <w:bCs w:val="1"/>
          <w:color w:val="auto"/>
        </w:rPr>
        <w:t>Technologies Option Buyer</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out in Section 13.1(b).</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1.219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1.220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 Affiliate of a Party.</w:t>
      </w:r>
    </w:p>
    <w:p>
      <w:pPr>
        <w:spacing w:after="0" w:line="165" w:lineRule="exact"/>
        <w:rPr>
          <w:sz w:val="20"/>
          <w:szCs w:val="20"/>
          <w:color w:val="auto"/>
        </w:rPr>
      </w:pPr>
    </w:p>
    <w:p>
      <w:pPr>
        <w:jc w:val="both"/>
        <w:ind w:firstLine="576"/>
        <w:spacing w:after="0" w:line="231" w:lineRule="auto"/>
        <w:rPr>
          <w:sz w:val="20"/>
          <w:szCs w:val="20"/>
          <w:color w:val="auto"/>
        </w:rPr>
      </w:pPr>
      <w:r>
        <w:rPr>
          <w:rFonts w:ascii="Times New Roman" w:cs="Times New Roman" w:eastAsia="Times New Roman" w:hAnsi="Times New Roman"/>
          <w:sz w:val="18"/>
          <w:szCs w:val="18"/>
          <w:color w:val="auto"/>
        </w:rPr>
        <w:t>1.221 “</w:t>
      </w:r>
      <w:r>
        <w:rPr>
          <w:rFonts w:ascii="Times New Roman" w:cs="Times New Roman" w:eastAsia="Times New Roman" w:hAnsi="Times New Roman"/>
          <w:sz w:val="18"/>
          <w:szCs w:val="18"/>
          <w:b w:val="1"/>
          <w:bCs w:val="1"/>
          <w:color w:val="auto"/>
        </w:rPr>
        <w:t>Third Party Evaluator</w:t>
      </w:r>
      <w:r>
        <w:rPr>
          <w:rFonts w:ascii="Times New Roman" w:cs="Times New Roman" w:eastAsia="Times New Roman" w:hAnsi="Times New Roman"/>
          <w:sz w:val="18"/>
          <w:szCs w:val="18"/>
          <w:color w:val="auto"/>
        </w:rPr>
        <w:t>” means Subcontractors performing activities in connection with the research or development of products being researched or developed, in whole or in part, by or on behalf of BioNTech or its Affiliates alone or in conjunction with a Third Party collaborator.</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1.222 “</w:t>
      </w:r>
      <w:r>
        <w:rPr>
          <w:rFonts w:ascii="Times New Roman" w:cs="Times New Roman" w:eastAsia="Times New Roman" w:hAnsi="Times New Roman"/>
          <w:sz w:val="18"/>
          <w:szCs w:val="18"/>
          <w:b w:val="1"/>
          <w:bCs w:val="1"/>
          <w:color w:val="auto"/>
        </w:rPr>
        <w:t>Transferred Materials</w:t>
      </w:r>
      <w:r>
        <w:rPr>
          <w:rFonts w:ascii="Times New Roman" w:cs="Times New Roman" w:eastAsia="Times New Roman" w:hAnsi="Times New Roman"/>
          <w:sz w:val="18"/>
          <w:szCs w:val="18"/>
          <w:color w:val="auto"/>
        </w:rPr>
        <w:t>” has the meaning set out in Section 6.2(a).</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1.223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1.224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1.225 “[***]”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p>
    <w:p>
      <w:pPr>
        <w:sectPr>
          <w:pgSz w:w="11900" w:h="16840" w:orient="portrait"/>
          <w:cols w:equalWidth="0" w:num="1">
            <w:col w:w="10480"/>
          </w:cols>
          <w:pgMar w:left="760" w:top="1440" w:right="660" w:bottom="1440" w:gutter="0" w:footer="0" w:header="0"/>
        </w:sectPr>
      </w:pPr>
    </w:p>
    <w:bookmarkStart w:id="924" w:name="page925"/>
    <w:bookmarkEnd w:id="924"/>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1.226 “[***]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 the Field and (b) [***].</w:t>
      </w:r>
    </w:p>
    <w:p>
      <w:pPr>
        <w:spacing w:after="0" w:line="165"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1.227 “[***] </w:t>
      </w:r>
      <w:r>
        <w:rPr>
          <w:rFonts w:ascii="Times New Roman" w:cs="Times New Roman" w:eastAsia="Times New Roman" w:hAnsi="Times New Roman"/>
          <w:sz w:val="18"/>
          <w:szCs w:val="18"/>
          <w:b w:val="1"/>
          <w:bCs w:val="1"/>
          <w:color w:val="auto"/>
        </w:rPr>
        <w:t>Licensed Binder</w:t>
      </w:r>
      <w:r>
        <w:rPr>
          <w:rFonts w:ascii="Times New Roman" w:cs="Times New Roman" w:eastAsia="Times New Roman" w:hAnsi="Times New Roman"/>
          <w:sz w:val="18"/>
          <w:szCs w:val="18"/>
          <w:color w:val="auto"/>
        </w:rPr>
        <w:t>” means (a) any of the Binders of [***], and (b) [***], provided that clause (b) shall not include any Binder that (i) [***], or (ii) [***].</w:t>
      </w:r>
    </w:p>
    <w:p>
      <w:pPr>
        <w:spacing w:after="0" w:line="130" w:lineRule="exact"/>
        <w:rPr>
          <w:sz w:val="20"/>
          <w:szCs w:val="20"/>
          <w:color w:val="auto"/>
        </w:rPr>
      </w:pPr>
    </w:p>
    <w:p>
      <w:pPr>
        <w:jc w:val="both"/>
        <w:ind w:right="40" w:firstLine="576"/>
        <w:spacing w:after="0" w:line="245" w:lineRule="auto"/>
        <w:rPr>
          <w:sz w:val="20"/>
          <w:szCs w:val="20"/>
          <w:color w:val="auto"/>
        </w:rPr>
      </w:pPr>
      <w:r>
        <w:rPr>
          <w:rFonts w:ascii="Times New Roman" w:cs="Times New Roman" w:eastAsia="Times New Roman" w:hAnsi="Times New Roman"/>
          <w:sz w:val="18"/>
          <w:szCs w:val="18"/>
          <w:color w:val="auto"/>
        </w:rPr>
        <w:t xml:space="preserve">1.228 “[***] </w:t>
      </w:r>
      <w:r>
        <w:rPr>
          <w:rFonts w:ascii="Times New Roman" w:cs="Times New Roman" w:eastAsia="Times New Roman" w:hAnsi="Times New Roman"/>
          <w:sz w:val="18"/>
          <w:szCs w:val="18"/>
          <w:b w:val="1"/>
          <w:bCs w:val="1"/>
          <w:color w:val="auto"/>
        </w:rPr>
        <w:t>Licensed Binder</w:t>
      </w:r>
      <w:r>
        <w:rPr>
          <w:rFonts w:ascii="Times New Roman" w:cs="Times New Roman" w:eastAsia="Times New Roman" w:hAnsi="Times New Roman"/>
          <w:sz w:val="18"/>
          <w:szCs w:val="18"/>
          <w:color w:val="auto"/>
        </w:rPr>
        <w:t>” means (a) any of the Binders of [***], and (b) [***], provided that clause (b) shall not include any Binder that (i) [***], or (ii) [***].</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1.229 “[***] </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 Licensed Know-How and the [***] Licensed Patents.</w:t>
      </w:r>
    </w:p>
    <w:p>
      <w:pPr>
        <w:spacing w:after="0" w:line="165" w:lineRule="exact"/>
        <w:rPr>
          <w:sz w:val="20"/>
          <w:szCs w:val="20"/>
          <w:color w:val="auto"/>
        </w:rPr>
      </w:pPr>
    </w:p>
    <w:p>
      <w:pPr>
        <w:jc w:val="both"/>
        <w:ind w:right="40" w:firstLine="576"/>
        <w:spacing w:after="0" w:line="231" w:lineRule="auto"/>
        <w:rPr>
          <w:sz w:val="20"/>
          <w:szCs w:val="20"/>
          <w:color w:val="auto"/>
        </w:rPr>
      </w:pPr>
      <w:r>
        <w:rPr>
          <w:rFonts w:ascii="Times New Roman" w:cs="Times New Roman" w:eastAsia="Times New Roman" w:hAnsi="Times New Roman"/>
          <w:sz w:val="18"/>
          <w:szCs w:val="18"/>
          <w:color w:val="auto"/>
        </w:rPr>
        <w:t xml:space="preserve">1.230 “[***] </w:t>
      </w:r>
      <w:r>
        <w:rPr>
          <w:rFonts w:ascii="Times New Roman" w:cs="Times New Roman" w:eastAsia="Times New Roman" w:hAnsi="Times New Roman"/>
          <w:sz w:val="18"/>
          <w:szCs w:val="18"/>
          <w:b w:val="1"/>
          <w:bCs w:val="1"/>
          <w:color w:val="auto"/>
        </w:rPr>
        <w:t>Licensed Know- How</w:t>
      </w:r>
      <w:r>
        <w:rPr>
          <w:rFonts w:ascii="Times New Roman" w:cs="Times New Roman" w:eastAsia="Times New Roman" w:hAnsi="Times New Roman"/>
          <w:sz w:val="18"/>
          <w:szCs w:val="18"/>
          <w:color w:val="auto"/>
        </w:rPr>
        <w:t>” means all Know-How, including [***], that is (a) Controlled by Autolus or its Affiliates, as of the Effective Date or during the Term, and (b) necessary or reasonably useful for (a) the Development of the [***] Licensed Binder and/or the [***] Licensed Binder, or (b) the Exploitation of such Binders in a [***] Licensed Product, or [***]. Notwithstanding the foregoing, [***].</w:t>
      </w:r>
    </w:p>
    <w:p>
      <w:pPr>
        <w:spacing w:after="0" w:line="135" w:lineRule="exact"/>
        <w:rPr>
          <w:sz w:val="20"/>
          <w:szCs w:val="20"/>
          <w:color w:val="auto"/>
        </w:rPr>
      </w:pPr>
    </w:p>
    <w:p>
      <w:pPr>
        <w:jc w:val="both"/>
        <w:ind w:right="40" w:firstLine="576"/>
        <w:spacing w:after="0" w:line="222" w:lineRule="auto"/>
        <w:rPr>
          <w:sz w:val="20"/>
          <w:szCs w:val="20"/>
          <w:color w:val="auto"/>
        </w:rPr>
      </w:pPr>
      <w:r>
        <w:rPr>
          <w:rFonts w:ascii="Times New Roman" w:cs="Times New Roman" w:eastAsia="Times New Roman" w:hAnsi="Times New Roman"/>
          <w:sz w:val="18"/>
          <w:szCs w:val="18"/>
          <w:color w:val="auto"/>
        </w:rPr>
        <w:t xml:space="preserve">1.231 “[***]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all Patents, including Patents that Cover [***], that (a) are Controlled by Autolus or any of its Affiliates, as of the Effective Date or during the Term, and (b) claim or Cover (i) the [***] Licensed Binder or the [***] Licensed Binder, (ii) the</w:t>
      </w:r>
    </w:p>
    <w:p>
      <w:pPr>
        <w:spacing w:after="0" w:line="1" w:lineRule="exact"/>
        <w:rPr>
          <w:sz w:val="20"/>
          <w:szCs w:val="20"/>
          <w:color w:val="auto"/>
        </w:rPr>
      </w:pPr>
    </w:p>
    <w:p>
      <w:pPr>
        <w:ind w:right="40" w:firstLine="2"/>
        <w:spacing w:after="0" w:line="228" w:lineRule="auto"/>
        <w:tabs>
          <w:tab w:leader="none" w:pos="441"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Know-How, or (iii) the Exploitation of the [***] Licensed Binder and/or the [***] Licensed Binder in a [***] Licensed Product or [***].</w:t>
      </w:r>
    </w:p>
    <w:p>
      <w:pPr>
        <w:spacing w:after="0" w:line="135" w:lineRule="exact"/>
        <w:rPr>
          <w:sz w:val="20"/>
          <w:szCs w:val="20"/>
          <w:color w:val="auto"/>
        </w:rPr>
      </w:pPr>
    </w:p>
    <w:p>
      <w:pPr>
        <w:jc w:val="both"/>
        <w:ind w:right="40" w:firstLine="576"/>
        <w:spacing w:after="0" w:line="225" w:lineRule="auto"/>
        <w:rPr>
          <w:sz w:val="20"/>
          <w:szCs w:val="20"/>
          <w:color w:val="auto"/>
        </w:rPr>
      </w:pPr>
      <w:r>
        <w:rPr>
          <w:rFonts w:ascii="Times New Roman" w:cs="Times New Roman" w:eastAsia="Times New Roman" w:hAnsi="Times New Roman"/>
          <w:sz w:val="18"/>
          <w:szCs w:val="18"/>
          <w:color w:val="auto"/>
        </w:rPr>
        <w:t xml:space="preserve">1.232 “[***]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means any pharmaceutical or biologic product (a) that expresses In Vivo, or (b) is an ADC that contains, in each case of (a) and (b), the [***] Licensed Binder and/or the [***] Licensed Binder, including any dosage strengths, presentations, formulations or methods of administration, but excluding a [***]. For the purposes of this Agreement,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 For clarity, [***].</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1.233 “[***]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has the meaning set out in Section 6.3(a).</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1.234 “[***]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has the meaning set out in Section 6.1.</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1.235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1.236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1.237 “[***]” means [***].</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1.238 “[***]” has the meaning set forth in [***].</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1.239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territories and possessions.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1.240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has the meaning set out in Section 7.3.</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1.241 “</w:t>
      </w:r>
      <w:r>
        <w:rPr>
          <w:rFonts w:ascii="Times New Roman" w:cs="Times New Roman" w:eastAsia="Times New Roman" w:hAnsi="Times New Roman"/>
          <w:sz w:val="18"/>
          <w:szCs w:val="18"/>
          <w:b w:val="1"/>
          <w:bCs w:val="1"/>
          <w:color w:val="auto"/>
        </w:rPr>
        <w:t>Upstream License Agreement</w:t>
      </w:r>
      <w:r>
        <w:rPr>
          <w:rFonts w:ascii="Times New Roman" w:cs="Times New Roman" w:eastAsia="Times New Roman" w:hAnsi="Times New Roman"/>
          <w:sz w:val="18"/>
          <w:szCs w:val="18"/>
          <w:color w:val="auto"/>
        </w:rPr>
        <w:t>” means [***].</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1.242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xml:space="preserve">” means [***] of: (a) a [***] Patent [***], which [***] and [***] and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 to which such</w:t>
      </w:r>
    </w:p>
    <w:p>
      <w:pPr>
        <w:jc w:val="both"/>
        <w:ind w:firstLine="2"/>
        <w:spacing w:after="0" w:line="218" w:lineRule="auto"/>
        <w:tabs>
          <w:tab w:leader="none" w:pos="436"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patent [***] is [***], excluding, however, any [***] that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from and after such [***], unless and until [***], and [***]; or (b) any [***] Patent for which [***] any of the following: [***]; or [***],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will any [***] with respect to [***]. For the purposes of this Agreement, [***] shall be subject to subparagraphs (a) or (b) hereof, or [***]. For the purpose of this definition,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17</w:t>
      </w:r>
    </w:p>
    <w:p>
      <w:pPr>
        <w:sectPr>
          <w:pgSz w:w="11900" w:h="16840" w:orient="portrait"/>
          <w:cols w:equalWidth="0" w:num="1">
            <w:col w:w="10500"/>
          </w:cols>
          <w:pgMar w:left="760" w:top="1440" w:right="640" w:bottom="1440" w:gutter="0" w:footer="0" w:header="0"/>
        </w:sectPr>
      </w:pPr>
    </w:p>
    <w:bookmarkStart w:id="925" w:name="page926"/>
    <w:bookmarkEnd w:id="925"/>
    <w:p>
      <w:pPr>
        <w:spacing w:after="0" w:line="254" w:lineRule="exact"/>
        <w:rPr>
          <w:sz w:val="20"/>
          <w:szCs w:val="20"/>
          <w:color w:val="auto"/>
        </w:rPr>
      </w:pPr>
    </w:p>
    <w:p>
      <w:pPr>
        <w:ind w:left="580" w:hanging="574"/>
        <w:spacing w:after="0"/>
        <w:tabs>
          <w:tab w:leader="none" w:pos="580" w:val="left"/>
        </w:tabs>
        <w:numPr>
          <w:ilvl w:val="0"/>
          <w:numId w:val="9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and Governance</w:t>
      </w:r>
    </w:p>
    <w:p>
      <w:pPr>
        <w:spacing w:after="0" w:line="165" w:lineRule="exact"/>
        <w:rPr>
          <w:sz w:val="20"/>
          <w:szCs w:val="20"/>
          <w:color w:val="auto"/>
        </w:rPr>
      </w:pPr>
    </w:p>
    <w:p>
      <w:pPr>
        <w:jc w:val="both"/>
        <w:ind w:firstLine="864"/>
        <w:spacing w:after="0" w:line="21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Collaboration Overview.</w:t>
      </w:r>
      <w:r>
        <w:rPr>
          <w:rFonts w:ascii="Times New Roman" w:cs="Times New Roman" w:eastAsia="Times New Roman" w:hAnsi="Times New Roman"/>
          <w:sz w:val="18"/>
          <w:szCs w:val="18"/>
          <w:color w:val="auto"/>
        </w:rPr>
        <w:t xml:space="preserve"> Under and pursuant to the terms of this Agreement: (a) the Parties shall discuss [***] (i) one or more agreements with respect to manufacturing and commercial services pursuant to Section 3.1 and (ii) a potential research and development collaboration agreement pursuant to Section 3.2; (b) Autolus shall grant BioNTech certain exclusive options to obtain certain exclusive rights to certain agreed programs Controlled by Autolus, pursuant to Article 4; (c) Autolus shall grant BioNTech an exclusive license to [***] Licensed Binders and [***] Licensed Binders pursuant to Article 5; (d) Autolus shall grant BioNTech options to obtain licenses related to (i) [***] Licensed Binders and [***] Licensed Binders, (ii) Safety Switch Licensed Technology, (iii) Activity Enhancement Licensed Technology, and (iv) [***] Licensed Binders, each in accordance with Article 6; (e) Autolus shall pay to BioNTech the Obe-cel Revenue Interest pursuant to Section 7.5; and</w:t>
      </w:r>
    </w:p>
    <w:p>
      <w:pPr>
        <w:spacing w:after="0" w:line="4" w:lineRule="exact"/>
        <w:rPr>
          <w:sz w:val="20"/>
          <w:szCs w:val="20"/>
          <w:color w:val="auto"/>
        </w:rPr>
      </w:pPr>
    </w:p>
    <w:p>
      <w:pPr>
        <w:ind w:right="60" w:firstLine="6"/>
        <w:spacing w:after="0" w:line="228" w:lineRule="auto"/>
        <w:tabs>
          <w:tab w:leader="none" w:pos="226"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shall pay the license payment to Autolus set out in Section 9.1, purchase shares in Autolus set out in the Share Purchase Agreement, as further set out in the Recitals, and make the other payments set out under this Agreement in accordance with the terms hereof.</w:t>
      </w:r>
    </w:p>
    <w:p>
      <w:pPr>
        <w:spacing w:after="0" w:line="13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158"/>
        <w:spacing w:after="0" w:line="218" w:lineRule="auto"/>
        <w:tabs>
          <w:tab w:leader="none" w:pos="1729" w:val="left"/>
        </w:tabs>
        <w:numPr>
          <w:ilvl w:val="1"/>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 the Parties shall establish a joint steering committee (the “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xml:space="preserve">”) to provide a forum for communication between the Parties and to oversee the relationship between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JSC shall have no authority to amend this Agreement. The JSC is formed to aid in the exchange of information and discussions by the Parties [***]. The JSC shall disband upon the later of</w:t>
      </w:r>
    </w:p>
    <w:p>
      <w:pPr>
        <w:ind w:left="220" w:hanging="214"/>
        <w:spacing w:after="0"/>
        <w:tabs>
          <w:tab w:leader="none" w:pos="220"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and (ii)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upon BioNTech’s written request, the term of the JSC shall continue for [***] beyond such period.</w:t>
      </w:r>
    </w:p>
    <w:p>
      <w:pPr>
        <w:spacing w:after="0" w:line="145" w:lineRule="exact"/>
        <w:rPr>
          <w:rFonts w:ascii="Times New Roman" w:cs="Times New Roman" w:eastAsia="Times New Roman" w:hAnsi="Times New Roman"/>
          <w:sz w:val="18"/>
          <w:szCs w:val="18"/>
          <w:color w:val="auto"/>
        </w:rPr>
      </w:pPr>
    </w:p>
    <w:p>
      <w:pPr>
        <w:jc w:val="both"/>
        <w:ind w:firstLine="1158"/>
        <w:spacing w:after="0" w:line="221" w:lineRule="auto"/>
        <w:tabs>
          <w:tab w:leader="none" w:pos="1717" w:val="left"/>
        </w:tabs>
        <w:numPr>
          <w:ilvl w:val="1"/>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be comprised of an equal number of representatives from each of Autolus and BioNTech. The exact number of such representatives shall be [***] for each Party, or such other number as the Parties may agree. Autolus and BioNTech shall each designate one of its JSC members as co-chairperson of the JSC. Each Party may replace any or all of its representatives or appoint a proxy at any time by giving prior written notification to the other Party. Each Party may, in its reasonable discretion, invite other employees and agents of such Party who are under written obligations of confidentiality to attend meetings of the JSC.</w:t>
      </w:r>
    </w:p>
    <w:p>
      <w:pPr>
        <w:spacing w:after="0" w:line="139" w:lineRule="exact"/>
        <w:rPr>
          <w:rFonts w:ascii="Times New Roman" w:cs="Times New Roman" w:eastAsia="Times New Roman" w:hAnsi="Times New Roman"/>
          <w:sz w:val="18"/>
          <w:szCs w:val="18"/>
          <w:color w:val="auto"/>
        </w:rPr>
      </w:pPr>
    </w:p>
    <w:p>
      <w:pPr>
        <w:jc w:val="both"/>
        <w:ind w:firstLine="1158"/>
        <w:spacing w:after="0" w:line="219" w:lineRule="auto"/>
        <w:tabs>
          <w:tab w:leader="none" w:pos="1729" w:val="left"/>
        </w:tabs>
        <w:numPr>
          <w:ilvl w:val="1"/>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 until [***], the JSC will hold meetings on a [***] basis, and thereafter shall hold meetings [***], in each case unless otherwise agreed by the Parties. All meetings will be held by videoconference, telephone, web conference, or face to face, unless otherwise agreed by the JSC. The co-chairpersons of the JSC will set the agenda for meetings of the JSC. The co-chairpersons will issue minutes of each meeting of the JSC [***] following each meeting. The minutes will be considered as accepted if, within [***] following receipt, no one has objected in writing (including by electronic mail) to the co-chairpersons disputing the accuracy of such minutes. The minutes of each JSC meeting are the Confidential Information of both Parties.</w:t>
      </w:r>
    </w:p>
    <w:p>
      <w:pPr>
        <w:spacing w:after="0" w:line="139"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1"/>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will:</w:t>
      </w:r>
    </w:p>
    <w:p>
      <w:pPr>
        <w:spacing w:after="0" w:line="165" w:lineRule="exact"/>
        <w:rPr>
          <w:rFonts w:ascii="Times New Roman" w:cs="Times New Roman" w:eastAsia="Times New Roman" w:hAnsi="Times New Roman"/>
          <w:sz w:val="18"/>
          <w:szCs w:val="18"/>
          <w:color w:val="auto"/>
        </w:rPr>
      </w:pPr>
    </w:p>
    <w:p>
      <w:pPr>
        <w:ind w:right="40" w:firstLine="1735"/>
        <w:spacing w:after="0"/>
        <w:tabs>
          <w:tab w:leader="none" w:pos="2305" w:val="left"/>
        </w:tabs>
        <w:numPr>
          <w:ilvl w:val="2"/>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Autolus’s [***] updates provided under Section 4.2(a), any Data Package provided under Section 4.2(b), and any commencement by Autolus of Development activities on any Next Gen Product notified under Section 4.2(c);</w:t>
      </w:r>
    </w:p>
    <w:p>
      <w:pPr>
        <w:spacing w:after="0" w:line="138" w:lineRule="exact"/>
        <w:rPr>
          <w:rFonts w:ascii="Times New Roman" w:cs="Times New Roman" w:eastAsia="Times New Roman" w:hAnsi="Times New Roman"/>
          <w:sz w:val="18"/>
          <w:szCs w:val="18"/>
          <w:color w:val="auto"/>
        </w:rPr>
      </w:pPr>
    </w:p>
    <w:p>
      <w:pPr>
        <w:jc w:val="both"/>
        <w:ind w:right="20" w:firstLine="1735"/>
        <w:spacing w:after="0" w:line="229" w:lineRule="auto"/>
        <w:tabs>
          <w:tab w:leader="none" w:pos="2305" w:val="left"/>
        </w:tabs>
        <w:numPr>
          <w:ilvl w:val="2"/>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any Development Plan Trigger Notice or Next Gen Development Plan Trigger Notice, review and discuss the Option Product Development Plan or Next Gen Development Plan (as applicable), in accordance with Section 4.3 and Section 4.8(c) respectively;</w:t>
      </w:r>
    </w:p>
    <w:p>
      <w:pPr>
        <w:spacing w:after="0" w:line="139"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2"/>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 updates provided by BioNTech pursuant to Section 6.2(d);</w:t>
      </w:r>
    </w:p>
    <w:p>
      <w:pPr>
        <w:spacing w:after="0" w:line="158"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2"/>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report regarding the Obe-cel Product set forth in Section 7.1, and any updates to such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18</w:t>
      </w:r>
    </w:p>
    <w:p>
      <w:pPr>
        <w:sectPr>
          <w:pgSz w:w="11900" w:h="16840" w:orient="portrait"/>
          <w:cols w:equalWidth="0" w:num="1">
            <w:col w:w="10580"/>
          </w:cols>
          <w:pgMar w:left="660" w:top="1440" w:right="660" w:bottom="1440" w:gutter="0" w:footer="0" w:header="0"/>
        </w:sectPr>
      </w:pPr>
    </w:p>
    <w:bookmarkStart w:id="926" w:name="page927"/>
    <w:bookmarkEnd w:id="926"/>
    <w:p>
      <w:pPr>
        <w:spacing w:after="0" w:line="258" w:lineRule="exact"/>
        <w:rPr>
          <w:sz w:val="20"/>
          <w:szCs w:val="20"/>
          <w:color w:val="auto"/>
        </w:rPr>
      </w:pPr>
    </w:p>
    <w:p>
      <w:pPr>
        <w:ind w:left="2300" w:hanging="565"/>
        <w:spacing w:after="0"/>
        <w:tabs>
          <w:tab w:leader="none" w:pos="2300"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 updates on Development of Obe-cel Product with respect to Indications other than [***];</w:t>
      </w:r>
    </w:p>
    <w:p>
      <w:pPr>
        <w:spacing w:after="0" w:line="165"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 including Autolus’s [***] updates provided under Section 8.2;</w:t>
      </w:r>
    </w:p>
    <w:p>
      <w:pPr>
        <w:spacing w:after="0" w:line="165"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any [***] under Section 3.1(b), and oversee [***] pursuant to Section 3.1(b);</w:t>
      </w:r>
    </w:p>
    <w:p>
      <w:pPr>
        <w:spacing w:after="0" w:line="165"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each report provided by BioNTech under Section 5.11;</w:t>
      </w:r>
    </w:p>
    <w:p>
      <w:pPr>
        <w:spacing w:after="0" w:line="165"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t>
      </w:r>
    </w:p>
    <w:p>
      <w:pPr>
        <w:spacing w:after="0" w:line="165" w:lineRule="exact"/>
        <w:rPr>
          <w:rFonts w:ascii="Times New Roman" w:cs="Times New Roman" w:eastAsia="Times New Roman" w:hAnsi="Times New Roman"/>
          <w:sz w:val="18"/>
          <w:szCs w:val="18"/>
          <w:color w:val="auto"/>
        </w:rPr>
      </w:pPr>
    </w:p>
    <w:p>
      <w:pPr>
        <w:ind w:right="20" w:firstLine="1735"/>
        <w:spacing w:after="0"/>
        <w:tabs>
          <w:tab w:leader="none" w:pos="2293" w:val="left"/>
        </w:tabs>
        <w:numPr>
          <w:ilvl w:val="1"/>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responsibilities specifically assigned to the JSC pursuant to this Agreement or as may be mutually agreed upon by the Parties in writing from time to time.</w:t>
      </w:r>
    </w:p>
    <w:p>
      <w:pPr>
        <w:spacing w:after="0" w:line="138"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29"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obligation on Autolus to provide any of the information referenced for review and discussion at the JSC on particular timelines elsewhere in this Agreement, Autolus shall ensure that such information for discussion and review will be made available to BioNTech in writing reasonably in advance of each JSC meeting.</w:t>
      </w:r>
    </w:p>
    <w:p>
      <w:pPr>
        <w:spacing w:after="0" w:line="139"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w:t>
      </w:r>
    </w:p>
    <w:p>
      <w:pPr>
        <w:spacing w:after="0" w:line="161" w:lineRule="exact"/>
        <w:rPr>
          <w:sz w:val="20"/>
          <w:szCs w:val="20"/>
          <w:color w:val="auto"/>
        </w:rPr>
      </w:pPr>
    </w:p>
    <w:p>
      <w:pPr>
        <w:jc w:val="both"/>
        <w:ind w:right="20" w:firstLine="864"/>
        <w:spacing w:after="0" w:line="220" w:lineRule="auto"/>
        <w:rPr>
          <w:sz w:val="20"/>
          <w:szCs w:val="20"/>
          <w:color w:val="auto"/>
        </w:rPr>
      </w:pPr>
      <w:r>
        <w:rPr>
          <w:rFonts w:ascii="Times New Roman" w:cs="Times New Roman" w:eastAsia="Times New Roman" w:hAnsi="Times New Roman"/>
          <w:sz w:val="18"/>
          <w:szCs w:val="18"/>
          <w:color w:val="auto"/>
        </w:rPr>
        <w:t xml:space="preserve">2 . 3 </w:t>
      </w:r>
      <w:r>
        <w:rPr>
          <w:rFonts w:ascii="Times New Roman" w:cs="Times New Roman" w:eastAsia="Times New Roman" w:hAnsi="Times New Roman"/>
          <w:sz w:val="18"/>
          <w:szCs w:val="18"/>
          <w:b w:val="1"/>
          <w:bCs w:val="1"/>
          <w:color w:val="auto"/>
        </w:rPr>
        <w:t>Alliance Managers</w:t>
      </w:r>
      <w:r>
        <w:rPr>
          <w:rFonts w:ascii="Times New Roman" w:cs="Times New Roman" w:eastAsia="Times New Roman" w:hAnsi="Times New Roman"/>
          <w:sz w:val="18"/>
          <w:szCs w:val="18"/>
          <w:color w:val="auto"/>
        </w:rPr>
        <w:t>. Within [***], each Party shall appoint an individual (who is not a member of the JSC) who possesses a general understanding of this Agreement to act as the alliance manager for such Party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Each Alliance Manager may attend meetings of the JSC as a nonvoting observer and the Alliance Managers may bring to the attention of the JSC any matters or issues such Alliance Manager reasonably believes should be discussed. The Alliance Managers will be a key point of contact for the Parties regarding the contractual and business aspects of the collaboration during the Term. Each Party may replace its Alliance Manager at any time by giving prior written notification to the other Party.</w:t>
      </w:r>
    </w:p>
    <w:p>
      <w:pPr>
        <w:spacing w:after="0" w:line="134" w:lineRule="exact"/>
        <w:rPr>
          <w:sz w:val="20"/>
          <w:szCs w:val="20"/>
          <w:color w:val="auto"/>
        </w:rPr>
      </w:pPr>
    </w:p>
    <w:p>
      <w:pPr>
        <w:jc w:val="both"/>
        <w:ind w:firstLine="864"/>
        <w:spacing w:after="0" w:line="23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Subcommittees</w:t>
      </w:r>
      <w:r>
        <w:rPr>
          <w:rFonts w:ascii="Times New Roman" w:cs="Times New Roman" w:eastAsia="Times New Roman" w:hAnsi="Times New Roman"/>
          <w:sz w:val="18"/>
          <w:szCs w:val="18"/>
          <w:color w:val="auto"/>
        </w:rPr>
        <w:t xml:space="preserve">. The JSC may establish one or more subcommittees of the JSC (each a “ </w:t>
      </w:r>
      <w:r>
        <w:rPr>
          <w:rFonts w:ascii="Times New Roman" w:cs="Times New Roman" w:eastAsia="Times New Roman" w:hAnsi="Times New Roman"/>
          <w:sz w:val="18"/>
          <w:szCs w:val="18"/>
          <w:b w:val="1"/>
          <w:bCs w:val="1"/>
          <w:color w:val="auto"/>
        </w:rPr>
        <w:t>Subcommittee</w:t>
      </w:r>
      <w:r>
        <w:rPr>
          <w:rFonts w:ascii="Times New Roman" w:cs="Times New Roman" w:eastAsia="Times New Roman" w:hAnsi="Times New Roman"/>
          <w:sz w:val="18"/>
          <w:szCs w:val="18"/>
          <w:color w:val="auto"/>
        </w:rPr>
        <w:t xml:space="preserve">”). Each Subcommittee shall be established on mutually agreed terms, and have agreed specific responsibilities,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Subcommittee shall have the authority to amend this Agreement or any other agreement.</w:t>
      </w:r>
    </w:p>
    <w:p>
      <w:pPr>
        <w:spacing w:after="0" w:line="135" w:lineRule="exact"/>
        <w:rPr>
          <w:sz w:val="20"/>
          <w:szCs w:val="20"/>
          <w:color w:val="auto"/>
        </w:rPr>
      </w:pPr>
    </w:p>
    <w:p>
      <w:pPr>
        <w:ind w:left="580" w:hanging="574"/>
        <w:spacing w:after="0"/>
        <w:tabs>
          <w:tab w:leader="none" w:pos="580" w:val="left"/>
        </w:tabs>
        <w:numPr>
          <w:ilvl w:val="0"/>
          <w:numId w:val="9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6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Manufacturing and Commercial Services Agreement</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right="20" w:firstLine="1158"/>
        <w:spacing w:after="0" w:line="219" w:lineRule="auto"/>
        <w:tabs>
          <w:tab w:leader="none" w:pos="1729" w:val="left"/>
        </w:tabs>
        <w:numPr>
          <w:ilvl w:val="1"/>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Effective Date and ending on the eighteen (18) month anniversary of the Effective Date (“</w:t>
      </w:r>
      <w:r>
        <w:rPr>
          <w:rFonts w:ascii="Times New Roman" w:cs="Times New Roman" w:eastAsia="Times New Roman" w:hAnsi="Times New Roman"/>
          <w:sz w:val="18"/>
          <w:szCs w:val="18"/>
          <w:b w:val="1"/>
          <w:bCs w:val="1"/>
          <w:color w:val="auto"/>
        </w:rPr>
        <w:t>MCSA Negotiation Period</w:t>
      </w:r>
      <w:r>
        <w:rPr>
          <w:rFonts w:ascii="Times New Roman" w:cs="Times New Roman" w:eastAsia="Times New Roman" w:hAnsi="Times New Roman"/>
          <w:sz w:val="18"/>
          <w:szCs w:val="18"/>
          <w:color w:val="auto"/>
        </w:rPr>
        <w:t>”), the Parties shall [***] negotiate the terms of and execute a joint manufacturing and commercial services agreement (“</w:t>
      </w:r>
      <w:r>
        <w:rPr>
          <w:rFonts w:ascii="Times New Roman" w:cs="Times New Roman" w:eastAsia="Times New Roman" w:hAnsi="Times New Roman"/>
          <w:sz w:val="18"/>
          <w:szCs w:val="18"/>
          <w:b w:val="1"/>
          <w:bCs w:val="1"/>
          <w:color w:val="auto"/>
        </w:rPr>
        <w:t>MCSA</w:t>
      </w:r>
      <w:r>
        <w:rPr>
          <w:rFonts w:ascii="Times New Roman" w:cs="Times New Roman" w:eastAsia="Times New Roman" w:hAnsi="Times New Roman"/>
          <w:sz w:val="18"/>
          <w:szCs w:val="18"/>
          <w:color w:val="auto"/>
        </w:rPr>
        <w:t xml:space="preserve">”) pursuant to which (i) Autolus may obtain access to BioNTech’s manufacturing and commercial site services capabilities for Autolus’s CAR-T products, and (ii) BioNTech may obtain access to Autolus’s manufacturing and commercial site services capabilities for BioNTech’s CAR-T products, including the product known as BNT211 (“ </w:t>
      </w:r>
      <w:r>
        <w:rPr>
          <w:rFonts w:ascii="Times New Roman" w:cs="Times New Roman" w:eastAsia="Times New Roman" w:hAnsi="Times New Roman"/>
          <w:sz w:val="18"/>
          <w:szCs w:val="18"/>
          <w:b w:val="1"/>
          <w:bCs w:val="1"/>
          <w:color w:val="auto"/>
        </w:rPr>
        <w:t>BNT211</w:t>
      </w:r>
      <w:r>
        <w:rPr>
          <w:rFonts w:ascii="Times New Roman" w:cs="Times New Roman" w:eastAsia="Times New Roman" w:hAnsi="Times New Roman"/>
          <w:sz w:val="18"/>
          <w:szCs w:val="18"/>
          <w:color w:val="auto"/>
        </w:rPr>
        <w:t xml:space="preserve">”), including, in each case, [***]. The MCSA will reflect the terms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jc w:val="both"/>
        <w:ind w:right="40" w:firstLine="1158"/>
        <w:spacing w:after="0" w:line="214" w:lineRule="auto"/>
        <w:tabs>
          <w:tab w:leader="none" w:pos="1717" w:val="left"/>
        </w:tabs>
        <w:numPr>
          <w:ilvl w:val="1"/>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MCSA Negotiation Period, Autolus (1) shall provide updates to the JSC on the progress of its Manufacturing facilities to allow BioNTech to monitor the progress of such facilities and (2) [***]. For the avoidance of doubt, subject to Autolus reserving the requisite capacity for BioNTech, (i) this Section 3.1(b) does not prevent, inhibit or otherwise affect Autolus’s ability to Manufacture any product that has been Developed by Autolus or its Affiliates (including Obe-cel Product), whether for sale by itself or any Third Party, (ii) [***], and</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after [***], the Parties shall [***], which shall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19</w:t>
      </w:r>
    </w:p>
    <w:p>
      <w:pPr>
        <w:sectPr>
          <w:pgSz w:w="11900" w:h="16840" w:orient="portrait"/>
          <w:cols w:equalWidth="0" w:num="1">
            <w:col w:w="10580"/>
          </w:cols>
          <w:pgMar w:left="660" w:top="1440" w:right="660" w:bottom="1440" w:gutter="0" w:footer="0" w:header="0"/>
        </w:sectPr>
      </w:pPr>
    </w:p>
    <w:bookmarkStart w:id="927" w:name="page928"/>
    <w:bookmarkEnd w:id="927"/>
    <w:p>
      <w:pPr>
        <w:spacing w:after="0" w:line="258" w:lineRule="exact"/>
        <w:rPr>
          <w:sz w:val="20"/>
          <w:szCs w:val="20"/>
          <w:color w:val="auto"/>
        </w:rPr>
      </w:pPr>
    </w:p>
    <w:p>
      <w:pPr>
        <w:jc w:val="both"/>
        <w:ind w:right="20" w:firstLine="1158"/>
        <w:spacing w:after="0" w:line="217" w:lineRule="auto"/>
        <w:tabs>
          <w:tab w:leader="none" w:pos="1729"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will [***] ensure that its manufacturing facility is ready and available to manufacture BNT211 by [***] such that the batches produced at Autolus’s manufacturing facility can be [***], subject to (i) Section 3.1(d), (ii) BioNTech fulfilling its obligations in [***], and (iii) BioNTech [***]. If a Party’s performance of its obligations under [***] is adversely affected in a material manner by the other Party’s failure to perform its obligations under this Agreement, then the impact of such performance failure will be taken into account in determining whether such first Party has used the required efforts to perform any such affected obligations, but only to the extent such other Party’s performance failure is the cause of such first Party’s failure to meet such obligations and such first Party continues to use the required efforts to reduce the impact of the other Party’s performance failure.</w:t>
      </w:r>
    </w:p>
    <w:p>
      <w:pPr>
        <w:spacing w:after="0" w:line="142"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MCSA is not entered into within [***] following [***], then the timeline of [***] in Section 3.1(c) shall be [***].</w:t>
      </w:r>
    </w:p>
    <w:p>
      <w:pPr>
        <w:spacing w:after="0" w:line="165" w:lineRule="exact"/>
        <w:rPr>
          <w:rFonts w:ascii="Times New Roman" w:cs="Times New Roman" w:eastAsia="Times New Roman" w:hAnsi="Times New Roman"/>
          <w:sz w:val="18"/>
          <w:szCs w:val="18"/>
          <w:color w:val="auto"/>
        </w:rPr>
      </w:pPr>
    </w:p>
    <w:p>
      <w:pPr>
        <w:jc w:val="both"/>
        <w:ind w:right="20" w:firstLine="1158"/>
        <w:spacing w:after="0" w:line="216" w:lineRule="auto"/>
        <w:tabs>
          <w:tab w:leader="none" w:pos="1729"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expiry of the MCSA Negotiation Period, the Parties are unable to agree the terms of the MCSA, BioNTech may, in its sole discretion, refer the terms of the MCSA for resolution using Baseball Arbitration, which referral must occur within [***] of expiry of the MCSA Negotiation Period. If (i) BioNTech does not refer the terms of the MCSA for resolution using Baseball Arbitration within [***] of expiry of the MCSA Negotiation Period, or (ii), BioNTech chooses not to enter into the MCSA within [***] after the arbitrator has given a final decision in Baseball Arbitration then, without any further action required on the part of either Party, the obligations set out in Section 3.1(a), Section 3.1(b) and Section 3.1(c) shall expire and, if an MCSA has not been entered into by such date, then there shall be no further obligation to continue negotiations on either Party and Autolus, at its sole discretion, may enter into an agreement with a Third Party pursuant to which Autolus would Manufacture a Third Party’s CAR-T Cell Therapy.</w:t>
      </w:r>
    </w:p>
    <w:p>
      <w:pPr>
        <w:spacing w:after="0" w:line="138" w:lineRule="exact"/>
        <w:rPr>
          <w:sz w:val="20"/>
          <w:szCs w:val="20"/>
          <w:color w:val="auto"/>
        </w:rPr>
      </w:pPr>
    </w:p>
    <w:p>
      <w:pPr>
        <w:jc w:val="both"/>
        <w:ind w:firstLine="864"/>
        <w:spacing w:after="0" w:line="225" w:lineRule="auto"/>
        <w:rPr>
          <w:sz w:val="20"/>
          <w:szCs w:val="20"/>
          <w:color w:val="auto"/>
        </w:rPr>
      </w:pPr>
      <w:r>
        <w:rPr>
          <w:rFonts w:ascii="Times New Roman" w:cs="Times New Roman" w:eastAsia="Times New Roman" w:hAnsi="Times New Roman"/>
          <w:sz w:val="18"/>
          <w:szCs w:val="18"/>
          <w:color w:val="auto"/>
        </w:rPr>
        <w:t xml:space="preserve">3 . 2 </w:t>
      </w:r>
      <w:r>
        <w:rPr>
          <w:rFonts w:ascii="Times New Roman" w:cs="Times New Roman" w:eastAsia="Times New Roman" w:hAnsi="Times New Roman"/>
          <w:sz w:val="18"/>
          <w:szCs w:val="18"/>
          <w:b w:val="1"/>
          <w:bCs w:val="1"/>
          <w:color w:val="auto"/>
        </w:rPr>
        <w:t>Research and Development Collaboration Agreement</w:t>
      </w:r>
      <w:r>
        <w:rPr>
          <w:rFonts w:ascii="Times New Roman" w:cs="Times New Roman" w:eastAsia="Times New Roman" w:hAnsi="Times New Roman"/>
          <w:sz w:val="18"/>
          <w:szCs w:val="18"/>
          <w:color w:val="auto"/>
        </w:rPr>
        <w:t xml:space="preserve"> . During [***], the Parties shall discuss [***] the terms, including financial terms, of a research and development collaboration agreement regarding products that utilize the expertise of both Parties (“ </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Development Collaboration Agreement</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neither Party is required to enter into such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Agreement, and the obligation to discuss shall expire at the end of such [***] period.</w:t>
      </w:r>
    </w:p>
    <w:p>
      <w:pPr>
        <w:spacing w:after="0" w:line="136" w:lineRule="exact"/>
        <w:rPr>
          <w:sz w:val="20"/>
          <w:szCs w:val="20"/>
          <w:color w:val="auto"/>
        </w:rPr>
      </w:pPr>
    </w:p>
    <w:p>
      <w:pPr>
        <w:ind w:left="580" w:hanging="574"/>
        <w:spacing w:after="0"/>
        <w:tabs>
          <w:tab w:leader="none" w:pos="580" w:val="left"/>
        </w:tabs>
        <w:numPr>
          <w:ilvl w:val="0"/>
          <w:numId w:val="9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Options</w:t>
      </w:r>
    </w:p>
    <w:p>
      <w:pPr>
        <w:spacing w:after="0" w:line="165" w:lineRule="exact"/>
        <w:rPr>
          <w:sz w:val="20"/>
          <w:szCs w:val="20"/>
          <w:color w:val="auto"/>
        </w:rPr>
      </w:pPr>
    </w:p>
    <w:p>
      <w:pPr>
        <w:jc w:val="both"/>
        <w:ind w:firstLine="864"/>
        <w:spacing w:after="0" w:line="225" w:lineRule="auto"/>
        <w:rPr>
          <w:sz w:val="20"/>
          <w:szCs w:val="20"/>
          <w:color w:val="auto"/>
        </w:rPr>
      </w:pPr>
      <w:r>
        <w:rPr>
          <w:rFonts w:ascii="Times New Roman" w:cs="Times New Roman" w:eastAsia="Times New Roman" w:hAnsi="Times New Roman"/>
          <w:sz w:val="18"/>
          <w:szCs w:val="18"/>
          <w:color w:val="auto"/>
        </w:rPr>
        <w:t xml:space="preserve">4 . 1 </w:t>
      </w:r>
      <w:r>
        <w:rPr>
          <w:rFonts w:ascii="Times New Roman" w:cs="Times New Roman" w:eastAsia="Times New Roman" w:hAnsi="Times New Roman"/>
          <w:sz w:val="18"/>
          <w:szCs w:val="18"/>
          <w:b w:val="1"/>
          <w:bCs w:val="1"/>
          <w:color w:val="auto"/>
        </w:rPr>
        <w:t>Product Options</w:t>
      </w:r>
      <w:r>
        <w:rPr>
          <w:rFonts w:ascii="Times New Roman" w:cs="Times New Roman" w:eastAsia="Times New Roman" w:hAnsi="Times New Roman"/>
          <w:sz w:val="18"/>
          <w:szCs w:val="18"/>
          <w:color w:val="auto"/>
        </w:rPr>
        <w:t xml:space="preserve">. With effect from the Effective Date, Autolus hereby grants to BioNTech, on an Option Product- by-Option Product basis, the exclusive option to obtain the exclusive right to co-fund certain development costs in respect of the relevant Option Product in return for a [***] profit sharing arrangement, and to obtain the exclusive option to co-promote and co-commercialize the Option Product, in each case, for all oncology Indications and subject to and as further set out in this Article 4 and </w:t>
      </w:r>
      <w:r>
        <w:rPr>
          <w:rFonts w:ascii="Times New Roman" w:cs="Times New Roman" w:eastAsia="Times New Roman" w:hAnsi="Times New Roman"/>
          <w:sz w:val="18"/>
          <w:szCs w:val="18"/>
          <w:u w:val="single" w:color="auto"/>
          <w:color w:val="auto"/>
        </w:rPr>
        <w:t>Schedule 4.4(a)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Product Option</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Provision of Data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158"/>
        <w:spacing w:after="0" w:line="214" w:lineRule="auto"/>
        <w:tabs>
          <w:tab w:leader="none" w:pos="1729"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shall, within [***], deliver to BioNTech, all information and data received or otherwise Controlled by Autolus in relation to the Development of the Option Products, [***], in the formats such information and data are held by Autolus [***]. During the applicable Product Option Period, Autolus shall provide additional data received by or otherwise Controlled by Autolus in relation to the Development of the Option Products to BioNTech [***] following such data becoming available to Autolus. Autolus will provide the JSC with updates on the progress of the Sponsor’s activities in relation to such Option Product or Next Gen Product, as applicable, every [***] during the applicable (i) Product Option Period for each Option Product, and, (ii) Next Gen Product Option Period for each Next Gen Product. Autolus will also provide the JSC with updates on the progress of the Development of each Option Product and Next Gen Product [***] from [***] until the end of the Product Option Period for the applicable Option Product and from [***] until the end of the Next Gen Product Option Period for the applicable Next Gen Product. Autolus shall, during the applicable Product Negotiation Period on an Option Product-by-Option Product basis and, during the applicable Next Gen Product Negotiation Period on a Next Gen Product-by-Next Gen Product basis, on BioNTech’s request, request from the Sponsor any additional relevant data that the Sponsor has in relation to the Option Products or Next Gen Products, as applicable, which has not been provided to Autolus. On BioNTech’s request during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w:t>
      </w:r>
    </w:p>
    <w:p>
      <w:pPr>
        <w:sectPr>
          <w:pgSz w:w="11900" w:h="16840" w:orient="portrait"/>
          <w:cols w:equalWidth="0" w:num="1">
            <w:col w:w="10580"/>
          </w:cols>
          <w:pgMar w:left="660" w:top="1440" w:right="660" w:bottom="1440" w:gutter="0" w:footer="0" w:header="0"/>
        </w:sectPr>
      </w:pPr>
    </w:p>
    <w:bookmarkStart w:id="928" w:name="page929"/>
    <w:bookmarkEnd w:id="928"/>
    <w:p>
      <w:pPr>
        <w:spacing w:after="0" w:line="258"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Product Negotiation Period or Next Gen Product Negotiation Period, Autolus will [***] facilitate access for BioNTech to the Sponsor’s principal investigators working on the Development of the applicable Option Products and Next Gen Products. Autolus will [***] provide BioNTech with</w:t>
      </w:r>
    </w:p>
    <w:p>
      <w:pPr>
        <w:spacing w:after="0" w:line="1" w:lineRule="exact"/>
        <w:rPr>
          <w:sz w:val="20"/>
          <w:szCs w:val="20"/>
          <w:color w:val="auto"/>
        </w:rPr>
      </w:pPr>
    </w:p>
    <w:p>
      <w:pPr>
        <w:jc w:val="both"/>
        <w:ind w:right="20" w:firstLine="6"/>
        <w:spacing w:after="0" w:line="213" w:lineRule="auto"/>
        <w:tabs>
          <w:tab w:leader="none" w:pos="440" w:val="left"/>
        </w:tabs>
        <w:numPr>
          <w:ilvl w:val="0"/>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of AUTO6NG Product during the applicable Product Option Period and any applicable ROFN Period, and (2) of any Next Gen Product during the applicable Next Gen Product Option Period. To the extent that any data to be provided under this Section 4.2(a), Section 4.2(b) or Section 4.7(b) constitutes Personal Data, Autolus shall only be obliged to deliver such Personal Data to BioNTech to the extent to which it can be delivered in compliance with Applicable Data Protection Law. If the current formats are not compatible with the transfer of such information and data to BioNTech in compliance with Applicable Data Protection Law, then Autolus shall [***] (A) to obtain such information and data in an anonymized or other format that (x) can be transferred to BioNTech and (y) results in the applicable information and data no longer constituting Personal Data under Applicable Data Protection Law, or (B) to facilitate an appropriate data transfer agreement under which such data can be provided to BioNTech in compliance with Applicable Data Protection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42"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17" w:val="left"/>
        </w:tabs>
        <w:numPr>
          <w:ilvl w:val="1"/>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shall deliver to BioNTech the applicable Data Package: (i) within [***] after [***], with respect to the AUTO1/22 Product, (ii) [***], with respect to the AUTO6NG Product, or (iii) during the applicable Next Gen Product Option Period, [***]. Autolus shall provide reasonable assistance to BioNTech in analyzing each Data Package, at BioNTech’s written request and [***].</w:t>
      </w:r>
    </w:p>
    <w:p>
      <w:pPr>
        <w:spacing w:after="0" w:line="139" w:lineRule="exact"/>
        <w:rPr>
          <w:rFonts w:ascii="Times New Roman" w:cs="Times New Roman" w:eastAsia="Times New Roman" w:hAnsi="Times New Roman"/>
          <w:sz w:val="18"/>
          <w:szCs w:val="18"/>
          <w:color w:val="auto"/>
        </w:rPr>
      </w:pPr>
    </w:p>
    <w:p>
      <w:pPr>
        <w:ind w:right="20" w:firstLine="1158"/>
        <w:spacing w:after="0"/>
        <w:tabs>
          <w:tab w:leader="none" w:pos="1729" w:val="left"/>
        </w:tabs>
        <w:numPr>
          <w:ilvl w:val="1"/>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commences Development activities on any Next Gen Product during the Next Gen Product Option Period, it shall inform BioNTech [***].</w:t>
      </w:r>
    </w:p>
    <w:p>
      <w:pPr>
        <w:spacing w:after="0" w:line="134" w:lineRule="exact"/>
        <w:rPr>
          <w:sz w:val="20"/>
          <w:szCs w:val="20"/>
          <w:color w:val="auto"/>
        </w:rPr>
      </w:pPr>
    </w:p>
    <w:p>
      <w:pPr>
        <w:jc w:val="both"/>
        <w:ind w:firstLine="864"/>
        <w:spacing w:after="0" w:line="214" w:lineRule="auto"/>
        <w:rPr>
          <w:sz w:val="20"/>
          <w:szCs w:val="20"/>
          <w:color w:val="auto"/>
        </w:rPr>
      </w:pPr>
      <w:r>
        <w:rPr>
          <w:rFonts w:ascii="Times New Roman" w:cs="Times New Roman" w:eastAsia="Times New Roman" w:hAnsi="Times New Roman"/>
          <w:sz w:val="18"/>
          <w:szCs w:val="18"/>
          <w:color w:val="auto"/>
        </w:rPr>
        <w:t xml:space="preserve">4 . 3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On an Option Product-by-Option Product basis, at any time during the applicable Product Option Period after BioNTech has received the relevant Data Package pursuant to Section 4.2(b), BioNTech may notify Autolus in writing that it wishes to receive a Development plan for such Option Product (a “</w:t>
      </w:r>
      <w:r>
        <w:rPr>
          <w:rFonts w:ascii="Times New Roman" w:cs="Times New Roman" w:eastAsia="Times New Roman" w:hAnsi="Times New Roman"/>
          <w:sz w:val="18"/>
          <w:szCs w:val="18"/>
          <w:b w:val="1"/>
          <w:bCs w:val="1"/>
          <w:color w:val="auto"/>
        </w:rPr>
        <w:t>Development Plan Trigger Notice</w:t>
      </w:r>
      <w:r>
        <w:rPr>
          <w:rFonts w:ascii="Times New Roman" w:cs="Times New Roman" w:eastAsia="Times New Roman" w:hAnsi="Times New Roman"/>
          <w:sz w:val="18"/>
          <w:szCs w:val="18"/>
          <w:color w:val="auto"/>
        </w:rPr>
        <w:t xml:space="preserve"> ”). Within [***] after Autolus receives a Development Plan Trigger Notice, Autolus shall provide to BioNTech a reasonably detailed written Development plan and associated budget for the applicable Option Product (the “</w:t>
      </w:r>
      <w:r>
        <w:rPr>
          <w:rFonts w:ascii="Times New Roman" w:cs="Times New Roman" w:eastAsia="Times New Roman" w:hAnsi="Times New Roman"/>
          <w:sz w:val="18"/>
          <w:szCs w:val="18"/>
          <w:b w:val="1"/>
          <w:bCs w:val="1"/>
          <w:color w:val="auto"/>
        </w:rPr>
        <w:t>Option Product Development Plan</w:t>
      </w:r>
      <w:r>
        <w:rPr>
          <w:rFonts w:ascii="Times New Roman" w:cs="Times New Roman" w:eastAsia="Times New Roman" w:hAnsi="Times New Roman"/>
          <w:sz w:val="18"/>
          <w:szCs w:val="18"/>
          <w:color w:val="auto"/>
        </w:rPr>
        <w:t>”). The Option Product Development Plan would include [***]. Upon BioNTech’s request, the Parties, through the JSC, would discuss the Option Product Development Plan and associated budget and Autolus shall [***]. For clarity, [***]. If BioNTech provides a Development Plan Trigger Notice, and Autolus does not, at such time, intend to Develop further such Option Product, then Section 4.7 applies. For the period from provision of the Data Package until the earlier of: (i) the relevant Product Option Period expires without a Development Plan Trigger Notice being received by Autolus, (ii) [***] after BioNTech’s receipt of the applicable Option Product Development Plan, if no Negotiation Trigger Notice is received by Autolus, or (iii) expiry of the Product Negotiation Period and any period during which a Baseball Arbitration procedure is ongoing with respect to such Option Product, Autolus shall not grant a Third Party rights to Exploit the relevant Option Product without BioNTech’s prior written consent, [***].</w:t>
      </w:r>
    </w:p>
    <w:p>
      <w:pPr>
        <w:spacing w:after="0" w:line="13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Negotiation of Product Agreement</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right="20" w:firstLine="1158"/>
        <w:spacing w:after="0" w:line="218" w:lineRule="auto"/>
        <w:tabs>
          <w:tab w:leader="none" w:pos="1729" w:val="left"/>
        </w:tabs>
        <w:numPr>
          <w:ilvl w:val="1"/>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Negotiation Trigger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 after BioNTech’s receipt of the Option Product Development Plan, BioNTech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notify Autolus in writing that it wishes to enter into exclusive negotiations with Autolus to finalize the terms of and execute an agreement in respect of the Exploitation of a particular Option Product for the treatment of one or more oncology Indications, providing for co-funding and</w:t>
      </w:r>
    </w:p>
    <w:p>
      <w:pPr>
        <w:jc w:val="both"/>
        <w:ind w:right="20" w:firstLine="6"/>
        <w:spacing w:after="0" w:line="222" w:lineRule="auto"/>
        <w:tabs>
          <w:tab w:leader="none" w:pos="469"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share arrangements and an exclusive option for BioNTech to co-promote and co-commercialize (each a “</w:t>
      </w:r>
      <w:r>
        <w:rPr>
          <w:rFonts w:ascii="Times New Roman" w:cs="Times New Roman" w:eastAsia="Times New Roman" w:hAnsi="Times New Roman"/>
          <w:sz w:val="18"/>
          <w:szCs w:val="18"/>
          <w:b w:val="1"/>
          <w:bCs w:val="1"/>
          <w:color w:val="auto"/>
        </w:rPr>
        <w:t>Negotiation 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which agreement shall include the terms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Product Agreement</w:t>
      </w:r>
      <w:r>
        <w:rPr>
          <w:rFonts w:ascii="Times New Roman" w:cs="Times New Roman" w:eastAsia="Times New Roman" w:hAnsi="Times New Roman"/>
          <w:sz w:val="18"/>
          <w:szCs w:val="18"/>
          <w:color w:val="auto"/>
        </w:rPr>
        <w:t>”). The Option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would be included as an initial Development plan to the Product Agreement.</w:t>
      </w:r>
    </w:p>
    <w:p>
      <w:pPr>
        <w:spacing w:after="0" w:line="133" w:lineRule="exact"/>
        <w:rPr>
          <w:rFonts w:ascii="Times New Roman" w:cs="Times New Roman" w:eastAsia="Times New Roman" w:hAnsi="Times New Roman"/>
          <w:sz w:val="18"/>
          <w:szCs w:val="18"/>
          <w:color w:val="auto"/>
        </w:rPr>
      </w:pPr>
    </w:p>
    <w:p>
      <w:pPr>
        <w:jc w:val="both"/>
        <w:ind w:right="20" w:firstLine="1158"/>
        <w:spacing w:after="0" w:line="225" w:lineRule="auto"/>
        <w:tabs>
          <w:tab w:leader="none" w:pos="1717" w:val="left"/>
        </w:tabs>
        <w:numPr>
          <w:ilvl w:val="1"/>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Negotiation of Product Agreement </w:t>
      </w:r>
      <w:r>
        <w:rPr>
          <w:rFonts w:ascii="Times New Roman" w:cs="Times New Roman" w:eastAsia="Times New Roman" w:hAnsi="Times New Roman"/>
          <w:sz w:val="18"/>
          <w:szCs w:val="18"/>
          <w:color w:val="auto"/>
        </w:rPr>
        <w:t>. The Parties shall, on an Option Product-by-Option Product basis,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exclusively [***] for a period of [***] from the date of Autolus’s receipt of the Negotiation Trigger Notice (“ </w:t>
      </w:r>
      <w:r>
        <w:rPr>
          <w:rFonts w:ascii="Times New Roman" w:cs="Times New Roman" w:eastAsia="Times New Roman" w:hAnsi="Times New Roman"/>
          <w:sz w:val="18"/>
          <w:szCs w:val="18"/>
          <w:b w:val="1"/>
          <w:bCs w:val="1"/>
          <w:color w:val="auto"/>
        </w:rPr>
        <w:t>Product Negotiation Period</w:t>
      </w:r>
      <w:r>
        <w:rPr>
          <w:rFonts w:ascii="Times New Roman" w:cs="Times New Roman" w:eastAsia="Times New Roman" w:hAnsi="Times New Roman"/>
          <w:sz w:val="18"/>
          <w:szCs w:val="18"/>
          <w:color w:val="auto"/>
        </w:rPr>
        <w:t>”), to agree the definitive terms of the applicable Product Agreement. If the anticipated start date for the Development activities included in the Option Product Development Plan is more than [***] after BioNTech’s receipt of the Option Product Development Plan, the Parties would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21</w:t>
      </w:r>
    </w:p>
    <w:p>
      <w:pPr>
        <w:sectPr>
          <w:pgSz w:w="11900" w:h="16840" w:orient="portrait"/>
          <w:cols w:equalWidth="0" w:num="1">
            <w:col w:w="10580"/>
          </w:cols>
          <w:pgMar w:left="660" w:top="1440" w:right="660" w:bottom="1440" w:gutter="0" w:footer="0" w:header="0"/>
        </w:sectPr>
      </w:pPr>
    </w:p>
    <w:bookmarkStart w:id="929" w:name="page930"/>
    <w:bookmarkEnd w:id="929"/>
    <w:p>
      <w:pPr>
        <w:spacing w:after="0" w:line="254" w:lineRule="exact"/>
        <w:rPr>
          <w:sz w:val="20"/>
          <w:szCs w:val="20"/>
          <w:color w:val="auto"/>
        </w:rPr>
      </w:pPr>
    </w:p>
    <w:p>
      <w:pPr>
        <w:jc w:val="both"/>
        <w:ind w:right="20" w:firstLine="1158"/>
        <w:spacing w:after="0" w:line="231" w:lineRule="auto"/>
        <w:tabs>
          <w:tab w:leader="none" w:pos="1729"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Referral to Baseball Arbitration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upon expiry of the applicable Product Negotiation Period, the Parties are unable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the terms of such Product Agreement, BioNTech may, in its sole discretion, refer the terms of the Product Agreement ([***]) for resolution using Baseball Arbitration, which referral must occur within [***] of expiry of the applicable Product Negotiation Period.</w:t>
      </w:r>
    </w:p>
    <w:p>
      <w:pPr>
        <w:spacing w:after="0" w:line="13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b w:val="1"/>
          <w:bCs w:val="1"/>
          <w:color w:val="auto"/>
        </w:rPr>
        <w:t>Option Exercise.</w:t>
      </w:r>
    </w:p>
    <w:p>
      <w:pPr>
        <w:spacing w:after="0" w:line="165" w:lineRule="exact"/>
        <w:rPr>
          <w:sz w:val="20"/>
          <w:szCs w:val="20"/>
          <w:color w:val="auto"/>
        </w:rPr>
      </w:pPr>
    </w:p>
    <w:p>
      <w:pPr>
        <w:jc w:val="both"/>
        <w:ind w:right="20" w:firstLine="1158"/>
        <w:spacing w:after="0" w:line="238" w:lineRule="auto"/>
        <w:tabs>
          <w:tab w:leader="none" w:pos="1729" w:val="left"/>
        </w:tabs>
        <w:numPr>
          <w:ilvl w:val="0"/>
          <w:numId w:val="9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Option Exercise Notice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 after (i) the Parties have agreed on a Product Agreement for the applicable 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 or (ii) the arbitrator has given a final decision in Baseball Arbitration, as applicable, BioNTech may notify Autolus in writing that it wishes to execute the applicable Product Agreement (a “</w:t>
      </w:r>
      <w:r>
        <w:rPr>
          <w:rFonts w:ascii="Times New Roman" w:cs="Times New Roman" w:eastAsia="Times New Roman" w:hAnsi="Times New Roman"/>
          <w:sz w:val="17"/>
          <w:szCs w:val="17"/>
          <w:b w:val="1"/>
          <w:bCs w:val="1"/>
          <w:color w:val="auto"/>
        </w:rPr>
        <w:t>Product Option Exercise Notice</w:t>
      </w:r>
      <w:r>
        <w:rPr>
          <w:rFonts w:ascii="Times New Roman" w:cs="Times New Roman" w:eastAsia="Times New Roman" w:hAnsi="Times New Roman"/>
          <w:sz w:val="17"/>
          <w:szCs w:val="17"/>
          <w:color w:val="auto"/>
        </w:rPr>
        <w:t>”). If BioNTech provides such a Product Option Exercise Notice, then the Parties shall execute such Product Agreement within [***] after Autolus’s receipt of the Product Option Exercise Notice.</w:t>
      </w:r>
    </w:p>
    <w:p>
      <w:pPr>
        <w:spacing w:after="0" w:line="136" w:lineRule="exact"/>
        <w:rPr>
          <w:rFonts w:ascii="Times New Roman" w:cs="Times New Roman" w:eastAsia="Times New Roman" w:hAnsi="Times New Roman"/>
          <w:sz w:val="17"/>
          <w:szCs w:val="17"/>
          <w:color w:val="auto"/>
        </w:rPr>
      </w:pPr>
    </w:p>
    <w:p>
      <w:pPr>
        <w:ind w:firstLine="1158"/>
        <w:spacing w:after="0" w:line="245" w:lineRule="auto"/>
        <w:tabs>
          <w:tab w:leader="none" w:pos="1717"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Exercise Fee</w:t>
      </w:r>
      <w:r>
        <w:rPr>
          <w:rFonts w:ascii="Times New Roman" w:cs="Times New Roman" w:eastAsia="Times New Roman" w:hAnsi="Times New Roman"/>
          <w:sz w:val="18"/>
          <w:szCs w:val="18"/>
          <w:color w:val="auto"/>
        </w:rPr>
        <w:t>. BioNTech shall pay Autolus the applicable option exercise fee set forth below for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Agreement within [***] after the receipt of an invoice from Autolus following the execution of such Product Agreement:</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228"/>
        </w:trPr>
        <w:tc>
          <w:tcPr>
            <w:tcW w:w="2020" w:type="dxa"/>
            <w:vAlign w:val="bottom"/>
            <w:shd w:val="clear" w:color="auto" w:fill="DBE5F1"/>
          </w:tcPr>
          <w:p>
            <w:pPr>
              <w:ind w:left="520"/>
              <w:spacing w:after="0"/>
              <w:rPr>
                <w:sz w:val="20"/>
                <w:szCs w:val="20"/>
                <w:color w:val="auto"/>
              </w:rPr>
            </w:pPr>
            <w:r>
              <w:rPr>
                <w:rFonts w:ascii="Times New Roman" w:cs="Times New Roman" w:eastAsia="Times New Roman" w:hAnsi="Times New Roman"/>
                <w:sz w:val="18"/>
                <w:szCs w:val="18"/>
                <w:b w:val="1"/>
                <w:bCs w:val="1"/>
                <w:color w:val="auto"/>
              </w:rPr>
              <w:t>Option Product</w:t>
            </w:r>
          </w:p>
        </w:tc>
        <w:tc>
          <w:tcPr>
            <w:tcW w:w="2320" w:type="dxa"/>
            <w:vAlign w:val="bottom"/>
            <w:shd w:val="clear" w:color="auto" w:fill="DBE5F1"/>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 Exercise Fee</w:t>
            </w:r>
          </w:p>
        </w:tc>
      </w:tr>
      <w:tr>
        <w:trPr>
          <w:trHeight w:val="228"/>
        </w:trPr>
        <w:tc>
          <w:tcPr>
            <w:tcW w:w="20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AUTO1/22</w:t>
            </w:r>
          </w:p>
        </w:tc>
        <w:tc>
          <w:tcPr>
            <w:tcW w:w="2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AUTO6NG</w:t>
            </w:r>
          </w:p>
        </w:tc>
        <w:tc>
          <w:tcPr>
            <w:tcW w:w="2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5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Failure to Exercise Option or Rejection of Baseball Arbitration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1740" w:hanging="582"/>
        <w:spacing w:after="0"/>
        <w:tabs>
          <w:tab w:leader="none" w:pos="1740" w:val="left"/>
        </w:tabs>
        <w:numPr>
          <w:ilvl w:val="0"/>
          <w:numId w:val="9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58" w:lineRule="exact"/>
        <w:rPr>
          <w:sz w:val="20"/>
          <w:szCs w:val="20"/>
          <w:color w:val="auto"/>
        </w:rPr>
      </w:pPr>
    </w:p>
    <w:p>
      <w:pPr>
        <w:ind w:left="2880" w:hanging="569"/>
        <w:spacing w:after="0"/>
        <w:tabs>
          <w:tab w:leader="none" w:pos="2880" w:val="left"/>
        </w:tabs>
        <w:numPr>
          <w:ilvl w:val="0"/>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Development Plan Trigger Notice during the applicable Product Option Period,</w:t>
      </w:r>
    </w:p>
    <w:p>
      <w:pPr>
        <w:spacing w:after="0"/>
        <w:rPr>
          <w:sz w:val="20"/>
          <w:szCs w:val="20"/>
          <w:color w:val="auto"/>
        </w:rPr>
      </w:pPr>
      <w:r>
        <w:rPr>
          <w:rFonts w:ascii="Times New Roman" w:cs="Times New Roman" w:eastAsia="Times New Roman" w:hAnsi="Times New Roman"/>
          <w:sz w:val="18"/>
          <w:szCs w:val="18"/>
          <w:color w:val="auto"/>
        </w:rPr>
        <w:t>or</w:t>
      </w:r>
    </w:p>
    <w:p>
      <w:pPr>
        <w:spacing w:after="0" w:line="138" w:lineRule="exact"/>
        <w:rPr>
          <w:sz w:val="20"/>
          <w:szCs w:val="20"/>
          <w:color w:val="auto"/>
        </w:rPr>
      </w:pPr>
    </w:p>
    <w:p>
      <w:pPr>
        <w:ind w:left="2880" w:hanging="569"/>
        <w:spacing w:after="0"/>
        <w:tabs>
          <w:tab w:leader="none" w:pos="2880"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Negotiation Trigger Notice within [***] after BioNTech’s receipt of an Option</w:t>
      </w:r>
    </w:p>
    <w:p>
      <w:pPr>
        <w:spacing w:after="0"/>
        <w:rPr>
          <w:sz w:val="20"/>
          <w:szCs w:val="20"/>
          <w:color w:val="auto"/>
        </w:rPr>
      </w:pPr>
      <w:r>
        <w:rPr>
          <w:rFonts w:ascii="Times New Roman" w:cs="Times New Roman" w:eastAsia="Times New Roman" w:hAnsi="Times New Roman"/>
          <w:sz w:val="18"/>
          <w:szCs w:val="18"/>
          <w:color w:val="auto"/>
        </w:rPr>
        <w:t>Product Development Plan, or</w:t>
      </w:r>
    </w:p>
    <w:p>
      <w:pPr>
        <w:spacing w:after="0" w:line="145" w:lineRule="exact"/>
        <w:rPr>
          <w:sz w:val="20"/>
          <w:szCs w:val="20"/>
          <w:color w:val="auto"/>
        </w:rPr>
      </w:pPr>
    </w:p>
    <w:p>
      <w:pPr>
        <w:ind w:right="40" w:firstLine="2311"/>
        <w:spacing w:after="0"/>
        <w:tabs>
          <w:tab w:leader="none" w:pos="2881"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fail to enter into a Product Agreement during the applicable Product Negotiation Period and BioNTech does not refer such matter for resolution using Baseball Arbitration in the period described in Section 4.4(c), or</w:t>
      </w:r>
    </w:p>
    <w:p>
      <w:pPr>
        <w:spacing w:after="0" w:line="138" w:lineRule="exact"/>
        <w:rPr>
          <w:rFonts w:ascii="Times New Roman" w:cs="Times New Roman" w:eastAsia="Times New Roman" w:hAnsi="Times New Roman"/>
          <w:sz w:val="18"/>
          <w:szCs w:val="18"/>
          <w:color w:val="auto"/>
        </w:rPr>
      </w:pPr>
    </w:p>
    <w:p>
      <w:pPr>
        <w:ind w:right="40" w:firstLine="2311"/>
        <w:spacing w:after="0"/>
        <w:tabs>
          <w:tab w:leader="none" w:pos="2881"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Product Option Exercise Notice within [***] after the Parties have agreed on a Product Agreement for the applicable Option Product or the arbitrator has given a final decision in Baseball Arbitration, or</w:t>
      </w:r>
    </w:p>
    <w:p>
      <w:pPr>
        <w:spacing w:after="0" w:line="138" w:lineRule="exact"/>
        <w:rPr>
          <w:rFonts w:ascii="Times New Roman" w:cs="Times New Roman" w:eastAsia="Times New Roman" w:hAnsi="Times New Roman"/>
          <w:sz w:val="18"/>
          <w:szCs w:val="18"/>
          <w:color w:val="auto"/>
        </w:rPr>
      </w:pPr>
    </w:p>
    <w:p>
      <w:pPr>
        <w:ind w:right="60" w:firstLine="2311"/>
        <w:spacing w:after="0"/>
        <w:tabs>
          <w:tab w:leader="none" w:pos="2869"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chooses not to enter into the applicable Product Agreement within [***] after the Parties have agreed on a Product Agreement for the applicable Option Product or the arbitrator has given a final decision in Baseball Arbitration,</w:t>
      </w:r>
    </w:p>
    <w:p>
      <w:pPr>
        <w:spacing w:after="0" w:line="138"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8"/>
          <w:szCs w:val="18"/>
          <w:color w:val="auto"/>
        </w:rPr>
        <w:t>then in each case of (i) –(v), with effect from the date of expiry of such period, and without any further action required on the part of either Party, the applicable Product Option shall expire and then the terms of this Article 4 shall no longer apply to such Option Product and, without limiting the generality of the foregoing, Autolus may commence Development of such Option Product or enter into an agreement with a Third Party for such Option Product, on terms determined at Autolus’s sole discretion without further reference to BioNTech, save as provided in Section 4.6(b).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22</w:t>
      </w:r>
    </w:p>
    <w:p>
      <w:pPr>
        <w:sectPr>
          <w:pgSz w:w="11900" w:h="16840" w:orient="portrait"/>
          <w:cols w:equalWidth="0" w:num="1">
            <w:col w:w="10600"/>
          </w:cols>
          <w:pgMar w:left="660" w:top="1440" w:right="640" w:bottom="1440" w:gutter="0" w:footer="0" w:header="0"/>
        </w:sectPr>
      </w:pPr>
    </w:p>
    <w:bookmarkStart w:id="930" w:name="page931"/>
    <w:bookmarkEnd w:id="930"/>
    <w:p>
      <w:pPr>
        <w:spacing w:after="0" w:line="258" w:lineRule="exact"/>
        <w:rPr>
          <w:sz w:val="20"/>
          <w:szCs w:val="20"/>
          <w:color w:val="auto"/>
        </w:rPr>
      </w:pPr>
    </w:p>
    <w:p>
      <w:pPr>
        <w:jc w:val="both"/>
        <w:ind w:left="-6" w:right="60" w:firstLine="1158"/>
        <w:spacing w:after="0" w:line="214" w:lineRule="auto"/>
        <w:tabs>
          <w:tab w:leader="none" w:pos="1711" w:val="left"/>
        </w:tabs>
        <w:numPr>
          <w:ilvl w:val="1"/>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elects to commence Development of an Option Product in accordance with Section 4.6(a)(ii)–(v) where Autolus received a Development Plan Trigger Notice, but for which the Parties have not entered into a Product Agreement, (i) Autolus shall, on BioNTech’s written request during the [***] from the date of expiry of the applicable period in Section 4.6(a), provide BioNTech with a report on Autolus’s Development spend under the applicable Development Plan reconciled against the budget for the applicable Development Plan, and</w:t>
      </w:r>
    </w:p>
    <w:p>
      <w:pPr>
        <w:spacing w:after="0" w:line="1" w:lineRule="exact"/>
        <w:rPr>
          <w:rFonts w:ascii="Times New Roman" w:cs="Times New Roman" w:eastAsia="Times New Roman" w:hAnsi="Times New Roman"/>
          <w:sz w:val="18"/>
          <w:szCs w:val="18"/>
          <w:color w:val="auto"/>
        </w:rPr>
      </w:pPr>
    </w:p>
    <w:p>
      <w:pPr>
        <w:ind w:left="-6" w:firstLine="6"/>
        <w:spacing w:after="0" w:line="222" w:lineRule="auto"/>
        <w:tabs>
          <w:tab w:leader="none" w:pos="429"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Failure to Develop</w:t>
      </w:r>
      <w:r>
        <w:rPr>
          <w:rFonts w:ascii="Times New Roman" w:cs="Times New Roman" w:eastAsia="Times New Roman" w:hAnsi="Times New Roman"/>
          <w:sz w:val="18"/>
          <w:szCs w:val="18"/>
          <w:color w:val="auto"/>
        </w:rPr>
        <w:t>”), Autolus will notify BioNTech in writing (a “</w:t>
      </w:r>
      <w:r>
        <w:rPr>
          <w:rFonts w:ascii="Times New Roman" w:cs="Times New Roman" w:eastAsia="Times New Roman" w:hAnsi="Times New Roman"/>
          <w:sz w:val="18"/>
          <w:szCs w:val="18"/>
          <w:b w:val="1"/>
          <w:bCs w:val="1"/>
          <w:color w:val="auto"/>
        </w:rPr>
        <w:t>Failure to Develop Notice</w:t>
      </w:r>
      <w:r>
        <w:rPr>
          <w:rFonts w:ascii="Times New Roman" w:cs="Times New Roman" w:eastAsia="Times New Roman" w:hAnsi="Times New Roman"/>
          <w:sz w:val="18"/>
          <w:szCs w:val="18"/>
          <w:color w:val="auto"/>
        </w:rPr>
        <w:t>”) and the provisions of Section 4.2(b) and Section 4.8 shall apply to any Next Gen Product of such Option Product, for which Autolus obtains, within [***] after the BioNTech’s receipt of the Failure to Develop Notice (the “</w:t>
      </w:r>
      <w:r>
        <w:rPr>
          <w:rFonts w:ascii="Times New Roman" w:cs="Times New Roman" w:eastAsia="Times New Roman" w:hAnsi="Times New Roman"/>
          <w:sz w:val="18"/>
          <w:szCs w:val="18"/>
          <w:b w:val="1"/>
          <w:bCs w:val="1"/>
          <w:color w:val="auto"/>
        </w:rPr>
        <w:t>Failure to Develop Period</w:t>
      </w:r>
      <w:r>
        <w:rPr>
          <w:rFonts w:ascii="Times New Roman" w:cs="Times New Roman" w:eastAsia="Times New Roman" w:hAnsi="Times New Roman"/>
          <w:sz w:val="18"/>
          <w:szCs w:val="18"/>
          <w:color w:val="auto"/>
        </w:rPr>
        <w:t>”), sufficient data and information to provide BioNTech with a Data Package.</w:t>
      </w:r>
    </w:p>
    <w:p>
      <w:pPr>
        <w:spacing w:after="0" w:line="134" w:lineRule="exact"/>
        <w:rPr>
          <w:sz w:val="20"/>
          <w:szCs w:val="20"/>
          <w:color w:val="auto"/>
        </w:rPr>
      </w:pPr>
    </w:p>
    <w:p>
      <w:pPr>
        <w:ind w:left="874"/>
        <w:spacing w:after="0"/>
        <w:tabs>
          <w:tab w:leader="none" w:pos="1254"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b w:val="1"/>
          <w:bCs w:val="1"/>
          <w:color w:val="auto"/>
        </w:rPr>
        <w:t>Rights of BioNTech if Autolus does not wish to Develop.</w:t>
      </w:r>
    </w:p>
    <w:p>
      <w:pPr>
        <w:spacing w:after="0" w:line="169" w:lineRule="exact"/>
        <w:rPr>
          <w:sz w:val="20"/>
          <w:szCs w:val="20"/>
          <w:color w:val="auto"/>
        </w:rPr>
      </w:pPr>
    </w:p>
    <w:p>
      <w:pPr>
        <w:jc w:val="both"/>
        <w:ind w:left="-6" w:right="60" w:firstLine="1158"/>
        <w:spacing w:after="0" w:line="216" w:lineRule="auto"/>
        <w:tabs>
          <w:tab w:leader="none" w:pos="1723"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notifies BioNTech pursuant to Section 4.3 that it does not, at the time of receipt by Autolus of a Development Plan Trigger Notice, intend to Develop further such Option Product, then Autolus shall and hereby does grant BioNTech (i) a right of first negotiation, as set out in this Section 4.7, in relation to such Option Product if Autolus intends (1) [***], or (2) [***] ((1) and (2) collectively, an “</w:t>
      </w:r>
      <w:r>
        <w:rPr>
          <w:rFonts w:ascii="Times New Roman" w:cs="Times New Roman" w:eastAsia="Times New Roman" w:hAnsi="Times New Roman"/>
          <w:sz w:val="18"/>
          <w:szCs w:val="18"/>
          <w:b w:val="1"/>
          <w:bCs w:val="1"/>
          <w:color w:val="auto"/>
        </w:rPr>
        <w:t>Option Product Right</w:t>
      </w:r>
      <w:r>
        <w:rPr>
          <w:rFonts w:ascii="Times New Roman" w:cs="Times New Roman" w:eastAsia="Times New Roman" w:hAnsi="Times New Roman"/>
          <w:sz w:val="18"/>
          <w:szCs w:val="18"/>
          <w:color w:val="auto"/>
        </w:rPr>
        <w:t xml:space="preserve">”), and (ii) the right to negotiate a Product Agreement in accordance with Sections 4.3–4.6 if Autolus intends to Develop such Option Product itself or with or through any Affiliate, in the case of both (i) and (ii) for a period of [***] commencing on the date of receipt by Autolus of the applicable Development Plan Trigger Notice (the “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subject to and as further set out in Section 4.7(b). Notwithstanding the foregoing, the rights in this Section 4.7 do not apply to an Acquisition of Autolus or its Affiliate. For clarity, Section 4.7 remains in full force and effect following an Acquisition of Autolus or its Affiliate.</w:t>
      </w:r>
    </w:p>
    <w:p>
      <w:pPr>
        <w:spacing w:after="0" w:line="142" w:lineRule="exact"/>
        <w:rPr>
          <w:rFonts w:ascii="Times New Roman" w:cs="Times New Roman" w:eastAsia="Times New Roman" w:hAnsi="Times New Roman"/>
          <w:sz w:val="18"/>
          <w:szCs w:val="18"/>
          <w:color w:val="auto"/>
        </w:rPr>
      </w:pPr>
    </w:p>
    <w:p>
      <w:pPr>
        <w:jc w:val="both"/>
        <w:ind w:left="-6" w:right="60" w:firstLine="1158"/>
        <w:spacing w:after="0" w:line="214" w:lineRule="auto"/>
        <w:tabs>
          <w:tab w:leader="none" w:pos="1711"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notifies BioNTech pursuant to Section 4.3 that it does not, at the time of receipt by Autolus of a Development Plan Trigger Notice, intend to Develop further such Option Product, and thereafter during the ROFN Period Autolus intends to Develop such Option Product itself or with or through any Affiliate or to grant any Third Party an Option Product Right, then, prior to commencing such Development or engaging in discussions or entering into any agreement with any Third Party for the grant of such rights (a “</w:t>
      </w:r>
      <w:r>
        <w:rPr>
          <w:rFonts w:ascii="Times New Roman" w:cs="Times New Roman" w:eastAsia="Times New Roman" w:hAnsi="Times New Roman"/>
          <w:sz w:val="18"/>
          <w:szCs w:val="18"/>
          <w:b w:val="1"/>
          <w:bCs w:val="1"/>
          <w:color w:val="auto"/>
        </w:rPr>
        <w:t>Restricted Act</w:t>
      </w:r>
      <w:r>
        <w:rPr>
          <w:rFonts w:ascii="Times New Roman" w:cs="Times New Roman" w:eastAsia="Times New Roman" w:hAnsi="Times New Roman"/>
          <w:sz w:val="18"/>
          <w:szCs w:val="18"/>
          <w:color w:val="auto"/>
        </w:rPr>
        <w:t xml:space="preserve">”), Autolus shall provide BioNTech with prior written notice and all material information and data relating to such Option Product then in its possession (to the extent not previously provided pursuant to Section 4.2) and, (i) in the event that Autolus intends to grant any Third Party an Option Product Right, for a period of [***] after receipt of such notice and information, BioNTech has an exclusive right of first negotiation to enter into a definitive agreement with Autolus granting BioNTech rights in relation to such Option Product, and during such [***], Autolus would negotiate [***] with BioNTech and would not perform any Restricted Act, and (ii) in the event that Autolus intends to Develop such Option Product itself or with or through any Affiliate, to an option on the terms set out in </w:t>
      </w:r>
      <w:r>
        <w:rPr>
          <w:rFonts w:ascii="Times New Roman" w:cs="Times New Roman" w:eastAsia="Times New Roman" w:hAnsi="Times New Roman"/>
          <w:sz w:val="18"/>
          <w:szCs w:val="18"/>
          <w:u w:val="single" w:color="auto"/>
          <w:color w:val="auto"/>
        </w:rPr>
        <w:t>Schedule 4.4(a)</w:t>
      </w:r>
      <w:r>
        <w:rPr>
          <w:rFonts w:ascii="Times New Roman" w:cs="Times New Roman" w:eastAsia="Times New Roman" w:hAnsi="Times New Roman"/>
          <w:sz w:val="18"/>
          <w:szCs w:val="18"/>
          <w:color w:val="auto"/>
        </w:rPr>
        <w:t xml:space="preserve">, in which case the provisions of Sections 4.3– 4.6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BioNTech provides a Development Plan Trigger Notice to Autolus within [***] of receiving written notice and all material information and data from Autolus regarding Autolus’s proposed further Development of such Option Product.</w:t>
      </w:r>
    </w:p>
    <w:p>
      <w:pPr>
        <w:spacing w:after="0" w:line="137" w:lineRule="exact"/>
        <w:rPr>
          <w:rFonts w:ascii="Times New Roman" w:cs="Times New Roman" w:eastAsia="Times New Roman" w:hAnsi="Times New Roman"/>
          <w:sz w:val="18"/>
          <w:szCs w:val="18"/>
          <w:color w:val="auto"/>
        </w:rPr>
      </w:pPr>
    </w:p>
    <w:p>
      <w:pPr>
        <w:jc w:val="both"/>
        <w:ind w:left="-6" w:right="60" w:firstLine="1158"/>
        <w:spacing w:after="0" w:line="216" w:lineRule="auto"/>
        <w:tabs>
          <w:tab w:leader="none" w:pos="1723"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ROFN Period, if the Parties fail to enter into a definitive agreement prior to (i) in the case of Autolus intending to Develop such Option Product through the grant of any Option Product Rights to any Third Party, the expiration of the [***] period set forth in Section 4.7(b), and (ii) in the case of Autolus intending to Develop such Option Product itself or with or through any Affiliate, the date of expiry of the applicable period set forth in Sections 4.6(a)(i)–4.6(a)(v),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then (1) for a period of [***] after the ROFN Period, Autolus will notify BioNTech if Autolus intends to grant a Third Party a Product Option Right, and (2) all of the terms of this Section 4.7 shall no longer apply to such Option Product and, for clarity, and without limiting the generality of the foregoing, Autolus may commence Development of such Option Product, engage in discussions with a Third Party or enter into an agreement with a Third Party for such Option Product, on terms determined at Autolus’s sole discretion.</w:t>
      </w:r>
    </w:p>
    <w:p>
      <w:pPr>
        <w:spacing w:after="0" w:line="138" w:lineRule="exact"/>
        <w:rPr>
          <w:sz w:val="20"/>
          <w:szCs w:val="20"/>
          <w:color w:val="auto"/>
        </w:rPr>
      </w:pPr>
    </w:p>
    <w:p>
      <w:pPr>
        <w:ind w:left="874"/>
        <w:spacing w:after="0"/>
        <w:tabs>
          <w:tab w:leader="none" w:pos="1254"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b w:val="1"/>
          <w:bCs w:val="1"/>
          <w:color w:val="auto"/>
        </w:rPr>
        <w:t>Next Generation Products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74"/>
        <w:spacing w:after="0"/>
        <w:rPr>
          <w:sz w:val="20"/>
          <w:szCs w:val="20"/>
          <w:color w:val="auto"/>
        </w:rPr>
      </w:pPr>
      <w:r>
        <w:rPr>
          <w:rFonts w:ascii="Times New Roman" w:cs="Times New Roman" w:eastAsia="Times New Roman" w:hAnsi="Times New Roman"/>
          <w:sz w:val="18"/>
          <w:szCs w:val="18"/>
          <w:color w:val="auto"/>
        </w:rPr>
        <w:t>23</w:t>
      </w:r>
    </w:p>
    <w:p>
      <w:pPr>
        <w:sectPr>
          <w:pgSz w:w="11900" w:h="16840" w:orient="portrait"/>
          <w:cols w:equalWidth="0" w:num="1">
            <w:col w:w="10634"/>
          </w:cols>
          <w:pgMar w:left="666" w:top="1440" w:right="600" w:bottom="1440" w:gutter="0" w:footer="0" w:header="0"/>
        </w:sectPr>
      </w:pPr>
    </w:p>
    <w:bookmarkStart w:id="931" w:name="page932"/>
    <w:bookmarkEnd w:id="931"/>
    <w:p>
      <w:pPr>
        <w:spacing w:after="0" w:line="254" w:lineRule="exact"/>
        <w:rPr>
          <w:sz w:val="20"/>
          <w:szCs w:val="20"/>
          <w:color w:val="auto"/>
        </w:rPr>
      </w:pPr>
    </w:p>
    <w:p>
      <w:pPr>
        <w:jc w:val="both"/>
        <w:ind w:right="20" w:firstLine="1158"/>
        <w:spacing w:after="0" w:line="220" w:lineRule="auto"/>
        <w:tabs>
          <w:tab w:leader="none" w:pos="1729"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Gen Product Option and Next Gen Product Development Plan </w:t>
      </w:r>
      <w:r>
        <w:rPr>
          <w:rFonts w:ascii="Times New Roman" w:cs="Times New Roman" w:eastAsia="Times New Roman" w:hAnsi="Times New Roman"/>
          <w:sz w:val="18"/>
          <w:szCs w:val="18"/>
          <w:color w:val="auto"/>
        </w:rPr>
        <w:t>. Autolus hereby grants to BioNTech, on a Next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 Product-by-Next Gen Product basis, the exclusive option in relation to any Next Gen Product for which Autolus provides BioNTech with a Data Package pursuant to Section 4.2(b), to obtain the exclusive right to co-fund certain development costs in respect of the relevant Next Gen Product in return for a [***] profit sharing arrangement, in each case, for all oncology Indications, and obtain the exclusive option to co-promote and co-commercialize such Next Gen Product for all oncology Indications, in each case, subject to and as set out in this Section 4.8 (“</w:t>
      </w:r>
      <w:r>
        <w:rPr>
          <w:rFonts w:ascii="Times New Roman" w:cs="Times New Roman" w:eastAsia="Times New Roman" w:hAnsi="Times New Roman"/>
          <w:sz w:val="18"/>
          <w:szCs w:val="18"/>
          <w:b w:val="1"/>
          <w:bCs w:val="1"/>
          <w:color w:val="auto"/>
        </w:rPr>
        <w:t>Next 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 Option</w:t>
      </w:r>
      <w:r>
        <w:rPr>
          <w:rFonts w:ascii="Times New Roman" w:cs="Times New Roman" w:eastAsia="Times New Roman" w:hAnsi="Times New Roman"/>
          <w:sz w:val="18"/>
          <w:szCs w:val="18"/>
          <w:color w:val="auto"/>
        </w:rPr>
        <w:t>”).</w:t>
      </w:r>
    </w:p>
    <w:p>
      <w:pPr>
        <w:spacing w:after="0" w:line="133" w:lineRule="exact"/>
        <w:rPr>
          <w:rFonts w:ascii="Times New Roman" w:cs="Times New Roman" w:eastAsia="Times New Roman" w:hAnsi="Times New Roman"/>
          <w:sz w:val="18"/>
          <w:szCs w:val="18"/>
          <w:color w:val="auto"/>
        </w:rPr>
      </w:pPr>
    </w:p>
    <w:p>
      <w:pPr>
        <w:jc w:val="both"/>
        <w:ind w:right="20" w:firstLine="1158"/>
        <w:spacing w:after="0" w:line="214" w:lineRule="auto"/>
        <w:tabs>
          <w:tab w:leader="none" w:pos="1717"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 Gen Product Development Plan. </w:t>
      </w:r>
      <w:r>
        <w:rPr>
          <w:rFonts w:ascii="Times New Roman" w:cs="Times New Roman" w:eastAsia="Times New Roman" w:hAnsi="Times New Roman"/>
          <w:sz w:val="18"/>
          <w:szCs w:val="18"/>
          <w:color w:val="auto"/>
        </w:rPr>
        <w:t>At any time during the [***] period after BioNTech’s receipt of a Data Package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Next Gen Product pursuant to Section 4.2(b) (the “</w:t>
      </w:r>
      <w:r>
        <w:rPr>
          <w:rFonts w:ascii="Times New Roman" w:cs="Times New Roman" w:eastAsia="Times New Roman" w:hAnsi="Times New Roman"/>
          <w:sz w:val="18"/>
          <w:szCs w:val="18"/>
          <w:b w:val="1"/>
          <w:bCs w:val="1"/>
          <w:color w:val="auto"/>
        </w:rPr>
        <w:t>Next Gen Notification Period</w:t>
      </w:r>
      <w:r>
        <w:rPr>
          <w:rFonts w:ascii="Times New Roman" w:cs="Times New Roman" w:eastAsia="Times New Roman" w:hAnsi="Times New Roman"/>
          <w:sz w:val="18"/>
          <w:szCs w:val="18"/>
          <w:color w:val="auto"/>
        </w:rPr>
        <w:t>”), BioNTech may notify Autolus in writing that it wishes to receive a Development plan for such Next Gen Product (a “</w:t>
      </w:r>
      <w:r>
        <w:rPr>
          <w:rFonts w:ascii="Times New Roman" w:cs="Times New Roman" w:eastAsia="Times New Roman" w:hAnsi="Times New Roman"/>
          <w:sz w:val="18"/>
          <w:szCs w:val="18"/>
          <w:b w:val="1"/>
          <w:bCs w:val="1"/>
          <w:color w:val="auto"/>
        </w:rPr>
        <w:t>Next Gen Development Plan Trigger Notice</w:t>
      </w:r>
      <w:r>
        <w:rPr>
          <w:rFonts w:ascii="Times New Roman" w:cs="Times New Roman" w:eastAsia="Times New Roman" w:hAnsi="Times New Roman"/>
          <w:sz w:val="18"/>
          <w:szCs w:val="18"/>
          <w:color w:val="auto"/>
        </w:rPr>
        <w:t xml:space="preserve"> ”). Within [***] after Autolus receives a Next Gen Development Plan Trigger Notice, Autolus shall provide to BioNTech a reasonably detailed written Development plan and associated budget for the applicable Next Gen Product (the “</w:t>
      </w:r>
      <w:r>
        <w:rPr>
          <w:rFonts w:ascii="Times New Roman" w:cs="Times New Roman" w:eastAsia="Times New Roman" w:hAnsi="Times New Roman"/>
          <w:sz w:val="18"/>
          <w:szCs w:val="18"/>
          <w:b w:val="1"/>
          <w:bCs w:val="1"/>
          <w:color w:val="auto"/>
        </w:rPr>
        <w:t>Next Gen Product Development Plan</w:t>
      </w:r>
      <w:r>
        <w:rPr>
          <w:rFonts w:ascii="Times New Roman" w:cs="Times New Roman" w:eastAsia="Times New Roman" w:hAnsi="Times New Roman"/>
          <w:sz w:val="18"/>
          <w:szCs w:val="18"/>
          <w:color w:val="auto"/>
        </w:rPr>
        <w:t>”). The Next Gen Product Development Plan would include [***]. Upon BioNTech’s request, the Parties, through the JSC, would discuss the Next Gen Product Development Plan and associated budget and Autolus shall [***]. For clarity, [***]. For the period from receipt by Autolus of a Next Gen Development Plan Trigger Notice until the earlier of (i) [***] after BioNTech’s receipt of the applicable Next Gen Product Development Plan, if no Next Gen Negotiation Trigger Notice is received by Autolus, or (ii) the expiry of the Next Gen Product Negotiation Period and any period during which a Baseball Arbitration procedure is ongoing with respect to such Next Gen Product, Autolus shall not grant a Third Party rights to Exploit the relevant Next Gen Product without BioNTech’s prior written consent, [***].</w:t>
      </w:r>
    </w:p>
    <w:p>
      <w:pPr>
        <w:spacing w:after="0" w:line="142" w:lineRule="exact"/>
        <w:rPr>
          <w:rFonts w:ascii="Times New Roman" w:cs="Times New Roman" w:eastAsia="Times New Roman" w:hAnsi="Times New Roman"/>
          <w:sz w:val="18"/>
          <w:szCs w:val="18"/>
          <w:color w:val="auto"/>
        </w:rPr>
      </w:pPr>
    </w:p>
    <w:p>
      <w:pPr>
        <w:jc w:val="both"/>
        <w:ind w:firstLine="1158"/>
        <w:spacing w:after="0" w:line="220" w:lineRule="auto"/>
        <w:tabs>
          <w:tab w:leader="none" w:pos="1729"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Negotiation Trigger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 after BioNTech’s receipt of the Next Gen Product Development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BioNTech may notify Autolus in writing that it wishes to enter into exclusive negotiations with Autolus to agree the terms of and execute an agreement in respect of the Exploitation of the applicable Next Gen Product for the treatment of one or more oncology Indications, providing for co-funding and [***] profit share arrangements and an exclusive option for BioNTech to co-promote and co-commercialize (each a “</w:t>
      </w:r>
      <w:r>
        <w:rPr>
          <w:rFonts w:ascii="Times New Roman" w:cs="Times New Roman" w:eastAsia="Times New Roman" w:hAnsi="Times New Roman"/>
          <w:sz w:val="18"/>
          <w:szCs w:val="18"/>
          <w:b w:val="1"/>
          <w:bCs w:val="1"/>
          <w:color w:val="auto"/>
        </w:rPr>
        <w:t>Next 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Negotiation Trigger Notice</w:t>
      </w:r>
      <w:r>
        <w:rPr>
          <w:rFonts w:ascii="Times New Roman" w:cs="Times New Roman" w:eastAsia="Times New Roman" w:hAnsi="Times New Roman"/>
          <w:sz w:val="18"/>
          <w:szCs w:val="18"/>
          <w:color w:val="auto"/>
        </w:rPr>
        <w:t>”), which agreement shall include the terms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 xml:space="preserve">Next Gen Product Agreement </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Gen Product Development Plan would be included as an initial Development plan to the Next Gen Product Agreement.</w:t>
      </w:r>
    </w:p>
    <w:p>
      <w:pPr>
        <w:spacing w:after="0" w:line="134" w:lineRule="exact"/>
        <w:rPr>
          <w:sz w:val="20"/>
          <w:szCs w:val="20"/>
          <w:color w:val="auto"/>
        </w:rPr>
      </w:pPr>
    </w:p>
    <w:p>
      <w:pPr>
        <w:jc w:val="both"/>
        <w:ind w:right="20" w:firstLine="864"/>
        <w:spacing w:after="0" w:line="220"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Negotiation of Next Gen Product Agreement</w:t>
      </w:r>
      <w:r>
        <w:rPr>
          <w:rFonts w:ascii="Times New Roman" w:cs="Times New Roman" w:eastAsia="Times New Roman" w:hAnsi="Times New Roman"/>
          <w:sz w:val="18"/>
          <w:szCs w:val="18"/>
          <w:color w:val="auto"/>
        </w:rPr>
        <w:t xml:space="preserve"> . The Parties shall, on a Next Gen Product-by-Next Gen Product basis, negotiate exclusively [***] for a period of [***] from the date of Autolus’s receipt of the Next Gen Negotiation Trigger Notice to agree the definitive terms of the applicable Next Gen Product Agreement (such period and any mutually agreed extension, the “</w:t>
      </w:r>
      <w:r>
        <w:rPr>
          <w:rFonts w:ascii="Times New Roman" w:cs="Times New Roman" w:eastAsia="Times New Roman" w:hAnsi="Times New Roman"/>
          <w:sz w:val="18"/>
          <w:szCs w:val="18"/>
          <w:b w:val="1"/>
          <w:bCs w:val="1"/>
          <w:color w:val="auto"/>
        </w:rPr>
        <w:t>Next Gen Product Negotiation Period</w:t>
      </w:r>
      <w:r>
        <w:rPr>
          <w:rFonts w:ascii="Times New Roman" w:cs="Times New Roman" w:eastAsia="Times New Roman" w:hAnsi="Times New Roman"/>
          <w:sz w:val="18"/>
          <w:szCs w:val="18"/>
          <w:color w:val="auto"/>
        </w:rPr>
        <w:t>”), to agree the definitive terms of the applicable Next Gen Product Agreement. If the anticipated start date for the Development activities included in the Next Gen Product Development Plan is more than [***] after BioNTech’s receipt of the Next Gen Product Development Plan, the Parties would [***].</w:t>
      </w:r>
    </w:p>
    <w:p>
      <w:pPr>
        <w:spacing w:after="0" w:line="134" w:lineRule="exact"/>
        <w:rPr>
          <w:sz w:val="20"/>
          <w:szCs w:val="20"/>
          <w:color w:val="auto"/>
        </w:rPr>
      </w:pPr>
    </w:p>
    <w:p>
      <w:pPr>
        <w:jc w:val="both"/>
        <w:ind w:right="40" w:firstLine="864"/>
        <w:spacing w:after="0" w:line="225" w:lineRule="auto"/>
        <w:rPr>
          <w:sz w:val="20"/>
          <w:szCs w:val="20"/>
          <w:color w:val="auto"/>
        </w:rPr>
      </w:pPr>
      <w:r>
        <w:rPr>
          <w:rFonts w:ascii="Times New Roman" w:cs="Times New Roman" w:eastAsia="Times New Roman" w:hAnsi="Times New Roman"/>
          <w:sz w:val="18"/>
          <w:szCs w:val="18"/>
          <w:color w:val="auto"/>
        </w:rPr>
        <w:t xml:space="preserve">4 . 1 0 </w:t>
      </w:r>
      <w:r>
        <w:rPr>
          <w:rFonts w:ascii="Times New Roman" w:cs="Times New Roman" w:eastAsia="Times New Roman" w:hAnsi="Times New Roman"/>
          <w:sz w:val="18"/>
          <w:szCs w:val="18"/>
          <w:b w:val="1"/>
          <w:bCs w:val="1"/>
          <w:color w:val="auto"/>
        </w:rPr>
        <w:t>Referral to Baseball Arbitration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upon expiry of the applicable Next Gen Product Negotiation Period, the Parties are unable to agree the terms of such Next Gen Product Agreement, BioNTech may, in its sole discretion, refer the terms of the Next Gen Product Agreement ([***]) for resolution using Baseball Arbitration, which referral must occur within [***] of expiry of the applicable Next Gen Product Negotiation Period.</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Failure to Exercise Option or Rejection of Baseball Arbitration</w:t>
      </w:r>
      <w:r>
        <w:rPr>
          <w:rFonts w:ascii="Times New Roman" w:cs="Times New Roman" w:eastAsia="Times New Roman" w:hAnsi="Times New Roman"/>
          <w:sz w:val="18"/>
          <w:szCs w:val="18"/>
          <w:color w:val="auto"/>
        </w:rPr>
        <w:t>. If:</w:t>
      </w:r>
    </w:p>
    <w:p>
      <w:pPr>
        <w:spacing w:after="0" w:line="162" w:lineRule="exact"/>
        <w:rPr>
          <w:sz w:val="20"/>
          <w:szCs w:val="20"/>
          <w:color w:val="auto"/>
        </w:rPr>
      </w:pPr>
    </w:p>
    <w:p>
      <w:pPr>
        <w:ind w:left="1740" w:hanging="582"/>
        <w:spacing w:after="0"/>
        <w:tabs>
          <w:tab w:leader="none" w:pos="1740"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Next Gen Development Plan Trigger Notice during the applicable Next Gen Notification</w:t>
      </w:r>
    </w:p>
    <w:p>
      <w:pPr>
        <w:spacing w:after="0"/>
        <w:rPr>
          <w:sz w:val="20"/>
          <w:szCs w:val="20"/>
          <w:color w:val="auto"/>
        </w:rPr>
      </w:pPr>
      <w:r>
        <w:rPr>
          <w:rFonts w:ascii="Times New Roman" w:cs="Times New Roman" w:eastAsia="Times New Roman" w:hAnsi="Times New Roman"/>
          <w:sz w:val="18"/>
          <w:szCs w:val="18"/>
          <w:color w:val="auto"/>
        </w:rPr>
        <w:t>Period, or</w:t>
      </w:r>
    </w:p>
    <w:p>
      <w:pPr>
        <w:spacing w:after="0" w:line="145" w:lineRule="exact"/>
        <w:rPr>
          <w:sz w:val="20"/>
          <w:szCs w:val="20"/>
          <w:color w:val="auto"/>
        </w:rPr>
      </w:pPr>
    </w:p>
    <w:p>
      <w:pPr>
        <w:ind w:right="60" w:firstLine="1158"/>
        <w:spacing w:after="0"/>
        <w:tabs>
          <w:tab w:leader="none" w:pos="1717" w:val="left"/>
        </w:tabs>
        <w:numPr>
          <w:ilvl w:val="0"/>
          <w:numId w:val="9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Next Gen Negotiation Trigger Notice within [***] after BioNTech’s receipt of a Next Gen Product Development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24</w:t>
      </w:r>
    </w:p>
    <w:p>
      <w:pPr>
        <w:sectPr>
          <w:pgSz w:w="11900" w:h="16840" w:orient="portrait"/>
          <w:cols w:equalWidth="0" w:num="1">
            <w:col w:w="10600"/>
          </w:cols>
          <w:pgMar w:left="660" w:top="1440" w:right="640" w:bottom="1440" w:gutter="0" w:footer="0" w:header="0"/>
        </w:sectPr>
      </w:pPr>
    </w:p>
    <w:bookmarkStart w:id="932" w:name="page933"/>
    <w:bookmarkEnd w:id="932"/>
    <w:p>
      <w:pPr>
        <w:spacing w:after="0" w:line="258" w:lineRule="exact"/>
        <w:rPr>
          <w:sz w:val="20"/>
          <w:szCs w:val="20"/>
          <w:color w:val="auto"/>
        </w:rPr>
      </w:pPr>
    </w:p>
    <w:p>
      <w:pPr>
        <w:ind w:right="40" w:firstLine="1158"/>
        <w:spacing w:after="0"/>
        <w:tabs>
          <w:tab w:leader="none" w:pos="1729"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fail to enter into a Next Gen Product Agreement during the applicable Next Gen Product Negotiation Period and BioNTech does not refer such matter for resolution using Baseball Arbitration in the period described in Section 4.10, or</w:t>
      </w:r>
    </w:p>
    <w:p>
      <w:pPr>
        <w:spacing w:after="0" w:line="138" w:lineRule="exact"/>
        <w:rPr>
          <w:rFonts w:ascii="Times New Roman" w:cs="Times New Roman" w:eastAsia="Times New Roman" w:hAnsi="Times New Roman"/>
          <w:sz w:val="18"/>
          <w:szCs w:val="18"/>
          <w:color w:val="auto"/>
        </w:rPr>
      </w:pPr>
    </w:p>
    <w:p>
      <w:pPr>
        <w:ind w:right="40" w:firstLine="1158"/>
        <w:spacing w:after="0"/>
        <w:tabs>
          <w:tab w:leader="none" w:pos="1717"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does not receive a Next Gen Option Exercise Notice within [***] after the Parties have agreed on a Next Gen Product Agreement for the applicable Next Gen Product or the arbitrator has given a final decision in Baseball Arbitration, or</w:t>
      </w:r>
    </w:p>
    <w:p>
      <w:pPr>
        <w:spacing w:after="0" w:line="138" w:lineRule="exact"/>
        <w:rPr>
          <w:rFonts w:ascii="Times New Roman" w:cs="Times New Roman" w:eastAsia="Times New Roman" w:hAnsi="Times New Roman"/>
          <w:sz w:val="18"/>
          <w:szCs w:val="18"/>
          <w:color w:val="auto"/>
        </w:rPr>
      </w:pPr>
    </w:p>
    <w:p>
      <w:pPr>
        <w:ind w:right="60" w:firstLine="1158"/>
        <w:spacing w:after="0"/>
        <w:tabs>
          <w:tab w:leader="none" w:pos="1729"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chooses not to enter into the applicable Next Gen Product Agreement within [***] after the Parties have agreed on a Next Gen Product Agreement for the applicable Next Gen Product or the arbitrator has given a final decision in Baseball Arbitration,</w:t>
      </w:r>
    </w:p>
    <w:p>
      <w:pPr>
        <w:spacing w:after="0" w:line="138"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8"/>
          <w:szCs w:val="18"/>
          <w:color w:val="auto"/>
        </w:rPr>
        <w:t>then in each case of (a)–(e), with effect from the date of expiry of such period, and without any further action required on the part of either Party, the applicable Next Gen Product Option shall expire and then the terms of this Article 4 shall no longer apply to such Next Gen Product and, without limiting the generality of the foregoing, Autolus may commence Development of such Next Gen Product or enter into an agreement with a Third Party for such Next Gen Product, on terms determined at Autolus’s sole discretion without further reference to BioNTech.</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color w:val="auto"/>
        </w:rPr>
        <w:t>Next Gen Option Exercise.</w:t>
      </w:r>
    </w:p>
    <w:p>
      <w:pPr>
        <w:spacing w:after="0" w:line="165" w:lineRule="exact"/>
        <w:rPr>
          <w:sz w:val="20"/>
          <w:szCs w:val="20"/>
          <w:color w:val="auto"/>
        </w:rPr>
      </w:pPr>
    </w:p>
    <w:p>
      <w:pPr>
        <w:jc w:val="both"/>
        <w:ind w:firstLine="1158"/>
        <w:spacing w:after="0" w:line="222" w:lineRule="auto"/>
        <w:tabs>
          <w:tab w:leader="none" w:pos="1729"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 after (i) the Parties have agreed on a Next Gen Product Agreement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Next Gen Product or (ii) the arbitrator has given a final decision in Baseball Arbitration, as applicable, BioNTech may notify Autolus in writing that it wishes to execute the applicable Next Gen Product Agreement (a “</w:t>
      </w:r>
      <w:r>
        <w:rPr>
          <w:rFonts w:ascii="Times New Roman" w:cs="Times New Roman" w:eastAsia="Times New Roman" w:hAnsi="Times New Roman"/>
          <w:sz w:val="18"/>
          <w:szCs w:val="18"/>
          <w:b w:val="1"/>
          <w:bCs w:val="1"/>
          <w:color w:val="auto"/>
        </w:rPr>
        <w:t>Next Gen Option Exercise Notice</w:t>
      </w:r>
      <w:r>
        <w:rPr>
          <w:rFonts w:ascii="Times New Roman" w:cs="Times New Roman" w:eastAsia="Times New Roman" w:hAnsi="Times New Roman"/>
          <w:sz w:val="18"/>
          <w:szCs w:val="18"/>
          <w:color w:val="auto"/>
        </w:rPr>
        <w:t>”). If BioNTech provides such a Next Gen Option Exercise Notice, then the Parties shall execute such Next Gen Product Agreement within [***] after Autolus’s receipt of the Next Gen Option Exercise Notice.</w:t>
      </w:r>
    </w:p>
    <w:p>
      <w:pPr>
        <w:spacing w:after="0" w:line="135" w:lineRule="exact"/>
        <w:rPr>
          <w:rFonts w:ascii="Times New Roman" w:cs="Times New Roman" w:eastAsia="Times New Roman" w:hAnsi="Times New Roman"/>
          <w:sz w:val="18"/>
          <w:szCs w:val="18"/>
          <w:color w:val="auto"/>
        </w:rPr>
      </w:pPr>
    </w:p>
    <w:p>
      <w:pPr>
        <w:jc w:val="both"/>
        <w:ind w:right="60" w:firstLine="1158"/>
        <w:spacing w:after="0" w:line="231" w:lineRule="auto"/>
        <w:tabs>
          <w:tab w:leader="none" w:pos="1717"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Next Gen Option Exercise Fee</w:t>
      </w:r>
      <w:r>
        <w:rPr>
          <w:rFonts w:ascii="Times New Roman" w:cs="Times New Roman" w:eastAsia="Times New Roman" w:hAnsi="Times New Roman"/>
          <w:sz w:val="18"/>
          <w:szCs w:val="18"/>
          <w:color w:val="auto"/>
        </w:rPr>
        <w:t>. BioNTech shall pay Autolus the applicable option exercise fee set forth below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Next Gen Product Agreement within [***] after the receipt of an invoice from Autolus following the execution of such Next Gen Agreement:</w:t>
      </w:r>
    </w:p>
    <w:p>
      <w:pPr>
        <w:spacing w:after="0" w:line="183" w:lineRule="exact"/>
        <w:rPr>
          <w:sz w:val="20"/>
          <w:szCs w:val="20"/>
          <w:color w:val="auto"/>
        </w:rPr>
      </w:pPr>
    </w:p>
    <w:p>
      <w:pPr>
        <w:ind w:left="2300"/>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Next Gen Product</w:t>
      </w:r>
      <w:r>
        <w:rPr>
          <w:sz w:val="20"/>
          <w:szCs w:val="20"/>
          <w:color w:val="auto"/>
        </w:rPr>
        <w:tab/>
      </w:r>
      <w:r>
        <w:rPr>
          <w:rFonts w:ascii="Times New Roman" w:cs="Times New Roman" w:eastAsia="Times New Roman" w:hAnsi="Times New Roman"/>
          <w:sz w:val="17"/>
          <w:szCs w:val="17"/>
          <w:b w:val="1"/>
          <w:bCs w:val="1"/>
          <w:color w:val="auto"/>
        </w:rPr>
        <w:t>Option Exercise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-128270</wp:posOffset>
            </wp:positionV>
            <wp:extent cx="2759075" cy="1447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2759075" cy="144780"/>
                    </a:xfrm>
                    <a:prstGeom prst="rect">
                      <a:avLst/>
                    </a:prstGeom>
                    <a:noFill/>
                  </pic:spPr>
                </pic:pic>
              </a:graphicData>
            </a:graphic>
          </wp:anchor>
        </w:drawing>
      </w:r>
    </w:p>
    <w:p>
      <w:pPr>
        <w:spacing w:after="0" w:line="11" w:lineRule="exact"/>
        <w:rPr>
          <w:sz w:val="20"/>
          <w:szCs w:val="20"/>
          <w:color w:val="auto"/>
        </w:rPr>
      </w:pPr>
    </w:p>
    <w:p>
      <w:pPr>
        <w:ind w:left="2600"/>
        <w:spacing w:after="0"/>
        <w:tabs>
          <w:tab w:leader="none" w:pos="4960" w:val="left"/>
        </w:tabs>
        <w:rPr>
          <w:sz w:val="20"/>
          <w:szCs w:val="20"/>
          <w:color w:val="auto"/>
        </w:rPr>
      </w:pPr>
      <w:r>
        <w:rPr>
          <w:rFonts w:ascii="Times New Roman" w:cs="Times New Roman" w:eastAsia="Times New Roman" w:hAnsi="Times New Roman"/>
          <w:sz w:val="18"/>
          <w:szCs w:val="18"/>
          <w:color w:val="auto"/>
        </w:rPr>
        <w:t>AUTO1/22</w:t>
      </w:r>
      <w:r>
        <w:rPr>
          <w:sz w:val="20"/>
          <w:szCs w:val="20"/>
          <w:color w:val="auto"/>
        </w:rPr>
        <w:tab/>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2580"/>
        <w:spacing w:after="0"/>
        <w:tabs>
          <w:tab w:leader="none" w:pos="4960" w:val="left"/>
        </w:tabs>
        <w:rPr>
          <w:sz w:val="20"/>
          <w:szCs w:val="20"/>
          <w:color w:val="auto"/>
        </w:rPr>
      </w:pPr>
      <w:r>
        <w:rPr>
          <w:rFonts w:ascii="Times New Roman" w:cs="Times New Roman" w:eastAsia="Times New Roman" w:hAnsi="Times New Roman"/>
          <w:sz w:val="18"/>
          <w:szCs w:val="18"/>
          <w:color w:val="auto"/>
        </w:rPr>
        <w:t>AUTO6NG</w:t>
      </w:r>
      <w:r>
        <w:rPr>
          <w:sz w:val="20"/>
          <w:szCs w:val="20"/>
          <w:color w:val="auto"/>
        </w:rPr>
        <w:tab/>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both"/>
        <w:ind w:right="40" w:firstLine="864"/>
        <w:spacing w:after="0" w:line="220"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If Autolus does not wish to Develop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BioNTech provides a Next Gen Development Plan Trigger Notice, and Autolus does not, at such time, intend to Develop further such Next Gen Product, then Autolus shall provide BioNTech with written notice and all material information and data relating to such Next Gen Product then in Autolus’s possession and, for a period of [***] after receipt of such notice and information, BioNTech has a right of first negotiation to such Next Gen Product to obtain rights in such Next Gen Product. During such [***], Autolus may not perform any Development, engage in discussions or enter into any agreement with any Third Party for the grant of any rights in relation to such Next Gen Product.</w:t>
      </w:r>
    </w:p>
    <w:p>
      <w:pPr>
        <w:spacing w:after="0" w:line="134" w:lineRule="exact"/>
        <w:rPr>
          <w:sz w:val="20"/>
          <w:szCs w:val="20"/>
          <w:color w:val="auto"/>
        </w:rPr>
      </w:pPr>
    </w:p>
    <w:p>
      <w:pPr>
        <w:ind w:left="580" w:hanging="574"/>
        <w:spacing w:after="0"/>
        <w:tabs>
          <w:tab w:leader="none" w:pos="580" w:val="left"/>
        </w:tabs>
        <w:numPr>
          <w:ilvl w:val="0"/>
          <w:numId w:val="9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To [***] and [***] Binders</w:t>
      </w:r>
    </w:p>
    <w:p>
      <w:pPr>
        <w:spacing w:after="0" w:line="165" w:lineRule="exact"/>
        <w:rPr>
          <w:sz w:val="20"/>
          <w:szCs w:val="20"/>
          <w:color w:val="auto"/>
        </w:rPr>
      </w:pPr>
    </w:p>
    <w:p>
      <w:pPr>
        <w:ind w:right="60" w:firstLine="864"/>
        <w:spacing w:after="0" w:line="245" w:lineRule="auto"/>
        <w:rPr>
          <w:sz w:val="20"/>
          <w:szCs w:val="20"/>
          <w:color w:val="auto"/>
        </w:rPr>
      </w:pPr>
      <w:r>
        <w:rPr>
          <w:rFonts w:ascii="Times New Roman" w:cs="Times New Roman" w:eastAsia="Times New Roman" w:hAnsi="Times New Roman"/>
          <w:sz w:val="18"/>
          <w:szCs w:val="18"/>
          <w:color w:val="auto"/>
        </w:rPr>
        <w:t xml:space="preserve">5 . 1 </w:t>
      </w:r>
      <w:r>
        <w:rPr>
          <w:rFonts w:ascii="Times New Roman" w:cs="Times New Roman" w:eastAsia="Times New Roman" w:hAnsi="Times New Roman"/>
          <w:sz w:val="18"/>
          <w:szCs w:val="18"/>
          <w:b w:val="1"/>
          <w:bCs w:val="1"/>
          <w:color w:val="auto"/>
        </w:rPr>
        <w:t>License Grant</w:t>
      </w:r>
      <w:r>
        <w:rPr>
          <w:rFonts w:ascii="Times New Roman" w:cs="Times New Roman" w:eastAsia="Times New Roman" w:hAnsi="Times New Roman"/>
          <w:sz w:val="18"/>
          <w:szCs w:val="18"/>
          <w:color w:val="auto"/>
        </w:rPr>
        <w:t>. Subject to the terms and conditions of this Agreement, with effect from the Effective Date, Autolus hereby grants to BioNTech:</w:t>
      </w:r>
    </w:p>
    <w:p>
      <w:pPr>
        <w:spacing w:after="0" w:line="134" w:lineRule="exact"/>
        <w:rPr>
          <w:sz w:val="20"/>
          <w:szCs w:val="20"/>
          <w:color w:val="auto"/>
        </w:rPr>
      </w:pPr>
    </w:p>
    <w:p>
      <w:pPr>
        <w:jc w:val="both"/>
        <w:ind w:right="40" w:firstLine="1158"/>
        <w:spacing w:after="0" w:line="229" w:lineRule="auto"/>
        <w:tabs>
          <w:tab w:leader="none" w:pos="1729"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(including as to Autolus and its Affiliates), sub-licensable (subject to Section 5.3), payment-bearing, worldwide license under the [***] Licensed IP (i) to Develop the [***] Licensed Binder and the [***] Licensed Binder in connection with a [***] Licensed Product, and (ii)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25</w:t>
      </w:r>
    </w:p>
    <w:p>
      <w:pPr>
        <w:sectPr>
          <w:pgSz w:w="11900" w:h="16840" w:orient="portrait"/>
          <w:cols w:equalWidth="0" w:num="1">
            <w:col w:w="10600"/>
          </w:cols>
          <w:pgMar w:left="660" w:top="1440" w:right="640" w:bottom="1440" w:gutter="0" w:footer="0" w:header="0"/>
        </w:sectPr>
      </w:pPr>
    </w:p>
    <w:bookmarkStart w:id="933" w:name="page934"/>
    <w:bookmarkEnd w:id="933"/>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Exploit [***] Licensed Products directed to [***], in each case of (i) and (ii), in the Field in the Territory (“[***]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and</w:t>
      </w:r>
    </w:p>
    <w:p>
      <w:pPr>
        <w:spacing w:after="0" w:line="169" w:lineRule="exact"/>
        <w:rPr>
          <w:sz w:val="20"/>
          <w:szCs w:val="20"/>
          <w:color w:val="auto"/>
        </w:rPr>
      </w:pPr>
    </w:p>
    <w:p>
      <w:pPr>
        <w:ind w:right="20" w:firstLine="1158"/>
        <w:spacing w:after="0"/>
        <w:tabs>
          <w:tab w:leader="none" w:pos="1717"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non-exclusive, non-transferable, limited, non-sublicensable (other than to Third Party Evaluators) license under the [***] Licensed IP to research and Develop (only up to and including [***]) a CAR-T Cell Therapy;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t>
      </w:r>
    </w:p>
    <w:p>
      <w:pPr>
        <w:spacing w:after="0" w:line="134" w:lineRule="exact"/>
        <w:rPr>
          <w:sz w:val="20"/>
          <w:szCs w:val="20"/>
          <w:color w:val="auto"/>
        </w:rPr>
      </w:pPr>
    </w:p>
    <w:p>
      <w:pPr>
        <w:jc w:val="both"/>
        <w:ind w:right="40" w:firstLine="864"/>
        <w:spacing w:after="0" w:line="220"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Right of Negotiation</w:t>
      </w:r>
      <w:r>
        <w:rPr>
          <w:rFonts w:ascii="Times New Roman" w:cs="Times New Roman" w:eastAsia="Times New Roman" w:hAnsi="Times New Roman"/>
          <w:sz w:val="18"/>
          <w:szCs w:val="18"/>
          <w:color w:val="auto"/>
        </w:rPr>
        <w:t>. If BioNTech, its Affiliates or Sublicensees wishes to Exploit any [***] Licensed Product in combination with a CAR-T Cell Therapy that [***] (the “</w:t>
      </w:r>
      <w:r>
        <w:rPr>
          <w:rFonts w:ascii="Times New Roman" w:cs="Times New Roman" w:eastAsia="Times New Roman" w:hAnsi="Times New Roman"/>
          <w:sz w:val="18"/>
          <w:szCs w:val="18"/>
          <w:b w:val="1"/>
          <w:bCs w:val="1"/>
          <w:color w:val="auto"/>
        </w:rPr>
        <w:t>Autolus [***] CAR -T</w:t>
      </w:r>
      <w:r>
        <w:rPr>
          <w:rFonts w:ascii="Times New Roman" w:cs="Times New Roman" w:eastAsia="Times New Roman" w:hAnsi="Times New Roman"/>
          <w:sz w:val="18"/>
          <w:szCs w:val="18"/>
          <w:color w:val="auto"/>
        </w:rPr>
        <w:t>”), then prior to [***], BioNTech shall provide Autolus with prior written notice and grants, and shall procure the grant of, to Autolus, for a period of [***] after receipt of such notice, a right of first negotiation to, [***], negotiate and enter into an agreement with BioNTech, its Affiliate or Sublicensee (as applicable) for Autolus or its Affiliate to be BioNTech’s partner for such combination therapy, whereby [***] Licensed Product would be used in combination with such Autolus [***] CAR- T. Prior to or during such [***] period, BioNTech, its Affiliates and Sublicensees shall [***].</w:t>
      </w:r>
    </w:p>
    <w:p>
      <w:pPr>
        <w:spacing w:after="0" w:line="134" w:lineRule="exact"/>
        <w:rPr>
          <w:sz w:val="20"/>
          <w:szCs w:val="20"/>
          <w:color w:val="auto"/>
        </w:rPr>
      </w:pPr>
    </w:p>
    <w:p>
      <w:pPr>
        <w:jc w:val="both"/>
        <w:ind w:firstLine="864"/>
        <w:spacing w:after="0" w:line="22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Sublicense Rights; Subcontracting</w:t>
      </w:r>
      <w:r>
        <w:rPr>
          <w:rFonts w:ascii="Times New Roman" w:cs="Times New Roman" w:eastAsia="Times New Roman" w:hAnsi="Times New Roman"/>
          <w:sz w:val="18"/>
          <w:szCs w:val="18"/>
          <w:color w:val="auto"/>
        </w:rPr>
        <w:t>. Subject to the terms and conditions of this Agreement, BioNTech may sublicense the rights granted to it by Autolus under Section 5.1, including in connection with subcontracting to Third Parties whose business is to provide services to other entities, including contract research organizations, contract laboratory testing providers, contract manufacturing organizations, contract sales force providers, contract employees, and scientific, regulatory or other expert consultants and professional advisors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xml:space="preserve">”) the rights or performance of tasks and obligations with respect to the Exploitation of [***]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39" w:lineRule="exact"/>
        <w:rPr>
          <w:sz w:val="20"/>
          <w:szCs w:val="20"/>
          <w:color w:val="auto"/>
        </w:rPr>
      </w:pPr>
    </w:p>
    <w:p>
      <w:pPr>
        <w:ind w:right="60" w:firstLine="1158"/>
        <w:spacing w:after="0"/>
        <w:tabs>
          <w:tab w:leader="none" w:pos="1729"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is not permitted to grant a sublicense under the rights granted to it by Autolus under Section 5.1 that permits the Sublicensee to Develop or otherwise use a [***] Licensed Binder and/or a [***] Licensed Binder:</w:t>
      </w:r>
    </w:p>
    <w:p>
      <w:pPr>
        <w:spacing w:after="0" w:line="136" w:lineRule="exact"/>
        <w:rPr>
          <w:rFonts w:ascii="Times New Roman" w:cs="Times New Roman" w:eastAsia="Times New Roman" w:hAnsi="Times New Roman"/>
          <w:sz w:val="18"/>
          <w:szCs w:val="18"/>
          <w:color w:val="auto"/>
        </w:rPr>
      </w:pPr>
    </w:p>
    <w:p>
      <w:pPr>
        <w:ind w:left="2880" w:hanging="569"/>
        <w:spacing w:after="0"/>
        <w:tabs>
          <w:tab w:leader="none" w:pos="2880" w:val="left"/>
        </w:tabs>
        <w:numPr>
          <w:ilvl w:val="1"/>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purpose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 and</w:t>
      </w:r>
    </w:p>
    <w:p>
      <w:pPr>
        <w:spacing w:after="0" w:line="165" w:lineRule="exact"/>
        <w:rPr>
          <w:rFonts w:ascii="Times New Roman" w:cs="Times New Roman" w:eastAsia="Times New Roman" w:hAnsi="Times New Roman"/>
          <w:sz w:val="18"/>
          <w:szCs w:val="18"/>
          <w:color w:val="auto"/>
        </w:rPr>
      </w:pPr>
    </w:p>
    <w:p>
      <w:pPr>
        <w:ind w:right="40" w:firstLine="2311"/>
        <w:spacing w:after="0" w:line="242" w:lineRule="auto"/>
        <w:tabs>
          <w:tab w:leader="none" w:pos="2881" w:val="left"/>
        </w:tabs>
        <w:numPr>
          <w:ilvl w:val="1"/>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purpose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 under: (1) [***] described in clause (i), or (2) [***] described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 then unless [***];</w:t>
      </w:r>
    </w:p>
    <w:p>
      <w:pPr>
        <w:spacing w:after="0" w:line="136"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sublicenses shall be in writing and be consistent with the applicable terms and conditions of this Agreement;</w:t>
      </w:r>
    </w:p>
    <w:p>
      <w:pPr>
        <w:spacing w:after="0" w:line="165"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29"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shall remain responsible for the performance of all of its Sublicensees to the same extent as if such activities were conducted by BioNTech, and, as between the Parties, BioNTech shall remain responsible for any payments due to Autolus under this Agreement with respect to activities of any Sublicensees; and</w:t>
      </w:r>
    </w:p>
    <w:p>
      <w:pPr>
        <w:spacing w:after="0" w:line="139" w:lineRule="exact"/>
        <w:rPr>
          <w:rFonts w:ascii="Times New Roman" w:cs="Times New Roman" w:eastAsia="Times New Roman" w:hAnsi="Times New Roman"/>
          <w:sz w:val="18"/>
          <w:szCs w:val="18"/>
          <w:color w:val="auto"/>
        </w:rPr>
      </w:pPr>
    </w:p>
    <w:p>
      <w:pPr>
        <w:ind w:right="60" w:firstLine="1158"/>
        <w:spacing w:after="0"/>
        <w:tabs>
          <w:tab w:leader="none" w:pos="1717"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 after the execution of any sublicense agreement with a Sublicensee, BioNTech shall provide Autolus with a copy of such sublicense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BioNTech may redact any terms of such sublicense agreement (i) [***] or (ii) [***].</w:t>
      </w:r>
    </w:p>
    <w:p>
      <w:pPr>
        <w:spacing w:after="0" w:line="134" w:lineRule="exact"/>
        <w:rPr>
          <w:sz w:val="20"/>
          <w:szCs w:val="20"/>
          <w:color w:val="auto"/>
        </w:rPr>
      </w:pPr>
    </w:p>
    <w:p>
      <w:pPr>
        <w:jc w:val="both"/>
        <w:ind w:right="60" w:firstLine="864"/>
        <w:spacing w:after="0" w:line="24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Retention of Rights</w:t>
      </w:r>
      <w:r>
        <w:rPr>
          <w:rFonts w:ascii="Times New Roman" w:cs="Times New Roman" w:eastAsia="Times New Roman" w:hAnsi="Times New Roman"/>
          <w:sz w:val="18"/>
          <w:szCs w:val="18"/>
          <w:color w:val="auto"/>
        </w:rPr>
        <w:t>. Autolus hereby expressly reserves the right to practice, and to grant licenses under, the [***] Licensed IP outside the scope of the licenses granted to BioNTech pursuant to Section 5.1.</w:t>
      </w:r>
    </w:p>
    <w:p>
      <w:pPr>
        <w:spacing w:after="0" w:line="130" w:lineRule="exact"/>
        <w:rPr>
          <w:sz w:val="20"/>
          <w:szCs w:val="20"/>
          <w:color w:val="auto"/>
        </w:rPr>
      </w:pPr>
    </w:p>
    <w:p>
      <w:pPr>
        <w:jc w:val="both"/>
        <w:ind w:right="40" w:firstLine="864"/>
        <w:spacing w:after="0" w:line="222" w:lineRule="auto"/>
        <w:rPr>
          <w:sz w:val="20"/>
          <w:szCs w:val="20"/>
          <w:color w:val="auto"/>
        </w:rPr>
      </w:pPr>
      <w:r>
        <w:rPr>
          <w:rFonts w:ascii="Times New Roman" w:cs="Times New Roman" w:eastAsia="Times New Roman" w:hAnsi="Times New Roman"/>
          <w:sz w:val="18"/>
          <w:szCs w:val="18"/>
          <w:color w:val="auto"/>
        </w:rPr>
        <w:t xml:space="preserve">5 . 5 </w:t>
      </w:r>
      <w:r>
        <w:rPr>
          <w:rFonts w:ascii="Times New Roman" w:cs="Times New Roman" w:eastAsia="Times New Roman" w:hAnsi="Times New Roman"/>
          <w:sz w:val="18"/>
          <w:szCs w:val="18"/>
          <w:b w:val="1"/>
          <w:bCs w:val="1"/>
          <w:color w:val="auto"/>
        </w:rPr>
        <w:t>No Implied Licenses</w:t>
      </w:r>
      <w:r>
        <w:rPr>
          <w:rFonts w:ascii="Times New Roman" w:cs="Times New Roman" w:eastAsia="Times New Roman" w:hAnsi="Times New Roman"/>
          <w:sz w:val="18"/>
          <w:szCs w:val="18"/>
          <w:color w:val="auto"/>
        </w:rPr>
        <w:t>. Except as expressly provided in this Agreement, neither Party shall acquire any license or other intellectual property interest, by implication, estoppel, or otherwise, under or to any Patents, Know-How, information, or other intellectual property owned or controlled by the other Party. BioNTech shall not, nor shall it permit any of its Affiliates or Sublicensees to, practice any Patents or Know-How licensed to it by Autolus outside the scope of the licenses granted to it under this Agreement, except as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26</w:t>
      </w:r>
    </w:p>
    <w:p>
      <w:pPr>
        <w:sectPr>
          <w:pgSz w:w="11900" w:h="16840" w:orient="portrait"/>
          <w:cols w:equalWidth="0" w:num="1">
            <w:col w:w="10600"/>
          </w:cols>
          <w:pgMar w:left="660" w:top="1440" w:right="640" w:bottom="1440" w:gutter="0" w:footer="0" w:header="0"/>
        </w:sectPr>
      </w:pPr>
    </w:p>
    <w:bookmarkStart w:id="934" w:name="page935"/>
    <w:bookmarkEnd w:id="934"/>
    <w:p>
      <w:pPr>
        <w:spacing w:after="0" w:line="254" w:lineRule="exact"/>
        <w:rPr>
          <w:sz w:val="20"/>
          <w:szCs w:val="20"/>
          <w:color w:val="auto"/>
        </w:rPr>
      </w:pPr>
    </w:p>
    <w:p>
      <w:pPr>
        <w:jc w:val="both"/>
        <w:ind w:firstLine="864"/>
        <w:spacing w:after="0" w:line="225" w:lineRule="auto"/>
        <w:rPr>
          <w:sz w:val="20"/>
          <w:szCs w:val="20"/>
          <w:color w:val="auto"/>
        </w:rPr>
      </w:pPr>
      <w:r>
        <w:rPr>
          <w:rFonts w:ascii="Times New Roman" w:cs="Times New Roman" w:eastAsia="Times New Roman" w:hAnsi="Times New Roman"/>
          <w:sz w:val="18"/>
          <w:szCs w:val="18"/>
          <w:color w:val="auto"/>
        </w:rPr>
        <w:t xml:space="preserve">5 . 6 </w:t>
      </w:r>
      <w:r>
        <w:rPr>
          <w:rFonts w:ascii="Times New Roman" w:cs="Times New Roman" w:eastAsia="Times New Roman" w:hAnsi="Times New Roman"/>
          <w:sz w:val="18"/>
          <w:szCs w:val="18"/>
          <w:b w:val="1"/>
          <w:bCs w:val="1"/>
          <w:color w:val="auto"/>
        </w:rPr>
        <w:t>Scope</w:t>
      </w:r>
      <w:r>
        <w:rPr>
          <w:rFonts w:ascii="Times New Roman" w:cs="Times New Roman" w:eastAsia="Times New Roman" w:hAnsi="Times New Roman"/>
          <w:sz w:val="18"/>
          <w:szCs w:val="18"/>
          <w:color w:val="auto"/>
        </w:rPr>
        <w:t>. For clarity, subject to the terms of this Agreement (including Section 5.1 and Section 5.2), the licenses granted to BioNTech by Autolus to Exploit [***] Licensed Products extend to BioNTech being able to Exploit [***] Licensed Products in conjunction with BioNTech’s own products, product components, or other technologies or Third Party products, product components, or other technologies, in each case, whether through co-formulation, co-packaging, co-administration, or any other use as part of a Combination Product or combination therapy.</w:t>
      </w:r>
    </w:p>
    <w:p>
      <w:pPr>
        <w:spacing w:after="0" w:line="140" w:lineRule="exact"/>
        <w:rPr>
          <w:sz w:val="20"/>
          <w:szCs w:val="20"/>
          <w:color w:val="auto"/>
        </w:rPr>
      </w:pPr>
    </w:p>
    <w:p>
      <w:pPr>
        <w:jc w:val="both"/>
        <w:ind w:right="20" w:firstLine="864"/>
        <w:spacing w:after="0" w:line="224" w:lineRule="auto"/>
        <w:rPr>
          <w:sz w:val="20"/>
          <w:szCs w:val="20"/>
          <w:color w:val="auto"/>
        </w:rPr>
      </w:pPr>
      <w:r>
        <w:rPr>
          <w:rFonts w:ascii="Times New Roman" w:cs="Times New Roman" w:eastAsia="Times New Roman" w:hAnsi="Times New Roman"/>
          <w:sz w:val="18"/>
          <w:szCs w:val="18"/>
          <w:color w:val="auto"/>
        </w:rPr>
        <w:t>5.7 [***]. In the event that [***], BioNTech hereby grants to Autolus a non-exclusive, [***] irrevocable, perpetual license in the Field in the Territory under [***] Binder [***] Patent in the field of [***] only in the Territory solely for Autolus, its Affiliates and Autolus Licensees to Exploit [***] in the field of [***] in the Territory. Any sublicenses shall be in writing and be consistent with the applicable terms and conditions of this Agreement. As used in this Section 5.7, “[***]” means [***].</w:t>
      </w:r>
    </w:p>
    <w:p>
      <w:pPr>
        <w:spacing w:after="0" w:line="136" w:lineRule="exact"/>
        <w:rPr>
          <w:sz w:val="20"/>
          <w:szCs w:val="20"/>
          <w:color w:val="auto"/>
        </w:rPr>
      </w:pPr>
    </w:p>
    <w:p>
      <w:pPr>
        <w:jc w:val="both"/>
        <w:ind w:right="60" w:firstLine="864"/>
        <w:spacing w:after="0" w:line="222" w:lineRule="auto"/>
        <w:rPr>
          <w:sz w:val="20"/>
          <w:szCs w:val="20"/>
          <w:color w:val="auto"/>
        </w:rPr>
      </w:pPr>
      <w:r>
        <w:rPr>
          <w:rFonts w:ascii="Times New Roman" w:cs="Times New Roman" w:eastAsia="Times New Roman" w:hAnsi="Times New Roman"/>
          <w:sz w:val="18"/>
          <w:szCs w:val="18"/>
          <w:color w:val="auto"/>
        </w:rPr>
        <w:t xml:space="preserve">5 . 8 </w:t>
      </w:r>
      <w:r>
        <w:rPr>
          <w:rFonts w:ascii="Times New Roman" w:cs="Times New Roman" w:eastAsia="Times New Roman" w:hAnsi="Times New Roman"/>
          <w:sz w:val="18"/>
          <w:szCs w:val="18"/>
          <w:b w:val="1"/>
          <w:bCs w:val="1"/>
          <w:color w:val="auto"/>
        </w:rPr>
        <w:t>Transfer of Know-How</w:t>
      </w:r>
      <w:r>
        <w:rPr>
          <w:rFonts w:ascii="Times New Roman" w:cs="Times New Roman" w:eastAsia="Times New Roman" w:hAnsi="Times New Roman"/>
          <w:sz w:val="18"/>
          <w:szCs w:val="18"/>
          <w:color w:val="auto"/>
        </w:rPr>
        <w:t xml:space="preserve"> . [***], Autolus shall transfer, disclose and otherwise make available to BioNTech the Initial Tech Transfer Package. If, following such initial transfer BioNTech notifies Autolus, in writing, of any specific (a) [***] Licensed Know-How, (b)</w:t>
      </w:r>
    </w:p>
    <w:p>
      <w:pPr>
        <w:spacing w:after="0" w:line="1" w:lineRule="exact"/>
        <w:rPr>
          <w:sz w:val="20"/>
          <w:szCs w:val="20"/>
          <w:color w:val="auto"/>
        </w:rPr>
      </w:pPr>
    </w:p>
    <w:p>
      <w:pPr>
        <w:ind w:firstLine="6"/>
        <w:spacing w:after="0" w:line="208" w:lineRule="auto"/>
        <w:tabs>
          <w:tab w:leader="none" w:pos="435"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Know-How, (c) Activity Enhancement Licensed Know-How, (d) Safety Switch Licensed Know-How or (e) [***] Licensed Know-How, in Autolus’s or its Affiliates’ Control, or Autolus identifies such Know How, in each case which has not previously been provided to BioNTech ([***]), then Autolus shall [***] disclose to BioNTech such Know-How. At BioNTech’s written request [***], Autolus shall provide reasonable assistance to BioNTech in analyzing and understanding the (i) [***] Licensed Know-How, (ii) [***] Licensed Know-How, (iii) Activity Enhancement Licensed Know-How, (iv) Safety Switch Licensed Know-How, (v) [***] Licensed Know-How, and (vi) Initial Tech Transfer Package, including making relevant personnel available to BioNTech, which may include [***]. Autolus shall, if requested [***], make no fewer than [***] FTEs, who shall be scientific or technical personnel of Autolus, available to BioNTech for [***]. For the avoidance of doubt,</w:t>
      </w:r>
    </w:p>
    <w:p>
      <w:pPr>
        <w:spacing w:after="0" w:line="4" w:lineRule="exact"/>
        <w:rPr>
          <w:rFonts w:ascii="Times New Roman" w:cs="Times New Roman" w:eastAsia="Times New Roman" w:hAnsi="Times New Roman"/>
          <w:sz w:val="18"/>
          <w:szCs w:val="18"/>
          <w:color w:val="auto"/>
        </w:rPr>
      </w:pPr>
    </w:p>
    <w:p>
      <w:pPr>
        <w:ind w:firstLine="6"/>
        <w:spacing w:after="0" w:line="228" w:lineRule="auto"/>
        <w:tabs>
          <w:tab w:leader="none" w:pos="435"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Tech Transfer Package, the [***] Licensed Know-How, [***] Licensed Know-How, Activity Enhancement Licensed Know-How, Safety Switch Licensed Know-How or [***] Licensed Know-How.</w:t>
      </w:r>
    </w:p>
    <w:p>
      <w:pPr>
        <w:spacing w:after="0" w:line="135"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18"/>
          <w:szCs w:val="18"/>
          <w:color w:val="auto"/>
        </w:rPr>
        <w:t xml:space="preserve">5 . 9 </w:t>
      </w:r>
      <w:r>
        <w:rPr>
          <w:rFonts w:ascii="Times New Roman" w:cs="Times New Roman" w:eastAsia="Times New Roman" w:hAnsi="Times New Roman"/>
          <w:sz w:val="18"/>
          <w:szCs w:val="18"/>
          <w:b w:val="1"/>
          <w:bCs w:val="1"/>
          <w:color w:val="auto"/>
        </w:rPr>
        <w:t>Development and Commercialization</w:t>
      </w:r>
      <w:r>
        <w:rPr>
          <w:rFonts w:ascii="Times New Roman" w:cs="Times New Roman" w:eastAsia="Times New Roman" w:hAnsi="Times New Roman"/>
          <w:sz w:val="18"/>
          <w:szCs w:val="18"/>
          <w:color w:val="auto"/>
        </w:rPr>
        <w:t>. BioNTech is responsible for conducting, at its sole expense, the Development and Commercialization of [***] Licensed Products in the Field in the Territory.</w:t>
      </w:r>
    </w:p>
    <w:p>
      <w:pPr>
        <w:spacing w:after="0" w:line="130"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b w:val="1"/>
          <w:bCs w:val="1"/>
          <w:color w:val="auto"/>
        </w:rPr>
        <w:t>[***] Licensed Product Diligence</w:t>
      </w:r>
      <w:r>
        <w:rPr>
          <w:rFonts w:ascii="Times New Roman" w:cs="Times New Roman" w:eastAsia="Times New Roman" w:hAnsi="Times New Roman"/>
          <w:sz w:val="18"/>
          <w:szCs w:val="18"/>
          <w:color w:val="auto"/>
        </w:rPr>
        <w:t>. BioNTech shall use Commercially Reasonable Efforts: to (a) [***], and (b) [***].</w:t>
      </w:r>
    </w:p>
    <w:p>
      <w:pPr>
        <w:spacing w:after="0" w:line="165" w:lineRule="exact"/>
        <w:rPr>
          <w:sz w:val="20"/>
          <w:szCs w:val="20"/>
          <w:color w:val="auto"/>
        </w:rPr>
      </w:pPr>
    </w:p>
    <w:p>
      <w:pPr>
        <w:jc w:val="both"/>
        <w:ind w:right="40" w:firstLine="864"/>
        <w:spacing w:after="0" w:line="231" w:lineRule="auto"/>
        <w:rPr>
          <w:sz w:val="20"/>
          <w:szCs w:val="20"/>
          <w:color w:val="auto"/>
        </w:rPr>
      </w:pPr>
      <w:r>
        <w:rPr>
          <w:rFonts w:ascii="Times New Roman" w:cs="Times New Roman" w:eastAsia="Times New Roman" w:hAnsi="Times New Roman"/>
          <w:sz w:val="18"/>
          <w:szCs w:val="18"/>
          <w:color w:val="auto"/>
        </w:rPr>
        <w:t xml:space="preserve">5 . 1 1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BioNTech shall, within [***] after [***] until [***], provide Autolus with a written report summarizing, [***] in respect of the [***] Licensed Binder, the [***] Licensed Binder, and [***] Licensed Products. All information and reports provided to Autolus pursuant to this Section 5.11 shall be deemed the Confidential Information of BioNTech hereunder.</w:t>
      </w:r>
    </w:p>
    <w:p>
      <w:pPr>
        <w:spacing w:after="0" w:line="13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right="40" w:firstLine="1158"/>
        <w:spacing w:after="0" w:line="222" w:lineRule="auto"/>
        <w:tabs>
          <w:tab w:leader="none" w:pos="1729"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As between the Parties, BioNTech has the sole responsibility for preparing and submitting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Filings and all Drug Approval Applications for all [***] Licensed Products in the Field in each country within the Territory. At the request of BioNTech [***], Autolus shall provide such assistance as is [***] for BioNTech to prepare and submit Regulatory Filings for [***] Licensed Products in the Field. BioNTech shall own and maintain all Regulatory Filings and Regulatory Approvals for [***] Licensed Products in the Field. [***], BioNTech shall notify Autolus of [***].</w:t>
      </w:r>
    </w:p>
    <w:p>
      <w:pPr>
        <w:spacing w:after="0" w:line="135" w:lineRule="exact"/>
        <w:rPr>
          <w:rFonts w:ascii="Times New Roman" w:cs="Times New Roman" w:eastAsia="Times New Roman" w:hAnsi="Times New Roman"/>
          <w:sz w:val="18"/>
          <w:szCs w:val="18"/>
          <w:color w:val="auto"/>
        </w:rPr>
      </w:pPr>
    </w:p>
    <w:p>
      <w:pPr>
        <w:jc w:val="both"/>
        <w:ind w:right="20" w:firstLine="1158"/>
        <w:spacing w:after="0" w:line="222" w:lineRule="auto"/>
        <w:tabs>
          <w:tab w:leader="none" w:pos="1717"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Adverse Event Reporting</w:t>
      </w:r>
      <w:r>
        <w:rPr>
          <w:rFonts w:ascii="Times New Roman" w:cs="Times New Roman" w:eastAsia="Times New Roman" w:hAnsi="Times New Roman"/>
          <w:sz w:val="18"/>
          <w:szCs w:val="18"/>
          <w:color w:val="auto"/>
        </w:rPr>
        <w:t>. Within [***], the Parties will discuss whether a pharmacovigilance agreement,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Party’s respective obligations with respect to adverse event reporting, monitoring, maintenance of safety databases and submissions to Regulatory Authorities and other similar obligations with respect to [***] Licensed Products [***]. If a [***], then within [***], the Parties shall [***]. Such [***]. Notwithstanding any other provisions of this Agreement, if [***], or [***] Licensed Product, or [***], then such Party shall provide the other Party with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27</w:t>
      </w:r>
    </w:p>
    <w:p>
      <w:pPr>
        <w:sectPr>
          <w:pgSz w:w="11900" w:h="16840" w:orient="portrait"/>
          <w:cols w:equalWidth="0" w:num="1">
            <w:col w:w="10580"/>
          </w:cols>
          <w:pgMar w:left="660" w:top="1440" w:right="660" w:bottom="1440" w:gutter="0" w:footer="0" w:header="0"/>
        </w:sectPr>
      </w:pPr>
    </w:p>
    <w:bookmarkStart w:id="935" w:name="page936"/>
    <w:bookmarkEnd w:id="935"/>
    <w:p>
      <w:pPr>
        <w:spacing w:after="0" w:line="254" w:lineRule="exact"/>
        <w:rPr>
          <w:sz w:val="20"/>
          <w:szCs w:val="20"/>
          <w:color w:val="auto"/>
        </w:rPr>
      </w:pPr>
    </w:p>
    <w:p>
      <w:pPr>
        <w:ind w:right="40" w:firstLine="1158"/>
        <w:spacing w:after="0" w:line="245" w:lineRule="auto"/>
        <w:tabs>
          <w:tab w:leader="none" w:pos="1729" w:val="left"/>
        </w:tabs>
        <w:numPr>
          <w:ilvl w:val="1"/>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Recalls</w:t>
      </w:r>
      <w:r>
        <w:rPr>
          <w:rFonts w:ascii="Times New Roman" w:cs="Times New Roman" w:eastAsia="Times New Roman" w:hAnsi="Times New Roman"/>
          <w:sz w:val="18"/>
          <w:szCs w:val="18"/>
          <w:color w:val="auto"/>
        </w:rPr>
        <w:t>. As between the Parties, BioNTech has the sole right to determine whether and how to implement a recall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withdrawal of a [***] Licensed Product in the Field in each country within the Territory.</w:t>
      </w:r>
    </w:p>
    <w:p>
      <w:pPr>
        <w:spacing w:after="0" w:line="129"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9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Technologies Options</w:t>
      </w:r>
    </w:p>
    <w:p>
      <w:pPr>
        <w:spacing w:after="0" w:line="165" w:lineRule="exact"/>
        <w:rPr>
          <w:sz w:val="20"/>
          <w:szCs w:val="20"/>
          <w:color w:val="auto"/>
        </w:rPr>
      </w:pPr>
    </w:p>
    <w:p>
      <w:pPr>
        <w:jc w:val="both"/>
        <w:ind w:firstLine="864"/>
        <w:spacing w:after="0" w:line="214" w:lineRule="auto"/>
        <w:rPr>
          <w:sz w:val="20"/>
          <w:szCs w:val="20"/>
          <w:color w:val="auto"/>
        </w:rPr>
      </w:pPr>
      <w:r>
        <w:rPr>
          <w:rFonts w:ascii="Times New Roman" w:cs="Times New Roman" w:eastAsia="Times New Roman" w:hAnsi="Times New Roman"/>
          <w:sz w:val="18"/>
          <w:szCs w:val="18"/>
          <w:color w:val="auto"/>
        </w:rPr>
        <w:t xml:space="preserve">6 . 1 </w:t>
      </w:r>
      <w:r>
        <w:rPr>
          <w:rFonts w:ascii="Times New Roman" w:cs="Times New Roman" w:eastAsia="Times New Roman" w:hAnsi="Times New Roman"/>
          <w:sz w:val="18"/>
          <w:szCs w:val="18"/>
          <w:b w:val="1"/>
          <w:bCs w:val="1"/>
          <w:color w:val="auto"/>
        </w:rPr>
        <w:t>Non-Exclusive License Grant</w:t>
      </w:r>
      <w:r>
        <w:rPr>
          <w:rFonts w:ascii="Times New Roman" w:cs="Times New Roman" w:eastAsia="Times New Roman" w:hAnsi="Times New Roman"/>
          <w:sz w:val="18"/>
          <w:szCs w:val="18"/>
          <w:color w:val="auto"/>
        </w:rPr>
        <w:t xml:space="preserve">. Subject to the terms and conditions of this Agreement and during the applicable Technologies Option Period, Autolus hereby grants to BioNTech a non- exclusive, non-transferable, limited, non-sublicensable (other than to Third Party Evaluators) license under the Technologies Option IP for BioNTech’s internal research purposes to evaluate whether BioNTech wishes to exercise a Technologies Option in respect of all or part of the Technologies Option Technology (“ </w:t>
      </w:r>
      <w:r>
        <w:rPr>
          <w:rFonts w:ascii="Times New Roman" w:cs="Times New Roman" w:eastAsia="Times New Roman" w:hAnsi="Times New Roman"/>
          <w:sz w:val="18"/>
          <w:szCs w:val="18"/>
          <w:b w:val="1"/>
          <w:bCs w:val="1"/>
          <w:color w:val="auto"/>
        </w:rPr>
        <w:t>Evaluation</w:t>
      </w:r>
      <w:r>
        <w:rPr>
          <w:rFonts w:ascii="Times New Roman" w:cs="Times New Roman" w:eastAsia="Times New Roman" w:hAnsi="Times New Roman"/>
          <w:sz w:val="18"/>
          <w:szCs w:val="18"/>
          <w:color w:val="auto"/>
        </w:rPr>
        <w:t xml:space="preserve">”). For the avoidance of doubt, BioNTech shall conduct the Evaluation solely in relation to (a) Activity Enhancement Licensed Products in the Field (and, with respect to Other AE Licensed Products, solely with respect to a Target that has been pre-cleared pursuant to Section 6.4), (b) [***] Licensed Products in the Field, (c) Safety Switch Licensed Products in the Safety Switch Field, and (d) [***] Licensed Products in the [***] Field. Such license shall commence on the Effective Date and shall expire: (i) in respect to the [***] Option, on the [***] (the “[***]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xml:space="preserve">”), (ii) in respect to the [***] Option, on the [***] (the “[***]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xml:space="preserve">”), and (iii) in respect to each Module Option, on the [***] (the “ </w:t>
      </w:r>
      <w:r>
        <w:rPr>
          <w:rFonts w:ascii="Times New Roman" w:cs="Times New Roman" w:eastAsia="Times New Roman" w:hAnsi="Times New Roman"/>
          <w:sz w:val="18"/>
          <w:szCs w:val="18"/>
          <w:b w:val="1"/>
          <w:bCs w:val="1"/>
          <w:color w:val="auto"/>
        </w:rPr>
        <w:t>Module Option Period</w:t>
      </w:r>
      <w:r>
        <w:rPr>
          <w:rFonts w:ascii="Times New Roman" w:cs="Times New Roman" w:eastAsia="Times New Roman" w:hAnsi="Times New Roman"/>
          <w:sz w:val="18"/>
          <w:szCs w:val="18"/>
          <w:color w:val="auto"/>
        </w:rPr>
        <w:t xml:space="preserve"> ”) . BioNTech shall ensure that any sublicenses of the rights under this Section 6.1 to Third Party Evaluators shall be in writing and be consistent with the applicable terms and conditions of this Agreement. BioNTech shall remain responsible for the performance of all of its Third Party Evaluators to the same extent as if such activities were conducted by BioNTech.</w:t>
      </w:r>
    </w:p>
    <w:p>
      <w:pPr>
        <w:spacing w:after="0" w:line="13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Transfer of Technologies Option Technology</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40" w:firstLine="1158"/>
        <w:spacing w:after="0" w:line="219" w:lineRule="auto"/>
        <w:tabs>
          <w:tab w:leader="none" w:pos="1729"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Autolus shall transfer to BioNTech such of the Technologies Option Technology, and in such quantities, as set out in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Transferred Materials</w:t>
      </w:r>
      <w:r>
        <w:rPr>
          <w:rFonts w:ascii="Times New Roman" w:cs="Times New Roman" w:eastAsia="Times New Roman" w:hAnsi="Times New Roman"/>
          <w:sz w:val="18"/>
          <w:szCs w:val="18"/>
          <w:color w:val="auto"/>
        </w:rPr>
        <w:t>”). BioNTech shall use the Transferred Materials and all Technologies Option Technology solely for the purposes of the Evaluation and for no other purpose. The Transferred Materials and all tangible embodiments of the Technologies Option Technology shall (i) at all times remain solely under the control of BioNTech or one of its Affiliates or Third Party Evaluators, (ii) be used in compliance with Applicable Laws, (iii) not be used by or delivered by BioNTech to or for the benefit of any Third Party, other than a Third Party Evaluator, without the prior written consent of Autolus, and (iv) not be used by BioNTech for any research or testing involving human subjects.</w:t>
      </w:r>
    </w:p>
    <w:p>
      <w:pPr>
        <w:spacing w:after="0" w:line="139" w:lineRule="exact"/>
        <w:rPr>
          <w:rFonts w:ascii="Times New Roman" w:cs="Times New Roman" w:eastAsia="Times New Roman" w:hAnsi="Times New Roman"/>
          <w:sz w:val="18"/>
          <w:szCs w:val="18"/>
          <w:color w:val="auto"/>
        </w:rPr>
      </w:pPr>
    </w:p>
    <w:p>
      <w:pPr>
        <w:jc w:val="both"/>
        <w:ind w:firstLine="1158"/>
        <w:spacing w:after="0" w:line="217" w:lineRule="auto"/>
        <w:tabs>
          <w:tab w:leader="none" w:pos="1717"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its Affiliates, and its Third Party Evaluators shall not attempt to reverse engineer, design around, deconstruct or in any way determine the structure or composition of the Transferred Materials without the prior written consent of Autolus, but it is acknowledged that as part of the Evaluation, BioNTech may [***]. BioNTech shall [***] and nothing in this Agreement restricts [***]. Autolus shall [***] and nothing in this Agreement restricts [***], unless and until [***]. BioNTech shall [***] in writing, providing [***]. BioNTech [***]. If any [***], neither Party shall be permitted to: (i) [***]; or (ii) [***], in each case (i) and (ii), unless and until a Technologies License Agreement regarding the Technologies Option Technology to which such [***] relates is executed, whereupon the terms of such Technologies License Agreement shall govern the Parties rights to use and Exploit [***].</w:t>
      </w:r>
    </w:p>
    <w:p>
      <w:pPr>
        <w:spacing w:after="0" w:line="142" w:lineRule="exact"/>
        <w:rPr>
          <w:rFonts w:ascii="Times New Roman" w:cs="Times New Roman" w:eastAsia="Times New Roman" w:hAnsi="Times New Roman"/>
          <w:sz w:val="18"/>
          <w:szCs w:val="18"/>
          <w:color w:val="auto"/>
        </w:rPr>
      </w:pPr>
    </w:p>
    <w:p>
      <w:pPr>
        <w:jc w:val="both"/>
        <w:ind w:right="20" w:firstLine="1158"/>
        <w:spacing w:after="0" w:line="221" w:lineRule="auto"/>
        <w:tabs>
          <w:tab w:leader="none" w:pos="1729"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Transferred Materials supplied to BioNTech are for experimental use only and are provided “as is” with no warranties of any kind, express or implied, including any warranty of merchantability or fitness for a particular purpose. Save as set forth in Article 15, the Technologies Option Technology supplied to BioNTech are for experimental use only and are provided “as is” with no warranties of any kind, express or implied, including any warranty of merchantability or fitness for a particular purpose. To the extent the Transferred Materials comprise cell lines, [***].</w:t>
      </w:r>
    </w:p>
    <w:p>
      <w:pPr>
        <w:spacing w:after="0" w:line="132"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shall provide Autolus with [***] updates on [***]. Each such update will be provided [***], and BioNTech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w:t>
      </w:r>
    </w:p>
    <w:p>
      <w:pPr>
        <w:spacing w:after="0" w:line="145" w:lineRule="exact"/>
        <w:rPr>
          <w:rFonts w:ascii="Times New Roman" w:cs="Times New Roman" w:eastAsia="Times New Roman" w:hAnsi="Times New Roman"/>
          <w:sz w:val="18"/>
          <w:szCs w:val="18"/>
          <w:color w:val="auto"/>
        </w:rPr>
      </w:pPr>
    </w:p>
    <w:p>
      <w:pPr>
        <w:ind w:right="40" w:firstLine="1158"/>
        <w:spacing w:after="0"/>
        <w:tabs>
          <w:tab w:leader="none" w:pos="1729"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BioNTech has completed the Evaluation, following the expiry of the Technologies Option Period without a Technologies License Agreement having been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28</w:t>
      </w:r>
    </w:p>
    <w:p>
      <w:pPr>
        <w:sectPr>
          <w:pgSz w:w="11900" w:h="16840" w:orient="portrait"/>
          <w:cols w:equalWidth="0" w:num="1">
            <w:col w:w="10580"/>
          </w:cols>
          <w:pgMar w:left="660" w:top="1440" w:right="660" w:bottom="1440" w:gutter="0" w:footer="0" w:header="0"/>
        </w:sectPr>
      </w:pPr>
    </w:p>
    <w:bookmarkStart w:id="936" w:name="page937"/>
    <w:bookmarkEnd w:id="936"/>
    <w:p>
      <w:pPr>
        <w:spacing w:after="0" w:line="2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BioNTech shall [***] return to Autolus or destroy, at Autolus’s instruction, any remaining Transferred Materials and cease all use of the Technologies Option Technology.</w:t>
      </w:r>
    </w:p>
    <w:p>
      <w:pPr>
        <w:spacing w:after="0" w:line="134" w:lineRule="exact"/>
        <w:rPr>
          <w:sz w:val="20"/>
          <w:szCs w:val="20"/>
          <w:color w:val="auto"/>
        </w:rPr>
      </w:pPr>
    </w:p>
    <w:p>
      <w:pPr>
        <w:jc w:val="both"/>
        <w:ind w:right="20" w:firstLine="864"/>
        <w:spacing w:after="0" w:line="220"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Autolus grants to BioNTech, with effect from the Effective Date, the option (which is an exclusive option, solely with respect to (1) the [***] Option, (2) the [***] Option and (3) the option for a Co -Exclusive license in respect of the In Vivo AE Licensed Products), during the Technologies Option Period, to receive, in any combination, one or more of the following licenses, which (i) with respect to the [***] Option is solely exercisable in respect of [***], (ii) with respect to the [***] Option is solely exercisable in respect of [***], and (iii) with respect to each Module Option is exercisable on a Target-by-Target basis in respect of a specified Target, without a cap on the number of times that BioNTech may exercise a Module Option:</w:t>
      </w:r>
    </w:p>
    <w:p>
      <w:pPr>
        <w:spacing w:after="0" w:line="131" w:lineRule="exact"/>
        <w:rPr>
          <w:sz w:val="20"/>
          <w:szCs w:val="20"/>
          <w:color w:val="auto"/>
        </w:rPr>
      </w:pPr>
    </w:p>
    <w:p>
      <w:pPr>
        <w:ind w:left="1740" w:hanging="582"/>
        <w:spacing w:after="0"/>
        <w:tabs>
          <w:tab w:leader="none" w:pos="1740" w:val="left"/>
        </w:tabs>
        <w:numPr>
          <w:ilvl w:val="1"/>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exclusive, payment-bearing, license under the [***] Licensed IP (1) to Develop the [***] Licensed Binder and the</w:t>
      </w:r>
    </w:p>
    <w:p>
      <w:pPr>
        <w:ind w:left="440" w:hanging="434"/>
        <w:spacing w:after="0" w:line="208" w:lineRule="auto"/>
        <w:tabs>
          <w:tab w:leader="none" w:pos="44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Binder in connection with a [***] Licensed Product, and (2) to Exploit [***] Licensed Products directed to [***], in each case of</w:t>
      </w:r>
    </w:p>
    <w:p>
      <w:pPr>
        <w:jc w:val="both"/>
        <w:ind w:right="40"/>
        <w:spacing w:after="0" w:line="2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and (2), in the [***] Field, (ii) a non-exclusive, non-transferable, limited, non-sublicensable (other than to Third Party Evaluators) license under the [***] Licensed IP to research and Develop (only up to and including [***]) a CAR-T Cell Therapy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 and (B)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 and (iii) a non-exclusive license under the [***] Licensed IP to Exploit [***] in conjunction with one or more</w:t>
      </w:r>
    </w:p>
    <w:p>
      <w:pPr>
        <w:spacing w:after="0" w:line="1"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Licensed Products in the [***] Field (the “[***]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jc w:val="both"/>
        <w:ind w:right="40" w:firstLine="1158"/>
        <w:spacing w:after="0" w:line="224" w:lineRule="auto"/>
        <w:tabs>
          <w:tab w:leader="none" w:pos="1717"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 exclusive, payment-bearing, license under the [***] Licensed IP (1) to Develop the [***] Licensed Binder in connection with a [***] Licensed Product, and (2) to Exploit [***] Licensed Products in the Field, and (ii) a non-exclusive, non-transferable, limited, non-sublicensable (other than to Third Party Evaluators) license under the [***] Licensed IP to research and Develop (only up to and including [***]) a CAR-T Cell Therapy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 and (B)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 (the “[***]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right="40" w:firstLine="1158"/>
        <w:spacing w:after="0"/>
        <w:tabs>
          <w:tab w:leader="none" w:pos="1729"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non-exclusive, payment-bearing, license under the Safety Switch Licensed IP to Exploit Safety Switch Licensed Products directed to such specified Target, in the Safety Switch Field (the “</w:t>
      </w:r>
      <w:r>
        <w:rPr>
          <w:rFonts w:ascii="Times New Roman" w:cs="Times New Roman" w:eastAsia="Times New Roman" w:hAnsi="Times New Roman"/>
          <w:sz w:val="18"/>
          <w:szCs w:val="18"/>
          <w:b w:val="1"/>
          <w:bCs w:val="1"/>
          <w:color w:val="auto"/>
        </w:rPr>
        <w:t>Safety Switch Option</w:t>
      </w:r>
      <w:r>
        <w:rPr>
          <w:rFonts w:ascii="Times New Roman" w:cs="Times New Roman" w:eastAsia="Times New Roman" w:hAnsi="Times New Roman"/>
          <w:sz w:val="18"/>
          <w:szCs w:val="18"/>
          <w:color w:val="auto"/>
        </w:rPr>
        <w:t>”), and</w:t>
      </w:r>
    </w:p>
    <w:p>
      <w:pPr>
        <w:spacing w:after="0" w:line="138"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17"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Co-Exclusive, payment-bearing license under the Activity Enhancement Licensed IP to Exploit Activity Enhancement Licensed Products that express In Vivo any Activity Enhancement Licensed Technology (“ </w:t>
      </w:r>
      <w:r>
        <w:rPr>
          <w:rFonts w:ascii="Times New Roman" w:cs="Times New Roman" w:eastAsia="Times New Roman" w:hAnsi="Times New Roman"/>
          <w:sz w:val="18"/>
          <w:szCs w:val="18"/>
          <w:b w:val="1"/>
          <w:bCs w:val="1"/>
          <w:color w:val="auto"/>
        </w:rPr>
        <w:t>In Vivo AE Licensed Products</w:t>
      </w:r>
      <w:r>
        <w:rPr>
          <w:rFonts w:ascii="Times New Roman" w:cs="Times New Roman" w:eastAsia="Times New Roman" w:hAnsi="Times New Roman"/>
          <w:sz w:val="18"/>
          <w:szCs w:val="18"/>
          <w:color w:val="auto"/>
        </w:rPr>
        <w:t xml:space="preserve"> ”) and are directed to such specified Target in the Field, and</w:t>
      </w:r>
    </w:p>
    <w:p>
      <w:pPr>
        <w:spacing w:after="0" w:line="139" w:lineRule="exact"/>
        <w:rPr>
          <w:rFonts w:ascii="Times New Roman" w:cs="Times New Roman" w:eastAsia="Times New Roman" w:hAnsi="Times New Roman"/>
          <w:sz w:val="18"/>
          <w:szCs w:val="18"/>
          <w:color w:val="auto"/>
        </w:rPr>
      </w:pPr>
    </w:p>
    <w:p>
      <w:pPr>
        <w:ind w:right="40" w:firstLine="1158"/>
        <w:spacing w:after="0" w:line="219" w:lineRule="auto"/>
        <w:tabs>
          <w:tab w:leader="none" w:pos="1729"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non-exclusive, payment-bearing license under the Activity Enhancement Licensed IP to Exploit Activity Enhancement Licensed Products that do not express In Vivo any Activity Enhancement Licensed Technology (“ </w:t>
      </w:r>
      <w:r>
        <w:rPr>
          <w:rFonts w:ascii="Times New Roman" w:cs="Times New Roman" w:eastAsia="Times New Roman" w:hAnsi="Times New Roman"/>
          <w:sz w:val="18"/>
          <w:szCs w:val="18"/>
          <w:b w:val="1"/>
          <w:bCs w:val="1"/>
          <w:color w:val="auto"/>
        </w:rPr>
        <w:t>Other AE Licensed Products</w:t>
      </w:r>
      <w:r>
        <w:rPr>
          <w:rFonts w:ascii="Times New Roman" w:cs="Times New Roman" w:eastAsia="Times New Roman" w:hAnsi="Times New Roman"/>
          <w:sz w:val="18"/>
          <w:szCs w:val="18"/>
          <w:color w:val="auto"/>
        </w:rPr>
        <w:t xml:space="preserve">”) and are directed to such specified Target in the Field,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non-exclusive license in relation to a given Target is not effective unless and until such Target has been deemed Available pursuant to the gatekeeping procedure in Section 6.4. For clarity, if a specified Target is not Available then BioNTech may still exercise the Activity Enhancement Option on such Target to practice the Co-Exclusive license granted in relation to In Vivo AE Licensed Products.</w:t>
      </w:r>
    </w:p>
    <w:p>
      <w:pPr>
        <w:spacing w:after="0" w:line="139" w:lineRule="exact"/>
        <w:rPr>
          <w:sz w:val="20"/>
          <w:szCs w:val="20"/>
          <w:color w:val="auto"/>
        </w:rPr>
      </w:pPr>
    </w:p>
    <w:p>
      <w:pPr>
        <w:jc w:val="both"/>
        <w:ind w:right="60" w:firstLine="576"/>
        <w:spacing w:after="0" w:line="229" w:lineRule="auto"/>
        <w:rPr>
          <w:sz w:val="20"/>
          <w:szCs w:val="20"/>
          <w:color w:val="auto"/>
        </w:rPr>
      </w:pPr>
      <w:r>
        <w:rPr>
          <w:rFonts w:ascii="Times New Roman" w:cs="Times New Roman" w:eastAsia="Times New Roman" w:hAnsi="Times New Roman"/>
          <w:sz w:val="18"/>
          <w:szCs w:val="18"/>
          <w:color w:val="auto"/>
        </w:rPr>
        <w:t>The licenses for which BioNTech has an option under this Section 6.3 and that will be granted under the applicable Technologies License Agreement following BioNTech’s exercise of a Technologies Option, if any, may be sublicensed on the terms set forth in Section 2.2 of the applicable Technologies License Agreement.</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BioNTech, its Affiliates or Sublicensees wishes to Exploit any [***] Licensed Product in combination with a CAR-T Cell Therapy that</w:t>
      </w:r>
    </w:p>
    <w:p>
      <w:pPr>
        <w:jc w:val="both"/>
        <w:ind w:firstLine="6"/>
        <w:spacing w:after="0" w:line="218" w:lineRule="auto"/>
        <w:tabs>
          <w:tab w:leader="none" w:pos="441"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Autolus [***] CAR-T</w:t>
      </w:r>
      <w:r>
        <w:rPr>
          <w:rFonts w:ascii="Times New Roman" w:cs="Times New Roman" w:eastAsia="Times New Roman" w:hAnsi="Times New Roman"/>
          <w:sz w:val="18"/>
          <w:szCs w:val="18"/>
          <w:color w:val="auto"/>
        </w:rPr>
        <w:t>”), then prior to [***], BioNTech shall provide Autolus with prior written notice and grants, and shall procure the grant of, to Autolus, for a period of [***] after receipt of such notice, a right of first negotiation to, [***], negotiate and enter into an agreement with BioNTech, its Affiliate or Sublicensee (as applicable) for Autolus or its Affiliate to be BioNTech’s partner for such combination therapy, whereby such [***]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29</w:t>
      </w:r>
    </w:p>
    <w:p>
      <w:pPr>
        <w:sectPr>
          <w:pgSz w:w="11900" w:h="16840" w:orient="portrait"/>
          <w:cols w:equalWidth="0" w:num="1">
            <w:col w:w="10600"/>
          </w:cols>
          <w:pgMar w:left="660" w:top="1440" w:right="640" w:bottom="1440" w:gutter="0" w:footer="0" w:header="0"/>
        </w:sectPr>
      </w:pPr>
    </w:p>
    <w:bookmarkStart w:id="937" w:name="page938"/>
    <w:bookmarkEnd w:id="937"/>
    <w:p>
      <w:pPr>
        <w:spacing w:after="0" w:line="25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would be used in combination with such Autolus [***] CAR-T. Prior to or during such [***] period, BioNTech, its Affiliates and Sublicensees shall [***].</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BioNTech, its Affiliates or Sublicensees wishes to Exploit any [***] Licensed Product in combination with a CAR-T Cell Therapy that</w:t>
      </w:r>
    </w:p>
    <w:p>
      <w:pPr>
        <w:jc w:val="both"/>
        <w:ind w:firstLine="6"/>
        <w:spacing w:after="0" w:line="216" w:lineRule="auto"/>
        <w:tabs>
          <w:tab w:leader="none" w:pos="441"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Autolus [***] CAR-T</w:t>
      </w:r>
      <w:r>
        <w:rPr>
          <w:rFonts w:ascii="Times New Roman" w:cs="Times New Roman" w:eastAsia="Times New Roman" w:hAnsi="Times New Roman"/>
          <w:sz w:val="18"/>
          <w:szCs w:val="18"/>
          <w:color w:val="auto"/>
        </w:rPr>
        <w:t>”), then prior to [***], BioNTech shall provide Autolus with prior written notice and grants, and shall procure the grant of, to Autolus, for a period of [***] after receipt of such notice, a right of first negotiation to, [***], negotiate and enter into an agreement with BioNTech, its Affiliate or Sublicensee (as applicable) for Autolus or its Affiliate to be BioNTech’s partner for such combination therapy, whereby such [***] Licensed Product would be used in combination with such Autolus [***] CAR-T. Prior to or during such [***] period, BioNTech, its Affiliates and Sublicensees shall [***].</w:t>
      </w:r>
    </w:p>
    <w:p>
      <w:pPr>
        <w:spacing w:after="0" w:line="13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Gatekeeping for Other AE Licensed Products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right="40" w:firstLine="1158"/>
        <w:spacing w:after="0" w:line="231" w:lineRule="auto"/>
        <w:tabs>
          <w:tab w:leader="none" w:pos="1729"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shall, within [***], appoint a Gatekeeper. The fees and expenses of the Gatekeeper’s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under this Agreement shall be borne by [***]. For the avoidance of doubt, no gatekeeping procedure is required in relation to any Activity Enhancement Licensed Product other than Other AE Licensed Products.</w:t>
      </w:r>
    </w:p>
    <w:p>
      <w:pPr>
        <w:spacing w:after="0" w:line="134" w:lineRule="exact"/>
        <w:rPr>
          <w:rFonts w:ascii="Times New Roman" w:cs="Times New Roman" w:eastAsia="Times New Roman" w:hAnsi="Times New Roman"/>
          <w:sz w:val="18"/>
          <w:szCs w:val="18"/>
          <w:color w:val="auto"/>
        </w:rPr>
      </w:pPr>
    </w:p>
    <w:p>
      <w:pPr>
        <w:ind w:firstLine="1158"/>
        <w:spacing w:after="0" w:line="213" w:lineRule="auto"/>
        <w:tabs>
          <w:tab w:leader="none" w:pos="1717"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Nomination of Targets</w:t>
      </w:r>
      <w:r>
        <w:rPr>
          <w:rFonts w:ascii="Times New Roman" w:cs="Times New Roman" w:eastAsia="Times New Roman" w:hAnsi="Times New Roman"/>
          <w:sz w:val="18"/>
          <w:szCs w:val="18"/>
          <w:color w:val="auto"/>
        </w:rPr>
        <w:t>. If BioNTech wishes to conduct the Evaluation or exercise its Activity Enhancement Option,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case, for Other AE Licensed Products in relation to a given Target, BioNTech must first clear such Target pursuant to the remainder of this Section 6.4(b). [***], BioNTech may provide Autolus with a written request that Autolus provide the Gatekeeper with a complete, accurate and then-current list of Targets that are not Available (“ </w:t>
      </w:r>
      <w:r>
        <w:rPr>
          <w:rFonts w:ascii="Times New Roman" w:cs="Times New Roman" w:eastAsia="Times New Roman" w:hAnsi="Times New Roman"/>
          <w:sz w:val="18"/>
          <w:szCs w:val="18"/>
          <w:b w:val="1"/>
          <w:bCs w:val="1"/>
          <w:color w:val="auto"/>
        </w:rPr>
        <w:t>Nomination Notice</w:t>
      </w:r>
      <w:r>
        <w:rPr>
          <w:rFonts w:ascii="Times New Roman" w:cs="Times New Roman" w:eastAsia="Times New Roman" w:hAnsi="Times New Roman"/>
          <w:sz w:val="18"/>
          <w:szCs w:val="18"/>
          <w:color w:val="auto"/>
        </w:rPr>
        <w:t>”). Within [***] after BioNTech provides Autolus with such Nomination Notice, (i) Autolus shall provide the Gatekeeper with a complete, accurate and then-current list of Targets that are not Available and (ii) BioNTech shall provide the Gatekeeper with a list of [***] Targets that BioNTech wishes to nominate as a Target for which BioNTech may commence its Evaluation or exercise its Activity Enhancement Option, in each case, for Other AE Licensed Products directed to such specified Target (each a “</w:t>
      </w:r>
      <w:r>
        <w:rPr>
          <w:rFonts w:ascii="Times New Roman" w:cs="Times New Roman" w:eastAsia="Times New Roman" w:hAnsi="Times New Roman"/>
          <w:sz w:val="18"/>
          <w:szCs w:val="18"/>
          <w:b w:val="1"/>
          <w:bCs w:val="1"/>
          <w:color w:val="auto"/>
        </w:rPr>
        <w:t>Nominated Target</w:t>
      </w:r>
      <w:r>
        <w:rPr>
          <w:rFonts w:ascii="Times New Roman" w:cs="Times New Roman" w:eastAsia="Times New Roman" w:hAnsi="Times New Roman"/>
          <w:sz w:val="18"/>
          <w:szCs w:val="18"/>
          <w:color w:val="auto"/>
        </w:rPr>
        <w:t xml:space="preserve">”). To identify a Target as a Nominated Target, BioNTech shall provide the Gatekeeper with a confidential written description of each Nominated Target, including the name, aliases, and UniProt/SwissProt database identifier for such Nominated Target. Within [***] following Gatekeeper’s receipt of both Autolus’s list of Targets that are not Available and BioNTech’s list of Nominated Targets, the Gatekeeper shall notify BioNTech in writing whether or not each Nominated Target is Available (as defined below) (an “ </w:t>
      </w:r>
      <w:r>
        <w:rPr>
          <w:rFonts w:ascii="Times New Roman" w:cs="Times New Roman" w:eastAsia="Times New Roman" w:hAnsi="Times New Roman"/>
          <w:sz w:val="18"/>
          <w:szCs w:val="18"/>
          <w:b w:val="1"/>
          <w:bCs w:val="1"/>
          <w:color w:val="auto"/>
        </w:rPr>
        <w:t>Availability Notice</w:t>
      </w:r>
      <w:r>
        <w:rPr>
          <w:rFonts w:ascii="Times New Roman" w:cs="Times New Roman" w:eastAsia="Times New Roman" w:hAnsi="Times New Roman"/>
          <w:sz w:val="18"/>
          <w:szCs w:val="18"/>
          <w:color w:val="auto"/>
        </w:rPr>
        <w:t>”). The Parties hereby acknowledge and agree that a Nominated Target shall be “</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unless [***]. Within [***] after BioNTech’s receipt of an Availability Notice, BioNTech may (A) [***], (B) [***], or (C) [***]. The Gatekeeper shall not disclose the identity of a Nominated Target to Autolus unless it is designated as a Reserved Target or the identity of any Targets that Autolus has provided to the Gatekeeper unless it is a Nominated Target. For clarity, [***].</w:t>
      </w:r>
    </w:p>
    <w:p>
      <w:pPr>
        <w:spacing w:after="0" w:line="137" w:lineRule="exact"/>
        <w:rPr>
          <w:rFonts w:ascii="Times New Roman" w:cs="Times New Roman" w:eastAsia="Times New Roman" w:hAnsi="Times New Roman"/>
          <w:sz w:val="18"/>
          <w:szCs w:val="18"/>
          <w:color w:val="auto"/>
        </w:rPr>
      </w:pPr>
    </w:p>
    <w:p>
      <w:pPr>
        <w:jc w:val="both"/>
        <w:ind w:right="40" w:firstLine="1158"/>
        <w:spacing w:after="0" w:line="220" w:lineRule="auto"/>
        <w:tabs>
          <w:tab w:leader="none" w:pos="1729"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 Targets</w:t>
      </w:r>
      <w:r>
        <w:rPr>
          <w:rFonts w:ascii="Times New Roman" w:cs="Times New Roman" w:eastAsia="Times New Roman" w:hAnsi="Times New Roman"/>
          <w:sz w:val="18"/>
          <w:szCs w:val="18"/>
          <w:color w:val="auto"/>
        </w:rPr>
        <w:t>. If BioNTech desires to reserve an Available Nominated Target, then BioNTech shall notify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Autolus and the Gatekeeper in writing of the identity of such Nominated Target within [***] after BioNTech’s receipt of an Availability Notice, including the name, aliases, and UniProt/SwissProt database identifier for such Nominated Target (a “</w:t>
      </w:r>
      <w:r>
        <w:rPr>
          <w:rFonts w:ascii="Times New Roman" w:cs="Times New Roman" w:eastAsia="Times New Roman" w:hAnsi="Times New Roman"/>
          <w:sz w:val="18"/>
          <w:szCs w:val="18"/>
          <w:b w:val="1"/>
          <w:bCs w:val="1"/>
          <w:color w:val="auto"/>
        </w:rPr>
        <w:t>Reserved Target</w:t>
      </w:r>
      <w:r>
        <w:rPr>
          <w:rFonts w:ascii="Times New Roman" w:cs="Times New Roman" w:eastAsia="Times New Roman" w:hAnsi="Times New Roman"/>
          <w:sz w:val="18"/>
          <w:szCs w:val="18"/>
          <w:color w:val="auto"/>
        </w:rPr>
        <w:t>”). Autolus shall not enter into an agreement with a Third Party for Other AE Licensed Products directed to such Reserved Target if such agreement would prejudice BioNTech’s option rights to such Reserved Target until the end of the Module Option Period. For clarity, [***]. During the Module Option Period, BioNTech may designate [***], and may [***]. For clarity, [***].</w:t>
      </w:r>
    </w:p>
    <w:p>
      <w:pPr>
        <w:spacing w:after="0" w:line="133" w:lineRule="exact"/>
        <w:rPr>
          <w:rFonts w:ascii="Times New Roman" w:cs="Times New Roman" w:eastAsia="Times New Roman" w:hAnsi="Times New Roman"/>
          <w:sz w:val="18"/>
          <w:szCs w:val="18"/>
          <w:color w:val="auto"/>
        </w:rPr>
      </w:pPr>
    </w:p>
    <w:p>
      <w:pPr>
        <w:jc w:val="both"/>
        <w:ind w:right="40" w:firstLine="1158"/>
        <w:spacing w:after="0" w:line="218" w:lineRule="auto"/>
        <w:tabs>
          <w:tab w:leader="none" w:pos="1717"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Targets</w:t>
      </w:r>
      <w:r>
        <w:rPr>
          <w:rFonts w:ascii="Times New Roman" w:cs="Times New Roman" w:eastAsia="Times New Roman" w:hAnsi="Times New Roman"/>
          <w:sz w:val="18"/>
          <w:szCs w:val="18"/>
          <w:color w:val="auto"/>
        </w:rPr>
        <w:t>. Autolus may notify the Gatekeeper in writing of the identity of [***] Targets within [***]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appointment of the Gatekeeper, including the name, aliases, and UniProt/SwissProt database identifier for such Target (each a “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 during the Module Option Period, Autolus may provide the Gatekeeper with a confidential written description of any Targets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wishes to substitute for any existing Restricted Targets, including the name, aliases, and UniProt/SwissProt database identifier for such Target (each a “</w:t>
      </w:r>
      <w:r>
        <w:rPr>
          <w:rFonts w:ascii="Times New Roman" w:cs="Times New Roman" w:eastAsia="Times New Roman" w:hAnsi="Times New Roman"/>
          <w:sz w:val="18"/>
          <w:szCs w:val="18"/>
          <w:b w:val="1"/>
          <w:bCs w:val="1"/>
          <w:color w:val="auto"/>
        </w:rPr>
        <w:t>Nominated Restricted Target</w:t>
      </w:r>
      <w:r>
        <w:rPr>
          <w:rFonts w:ascii="Times New Roman" w:cs="Times New Roman" w:eastAsia="Times New Roman" w:hAnsi="Times New Roman"/>
          <w:sz w:val="18"/>
          <w:szCs w:val="18"/>
          <w:color w:val="auto"/>
        </w:rPr>
        <w:t xml:space="preserve"> ”), and identify which of the existing Restricted Targets that it wishes to substitute for each Nominated Restricted Target (a “</w:t>
      </w:r>
      <w:r>
        <w:rPr>
          <w:rFonts w:ascii="Times New Roman" w:cs="Times New Roman" w:eastAsia="Times New Roman" w:hAnsi="Times New Roman"/>
          <w:sz w:val="18"/>
          <w:szCs w:val="18"/>
          <w:b w:val="1"/>
          <w:bCs w:val="1"/>
          <w:color w:val="auto"/>
        </w:rPr>
        <w:t>Substitutability Notice</w:t>
      </w:r>
      <w:r>
        <w:rPr>
          <w:rFonts w:ascii="Times New Roman" w:cs="Times New Roman" w:eastAsia="Times New Roman" w:hAnsi="Times New Roman"/>
          <w:sz w:val="18"/>
          <w:szCs w:val="18"/>
          <w:color w:val="auto"/>
        </w:rPr>
        <w:t>”). Within [***] following the Gatekeeper’s receipt of Autolus’s list of Nominated Restricted Targets, the Gatekeeper shall notify Autolus in writing whether or not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30</w:t>
      </w:r>
    </w:p>
    <w:p>
      <w:pPr>
        <w:sectPr>
          <w:pgSz w:w="11900" w:h="16840" w:orient="portrait"/>
          <w:cols w:equalWidth="0" w:num="1">
            <w:col w:w="10600"/>
          </w:cols>
          <w:pgMar w:left="660" w:top="1440" w:right="640" w:bottom="1440" w:gutter="0" w:footer="0" w:header="0"/>
        </w:sectPr>
      </w:pPr>
    </w:p>
    <w:bookmarkStart w:id="938" w:name="page939"/>
    <w:bookmarkEnd w:id="938"/>
    <w:p>
      <w:pPr>
        <w:spacing w:after="0" w:line="258" w:lineRule="exact"/>
        <w:rPr>
          <w:sz w:val="20"/>
          <w:szCs w:val="20"/>
          <w:color w:val="auto"/>
        </w:rPr>
      </w:pPr>
    </w:p>
    <w:p>
      <w:pPr>
        <w:jc w:val="both"/>
        <w:ind w:right="60"/>
        <w:spacing w:after="0" w:line="229" w:lineRule="auto"/>
        <w:rPr>
          <w:sz w:val="20"/>
          <w:szCs w:val="20"/>
          <w:color w:val="auto"/>
        </w:rPr>
      </w:pPr>
      <w:r>
        <w:rPr>
          <w:rFonts w:ascii="Times New Roman" w:cs="Times New Roman" w:eastAsia="Times New Roman" w:hAnsi="Times New Roman"/>
          <w:sz w:val="18"/>
          <w:szCs w:val="18"/>
          <w:color w:val="auto"/>
        </w:rPr>
        <w:t>Nominated Restricted Target is Substitutable (as defined below). The Parties hereby acknowledge and agree that a Nominated Restricted Target shall be “</w:t>
      </w:r>
      <w:r>
        <w:rPr>
          <w:rFonts w:ascii="Times New Roman" w:cs="Times New Roman" w:eastAsia="Times New Roman" w:hAnsi="Times New Roman"/>
          <w:sz w:val="18"/>
          <w:szCs w:val="18"/>
          <w:b w:val="1"/>
          <w:bCs w:val="1"/>
          <w:color w:val="auto"/>
        </w:rPr>
        <w:t>Substitutable</w:t>
      </w:r>
      <w:r>
        <w:rPr>
          <w:rFonts w:ascii="Times New Roman" w:cs="Times New Roman" w:eastAsia="Times New Roman" w:hAnsi="Times New Roman"/>
          <w:sz w:val="18"/>
          <w:szCs w:val="18"/>
          <w:color w:val="auto"/>
        </w:rPr>
        <w:t>” unless such Target (i) [***], or (ii) [***]. On notification to Autolus that a Nominated Restricted Target is Substitutable, the Gatekeeper shall replace the previously Restricted Target indicated in the applicable Substitutability Notice.</w:t>
      </w:r>
    </w:p>
    <w:p>
      <w:pPr>
        <w:spacing w:after="0" w:line="136" w:lineRule="exact"/>
        <w:rPr>
          <w:sz w:val="20"/>
          <w:szCs w:val="20"/>
          <w:color w:val="auto"/>
        </w:rPr>
      </w:pPr>
    </w:p>
    <w:p>
      <w:pPr>
        <w:jc w:val="both"/>
        <w:ind w:firstLine="864"/>
        <w:spacing w:after="0" w:line="213" w:lineRule="auto"/>
        <w:rPr>
          <w:sz w:val="20"/>
          <w:szCs w:val="20"/>
          <w:color w:val="auto"/>
        </w:rPr>
      </w:pPr>
      <w:r>
        <w:rPr>
          <w:rFonts w:ascii="Times New Roman" w:cs="Times New Roman" w:eastAsia="Times New Roman" w:hAnsi="Times New Roman"/>
          <w:sz w:val="18"/>
          <w:szCs w:val="18"/>
          <w:color w:val="auto"/>
        </w:rPr>
        <w:t xml:space="preserve">6 . 5 </w:t>
      </w:r>
      <w:r>
        <w:rPr>
          <w:rFonts w:ascii="Times New Roman" w:cs="Times New Roman" w:eastAsia="Times New Roman" w:hAnsi="Times New Roman"/>
          <w:sz w:val="18"/>
          <w:szCs w:val="18"/>
          <w:b w:val="1"/>
          <w:bCs w:val="1"/>
          <w:color w:val="auto"/>
        </w:rPr>
        <w:t>Option Exercise</w:t>
      </w:r>
      <w:r>
        <w:rPr>
          <w:rFonts w:ascii="Times New Roman" w:cs="Times New Roman" w:eastAsia="Times New Roman" w:hAnsi="Times New Roman"/>
          <w:sz w:val="18"/>
          <w:szCs w:val="18"/>
          <w:color w:val="auto"/>
        </w:rPr>
        <w:t xml:space="preserve">. BioNTech may notify Autolus in writing that it wishes to exercise any of the Technologies Options, identifying (a) precisely which Technologies Option Technology such Technologies Option will be exercised in relation to, including, where applicable, the relevant regulatable control module of the Safety Switch Licensed Technology, and module of the Activity Enhancement Licensed Technology, and (b) the identity of the applicable Target (which with respect to the [***] Option will be [***], and with respect to the [***] Option, will be [***]) (“ </w:t>
      </w:r>
      <w:r>
        <w:rPr>
          <w:rFonts w:ascii="Times New Roman" w:cs="Times New Roman" w:eastAsia="Times New Roman" w:hAnsi="Times New Roman"/>
          <w:sz w:val="18"/>
          <w:szCs w:val="18"/>
          <w:b w:val="1"/>
          <w:bCs w:val="1"/>
          <w:color w:val="auto"/>
        </w:rPr>
        <w:t>Technologies Option Exercise Notice</w:t>
      </w:r>
      <w:r>
        <w:rPr>
          <w:rFonts w:ascii="Times New Roman" w:cs="Times New Roman" w:eastAsia="Times New Roman" w:hAnsi="Times New Roman"/>
          <w:sz w:val="18"/>
          <w:szCs w:val="18"/>
          <w:color w:val="auto"/>
        </w:rPr>
        <w:t xml:space="preserve">”). For clarity, with respect to any Activity Enhancement Option, with respect to an Other AE Licensed Product, such Target must either have been identified as being Available under Section 6.4(b) within the [***] prior to the date of delivery of such Technologies Option Exercise Notice or be a Reserved Target under Section 6.4(c) . On receipt of such Technologies Option Exercise Notice, [***] shall, within [***], prepare the license agreement reflecting the details set out in such Technologies Option Exercise Notice, which shall be in the form set out in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Technologies License Agreement</w:t>
      </w:r>
      <w:r>
        <w:rPr>
          <w:rFonts w:ascii="Times New Roman" w:cs="Times New Roman" w:eastAsia="Times New Roman" w:hAnsi="Times New Roman"/>
          <w:sz w:val="18"/>
          <w:szCs w:val="18"/>
          <w:color w:val="auto"/>
        </w:rPr>
        <w:t xml:space="preserve"> ”). The Parties shall [***] execute the Technologies License Agreement after it has been finalized, and the Technologies Option Exercise Fee for the applicable Technology Option shall be paid in accordance with Section 6.6. BioNTech may exercise any Technologies Option on one or more occasions during the applicable Technologies Option Period. For the avoidance of doubt, [***] only one Technologies Option Exercise Fee will have to be paid for each such [***].</w:t>
      </w:r>
    </w:p>
    <w:p>
      <w:pPr>
        <w:spacing w:after="0" w:line="145" w:lineRule="exact"/>
        <w:rPr>
          <w:sz w:val="20"/>
          <w:szCs w:val="20"/>
          <w:color w:val="auto"/>
        </w:rPr>
      </w:pPr>
    </w:p>
    <w:p>
      <w:pPr>
        <w:jc w:val="both"/>
        <w:ind w:firstLine="870"/>
        <w:spacing w:after="0" w:line="222" w:lineRule="auto"/>
        <w:tabs>
          <w:tab w:leader="none" w:pos="1023"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Option Exercise Fee</w:t>
      </w:r>
      <w:r>
        <w:rPr>
          <w:rFonts w:ascii="Times New Roman" w:cs="Times New Roman" w:eastAsia="Times New Roman" w:hAnsi="Times New Roman"/>
          <w:sz w:val="18"/>
          <w:szCs w:val="18"/>
          <w:color w:val="auto"/>
        </w:rPr>
        <w:t>. [***], Autolus shall submit to BioNTech an invoice for the applicable Technologies Option exercise fee (if any) set out in the below table (“</w:t>
      </w:r>
      <w:r>
        <w:rPr>
          <w:rFonts w:ascii="Times New Roman" w:cs="Times New Roman" w:eastAsia="Times New Roman" w:hAnsi="Times New Roman"/>
          <w:sz w:val="18"/>
          <w:szCs w:val="18"/>
          <w:b w:val="1"/>
          <w:bCs w:val="1"/>
          <w:color w:val="auto"/>
        </w:rPr>
        <w:t>Technologies Option Exercise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particular Technologies Option is exercised in respect of [***] of the [***] Option, [***] Option, any Safety Switch Licensed Technology module, and any Activity Enhancement Licensed Technology module in respect of the same Target, then the applicable Technologies Option Exercise Fee shall be [***]: (a) [***], and (b) [***] (the “</w:t>
      </w:r>
      <w:r>
        <w:rPr>
          <w:rFonts w:ascii="Times New Roman" w:cs="Times New Roman" w:eastAsia="Times New Roman" w:hAnsi="Times New Roman"/>
          <w:sz w:val="18"/>
          <w:szCs w:val="18"/>
          <w:b w:val="1"/>
          <w:bCs w:val="1"/>
          <w:color w:val="auto"/>
        </w:rPr>
        <w:t>Technologies Option Exercise Fee Cap</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DBE5F1"/>
          </w:tcPr>
          <w:p>
            <w:pPr>
              <w:spacing w:after="0"/>
              <w:rPr>
                <w:sz w:val="17"/>
                <w:szCs w:val="17"/>
                <w:color w:val="auto"/>
              </w:rPr>
            </w:pPr>
          </w:p>
        </w:tc>
        <w:tc>
          <w:tcPr>
            <w:tcW w:w="2380" w:type="dxa"/>
            <w:vAlign w:val="bottom"/>
            <w:shd w:val="clear" w:color="auto" w:fill="DBE5F1"/>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Activity</w:t>
            </w:r>
          </w:p>
        </w:tc>
        <w:tc>
          <w:tcPr>
            <w:tcW w:w="2180" w:type="dxa"/>
            <w:vAlign w:val="bottom"/>
            <w:shd w:val="clear" w:color="auto" w:fill="DBE5F1"/>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Safety Switch</w:t>
            </w:r>
          </w:p>
        </w:tc>
        <w:tc>
          <w:tcPr>
            <w:tcW w:w="1860" w:type="dxa"/>
            <w:vAlign w:val="bottom"/>
            <w:vMerge w:val="restart"/>
            <w:shd w:val="clear" w:color="auto" w:fill="DBE5F1"/>
          </w:tcPr>
          <w:p>
            <w:pPr>
              <w:jc w:val="right"/>
              <w:ind w:right="5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p>
        </w:tc>
        <w:tc>
          <w:tcPr>
            <w:tcW w:w="1600" w:type="dxa"/>
            <w:vAlign w:val="bottom"/>
            <w:vMerge w:val="restart"/>
            <w:shd w:val="clear" w:color="auto" w:fill="DBE5F1"/>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 Option</w:t>
            </w:r>
          </w:p>
        </w:tc>
        <w:tc>
          <w:tcPr>
            <w:tcW w:w="0" w:type="dxa"/>
            <w:vAlign w:val="bottom"/>
          </w:tcPr>
          <w:p>
            <w:pPr>
              <w:spacing w:after="0"/>
              <w:rPr>
                <w:sz w:val="1"/>
                <w:szCs w:val="1"/>
                <w:color w:val="auto"/>
              </w:rPr>
            </w:pPr>
          </w:p>
        </w:tc>
      </w:tr>
      <w:tr>
        <w:trPr>
          <w:trHeight w:val="180"/>
        </w:trPr>
        <w:tc>
          <w:tcPr>
            <w:tcW w:w="2540" w:type="dxa"/>
            <w:vAlign w:val="bottom"/>
            <w:shd w:val="clear" w:color="auto" w:fill="DBE5F1"/>
          </w:tcPr>
          <w:p>
            <w:pPr>
              <w:spacing w:after="0"/>
              <w:rPr>
                <w:sz w:val="15"/>
                <w:szCs w:val="15"/>
                <w:color w:val="auto"/>
              </w:rPr>
            </w:pPr>
          </w:p>
        </w:tc>
        <w:tc>
          <w:tcPr>
            <w:tcW w:w="2380" w:type="dxa"/>
            <w:vAlign w:val="bottom"/>
            <w:shd w:val="clear" w:color="auto" w:fill="DBE5F1"/>
          </w:tcPr>
          <w:p>
            <w:pPr>
              <w:jc w:val="center"/>
              <w:ind w:left="190"/>
              <w:spacing w:after="0" w:line="180" w:lineRule="exact"/>
              <w:rPr>
                <w:sz w:val="20"/>
                <w:szCs w:val="20"/>
                <w:color w:val="auto"/>
              </w:rPr>
            </w:pPr>
            <w:r>
              <w:rPr>
                <w:rFonts w:ascii="Times New Roman" w:cs="Times New Roman" w:eastAsia="Times New Roman" w:hAnsi="Times New Roman"/>
                <w:sz w:val="18"/>
                <w:szCs w:val="18"/>
                <w:b w:val="1"/>
                <w:bCs w:val="1"/>
                <w:color w:val="auto"/>
              </w:rPr>
              <w:t>Enhancement Option (per</w:t>
            </w:r>
          </w:p>
        </w:tc>
        <w:tc>
          <w:tcPr>
            <w:tcW w:w="2180" w:type="dxa"/>
            <w:vAlign w:val="bottom"/>
            <w:shd w:val="clear" w:color="auto" w:fill="DBE5F1"/>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Option (per regulatable</w:t>
            </w:r>
          </w:p>
        </w:tc>
        <w:tc>
          <w:tcPr>
            <w:tcW w:w="1860" w:type="dxa"/>
            <w:vAlign w:val="bottom"/>
            <w:vMerge w:val="continue"/>
            <w:shd w:val="clear" w:color="auto" w:fill="DBE5F1"/>
          </w:tcPr>
          <w:p>
            <w:pPr>
              <w:spacing w:after="0"/>
              <w:rPr>
                <w:sz w:val="15"/>
                <w:szCs w:val="15"/>
                <w:color w:val="auto"/>
              </w:rPr>
            </w:pPr>
          </w:p>
        </w:tc>
        <w:tc>
          <w:tcPr>
            <w:tcW w:w="1600" w:type="dxa"/>
            <w:vAlign w:val="bottom"/>
            <w:vMerge w:val="continue"/>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40" w:type="dxa"/>
            <w:vAlign w:val="bottom"/>
            <w:shd w:val="clear" w:color="auto" w:fill="DBE5F1"/>
          </w:tcPr>
          <w:p>
            <w:pPr>
              <w:spacing w:after="0"/>
              <w:rPr>
                <w:sz w:val="19"/>
                <w:szCs w:val="19"/>
                <w:color w:val="auto"/>
              </w:rPr>
            </w:pPr>
          </w:p>
        </w:tc>
        <w:tc>
          <w:tcPr>
            <w:tcW w:w="2380" w:type="dxa"/>
            <w:vAlign w:val="bottom"/>
            <w:shd w:val="clear" w:color="auto" w:fill="DBE5F1"/>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module)</w:t>
            </w:r>
          </w:p>
        </w:tc>
        <w:tc>
          <w:tcPr>
            <w:tcW w:w="2180" w:type="dxa"/>
            <w:vAlign w:val="bottom"/>
            <w:shd w:val="clear" w:color="auto" w:fill="DBE5F1"/>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control module)</w:t>
            </w:r>
          </w:p>
        </w:tc>
        <w:tc>
          <w:tcPr>
            <w:tcW w:w="1860" w:type="dxa"/>
            <w:vAlign w:val="bottom"/>
            <w:shd w:val="clear" w:color="auto" w:fill="DBE5F1"/>
          </w:tcPr>
          <w:p>
            <w:pPr>
              <w:spacing w:after="0"/>
              <w:rPr>
                <w:sz w:val="19"/>
                <w:szCs w:val="19"/>
                <w:color w:val="auto"/>
              </w:rPr>
            </w:pPr>
          </w:p>
        </w:tc>
        <w:tc>
          <w:tcPr>
            <w:tcW w:w="160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640"/>
              <w:spacing w:after="0" w:line="180" w:lineRule="exact"/>
              <w:rPr>
                <w:sz w:val="20"/>
                <w:szCs w:val="20"/>
                <w:color w:val="auto"/>
              </w:rPr>
            </w:pPr>
            <w:r>
              <w:rPr>
                <w:rFonts w:ascii="Times New Roman" w:cs="Times New Roman" w:eastAsia="Times New Roman" w:hAnsi="Times New Roman"/>
                <w:sz w:val="18"/>
                <w:szCs w:val="18"/>
                <w:b w:val="1"/>
                <w:bCs w:val="1"/>
                <w:color w:val="auto"/>
              </w:rPr>
              <w:t>Technologies Option</w:t>
            </w:r>
          </w:p>
        </w:tc>
        <w:tc>
          <w:tcPr>
            <w:tcW w:w="23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30"/>
              <w:spacing w:after="0" w:line="18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8"/>
        </w:trPr>
        <w:tc>
          <w:tcPr>
            <w:tcW w:w="2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Fee</w:t>
            </w:r>
          </w:p>
        </w:tc>
        <w:tc>
          <w:tcPr>
            <w:tcW w:w="2380" w:type="dxa"/>
            <w:vAlign w:val="bottom"/>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4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b w:val="1"/>
          <w:bCs w:val="1"/>
          <w:color w:val="auto"/>
        </w:rPr>
        <w:t>Failure to Exercise Technologies Option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right="40" w:firstLine="1158"/>
        <w:spacing w:after="0" w:line="222" w:lineRule="auto"/>
        <w:tabs>
          <w:tab w:leader="none" w:pos="1729"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On expiry of the [***] Option Period, the [***] Option shall expire without any further action required on the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either Party, and Autolus will have no further obligations to BioNTech under this Article 6 with respect to [***] and, except to the extent it would conflict with the terms of any Technologies License Agreement, Autolus, at its sole discretion, may negotiate with any Third Party a transaction, including an exclusive license, in respect of the [***] Licensed IP, and all rights relating thereto, without reference to BioNTech. BioNTech shall [***] destroy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31</w:t>
      </w:r>
    </w:p>
    <w:p>
      <w:pPr>
        <w:sectPr>
          <w:pgSz w:w="11900" w:h="16840" w:orient="portrait"/>
          <w:cols w:equalWidth="0" w:num="1">
            <w:col w:w="10600"/>
          </w:cols>
          <w:pgMar w:left="660" w:top="1440" w:right="640" w:bottom="1440" w:gutter="0" w:footer="0" w:header="0"/>
        </w:sectPr>
      </w:pPr>
    </w:p>
    <w:bookmarkStart w:id="939" w:name="page940"/>
    <w:bookmarkEnd w:id="939"/>
    <w:p>
      <w:pPr>
        <w:spacing w:after="0" w:line="25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any data, results, and information generated by it pursuant to the Evaluation with respect to the expired [***] Option, other than data, results, and information pertaining to [***].</w:t>
      </w:r>
    </w:p>
    <w:p>
      <w:pPr>
        <w:spacing w:after="0" w:line="134" w:lineRule="exact"/>
        <w:rPr>
          <w:sz w:val="20"/>
          <w:szCs w:val="20"/>
          <w:color w:val="auto"/>
        </w:rPr>
      </w:pPr>
    </w:p>
    <w:p>
      <w:pPr>
        <w:jc w:val="both"/>
        <w:ind w:right="20" w:firstLine="1158"/>
        <w:spacing w:after="0" w:line="220" w:lineRule="auto"/>
        <w:tabs>
          <w:tab w:leader="none" w:pos="1717" w:val="left"/>
        </w:tabs>
        <w:numPr>
          <w:ilvl w:val="0"/>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On expiry of the [***] Option Period, the [***] Option shall expire without any further action required on the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either Party, and Autolus will have no further obligations to BioNTech under this Article 6 with respect to [***] and, except to the extent it would conflict with the terms of any Technologies License Agreement, Autolus, at its sole discretion, may negotiate with any Third Party a transaction, including an exclusive license, in respect of the [***] Licensed IP, and all rights relating thereto, without reference to BioNTech. BioNTech shall [***] destroy any data, results, and information generated by it pursuant to the Evaluation with respect to the expired [***] Option, other than data, results, and information pertaining to [***].</w:t>
      </w:r>
    </w:p>
    <w:p>
      <w:pPr>
        <w:spacing w:after="0" w:line="133" w:lineRule="exact"/>
        <w:rPr>
          <w:rFonts w:ascii="Times New Roman" w:cs="Times New Roman" w:eastAsia="Times New Roman" w:hAnsi="Times New Roman"/>
          <w:sz w:val="18"/>
          <w:szCs w:val="18"/>
          <w:color w:val="auto"/>
        </w:rPr>
      </w:pPr>
    </w:p>
    <w:p>
      <w:pPr>
        <w:ind w:right="20" w:firstLine="1158"/>
        <w:spacing w:after="0" w:line="218" w:lineRule="auto"/>
        <w:tabs>
          <w:tab w:leader="none" w:pos="1729" w:val="left"/>
        </w:tabs>
        <w:numPr>
          <w:ilvl w:val="0"/>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Module</w:t>
      </w:r>
      <w:r>
        <w:rPr>
          <w:rFonts w:ascii="Times New Roman" w:cs="Times New Roman" w:eastAsia="Times New Roman" w:hAnsi="Times New Roman"/>
          <w:sz w:val="18"/>
          <w:szCs w:val="18"/>
          <w:color w:val="auto"/>
        </w:rPr>
        <w:t>. On expiry of the Module Option Period, each Module Option shall expire without any further action required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 of either Party, and Autolus will have no further obligations to BioNTech under this Article 6 with respect to the Activity Enhancement Licensed Technology and the Safety Switch Licensed Technology and, except to the extent it would conflict with the terms of any Technologies License Agreement, Autolus, at its sole discretion, may negotiate with any Third Party a transaction, including an exclusive license, in respect of the Activity Enhancement Licensed IP and Safety Switch Licensed IP, and all rights relating thereto, without reference to BioNTech. BioNTech shall [***] destroy any data, results, and information generated by it pursuant to the Evaluation with respect to the expired Module Option, other than data, results, and information pertaining to [***].</w:t>
      </w:r>
    </w:p>
    <w:p>
      <w:pPr>
        <w:spacing w:after="0" w:line="136" w:lineRule="exact"/>
        <w:rPr>
          <w:sz w:val="20"/>
          <w:szCs w:val="20"/>
          <w:color w:val="auto"/>
        </w:rPr>
      </w:pPr>
    </w:p>
    <w:p>
      <w:pPr>
        <w:ind w:left="580" w:hanging="574"/>
        <w:spacing w:after="0"/>
        <w:tabs>
          <w:tab w:leader="none" w:pos="580" w:val="left"/>
        </w:tabs>
        <w:numPr>
          <w:ilvl w:val="0"/>
          <w:numId w:val="9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Obe-Cel Product</w:t>
      </w:r>
    </w:p>
    <w:p>
      <w:pPr>
        <w:spacing w:after="0" w:line="16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Reporting Obligations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20" w:firstLine="1158"/>
        <w:spacing w:after="0" w:line="229" w:lineRule="auto"/>
        <w:tabs>
          <w:tab w:leader="none" w:pos="1729"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shall, within [***], and on [***] thereafter, until [***], provide BioNTech with a written report [***], Development activities conducted during [***] in respect of the Obe-cel Product for all Indications other than [***]. All information and reports provided to BioNTech pursuant to this Section 7.1 shall be treated as Confidential Information of Autolus hereunder.</w:t>
      </w:r>
    </w:p>
    <w:p>
      <w:pPr>
        <w:spacing w:after="0" w:line="139"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17"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Autolus shall, at the end of [***] following [***], provide BioNTech with [***] of the Commercialization of Obe-cel Product in [***] in such [***], including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 the reports provided under this Section 7.1(b) will be provided [***] and will be limited to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w:t>
      </w:r>
    </w:p>
    <w:p>
      <w:pPr>
        <w:spacing w:after="0" w:line="139"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29"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BioNTech’s request, within [***] following BioNTech’s receipt of the reports detailed in Section 7.1(a) or Section 7.1(b), the Parties shall meet to discuss the reports and the progress of the activities detailed in such reports, as well as the anticipated activities to be undertaken by Autolus during the forthcoming [***] period.</w:t>
      </w:r>
    </w:p>
    <w:p>
      <w:pPr>
        <w:spacing w:after="0" w:line="136" w:lineRule="exact"/>
        <w:rPr>
          <w:sz w:val="20"/>
          <w:szCs w:val="20"/>
          <w:color w:val="auto"/>
        </w:rPr>
      </w:pPr>
    </w:p>
    <w:p>
      <w:pPr>
        <w:jc w:val="both"/>
        <w:ind w:right="20" w:firstLine="864"/>
        <w:spacing w:after="0" w:line="22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Potential Support</w:t>
      </w:r>
      <w:r>
        <w:rPr>
          <w:rFonts w:ascii="Times New Roman" w:cs="Times New Roman" w:eastAsia="Times New Roman" w:hAnsi="Times New Roman"/>
          <w:sz w:val="18"/>
          <w:szCs w:val="18"/>
          <w:color w:val="auto"/>
        </w:rPr>
        <w:t xml:space="preserve"> . The Parties may discuss potential commercial support which could be provided by BioNTech in support of the Commercialization of Obe-cel Product. For clarity, unless BioNTech and Autolus subsequently enter into an exclusivity agreement in relation to the Commercialization of Obe -cel Product (which for clarity, neither Party is under an obligation to enter into), Autolus may discuss and conclude agreements with Third Parties for the Commercialization of Obe-cel Product without any obligation to notify BioNTech.</w:t>
      </w:r>
    </w:p>
    <w:p>
      <w:pPr>
        <w:spacing w:after="0" w:line="136" w:lineRule="exact"/>
        <w:rPr>
          <w:sz w:val="20"/>
          <w:szCs w:val="20"/>
          <w:color w:val="auto"/>
        </w:rPr>
      </w:pPr>
    </w:p>
    <w:p>
      <w:pPr>
        <w:jc w:val="both"/>
        <w:ind w:right="20" w:firstLine="864"/>
        <w:spacing w:after="0" w:line="23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As partial consideration for the Obe-cel Revenue Interest, within [***] after the receipt of an invoice issued by Autolus on or after the Effective Date BioNTech shall pay to Autolus the non- refundable, non -creditable sum of Forty Million Dollars ($40,000,000)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Obe-cel Milestones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158"/>
        <w:spacing w:after="0" w:line="229" w:lineRule="auto"/>
        <w:tabs>
          <w:tab w:leader="none" w:pos="1729"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partial consideration for the rights granted under this Agreement, BioNTech may, at its sole discretion, elect to pay to Autolus the non-refundable, non-creditable milestone payments upon the achievement of each of the following milestone events by the Obe-cel Product (whether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32</w:t>
      </w:r>
    </w:p>
    <w:p>
      <w:pPr>
        <w:sectPr>
          <w:pgSz w:w="11900" w:h="16840" w:orient="portrait"/>
          <w:cols w:equalWidth="0" w:num="1">
            <w:col w:w="10580"/>
          </w:cols>
          <w:pgMar w:left="660" w:top="1440" w:right="660" w:bottom="1440" w:gutter="0" w:footer="0" w:header="0"/>
        </w:sectPr>
      </w:pPr>
    </w:p>
    <w:bookmarkStart w:id="940" w:name="page941"/>
    <w:bookmarkEnd w:id="940"/>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Autolus, its Affiliates or Autolus Licensees). Each milestone will be payable a maximum of once. For clarity,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shd w:val="clear" w:color="auto" w:fill="DBE5F1"/>
          </w:tcPr>
          <w:p>
            <w:pPr>
              <w:ind w:left="334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4020" w:type="dxa"/>
            <w:vAlign w:val="bottom"/>
            <w:shd w:val="clear" w:color="auto" w:fill="DBE5F1"/>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Milestone Payment</w:t>
            </w:r>
          </w:p>
        </w:tc>
      </w:tr>
      <w:tr>
        <w:trPr>
          <w:trHeight w:val="282"/>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Obe-cel Milestone 1</w:t>
            </w:r>
            <w:r>
              <w:rPr>
                <w:rFonts w:ascii="Times New Roman" w:cs="Times New Roman" w:eastAsia="Times New Roman" w:hAnsi="Times New Roman"/>
                <w:sz w:val="18"/>
                <w:szCs w:val="18"/>
                <w:color w:val="auto"/>
              </w:rPr>
              <w:t>”)</w:t>
            </w:r>
          </w:p>
        </w:tc>
        <w:tc>
          <w:tcPr>
            <w:tcW w:w="40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w:t>
            </w:r>
          </w:p>
        </w:tc>
      </w:tr>
      <w:tr>
        <w:trPr>
          <w:trHeight w:val="324"/>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Obe-cel Milestone 2</w:t>
            </w:r>
            <w:r>
              <w:rPr>
                <w:rFonts w:ascii="Times New Roman" w:cs="Times New Roman" w:eastAsia="Times New Roman" w:hAnsi="Times New Roman"/>
                <w:sz w:val="18"/>
                <w:szCs w:val="18"/>
                <w:color w:val="auto"/>
              </w:rPr>
              <w:t>”)</w:t>
            </w:r>
          </w:p>
        </w:tc>
        <w:tc>
          <w:tcPr>
            <w:tcW w:w="40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w:t>
            </w:r>
          </w:p>
        </w:tc>
      </w:tr>
      <w:tr>
        <w:trPr>
          <w:trHeight w:val="324"/>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Obe-cel Milestone 3</w:t>
            </w:r>
            <w:r>
              <w:rPr>
                <w:rFonts w:ascii="Times New Roman" w:cs="Times New Roman" w:eastAsia="Times New Roman" w:hAnsi="Times New Roman"/>
                <w:sz w:val="18"/>
                <w:szCs w:val="18"/>
                <w:color w:val="auto"/>
              </w:rPr>
              <w:t>”)</w:t>
            </w:r>
          </w:p>
        </w:tc>
        <w:tc>
          <w:tcPr>
            <w:tcW w:w="40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w:t>
            </w:r>
          </w:p>
        </w:tc>
      </w:tr>
      <w:tr>
        <w:trPr>
          <w:trHeight w:val="276"/>
        </w:trPr>
        <w:tc>
          <w:tcPr>
            <w:tcW w:w="65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2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$100,000,000</w:t>
            </w:r>
          </w:p>
        </w:tc>
      </w:tr>
    </w:tbl>
    <w:p>
      <w:pPr>
        <w:spacing w:after="0" w:line="230" w:lineRule="exact"/>
        <w:rPr>
          <w:sz w:val="20"/>
          <w:szCs w:val="20"/>
          <w:color w:val="auto"/>
        </w:rPr>
      </w:pPr>
    </w:p>
    <w:p>
      <w:pPr>
        <w:jc w:val="both"/>
        <w:ind w:firstLine="1158"/>
        <w:spacing w:after="0" w:line="222" w:lineRule="auto"/>
        <w:tabs>
          <w:tab w:leader="none" w:pos="1717"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and Payment</w:t>
      </w:r>
      <w:r>
        <w:rPr>
          <w:rFonts w:ascii="Times New Roman" w:cs="Times New Roman" w:eastAsia="Times New Roman" w:hAnsi="Times New Roman"/>
          <w:sz w:val="18"/>
          <w:szCs w:val="18"/>
          <w:color w:val="auto"/>
        </w:rPr>
        <w:t>. Autolus shall notify BioNTech in writing within [***] after the first achievement of any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set forth in this Section 7.4 by or on behalf of Autolus, its Affiliates or Autolus Licensees. If BioNTech elects to make a milestone payment in respect of the achievement of such milestone event, BioNTech shall notify Autolus within [***] following receipt of Autolus’s notification of the first achievement of such milestone event, and Autolus shall send to BioNTech the invoice for the appropriate milestone payment, which shall be paid by BioNTech within [***] of receipt of such invoice. For clarity, [***].</w:t>
      </w:r>
    </w:p>
    <w:p>
      <w:pPr>
        <w:spacing w:after="0" w:line="135" w:lineRule="exact"/>
        <w:rPr>
          <w:sz w:val="20"/>
          <w:szCs w:val="20"/>
          <w:color w:val="auto"/>
        </w:rPr>
      </w:pPr>
    </w:p>
    <w:p>
      <w:pPr>
        <w:ind w:right="20" w:firstLine="864"/>
        <w:spacing w:after="0" w:line="22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Obe-cel Revenue Interest Payments</w:t>
      </w:r>
      <w:r>
        <w:rPr>
          <w:rFonts w:ascii="Times New Roman" w:cs="Times New Roman" w:eastAsia="Times New Roman" w:hAnsi="Times New Roman"/>
          <w:sz w:val="18"/>
          <w:szCs w:val="18"/>
          <w:color w:val="auto"/>
        </w:rPr>
        <w:t>. As partial consideration for the receipt by Autolus of the Upfront Payment, on a country-by-country basis in the Territory during the Obe-cel Revenue Interest Term in such country, Autolus shall pay to BioNTech an amount equal to</w:t>
      </w:r>
    </w:p>
    <w:p>
      <w:pPr>
        <w:spacing w:after="0" w:line="1" w:lineRule="exact"/>
        <w:rPr>
          <w:sz w:val="20"/>
          <w:szCs w:val="20"/>
          <w:color w:val="auto"/>
        </w:rPr>
      </w:pPr>
    </w:p>
    <w:p>
      <w:pPr>
        <w:jc w:val="both"/>
        <w:ind w:firstLine="6"/>
        <w:spacing w:after="0" w:line="218" w:lineRule="auto"/>
        <w:tabs>
          <w:tab w:leader="none" w:pos="439"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annual Net Sales of Obe-cel Products (the “</w:t>
      </w:r>
      <w:r>
        <w:rPr>
          <w:rFonts w:ascii="Times New Roman" w:cs="Times New Roman" w:eastAsia="Times New Roman" w:hAnsi="Times New Roman"/>
          <w:sz w:val="18"/>
          <w:szCs w:val="18"/>
          <w:b w:val="1"/>
          <w:bCs w:val="1"/>
          <w:color w:val="auto"/>
        </w:rPr>
        <w:t>Initial Obe-cel Revenue Interest Percentage</w:t>
      </w:r>
      <w:r>
        <w:rPr>
          <w:rFonts w:ascii="Times New Roman" w:cs="Times New Roman" w:eastAsia="Times New Roman" w:hAnsi="Times New Roman"/>
          <w:sz w:val="18"/>
          <w:szCs w:val="18"/>
          <w:color w:val="auto"/>
        </w:rPr>
        <w:t>”). As consideration for the receipt by Autolus of milestone payments under Section 7.4, the Initial Obe-cel Revenue Interest Percentage shall be increased as set forth in the table below upon Autolus’s receipt of the applicable milestone payment under Section 7.4 (the Initial Obe-cel Revenue Interest Percentage and any Additional Revenue Interest Percentage, collectively the “</w:t>
      </w:r>
      <w:r>
        <w:rPr>
          <w:rFonts w:ascii="Times New Roman" w:cs="Times New Roman" w:eastAsia="Times New Roman" w:hAnsi="Times New Roman"/>
          <w:sz w:val="18"/>
          <w:szCs w:val="18"/>
          <w:b w:val="1"/>
          <w:bCs w:val="1"/>
          <w:color w:val="auto"/>
        </w:rPr>
        <w:t>Obe-cel Revenue Interest</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140" w:type="dxa"/>
            <w:vAlign w:val="bottom"/>
            <w:shd w:val="clear" w:color="auto" w:fill="BFBFB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3160" w:type="dxa"/>
            <w:vAlign w:val="bottom"/>
            <w:shd w:val="clear" w:color="auto" w:fill="BFBFBF"/>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Additional Revenue</w:t>
            </w:r>
          </w:p>
        </w:tc>
      </w:tr>
      <w:tr>
        <w:trPr>
          <w:trHeight w:val="228"/>
        </w:trPr>
        <w:tc>
          <w:tcPr>
            <w:tcW w:w="4140" w:type="dxa"/>
            <w:vAlign w:val="bottom"/>
            <w:shd w:val="clear" w:color="auto" w:fill="BFBFBF"/>
          </w:tcPr>
          <w:p>
            <w:pPr>
              <w:spacing w:after="0"/>
              <w:rPr>
                <w:sz w:val="19"/>
                <w:szCs w:val="19"/>
                <w:color w:val="auto"/>
              </w:rPr>
            </w:pPr>
          </w:p>
        </w:tc>
        <w:tc>
          <w:tcPr>
            <w:tcW w:w="3160" w:type="dxa"/>
            <w:vAlign w:val="bottom"/>
            <w:shd w:val="clear" w:color="auto" w:fill="BFBFBF"/>
          </w:tcPr>
          <w:p>
            <w:pPr>
              <w:ind w:left="860"/>
              <w:spacing w:after="0"/>
              <w:rPr>
                <w:sz w:val="20"/>
                <w:szCs w:val="20"/>
                <w:color w:val="auto"/>
              </w:rPr>
            </w:pPr>
            <w:r>
              <w:rPr>
                <w:rFonts w:ascii="Times New Roman" w:cs="Times New Roman" w:eastAsia="Times New Roman" w:hAnsi="Times New Roman"/>
                <w:sz w:val="18"/>
                <w:szCs w:val="18"/>
                <w:b w:val="1"/>
                <w:bCs w:val="1"/>
                <w:color w:val="auto"/>
              </w:rPr>
              <w:t>Interest Percentage</w:t>
            </w:r>
          </w:p>
        </w:tc>
      </w:tr>
      <w:tr>
        <w:trPr>
          <w:trHeight w:val="228"/>
        </w:trPr>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w:t>
            </w:r>
          </w:p>
        </w:tc>
      </w:tr>
      <w:tr>
        <w:trPr>
          <w:trHeight w:val="228"/>
        </w:trPr>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example, [***].</w:t>
      </w:r>
    </w:p>
    <w:p>
      <w:pPr>
        <w:spacing w:after="0" w:line="16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Obe-cel Product Diligence</w:t>
      </w:r>
      <w:r>
        <w:rPr>
          <w:rFonts w:ascii="Times New Roman" w:cs="Times New Roman" w:eastAsia="Times New Roman" w:hAnsi="Times New Roman"/>
          <w:sz w:val="18"/>
          <w:szCs w:val="18"/>
          <w:color w:val="auto"/>
        </w:rPr>
        <w:t>. Autolus shall use Commercially Reasonable Efforts: to (a) [***], and (b) [***].</w:t>
      </w:r>
    </w:p>
    <w:p>
      <w:pPr>
        <w:spacing w:after="0" w:line="165" w:lineRule="exact"/>
        <w:rPr>
          <w:sz w:val="20"/>
          <w:szCs w:val="20"/>
          <w:color w:val="auto"/>
        </w:rPr>
      </w:pPr>
    </w:p>
    <w:p>
      <w:pPr>
        <w:ind w:left="580" w:hanging="574"/>
        <w:spacing w:after="0"/>
        <w:tabs>
          <w:tab w:leader="none" w:pos="580" w:val="left"/>
        </w:tabs>
        <w:numPr>
          <w:ilvl w:val="0"/>
          <w:numId w:val="9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jc w:val="both"/>
        <w:ind w:firstLine="864"/>
        <w:spacing w:after="0" w:line="224" w:lineRule="auto"/>
        <w:rPr>
          <w:sz w:val="20"/>
          <w:szCs w:val="20"/>
          <w:color w:val="auto"/>
        </w:rPr>
      </w:pPr>
      <w:r>
        <w:rPr>
          <w:rFonts w:ascii="Times New Roman" w:cs="Times New Roman" w:eastAsia="Times New Roman" w:hAnsi="Times New Roman"/>
          <w:sz w:val="18"/>
          <w:szCs w:val="18"/>
          <w:color w:val="auto"/>
        </w:rPr>
        <w:t>8.1 [***] hereby grants [***] a [***] with [***] granting [***] and [***] if [***] intends (a) to [***], or to [***], or (b) to [***] related to [***] ((a) and (b) constituting an “[***]”) for a period of [***] commencing on the Effective Date (the “[***]”), subject to and as further set out in Section 8.3. Notwithstanding the foregoing, the rights in this Section 8.1 do not apply to [***]. For clarity, this Section 8.1 remains in full force and effect following [***]. For further clarity,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33</w:t>
      </w:r>
    </w:p>
    <w:p>
      <w:pPr>
        <w:sectPr>
          <w:pgSz w:w="11900" w:h="16840" w:orient="portrait"/>
          <w:cols w:equalWidth="0" w:num="1">
            <w:col w:w="10560"/>
          </w:cols>
          <w:pgMar w:left="660" w:top="1440" w:right="680" w:bottom="1440" w:gutter="0" w:footer="0" w:header="0"/>
        </w:sectPr>
      </w:pPr>
    </w:p>
    <w:bookmarkStart w:id="941" w:name="page942"/>
    <w:bookmarkEnd w:id="941"/>
    <w:p>
      <w:pPr>
        <w:spacing w:after="0" w:line="251"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18"/>
          <w:szCs w:val="18"/>
          <w:color w:val="auto"/>
        </w:rPr>
        <w:t>8.2</w:t>
        <w:tab/>
        <w:t>[***] shall, within [***] after the Effective Date, deliver to [***], all information and data [***] in relation to the [***]. Upon</w:t>
      </w:r>
    </w:p>
    <w:p>
      <w:pPr>
        <w:jc w:val="both"/>
        <w:ind w:right="20" w:firstLine="6"/>
        <w:spacing w:after="0" w:line="208" w:lineRule="auto"/>
        <w:tabs>
          <w:tab w:leader="none" w:pos="438"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 shall deliver to [***] (to the extent such [***]) in the formats such information and data are held by [***] at the time of such request. [***] will provide the JSC with updates on the progress of [***] in relation to [***], every [***] during the [***]. During [***] shall on</w:t>
      </w:r>
    </w:p>
    <w:p>
      <w:pPr>
        <w:spacing w:after="0" w:line="1" w:lineRule="exact"/>
        <w:rPr>
          <w:rFonts w:ascii="Times New Roman" w:cs="Times New Roman" w:eastAsia="Times New Roman" w:hAnsi="Times New Roman"/>
          <w:sz w:val="18"/>
          <w:szCs w:val="18"/>
          <w:color w:val="auto"/>
        </w:rPr>
      </w:pPr>
    </w:p>
    <w:p>
      <w:pPr>
        <w:jc w:val="both"/>
        <w:ind w:firstLine="6"/>
        <w:spacing w:after="0" w:line="213" w:lineRule="auto"/>
        <w:tabs>
          <w:tab w:leader="none" w:pos="435"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request (a) request from [***] in relation to [***] which has not been provided to [***], (b) [***] facilitate access for [***] to the [***], and (c) [***] provide [***]. To the extent that any data to be provided under this Section 8.2 constitutes Personal Data, [***] shall only be obliged to deliver such Personal Data to [***] to the extent to which it can be delivered in compliance with Applicable Data Protection Law. If the current formats are not compatible with the transfer of such information and data to [***] in compliance with Applicable Data Protection Law, then [***] shall use [***] (i) to obtain such information and data in an anonymized or other format that (1) can be transferred to [***] and (2) results in the applicable information and data no longer constituting Personal Data under Applicable Data Protection Law, or (ii) to facilitate an appropriate data transfer agreement under which such data can be provided to [***] in compliance with Applicable Data Protection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t>
      </w:r>
    </w:p>
    <w:p>
      <w:pPr>
        <w:spacing w:after="0" w:line="143" w:lineRule="exact"/>
        <w:rPr>
          <w:sz w:val="20"/>
          <w:szCs w:val="20"/>
          <w:color w:val="auto"/>
        </w:rPr>
      </w:pPr>
    </w:p>
    <w:p>
      <w:pPr>
        <w:jc w:val="both"/>
        <w:ind w:right="40" w:firstLine="864"/>
        <w:spacing w:after="0" w:line="229" w:lineRule="auto"/>
        <w:rPr>
          <w:sz w:val="20"/>
          <w:szCs w:val="20"/>
          <w:color w:val="auto"/>
        </w:rPr>
      </w:pPr>
      <w:r>
        <w:rPr>
          <w:rFonts w:ascii="Times New Roman" w:cs="Times New Roman" w:eastAsia="Times New Roman" w:hAnsi="Times New Roman"/>
          <w:sz w:val="18"/>
          <w:szCs w:val="18"/>
          <w:color w:val="auto"/>
        </w:rPr>
        <w:t>8.3 If, during the [***] is contemplating [***], then, prior to [***] (an “[***]”), [***] shall provide [***] with prior written notice and all material information and data relating to [***] then in its possession (to the extent not previously provided pursuant to Section 8.2) and for a period of [***] after receipt of such notice and information, [***] has a [***], and during such [***] would not [***].</w:t>
      </w:r>
    </w:p>
    <w:p>
      <w:pPr>
        <w:spacing w:after="0" w:line="14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If the Parties [***] may engage [***] with a [***] or enter into [***] with a [***].</w:t>
      </w:r>
    </w:p>
    <w:p>
      <w:pPr>
        <w:spacing w:after="0" w:line="161" w:lineRule="exact"/>
        <w:rPr>
          <w:sz w:val="20"/>
          <w:szCs w:val="20"/>
          <w:color w:val="auto"/>
        </w:rPr>
      </w:pPr>
    </w:p>
    <w:p>
      <w:pPr>
        <w:ind w:left="580" w:hanging="574"/>
        <w:spacing w:after="0"/>
        <w:tabs>
          <w:tab w:leader="none" w:pos="580" w:val="left"/>
        </w:tabs>
        <w:numPr>
          <w:ilvl w:val="0"/>
          <w:numId w:val="9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Provisions</w:t>
      </w:r>
    </w:p>
    <w:p>
      <w:pPr>
        <w:spacing w:after="0" w:line="165" w:lineRule="exact"/>
        <w:rPr>
          <w:sz w:val="20"/>
          <w:szCs w:val="20"/>
          <w:color w:val="auto"/>
        </w:rPr>
      </w:pPr>
    </w:p>
    <w:p>
      <w:pPr>
        <w:jc w:val="both"/>
        <w:ind w:right="40" w:firstLine="864"/>
        <w:spacing w:after="0" w:line="23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License Payment</w:t>
      </w:r>
      <w:r>
        <w:rPr>
          <w:rFonts w:ascii="Times New Roman" w:cs="Times New Roman" w:eastAsia="Times New Roman" w:hAnsi="Times New Roman"/>
          <w:sz w:val="18"/>
          <w:szCs w:val="18"/>
          <w:color w:val="auto"/>
        </w:rPr>
        <w:t>. As partial consideration for the rights granted under this Agreement with respect to the [***] Licensed IP and the Technologies Option Technology, within [***] after the receipt of an invoice issued by Autolus on or after the Effective Date BioNTech shall pay to Autolus the non-refundable, non-creditable sum of Ten Million Dollars ($10,000,000).</w:t>
      </w:r>
    </w:p>
    <w:p>
      <w:pPr>
        <w:spacing w:after="0" w:line="13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 Royalty Payments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right="40" w:firstLine="1158"/>
        <w:spacing w:after="0" w:line="225" w:lineRule="auto"/>
        <w:tabs>
          <w:tab w:leader="none" w:pos="1729"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w:t>
      </w:r>
      <w:r>
        <w:rPr>
          <w:rFonts w:ascii="Times New Roman" w:cs="Times New Roman" w:eastAsia="Times New Roman" w:hAnsi="Times New Roman"/>
          <w:sz w:val="18"/>
          <w:szCs w:val="18"/>
          <w:color w:val="auto"/>
        </w:rPr>
        <w:t>. In partial consideration of the license granted to BioNTech pursuant to Section 5.1, on a [***]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Product-by-[***] Licensed Product and country-by-country basis, during the applicable [***] Royalty Term for such [***] Licensed Product and such country, BioNTech shall pay to Autolus royalties on Net Sales of such [***] Licensed Product in such country at a rate of [***], as may be increased pursuant to Section 9.2(c) and as may be decreased pursuant to Section 9.2(b) (“[***]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p>
      <w:pPr>
        <w:spacing w:after="0" w:line="136"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Reductions</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right="40" w:firstLine="1735"/>
        <w:spacing w:after="0" w:line="224" w:lineRule="auto"/>
        <w:tabs>
          <w:tab w:leader="none" w:pos="2305" w:val="left"/>
        </w:tabs>
        <w:numPr>
          <w:ilvl w:val="1"/>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any period during the [***] Royalty Term in which [***] (A) [***], the royalty rate with respect to Net Sales of such [***] Licensed Product for the remainder of the applicable [***] Royalty Term shall be reduced by [***], and (B) [***], the royalty rate with respect to Net Sales of such [***] Licensed Product for the remainder of the applicable [***] Royalty Term shall be reduced by [***]. The Parties [***].</w:t>
      </w:r>
    </w:p>
    <w:p>
      <w:pPr>
        <w:spacing w:after="0" w:line="135" w:lineRule="exact"/>
        <w:rPr>
          <w:rFonts w:ascii="Times New Roman" w:cs="Times New Roman" w:eastAsia="Times New Roman" w:hAnsi="Times New Roman"/>
          <w:sz w:val="18"/>
          <w:szCs w:val="18"/>
          <w:color w:val="auto"/>
        </w:rPr>
      </w:pPr>
    </w:p>
    <w:p>
      <w:pPr>
        <w:jc w:val="both"/>
        <w:ind w:right="20" w:firstLine="1735"/>
        <w:spacing w:after="0" w:line="225" w:lineRule="auto"/>
        <w:tabs>
          <w:tab w:leader="none" w:pos="2305" w:val="left"/>
        </w:tabs>
        <w:numPr>
          <w:ilvl w:val="1"/>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Biosimilar Reduction</w:t>
      </w:r>
      <w:r>
        <w:rPr>
          <w:rFonts w:ascii="Times New Roman" w:cs="Times New Roman" w:eastAsia="Times New Roman" w:hAnsi="Times New Roman"/>
          <w:sz w:val="18"/>
          <w:szCs w:val="18"/>
          <w:color w:val="auto"/>
        </w:rPr>
        <w:t>. On a country-by-country and [***] Licensed Product-by-[***] Licensed Product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 Royalty Term for such [***] Licensed Product in such country, if [***], the [***] of such [***] Licensed Product in such country [***], then, thereafter, the [***] Royalties payable with respect to [***] of such [***] Licensed Product in such country will be reduced by percentage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34</w:t>
      </w:r>
    </w:p>
    <w:p>
      <w:pPr>
        <w:sectPr>
          <w:pgSz w:w="11900" w:h="16840" w:orient="portrait"/>
          <w:cols w:equalWidth="0" w:num="1">
            <w:col w:w="10600"/>
          </w:cols>
          <w:pgMar w:left="660" w:top="1440" w:right="640" w:bottom="1440" w:gutter="0" w:footer="0" w:header="0"/>
        </w:sectPr>
      </w:pPr>
    </w:p>
    <w:bookmarkStart w:id="942" w:name="page943"/>
    <w:bookmarkEnd w:id="942"/>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shd w:val="clear" w:color="auto" w:fill="DBE5F1"/>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w:t>
            </w:r>
          </w:p>
        </w:tc>
        <w:tc>
          <w:tcPr>
            <w:tcW w:w="5600" w:type="dxa"/>
            <w:vAlign w:val="bottom"/>
            <w:shd w:val="clear" w:color="auto" w:fill="DBE5F1"/>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Royalty Reduction</w:t>
            </w:r>
          </w:p>
        </w:tc>
      </w:tr>
      <w:tr>
        <w:trPr>
          <w:trHeight w:val="228"/>
        </w:trPr>
        <w:tc>
          <w:tcPr>
            <w:tcW w:w="496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w w:val="97"/>
              </w:rPr>
              <w:t>[***]</w:t>
            </w:r>
          </w:p>
        </w:tc>
        <w:tc>
          <w:tcPr>
            <w:tcW w:w="5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6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w w:val="97"/>
              </w:rPr>
              <w:t>[***]</w:t>
            </w:r>
          </w:p>
        </w:tc>
        <w:tc>
          <w:tcPr>
            <w:tcW w:w="5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230" w:lineRule="exact"/>
        <w:rPr>
          <w:sz w:val="20"/>
          <w:szCs w:val="20"/>
          <w:color w:val="auto"/>
        </w:rPr>
      </w:pPr>
    </w:p>
    <w:p>
      <w:pPr>
        <w:jc w:val="both"/>
        <w:ind w:right="40" w:firstLine="1735"/>
        <w:spacing w:after="0" w:line="225" w:lineRule="auto"/>
        <w:tabs>
          <w:tab w:leader="none" w:pos="2305" w:val="left"/>
        </w:tabs>
        <w:numPr>
          <w:ilvl w:val="2"/>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Intellectual Property</w:t>
      </w:r>
      <w:r>
        <w:rPr>
          <w:rFonts w:ascii="Times New Roman" w:cs="Times New Roman" w:eastAsia="Times New Roman" w:hAnsi="Times New Roman"/>
          <w:sz w:val="18"/>
          <w:szCs w:val="18"/>
          <w:color w:val="auto"/>
        </w:rPr>
        <w:t>. If BioNTech or one of its Affiliates obtains a license to [***] owned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controlled by a Third Party that [***], and [***], then, thereafter, BioNTech may deduct [***] of the [***] paid by BioNTech to the applicable Third Party ([***]) as an offset to the royalties payable by BioNTech to Autolus for the applicable [***] Licensed Product with respect to [***].</w:t>
      </w:r>
    </w:p>
    <w:p>
      <w:pPr>
        <w:spacing w:after="0" w:line="136" w:lineRule="exact"/>
        <w:rPr>
          <w:rFonts w:ascii="Times New Roman" w:cs="Times New Roman" w:eastAsia="Times New Roman" w:hAnsi="Times New Roman"/>
          <w:sz w:val="18"/>
          <w:szCs w:val="18"/>
          <w:color w:val="auto"/>
        </w:rPr>
      </w:pPr>
    </w:p>
    <w:p>
      <w:pPr>
        <w:jc w:val="both"/>
        <w:ind w:right="20" w:firstLine="1735"/>
        <w:spacing w:after="0" w:line="225" w:lineRule="auto"/>
        <w:tabs>
          <w:tab w:leader="none" w:pos="2305" w:val="left"/>
        </w:tabs>
        <w:numPr>
          <w:ilvl w:val="2"/>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IRA Reduction</w:t>
      </w:r>
      <w:r>
        <w:rPr>
          <w:rFonts w:ascii="Times New Roman" w:cs="Times New Roman" w:eastAsia="Times New Roman" w:hAnsi="Times New Roman"/>
          <w:sz w:val="18"/>
          <w:szCs w:val="18"/>
          <w:color w:val="auto"/>
        </w:rPr>
        <w:t>. If a [***] Licensed Product is designated as a “selected drug” by the Secretary of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of Health and Human Services, and BioNTech is required to negotiate a maximum fair price that shall apply to sales of such [***] Licensed Product during the price applicability period as specified in the Inflation Reduction Act, then the royalties payable with respect to all sales of such [***] Licensed Product in the United States shall be reduced by [***].</w:t>
      </w:r>
    </w:p>
    <w:p>
      <w:pPr>
        <w:spacing w:after="0" w:line="136" w:lineRule="exact"/>
        <w:rPr>
          <w:rFonts w:ascii="Times New Roman" w:cs="Times New Roman" w:eastAsia="Times New Roman" w:hAnsi="Times New Roman"/>
          <w:sz w:val="18"/>
          <w:szCs w:val="18"/>
          <w:color w:val="auto"/>
        </w:rPr>
      </w:pPr>
    </w:p>
    <w:p>
      <w:pPr>
        <w:jc w:val="both"/>
        <w:ind w:right="20" w:firstLine="1735"/>
        <w:spacing w:after="0" w:line="220" w:lineRule="auto"/>
        <w:tabs>
          <w:tab w:leader="none" w:pos="2293" w:val="left"/>
        </w:tabs>
        <w:numPr>
          <w:ilvl w:val="2"/>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Floor</w:t>
      </w:r>
      <w:r>
        <w:rPr>
          <w:rFonts w:ascii="Times New Roman" w:cs="Times New Roman" w:eastAsia="Times New Roman" w:hAnsi="Times New Roman"/>
          <w:sz w:val="18"/>
          <w:szCs w:val="18"/>
          <w:color w:val="auto"/>
        </w:rPr>
        <w:t xml:space="preserve">. Save as provided in [***], when royalties may be reduced to [***], on a [***] Licensed Product-by-[***] Licensed Product and country-by-country basis, in no event will the aggregate amount of [***] Royalties due to Autolus for such [***] Licensed Product in such country in a Calendar Quarter during the applicable [***] Royalty Term be reduced pursuant to this Section 9.2(b) by more than [***] of the amount that would otherwise be due to Autolus in the absence of such reductions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BioNTech may carry over and apply any such royalty reductions that are incurred or accrued in a Calendar Quarter and are not deducted in such Calendar Quarter, to any subsequent Calendar Quarters (subject to the floor in this Section 9.2(b)).</w:t>
      </w:r>
    </w:p>
    <w:p>
      <w:pPr>
        <w:spacing w:after="0" w:line="133" w:lineRule="exact"/>
        <w:rPr>
          <w:rFonts w:ascii="Times New Roman" w:cs="Times New Roman" w:eastAsia="Times New Roman" w:hAnsi="Times New Roman"/>
          <w:sz w:val="18"/>
          <w:szCs w:val="18"/>
          <w:color w:val="auto"/>
        </w:rPr>
      </w:pPr>
    </w:p>
    <w:p>
      <w:pPr>
        <w:jc w:val="both"/>
        <w:ind w:right="20" w:firstLine="1158"/>
        <w:spacing w:after="0" w:line="218" w:lineRule="auto"/>
        <w:tabs>
          <w:tab w:leader="none" w:pos="1729"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Increase</w:t>
      </w:r>
      <w:r>
        <w:rPr>
          <w:rFonts w:ascii="Times New Roman" w:cs="Times New Roman" w:eastAsia="Times New Roman" w:hAnsi="Times New Roman"/>
          <w:sz w:val="18"/>
          <w:szCs w:val="18"/>
          <w:color w:val="auto"/>
        </w:rPr>
        <w:t>. Notwithstanding Section 9.2(a), but subject to Section 9.2(b) if BioNTech, its Affiliates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 Commercializes a [***] Licensed Product and, during the applicable [***] Royalty Term for such [***] Licensed Product, Autolus, its Affiliates or Autolus Licensees has obtained or does obtain Regulatory Approval for a product containing a [***] Licensed Binder and/or a</w:t>
      </w:r>
    </w:p>
    <w:p>
      <w:pPr>
        <w:jc w:val="both"/>
        <w:ind w:right="20" w:firstLine="6"/>
        <w:spacing w:after="0" w:line="218" w:lineRule="auto"/>
        <w:tabs>
          <w:tab w:leader="none" w:pos="441" w:val="left"/>
        </w:tabs>
        <w:numPr>
          <w:ilvl w:val="0"/>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Licensed Binder in both the same Indication and in the same country as such [***] Licensed Product (“[***] </w:t>
      </w:r>
      <w:r>
        <w:rPr>
          <w:rFonts w:ascii="Times New Roman" w:cs="Times New Roman" w:eastAsia="Times New Roman" w:hAnsi="Times New Roman"/>
          <w:sz w:val="18"/>
          <w:szCs w:val="18"/>
          <w:b w:val="1"/>
          <w:bCs w:val="1"/>
          <w:color w:val="auto"/>
        </w:rPr>
        <w:t>Competing Product</w:t>
      </w:r>
      <w:r>
        <w:rPr>
          <w:rFonts w:ascii="Times New Roman" w:cs="Times New Roman" w:eastAsia="Times New Roman" w:hAnsi="Times New Roman"/>
          <w:sz w:val="18"/>
          <w:szCs w:val="18"/>
          <w:color w:val="auto"/>
        </w:rPr>
        <w:t>”), then, on a [***] Licensed Product-by-[***] Licensed Product basis and country-by-country basis, the royalty rate in respect of such [***] Licensed Product in such Indication in such countries shall be increased to [***] from First Commercial Sale of the [***] Competing Product during any Calendar Quarter in which sales of the [***] Competing Product in such Indication and country are made.</w:t>
      </w:r>
    </w:p>
    <w:p>
      <w:pPr>
        <w:spacing w:after="0" w:line="13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 Milestone Payments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158"/>
        <w:spacing w:after="0" w:line="221" w:lineRule="auto"/>
        <w:tabs>
          <w:tab w:leader="none" w:pos="1729"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partial consideration of the rights granted by Autolus to BioNTech hereunder and subject to the terms and conditions set forth in this Agreement, BioNTech shall pay to Autolus on a [***] Licensed Product-by-[***] Licensed Product basis, the non-refundable, non-creditable milestone payments upon the first achievement of each of the following milestone events for each [***] Licensed Product to achieve such milestone event (whether by or on behalf of BioNTech, its Affiliates or Sublicensees). Each milestone will be payable a maximum of once for a given [***] Licensed Product. For clarity,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35</w:t>
      </w:r>
    </w:p>
    <w:p>
      <w:pPr>
        <w:sectPr>
          <w:pgSz w:w="11900" w:h="16840" w:orient="portrait"/>
          <w:cols w:equalWidth="0" w:num="1">
            <w:col w:w="10580"/>
          </w:cols>
          <w:pgMar w:left="660" w:top="1440" w:right="660" w:bottom="1440" w:gutter="0" w:footer="0" w:header="0"/>
        </w:sectPr>
      </w:pPr>
    </w:p>
    <w:bookmarkStart w:id="943" w:name="page944"/>
    <w:bookmarkEnd w:id="943"/>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080" w:type="dxa"/>
            <w:vAlign w:val="bottom"/>
            <w:shd w:val="clear" w:color="auto" w:fill="DBE5F1"/>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Milestone</w:t>
            </w:r>
          </w:p>
        </w:tc>
        <w:tc>
          <w:tcPr>
            <w:tcW w:w="1160" w:type="dxa"/>
            <w:vAlign w:val="bottom"/>
            <w:shd w:val="clear" w:color="auto" w:fill="DBE5F1"/>
          </w:tcPr>
          <w:p>
            <w:pPr>
              <w:spacing w:after="0"/>
              <w:rPr>
                <w:sz w:val="17"/>
                <w:szCs w:val="17"/>
                <w:color w:val="auto"/>
              </w:rPr>
            </w:pPr>
          </w:p>
        </w:tc>
        <w:tc>
          <w:tcPr>
            <w:tcW w:w="2420" w:type="dxa"/>
            <w:vAlign w:val="bottom"/>
            <w:vMerge w:val="restart"/>
            <w:shd w:val="clear" w:color="auto" w:fill="DBE5F1"/>
          </w:tcPr>
          <w:p>
            <w:pPr>
              <w:ind w:left="320"/>
              <w:spacing w:after="0"/>
              <w:rPr>
                <w:sz w:val="20"/>
                <w:szCs w:val="20"/>
                <w:color w:val="auto"/>
              </w:rPr>
            </w:pPr>
            <w:r>
              <w:rPr>
                <w:rFonts w:ascii="Times New Roman" w:cs="Times New Roman" w:eastAsia="Times New Roman" w:hAnsi="Times New Roman"/>
                <w:sz w:val="18"/>
                <w:szCs w:val="18"/>
                <w:b w:val="1"/>
                <w:bCs w:val="1"/>
                <w:color w:val="auto"/>
              </w:rPr>
              <w:t>Milestone Event</w:t>
            </w:r>
          </w:p>
        </w:tc>
        <w:tc>
          <w:tcPr>
            <w:tcW w:w="246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80" w:type="dxa"/>
            <w:vAlign w:val="bottom"/>
            <w:vMerge w:val="restart"/>
            <w:shd w:val="clear" w:color="auto" w:fill="DBE5F1"/>
          </w:tcPr>
          <w:p>
            <w:pPr>
              <w:ind w:lef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shd w:val="clear" w:color="auto" w:fill="DBE5F1"/>
          </w:tcPr>
          <w:p>
            <w:pPr>
              <w:spacing w:after="0"/>
              <w:rPr>
                <w:sz w:val="12"/>
                <w:szCs w:val="12"/>
                <w:color w:val="auto"/>
              </w:rPr>
            </w:pPr>
          </w:p>
        </w:tc>
        <w:tc>
          <w:tcPr>
            <w:tcW w:w="2420" w:type="dxa"/>
            <w:vAlign w:val="bottom"/>
            <w:vMerge w:val="continue"/>
            <w:shd w:val="clear" w:color="auto" w:fill="DBE5F1"/>
          </w:tcPr>
          <w:p>
            <w:pPr>
              <w:spacing w:after="0"/>
              <w:rPr>
                <w:sz w:val="12"/>
                <w:szCs w:val="12"/>
                <w:color w:val="auto"/>
              </w:rPr>
            </w:pPr>
          </w:p>
        </w:tc>
        <w:tc>
          <w:tcPr>
            <w:tcW w:w="2460" w:type="dxa"/>
            <w:vAlign w:val="bottom"/>
            <w:vMerge w:val="restart"/>
            <w:shd w:val="clear" w:color="auto" w:fill="DBE5F1"/>
          </w:tcPr>
          <w:p>
            <w:pPr>
              <w:ind w:left="860"/>
              <w:spacing w:after="0"/>
              <w:rPr>
                <w:sz w:val="20"/>
                <w:szCs w:val="20"/>
                <w:color w:val="auto"/>
              </w:rPr>
            </w:pPr>
            <w:r>
              <w:rPr>
                <w:rFonts w:ascii="Times New Roman" w:cs="Times New Roman" w:eastAsia="Times New Roman" w:hAnsi="Times New Roman"/>
                <w:sz w:val="18"/>
                <w:szCs w:val="18"/>
                <w:b w:val="1"/>
                <w:bCs w:val="1"/>
                <w:color w:val="auto"/>
              </w:rPr>
              <w:t>Milestone Payment</w:t>
            </w:r>
          </w:p>
        </w:tc>
        <w:tc>
          <w:tcPr>
            <w:tcW w:w="0" w:type="dxa"/>
            <w:vAlign w:val="bottom"/>
          </w:tcPr>
          <w:p>
            <w:pPr>
              <w:spacing w:after="0"/>
              <w:rPr>
                <w:sz w:val="1"/>
                <w:szCs w:val="1"/>
                <w:color w:val="auto"/>
              </w:rPr>
            </w:pPr>
          </w:p>
        </w:tc>
      </w:tr>
      <w:tr>
        <w:trPr>
          <w:trHeight w:val="90"/>
        </w:trPr>
        <w:tc>
          <w:tcPr>
            <w:tcW w:w="2080" w:type="dxa"/>
            <w:vAlign w:val="bottom"/>
            <w:vMerge w:val="continue"/>
            <w:shd w:val="clear" w:color="auto" w:fill="DBE5F1"/>
          </w:tcPr>
          <w:p>
            <w:pPr>
              <w:spacing w:after="0"/>
              <w:rPr>
                <w:sz w:val="7"/>
                <w:szCs w:val="7"/>
                <w:color w:val="auto"/>
              </w:rPr>
            </w:pPr>
          </w:p>
        </w:tc>
        <w:tc>
          <w:tcPr>
            <w:tcW w:w="1160" w:type="dxa"/>
            <w:vAlign w:val="bottom"/>
            <w:shd w:val="clear" w:color="auto" w:fill="DBE5F1"/>
          </w:tcPr>
          <w:p>
            <w:pPr>
              <w:spacing w:after="0"/>
              <w:rPr>
                <w:sz w:val="7"/>
                <w:szCs w:val="7"/>
                <w:color w:val="auto"/>
              </w:rPr>
            </w:pPr>
          </w:p>
        </w:tc>
        <w:tc>
          <w:tcPr>
            <w:tcW w:w="2420" w:type="dxa"/>
            <w:vAlign w:val="bottom"/>
            <w:shd w:val="clear" w:color="auto" w:fill="DBE5F1"/>
          </w:tcPr>
          <w:p>
            <w:pPr>
              <w:spacing w:after="0"/>
              <w:rPr>
                <w:sz w:val="7"/>
                <w:szCs w:val="7"/>
                <w:color w:val="auto"/>
              </w:rPr>
            </w:pPr>
          </w:p>
        </w:tc>
        <w:tc>
          <w:tcPr>
            <w:tcW w:w="24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28"/>
        </w:trPr>
        <w:tc>
          <w:tcPr>
            <w:tcW w:w="2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28"/>
        </w:trPr>
        <w:tc>
          <w:tcPr>
            <w:tcW w:w="2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28"/>
        </w:trPr>
        <w:tc>
          <w:tcPr>
            <w:tcW w:w="2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34"/>
        </w:trPr>
        <w:tc>
          <w:tcPr>
            <w:tcW w:w="2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0"/>
                <w:szCs w:val="20"/>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76"/>
        </w:trPr>
        <w:tc>
          <w:tcPr>
            <w:tcW w:w="32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 Per [***] Licensed Product</w:t>
            </w:r>
          </w:p>
        </w:tc>
        <w:tc>
          <w:tcPr>
            <w:tcW w:w="2420" w:type="dxa"/>
            <w:vAlign w:val="bottom"/>
          </w:tcPr>
          <w:p>
            <w:pPr>
              <w:spacing w:after="0"/>
              <w:rPr>
                <w:sz w:val="24"/>
                <w:szCs w:val="24"/>
                <w:color w:val="auto"/>
              </w:rPr>
            </w:pPr>
          </w:p>
        </w:tc>
        <w:tc>
          <w:tcPr>
            <w:tcW w:w="24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$32,000,000</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60" w:firstLine="1158"/>
        <w:spacing w:after="0" w:line="231" w:lineRule="auto"/>
        <w:tabs>
          <w:tab w:leader="none" w:pos="1717" w:val="left"/>
        </w:tabs>
        <w:numPr>
          <w:ilvl w:val="1"/>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and Payment</w:t>
      </w:r>
      <w:r>
        <w:rPr>
          <w:rFonts w:ascii="Times New Roman" w:cs="Times New Roman" w:eastAsia="Times New Roman" w:hAnsi="Times New Roman"/>
          <w:sz w:val="18"/>
          <w:szCs w:val="18"/>
          <w:color w:val="auto"/>
        </w:rPr>
        <w:t>. BioNTech shall notify Autolus in writing within [***] after the first achievement of any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set forth in this Section 9.3 by or on behalf of BioNTech, its Affiliates or Sublicensees. Based on this notice, Autolus shall then issue and send to BioNTech the invoice for the appropriate milestone payment, which shall be paid by BioNTech within [***] of receipt of such invoice.</w:t>
      </w:r>
    </w:p>
    <w:p>
      <w:pPr>
        <w:spacing w:after="0" w:line="134" w:lineRule="exact"/>
        <w:rPr>
          <w:rFonts w:ascii="Times New Roman" w:cs="Times New Roman" w:eastAsia="Times New Roman" w:hAnsi="Times New Roman"/>
          <w:sz w:val="18"/>
          <w:szCs w:val="18"/>
          <w:color w:val="auto"/>
        </w:rPr>
      </w:pPr>
    </w:p>
    <w:p>
      <w:pPr>
        <w:jc w:val="both"/>
        <w:ind w:right="40" w:firstLine="1158"/>
        <w:spacing w:after="0" w:line="218" w:lineRule="auto"/>
        <w:tabs>
          <w:tab w:leader="none" w:pos="1729" w:val="left"/>
        </w:tabs>
        <w:numPr>
          <w:ilvl w:val="1"/>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Skipped Milestone Event</w:t>
      </w:r>
      <w:r>
        <w:rPr>
          <w:rFonts w:ascii="Times New Roman" w:cs="Times New Roman" w:eastAsia="Times New Roman" w:hAnsi="Times New Roman"/>
          <w:sz w:val="18"/>
          <w:szCs w:val="18"/>
          <w:color w:val="auto"/>
        </w:rPr>
        <w:t>. If any of the [***] milestones set out in Section 9.3(a) is skipped for any reason,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skipped milestone shall become payable on the achievement of the next milestone to be achieved, as if both the following milestone and the skipped milestone had been achieved simultaneously, but the [***] milestones are payable only as and when achieved. By way of example, if</w:t>
      </w:r>
    </w:p>
    <w:p>
      <w:pPr>
        <w:jc w:val="both"/>
        <w:ind w:right="40" w:firstLine="6"/>
        <w:spacing w:after="0" w:line="222" w:lineRule="auto"/>
        <w:tabs>
          <w:tab w:leader="none" w:pos="438" w:val="left"/>
        </w:tabs>
        <w:numPr>
          <w:ilvl w:val="0"/>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achieved, and then [***] is achieved without [***] having been achieved, then the milestone payments in respect of both [***] and [***] would become payable upon the achievement of [***]. If [***] is achieved before [***] have been achieved, then upon the achievement of [***] each of [***] will be payable to the extent not already paid. However, if [***].</w:t>
      </w:r>
    </w:p>
    <w:p>
      <w:pPr>
        <w:spacing w:after="0" w:line="134" w:lineRule="exact"/>
        <w:rPr>
          <w:sz w:val="20"/>
          <w:szCs w:val="20"/>
          <w:color w:val="auto"/>
        </w:rPr>
      </w:pPr>
    </w:p>
    <w:p>
      <w:pPr>
        <w:jc w:val="both"/>
        <w:ind w:firstLine="864"/>
        <w:spacing w:after="0" w:line="225" w:lineRule="auto"/>
        <w:rPr>
          <w:sz w:val="20"/>
          <w:szCs w:val="20"/>
          <w:color w:val="auto"/>
        </w:rPr>
      </w:pPr>
      <w:r>
        <w:rPr>
          <w:rFonts w:ascii="Times New Roman" w:cs="Times New Roman" w:eastAsia="Times New Roman" w:hAnsi="Times New Roman"/>
          <w:sz w:val="18"/>
          <w:szCs w:val="18"/>
          <w:color w:val="auto"/>
        </w:rPr>
        <w:t xml:space="preserve">9 . 4 </w:t>
      </w:r>
      <w:r>
        <w:rPr>
          <w:rFonts w:ascii="Times New Roman" w:cs="Times New Roman" w:eastAsia="Times New Roman" w:hAnsi="Times New Roman"/>
          <w:sz w:val="18"/>
          <w:szCs w:val="18"/>
          <w:b w:val="1"/>
          <w:bCs w:val="1"/>
          <w:color w:val="auto"/>
        </w:rPr>
        <w:t>Cap on Option Exercise and Milestone Payments</w:t>
      </w:r>
      <w:r>
        <w:rPr>
          <w:rFonts w:ascii="Times New Roman" w:cs="Times New Roman" w:eastAsia="Times New Roman" w:hAnsi="Times New Roman"/>
          <w:sz w:val="18"/>
          <w:szCs w:val="18"/>
          <w:color w:val="auto"/>
        </w:rPr>
        <w:t>. Notwithstanding the terms of this Article 9 or the terms of any Technologies License Agreement, the total amount payable by BioNTech to Autolus for all milestone payments and Technologies Option Exercise Fees under this Agreement and all Technologies License Agreements shall not exceed [***]. For the avoidance of doubt, this cap does not apply to royalty payments.</w:t>
      </w:r>
    </w:p>
    <w:p>
      <w:pPr>
        <w:spacing w:after="0" w:line="136" w:lineRule="exact"/>
        <w:rPr>
          <w:sz w:val="20"/>
          <w:szCs w:val="20"/>
          <w:color w:val="auto"/>
        </w:rPr>
      </w:pPr>
    </w:p>
    <w:p>
      <w:pPr>
        <w:ind w:right="40" w:firstLine="864"/>
        <w:spacing w:after="0" w:line="24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Existing Third Party Payments</w:t>
      </w:r>
      <w:r>
        <w:rPr>
          <w:rFonts w:ascii="Times New Roman" w:cs="Times New Roman" w:eastAsia="Times New Roman" w:hAnsi="Times New Roman"/>
          <w:sz w:val="18"/>
          <w:szCs w:val="18"/>
          <w:color w:val="auto"/>
        </w:rPr>
        <w:t>. Autolus is solely responsible for any payments owed to any Third Parties under the Upstream License Agreements and for any payments owed under the Intra-Group License.</w:t>
      </w:r>
    </w:p>
    <w:p>
      <w:pPr>
        <w:spacing w:after="0" w:line="130" w:lineRule="exact"/>
        <w:rPr>
          <w:sz w:val="20"/>
          <w:szCs w:val="20"/>
          <w:color w:val="auto"/>
        </w:rPr>
      </w:pPr>
    </w:p>
    <w:p>
      <w:pPr>
        <w:ind w:left="580" w:hanging="574"/>
        <w:spacing w:after="0"/>
        <w:tabs>
          <w:tab w:leader="none" w:pos="580" w:val="left"/>
        </w:tabs>
        <w:numPr>
          <w:ilvl w:val="0"/>
          <w:numId w:val="9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 and Payment Terms</w:t>
      </w:r>
    </w:p>
    <w:p>
      <w:pPr>
        <w:spacing w:after="0" w:line="16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Reports; Timing of Payment and Royalty Statements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right="40" w:firstLine="1158"/>
        <w:spacing w:after="0" w:line="216" w:lineRule="auto"/>
        <w:tabs>
          <w:tab w:leader="none" w:pos="1729"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Obe-cel Revenue Interest and [***] Royalties shall accrue at the time the payment for the sale of the applicable product is [***]. For each [***] during the Obe-cel Revenue Interest Term and [***] Royalty Term the Paying Party shall send to the Receiving Party within [***] a statement of [***]. Where there are Net Sales of Obe-cel Product or [***] Licensed Product other than [***], the Paying Party shall also provide details of [***]. The Selling Party shall procure that the foregoing information is obtained from any Autolus Licensee with respect to Obe-cel Product or Sublicensee with respect to [***] Product, as applicable. Each Party shall [***] require any Autolus Licensee (in the case of Autolus) and Sublicensee (in the case of BioNTech) to provide such statement within [***] after the end of such [***]. Royalty and revenue interest obligations that have accrued during a particular [***] shall be paid by the applicable Paying Party, on a [***] basis, within [***] after the end of such [***].</w:t>
      </w:r>
    </w:p>
    <w:p>
      <w:pPr>
        <w:spacing w:after="0" w:line="142" w:lineRule="exact"/>
        <w:rPr>
          <w:rFonts w:ascii="Times New Roman" w:cs="Times New Roman" w:eastAsia="Times New Roman" w:hAnsi="Times New Roman"/>
          <w:sz w:val="18"/>
          <w:szCs w:val="18"/>
          <w:color w:val="auto"/>
        </w:rPr>
      </w:pPr>
    </w:p>
    <w:p>
      <w:pPr>
        <w:ind w:right="20" w:firstLine="1158"/>
        <w:spacing w:after="0"/>
        <w:tabs>
          <w:tab w:leader="none" w:pos="1717"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has no payment obligations to [***], but to enable Autolus to comply with its reporting obligations under [***], with effect on a [***] Licensed Product-by-[***]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36</w:t>
      </w:r>
    </w:p>
    <w:p>
      <w:pPr>
        <w:sectPr>
          <w:pgSz w:w="11900" w:h="16840" w:orient="portrait"/>
          <w:cols w:equalWidth="0" w:num="1">
            <w:col w:w="10600"/>
          </w:cols>
          <w:pgMar w:left="660" w:top="1440" w:right="640" w:bottom="1440" w:gutter="0" w:footer="0" w:header="0"/>
        </w:sectPr>
      </w:pPr>
    </w:p>
    <w:bookmarkStart w:id="944" w:name="page945"/>
    <w:bookmarkEnd w:id="944"/>
    <w:p>
      <w:pPr>
        <w:spacing w:after="0" w:line="25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Product basis from the First Commercial Sale of such [***] Licensed Product and throughout the remainder of the [***] Royalty Term for such [***] Licensed Product, within [***] following [***], BioNTech shall provide Autolus with a written report showing [***].</w:t>
      </w:r>
    </w:p>
    <w:p>
      <w:pPr>
        <w:spacing w:after="0" w:line="134"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Mode of Payment and Currency</w:t>
      </w:r>
      <w:r>
        <w:rPr>
          <w:rFonts w:ascii="Times New Roman" w:cs="Times New Roman" w:eastAsia="Times New Roman" w:hAnsi="Times New Roman"/>
          <w:sz w:val="18"/>
          <w:szCs w:val="18"/>
          <w:color w:val="auto"/>
        </w:rPr>
        <w:t xml:space="preserve">. All payments hereunder shall be made by deposit of Dollars in the requisite amount to such bank account as the recipient may from time to time designate by written notice to the Paying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bank account is located in the European Union, the United Kingdom, or the United States. With respect to sales not denominated in Dollars, the Paying Party shall convert applicable sales in foreign currency into Dollars by using the then-current and reasonable standard exchange rate methodology applied to its external reporting. Based on the resulting sales in Dollars, the Paying Party shall calculate the applicable Obe-cel Revenue Interest or [***] Royalties.</w:t>
      </w:r>
    </w:p>
    <w:p>
      <w:pPr>
        <w:spacing w:after="0" w:line="134" w:lineRule="exact"/>
        <w:rPr>
          <w:sz w:val="20"/>
          <w:szCs w:val="20"/>
          <w:color w:val="auto"/>
        </w:rPr>
      </w:pPr>
    </w:p>
    <w:p>
      <w:pPr>
        <w:jc w:val="both"/>
        <w:ind w:right="20" w:firstLine="870"/>
        <w:spacing w:after="0" w:line="225" w:lineRule="auto"/>
        <w:tabs>
          <w:tab w:leader="none" w:pos="1125"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If either Party fails to pay any undisputed payment under this Agreement by the date when such payment is due, then, without limiting any other right or remedy of the other Party, such late payment shall be paid together with interest thereon at an annual rate [***], from the date on which such payment was originally due until the date of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rate shall not exceed the rate permissible under Applicable Law).</w:t>
      </w:r>
    </w:p>
    <w:p>
      <w:pPr>
        <w:spacing w:after="0" w:line="136"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8"/>
          <w:szCs w:val="18"/>
          <w:color w:val="auto"/>
        </w:rPr>
        <w:t xml:space="preserve">1 0 . 4 </w:t>
      </w:r>
      <w:r>
        <w:rPr>
          <w:rFonts w:ascii="Times New Roman" w:cs="Times New Roman" w:eastAsia="Times New Roman" w:hAnsi="Times New Roman"/>
          <w:sz w:val="18"/>
          <w:szCs w:val="18"/>
          <w:b w:val="1"/>
          <w:bCs w:val="1"/>
          <w:color w:val="auto"/>
        </w:rPr>
        <w:t>Financial Records</w:t>
      </w:r>
      <w:r>
        <w:rPr>
          <w:rFonts w:ascii="Times New Roman" w:cs="Times New Roman" w:eastAsia="Times New Roman" w:hAnsi="Times New Roman"/>
          <w:sz w:val="18"/>
          <w:szCs w:val="18"/>
          <w:color w:val="auto"/>
        </w:rPr>
        <w:t>. (a) Autolus shall, and shall cause its Affiliates and Autolus Licensees to, keep complete and accurate financial books and records pertaining to the Exploitation of Obe -cel Products, and (b) BioNTech shall, and shall cause its Affiliates and Sublicensees to, keep complete and accurate financial books and records pertaining to the Exploitation of [***] Licensed Products, in each case ((a) and (b)) in sufficient detail to calculate all amounts payable hereunder with respect thereto and to verify compliance with its obligations under this Agreement. Such books and records shall be retained by the Parties and their Affiliates and, Autolus Licensees and Sublicensees (as applicable), until [***] after the end of the Calendar Year to which such books and records pertain.</w:t>
      </w:r>
    </w:p>
    <w:p>
      <w:pPr>
        <w:spacing w:after="0" w:line="134"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color w:val="auto"/>
        </w:rPr>
        <w:t>Audit Rights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158"/>
        <w:spacing w:after="0" w:line="214" w:lineRule="auto"/>
        <w:tabs>
          <w:tab w:leader="none" w:pos="1729" w:val="left"/>
        </w:tabs>
        <w:numPr>
          <w:ilvl w:val="1"/>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(the “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xml:space="preserve">”) may, upon written request to the other Party (the “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cause an internationally recognized independent accounting firm (which is reasonably acceptable to the Audited Party)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to inspect the relevant records of the Audited Party or its Affiliates to verify the royalties or revenue interest payable by such Audited Party under this Agreement, and the related reports, statements and books of accounts,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Auditor may only inspect the relevant books and records of the Audited Party to verify sums payable under this Agreement by the Audited Party with respect to the [***] prior to the</w:t>
      </w:r>
    </w:p>
    <w:p>
      <w:pPr>
        <w:spacing w:after="0" w:line="1" w:lineRule="exact"/>
        <w:rPr>
          <w:rFonts w:ascii="Times New Roman" w:cs="Times New Roman" w:eastAsia="Times New Roman" w:hAnsi="Times New Roman"/>
          <w:sz w:val="18"/>
          <w:szCs w:val="18"/>
          <w:color w:val="auto"/>
        </w:rPr>
      </w:pPr>
    </w:p>
    <w:p>
      <w:pPr>
        <w:jc w:val="both"/>
        <w:ind w:firstLine="6"/>
        <w:spacing w:after="0" w:line="216" w:lineRule="auto"/>
        <w:tabs>
          <w:tab w:leader="none" w:pos="453"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which such inspection request is made. Before beginning its audit, the Auditor will execute an undertaking acceptable to the Audited Party by which the Auditor shall agree to keep confidential all Confidential Information reviewed during such audit. The Auditor will disclose to the Auditing Party only its conclusions regarding any payments owed under this Agreement. On written request by Autolus, following a written request to Autolus by [***] to audit Autolus in accordance with [***], BioNTech shall, [***], provide to Autolus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obligations shall expire [***].</w:t>
      </w:r>
    </w:p>
    <w:p>
      <w:pPr>
        <w:spacing w:after="0" w:line="140" w:lineRule="exact"/>
        <w:rPr>
          <w:rFonts w:ascii="Times New Roman" w:cs="Times New Roman" w:eastAsia="Times New Roman" w:hAnsi="Times New Roman"/>
          <w:sz w:val="18"/>
          <w:szCs w:val="18"/>
          <w:color w:val="auto"/>
        </w:rPr>
      </w:pPr>
    </w:p>
    <w:p>
      <w:pPr>
        <w:jc w:val="both"/>
        <w:ind w:right="20" w:firstLine="1158"/>
        <w:spacing w:after="0" w:line="217" w:lineRule="auto"/>
        <w:tabs>
          <w:tab w:leader="none" w:pos="1717"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Party shall make its relevant records available for inspection by such Auditor during regular business hours at such place or places where such records are customarily kept, upon receipt of reasonable advance notice from the Auditing Party. The records shall be reviewed solely to verify the accuracy of the Audited Party’s payments under this Agreement. The Auditing Party shall not exercise such inspection right more than once in any [***] and not more frequently than once with respect to records covering any specific period of time. The Auditing Party shall hold in strict confidence all Confidential Information received and all Confidential Information learned in the course of any audit or inspection, except to the extent necessary to enforce its rights under this Agreement or to the extent required to comply with any law, regulation or judicial order.</w:t>
      </w:r>
    </w:p>
    <w:p>
      <w:pPr>
        <w:spacing w:after="0" w:line="142" w:lineRule="exact"/>
        <w:rPr>
          <w:rFonts w:ascii="Times New Roman" w:cs="Times New Roman" w:eastAsia="Times New Roman" w:hAnsi="Times New Roman"/>
          <w:sz w:val="18"/>
          <w:szCs w:val="18"/>
          <w:color w:val="auto"/>
        </w:rPr>
      </w:pPr>
    </w:p>
    <w:p>
      <w:pPr>
        <w:ind w:right="40" w:firstLine="1158"/>
        <w:spacing w:after="0"/>
        <w:tabs>
          <w:tab w:leader="none" w:pos="1729"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result of the inspection reveals an undisputed underpayment or overpayment by the Audited Party, then the underpaid or overpaid amount shall be settled [***].</w:t>
      </w:r>
    </w:p>
    <w:p>
      <w:pPr>
        <w:spacing w:after="0" w:line="138" w:lineRule="exact"/>
        <w:rPr>
          <w:rFonts w:ascii="Times New Roman" w:cs="Times New Roman" w:eastAsia="Times New Roman" w:hAnsi="Times New Roman"/>
          <w:sz w:val="18"/>
          <w:szCs w:val="18"/>
          <w:color w:val="auto"/>
        </w:rPr>
      </w:pPr>
    </w:p>
    <w:p>
      <w:pPr>
        <w:ind w:right="60" w:firstLine="1158"/>
        <w:spacing w:after="0"/>
        <w:tabs>
          <w:tab w:leader="none" w:pos="1717"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Auditing Party shall pay for the fees and expenses of the Auditor, except that (i) BioNTech shall pay for such fees with respect to audits initiated by Autolus if BioNTech is found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w:t>
      </w:r>
    </w:p>
    <w:p>
      <w:pPr>
        <w:sectPr>
          <w:pgSz w:w="11900" w:h="16840" w:orient="portrait"/>
          <w:cols w:equalWidth="0" w:num="1">
            <w:col w:w="10580"/>
          </w:cols>
          <w:pgMar w:left="660" w:top="1440" w:right="660" w:bottom="1440" w:gutter="0" w:footer="0" w:header="0"/>
        </w:sectPr>
      </w:pPr>
    </w:p>
    <w:bookmarkStart w:id="945" w:name="page946"/>
    <w:bookmarkEnd w:id="945"/>
    <w:p>
      <w:pPr>
        <w:spacing w:after="0" w:line="258"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8"/>
          <w:szCs w:val="18"/>
          <w:color w:val="auto"/>
        </w:rPr>
        <w:t>have underpaid Autolus by more than [***] of the amount that should have been paid for the audited period and (ii) Autolus shall pay for such fees with respect to audits initiated by BioNTech if Autolus is found to have underpaid BioNTech by more than [***] of the amount that should have been paid for the audited period.</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40" w:hanging="582"/>
        <w:spacing w:after="0"/>
        <w:tabs>
          <w:tab w:leader="none" w:pos="1740" w:val="left"/>
        </w:tabs>
        <w:numPr>
          <w:ilvl w:val="0"/>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Tax</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right="40" w:firstLine="1735"/>
        <w:spacing w:after="0" w:line="215"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and other consideration under this Agreement are stated exclusive of Sales Tax. If any Sales Tax is chargeable in respect of any supply made by Autolus to BioNTech pursuant to this Agreement and Autolus, or any Affiliate of it, is required to account for such Sales Tax to a tax authority, BioNTech shall pay to Autolus an amount equal to such Sales Tax in addition to the payment or other consideration in respect of that supply. Such Sales Tax shall be payable at the same time as such payment or other consideration is due or otherwise required to be provided and Autolus, where applicable, shall provide BioNTech with a valid Sales Tax invoice. If any Sales Tax is chargeable in respect of any supply made by BioNTech to Autolus pursuant to this Agreement and BioNTech, or any Affiliate of it, is required to account for such Sales Tax to a tax authority, Autolus shall pay to BioNTech an amount equal to such Sales Tax in addition to the payment or other consideration in respect of that supply. Such Sales Tax shall be payable at the same time as such payment or other consideration is due or otherwise required to be provided and BioNTech, where applicable, shall provide Autolus with a valid Sales Tax invoice.</w:t>
      </w:r>
    </w:p>
    <w:p>
      <w:pPr>
        <w:spacing w:after="0" w:line="143" w:lineRule="exact"/>
        <w:rPr>
          <w:rFonts w:ascii="Times New Roman" w:cs="Times New Roman" w:eastAsia="Times New Roman" w:hAnsi="Times New Roman"/>
          <w:sz w:val="18"/>
          <w:szCs w:val="18"/>
          <w:color w:val="auto"/>
        </w:rPr>
      </w:pPr>
    </w:p>
    <w:p>
      <w:pPr>
        <w:jc w:val="both"/>
        <w:ind w:firstLine="1735"/>
        <w:spacing w:after="0" w:line="224"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Party is required under this Agreement to indemnify, pay or otherwise reimburse an amount in respect of any liability, cost, charge or expense incurred by another Party, the payor shall not be required to indemnify, pay or reimburse any amount in respect of Sales Tax which is recoverable (whether by way or repayment, credit or set off) by the payee (or any Affiliate of it), subject to the payee (or such Affiliate) using [***] to recover such Sales Tax.</w:t>
      </w:r>
    </w:p>
    <w:p>
      <w:pPr>
        <w:spacing w:after="0" w:line="135"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right="20" w:firstLine="1735"/>
        <w:spacing w:after="0" w:line="229"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and other consideration provided under this Agreement shall be paid or provided by the Party making the payment or providing the consideration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without any withholding or deduction for, or on account of, any Taxes, except for taxes that are required to be withheld or deducted by Applicable Law.</w:t>
      </w:r>
    </w:p>
    <w:p>
      <w:pPr>
        <w:spacing w:after="0" w:line="139" w:lineRule="exact"/>
        <w:rPr>
          <w:rFonts w:ascii="Times New Roman" w:cs="Times New Roman" w:eastAsia="Times New Roman" w:hAnsi="Times New Roman"/>
          <w:sz w:val="18"/>
          <w:szCs w:val="18"/>
          <w:color w:val="auto"/>
        </w:rPr>
      </w:pPr>
    </w:p>
    <w:p>
      <w:pPr>
        <w:jc w:val="both"/>
        <w:ind w:right="20" w:firstLine="1735"/>
        <w:spacing w:after="0" w:line="219"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deductions or withholdings for or on account of Tax are required to made by Applicable Law in respect of any amounts payable or other consideration provided under this Agreement, the Paying Party shall withhold or deduct an amount equal to any such Tax, account for such Tax to the relevant tax authority within the time required by Applicable Law and provide to the party entitled to receive such amount or other consideration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reasonable evidence of the payment of such Tax, including official receipts (where available), and such withheld or deducted Taxes shall be treated for all purposes of this Agreement as having been paid to the Receiving Party.</w:t>
      </w:r>
    </w:p>
    <w:p>
      <w:pPr>
        <w:spacing w:after="0" w:line="139" w:lineRule="exact"/>
        <w:rPr>
          <w:rFonts w:ascii="Times New Roman" w:cs="Times New Roman" w:eastAsia="Times New Roman" w:hAnsi="Times New Roman"/>
          <w:sz w:val="18"/>
          <w:szCs w:val="18"/>
          <w:color w:val="auto"/>
        </w:rPr>
      </w:pPr>
    </w:p>
    <w:p>
      <w:pPr>
        <w:jc w:val="both"/>
        <w:ind w:firstLine="1735"/>
        <w:spacing w:after="0" w:line="217"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in respect of the payment or other consideration in question (other than any payment of interest), cooperate and take all steps reasonably and lawfully available to them, including completing such procedural formalities as are necessary, to establish the Receiving Party’s entitlement to any exemption from, or diminution in the amount of, any relevant deduction or withholding for or on account of Tax and to enable the Paying Party to obtain any necessary authorization to make payment or provide consideration without, or subject to a reduced amount of, deduction or withholding for or on account of Tax (including, in each case and for the avoidance of doubt, in relation to any applicable exemption certificate) and to provide the Receiving Party with such assistance as is reasonably required to obtain a refund of, or credit with respect to, any such Tax required to be deducted or withheld.</w:t>
      </w:r>
    </w:p>
    <w:p>
      <w:pPr>
        <w:spacing w:after="0" w:line="142" w:lineRule="exact"/>
        <w:rPr>
          <w:rFonts w:ascii="Times New Roman" w:cs="Times New Roman" w:eastAsia="Times New Roman" w:hAnsi="Times New Roman"/>
          <w:sz w:val="18"/>
          <w:szCs w:val="18"/>
          <w:color w:val="auto"/>
        </w:rPr>
      </w:pPr>
    </w:p>
    <w:p>
      <w:pPr>
        <w:jc w:val="both"/>
        <w:ind w:firstLine="1735"/>
        <w:spacing w:after="0" w:line="229" w:lineRule="auto"/>
        <w:tabs>
          <w:tab w:leader="none" w:pos="2305" w:val="left"/>
        </w:tabs>
        <w:numPr>
          <w:ilvl w:val="1"/>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takes any action (not required by the terms of this Agreement), including any assignment, transfer, sublicense, change of place of incorporation or tax residence, or a change of the place of business or other permanent establishment through which it receives the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38</w:t>
      </w:r>
    </w:p>
    <w:p>
      <w:pPr>
        <w:sectPr>
          <w:pgSz w:w="11900" w:h="16840" w:orient="portrait"/>
          <w:cols w:equalWidth="0" w:num="1">
            <w:col w:w="10580"/>
          </w:cols>
          <w:pgMar w:left="660" w:top="1440" w:right="660" w:bottom="1440" w:gutter="0" w:footer="0" w:header="0"/>
        </w:sectPr>
      </w:pPr>
    </w:p>
    <w:bookmarkStart w:id="946" w:name="page947"/>
    <w:bookmarkEnd w:id="946"/>
    <w:p>
      <w:pPr>
        <w:spacing w:after="0" w:line="258"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made under this Agreement or with which the performance of its obligations under this Agreement is effectively connected, which results in an obligation, or increased obligation, to withhold or deduct tax with respect to payments to be made or other consideration to be provided to the other Party pursuant to this Agreement, then [***].</w:t>
      </w:r>
    </w:p>
    <w:p>
      <w:pPr>
        <w:spacing w:after="0" w:line="140" w:lineRule="exact"/>
        <w:rPr>
          <w:sz w:val="20"/>
          <w:szCs w:val="20"/>
          <w:color w:val="auto"/>
        </w:rPr>
      </w:pPr>
    </w:p>
    <w:p>
      <w:pPr>
        <w:jc w:val="both"/>
        <w:ind w:firstLine="1735"/>
        <w:spacing w:after="0" w:line="216" w:lineRule="auto"/>
        <w:tabs>
          <w:tab w:leader="none" w:pos="2293" w:val="left"/>
        </w:tabs>
        <w:numPr>
          <w:ilvl w:val="2"/>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withholding tax deduction was omitted, (ii) an exemption certificate of the Receiving Party as required under the German anti-treaty-shopping rules for the Paying Party to abstain from a withholding obligation has become invalid, and (iii) it is detected after a payment to the Receiving Party that a withholding tax deduction should have been made under such rules in respect of such payment, the Paying Party may withhold such amount as ought to have been so withheld from subsequent payments under this Agreement, or the Receiving Party shall reimburse the Paying Party for such amounts [***]. In respect of any such subsequent deduction or reimbursement, any effect resulting from currency conversion is benefit or burden of Receiving Party as taxpayer and not borne by Paying Party. Each of the Paying Party and the Receiving Party shall notify the other Party [***] after becoming aware that an exemption certificate (that has reduced or eliminated any obligation to deduct or withhold an amount of, or in respect of, Tax, from any payment under this Agreement) has become invalid.</w:t>
      </w:r>
    </w:p>
    <w:p>
      <w:pPr>
        <w:spacing w:after="0" w:line="142" w:lineRule="exact"/>
        <w:rPr>
          <w:rFonts w:ascii="Times New Roman" w:cs="Times New Roman" w:eastAsia="Times New Roman" w:hAnsi="Times New Roman"/>
          <w:sz w:val="18"/>
          <w:szCs w:val="18"/>
          <w:color w:val="auto"/>
        </w:rPr>
      </w:pPr>
    </w:p>
    <w:p>
      <w:pPr>
        <w:ind w:left="2320" w:hanging="585"/>
        <w:spacing w:after="0"/>
        <w:tabs>
          <w:tab w:leader="none" w:pos="2320" w:val="left"/>
        </w:tabs>
        <w:numPr>
          <w:ilvl w:val="2"/>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assessment of currently Applicable Law is that [***].</w:t>
      </w:r>
    </w:p>
    <w:p>
      <w:pPr>
        <w:spacing w:after="0" w:line="161" w:lineRule="exact"/>
        <w:rPr>
          <w:rFonts w:ascii="Times New Roman" w:cs="Times New Roman" w:eastAsia="Times New Roman" w:hAnsi="Times New Roman"/>
          <w:sz w:val="18"/>
          <w:szCs w:val="18"/>
          <w:color w:val="auto"/>
        </w:rPr>
      </w:pPr>
    </w:p>
    <w:p>
      <w:pPr>
        <w:jc w:val="both"/>
        <w:ind w:firstLine="1158"/>
        <w:spacing w:after="0" w:line="222" w:lineRule="auto"/>
        <w:tabs>
          <w:tab w:leader="none" w:pos="1729" w:val="left"/>
        </w:tabs>
        <w:numPr>
          <w:ilvl w:val="1"/>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and Assistance</w:t>
      </w:r>
      <w:r>
        <w:rPr>
          <w:rFonts w:ascii="Times New Roman" w:cs="Times New Roman" w:eastAsia="Times New Roman" w:hAnsi="Times New Roman"/>
          <w:sz w:val="18"/>
          <w:szCs w:val="18"/>
          <w:color w:val="auto"/>
        </w:rPr>
        <w:t>. Each Party shall, [***] following a request in writing by the other Party [***], provide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other Party (or any of its Affiliates) such information within its possession and assistance concerning the matters contemplated by this Agreement (including any matters contemplated by any MCSA and any Research and Development Collaboration Agreement referred to in Section 3.2) as the relevant Party may reasonably request in connection with its (or any Affiliate’s) tax affairs (including in connection with any claim for research and development tax credits that such Party (or any of its Affiliates) may wish to make).</w:t>
      </w:r>
    </w:p>
    <w:p>
      <w:pPr>
        <w:spacing w:after="0" w:line="135" w:lineRule="exact"/>
        <w:rPr>
          <w:rFonts w:ascii="Times New Roman" w:cs="Times New Roman" w:eastAsia="Times New Roman" w:hAnsi="Times New Roman"/>
          <w:sz w:val="18"/>
          <w:szCs w:val="18"/>
          <w:color w:val="auto"/>
        </w:rPr>
      </w:pPr>
    </w:p>
    <w:p>
      <w:pPr>
        <w:jc w:val="both"/>
        <w:ind w:right="20" w:firstLine="1158"/>
        <w:spacing w:after="0" w:line="222" w:lineRule="auto"/>
        <w:tabs>
          <w:tab w:leader="none" w:pos="1717" w:val="left"/>
        </w:tabs>
        <w:numPr>
          <w:ilvl w:val="1"/>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Customs</w:t>
      </w:r>
      <w:r>
        <w:rPr>
          <w:rFonts w:ascii="Times New Roman" w:cs="Times New Roman" w:eastAsia="Times New Roman" w:hAnsi="Times New Roman"/>
          <w:sz w:val="18"/>
          <w:szCs w:val="18"/>
          <w:color w:val="auto"/>
        </w:rPr>
        <w:t>. Autolus shall provide to BioNTech any documents necessary for tax and customs clearance for the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in a format as required and specified by BioNTech. Any shipment of Transferred Materials by Autolus to BioNTech or its Affiliates must be announced [***] in advance at [***]. An invoice for customs purposes showing exact costs per shipped good must be provided. Shipments of Transferred Materials to BioNTech will be made [***] designated by BioNTech. Deviation must be discussed in advance with [***].</w:t>
      </w:r>
    </w:p>
    <w:p>
      <w:pPr>
        <w:spacing w:after="0" w:line="135"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9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864"/>
        <w:spacing w:after="0" w:line="23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Background Intellectual Property</w:t>
      </w:r>
      <w:r>
        <w:rPr>
          <w:rFonts w:ascii="Times New Roman" w:cs="Times New Roman" w:eastAsia="Times New Roman" w:hAnsi="Times New Roman"/>
          <w:sz w:val="18"/>
          <w:szCs w:val="18"/>
          <w:color w:val="auto"/>
        </w:rPr>
        <w:t>. Except as expressly set forth herein, as between the Parties, each Party is and shall remain the owner of all intellectual property that it owned or otherwise controlled as of the Effective Date or that it develops, licenses, or otherwise acquires thereafter pursuant to activities independent of this Agreement (with respect to each Party, “</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1740" w:hanging="582"/>
        <w:spacing w:after="0"/>
        <w:tabs>
          <w:tab w:leader="none" w:pos="174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provided in [***], as between the Parties, [***]. Save as provided in Section 11.2(b), [***].</w:t>
      </w:r>
    </w:p>
    <w:p>
      <w:pPr>
        <w:spacing w:after="0" w:line="165"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17"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11.2(a), or any other provision to the contrary set forth in this Agreement, the terms of the MCSA, the Research and Development Collaboration Agreement and any [***], and any [***] shall govern ownership of inventions generated under such agreement.</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Patent Prosecution and Maintenance of [***] Licensed Patents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740" w:hanging="582"/>
        <w:spacing w:after="0"/>
        <w:tabs>
          <w:tab w:leader="none" w:pos="1740" w:val="left"/>
        </w:tabs>
        <w:numPr>
          <w:ilvl w:val="1"/>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has the [***] right, but not the obligation, to prepare, file, prosecute and maintain the [***] Licensed Patents, at</w:t>
      </w:r>
    </w:p>
    <w:p>
      <w:pPr>
        <w:jc w:val="both"/>
        <w:ind w:firstLine="6"/>
        <w:spacing w:after="0" w:line="222" w:lineRule="auto"/>
        <w:tabs>
          <w:tab w:leader="none" w:pos="463"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cost and expense. [***] shall keep [***] reasonably informed of all steps with regard to the preparation, filing, prosecution, and maintenance of the [***] Licensed Patents. [***] shall provide [***] with a copy of [***] communications to and from the patent authorities regarding the [***] Licensed Patents, including drafts of [***] shall consider [***]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39</w:t>
      </w:r>
    </w:p>
    <w:p>
      <w:pPr>
        <w:sectPr>
          <w:pgSz w:w="11900" w:h="16840" w:orient="portrait"/>
          <w:cols w:equalWidth="0" w:num="1">
            <w:col w:w="10580"/>
          </w:cols>
          <w:pgMar w:left="660" w:top="1440" w:right="660" w:bottom="1440" w:gutter="0" w:footer="0" w:header="0"/>
        </w:sectPr>
      </w:pPr>
    </w:p>
    <w:bookmarkStart w:id="947" w:name="page948"/>
    <w:bookmarkEnd w:id="947"/>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 with respect to such drafts. Without limitation to the generality of the foregoing, [***] shall during the Term:</w:t>
      </w:r>
    </w:p>
    <w:p>
      <w:pPr>
        <w:spacing w:after="0" w:line="165" w:lineRule="exact"/>
        <w:rPr>
          <w:sz w:val="20"/>
          <w:szCs w:val="20"/>
          <w:color w:val="auto"/>
        </w:rPr>
      </w:pPr>
    </w:p>
    <w:p>
      <w:pPr>
        <w:ind w:right="40" w:firstLine="1735"/>
        <w:spacing w:after="0"/>
        <w:tabs>
          <w:tab w:leader="none" w:pos="2305" w:val="left"/>
        </w:tabs>
        <w:numPr>
          <w:ilvl w:val="2"/>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 basis, keep [***] informed of [***] with respect to those [***] Licensed Patents that [***] (the “[***] </w:t>
      </w:r>
      <w:r>
        <w:rPr>
          <w:rFonts w:ascii="Times New Roman" w:cs="Times New Roman" w:eastAsia="Times New Roman" w:hAnsi="Times New Roman"/>
          <w:sz w:val="18"/>
          <w:szCs w:val="18"/>
          <w:b w:val="1"/>
          <w:bCs w:val="1"/>
          <w:color w:val="auto"/>
        </w:rPr>
        <w:t>Licensed Product-Specific Patents</w:t>
      </w:r>
      <w:r>
        <w:rPr>
          <w:rFonts w:ascii="Times New Roman" w:cs="Times New Roman" w:eastAsia="Times New Roman" w:hAnsi="Times New Roman"/>
          <w:sz w:val="18"/>
          <w:szCs w:val="18"/>
          <w:color w:val="auto"/>
        </w:rPr>
        <w:t>”), and the status of, filing, prosecution and maintenance activities therefor, including providing [***];</w:t>
      </w:r>
    </w:p>
    <w:p>
      <w:pPr>
        <w:spacing w:after="0" w:line="138" w:lineRule="exact"/>
        <w:rPr>
          <w:rFonts w:ascii="Times New Roman" w:cs="Times New Roman" w:eastAsia="Times New Roman" w:hAnsi="Times New Roman"/>
          <w:sz w:val="18"/>
          <w:szCs w:val="18"/>
          <w:color w:val="auto"/>
        </w:rPr>
      </w:pPr>
    </w:p>
    <w:p>
      <w:pPr>
        <w:jc w:val="both"/>
        <w:ind w:firstLine="1735"/>
        <w:spacing w:after="0" w:line="229" w:lineRule="auto"/>
        <w:tabs>
          <w:tab w:leader="none" w:pos="2305" w:val="left"/>
        </w:tabs>
        <w:numPr>
          <w:ilvl w:val="2"/>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give [***] (1) an opportunity to review and comment (for not less than [***]) on the proposed text of any papers related to the filing of [***] Licensed Product-Specific Patents, and (2) an opportunity to review and comment (for not less than [***]) on the proposed text of any papers related to prosecution of [***] Licensed Product-Specific Patents;</w:t>
      </w:r>
    </w:p>
    <w:p>
      <w:pPr>
        <w:spacing w:after="0" w:line="139" w:lineRule="exact"/>
        <w:rPr>
          <w:rFonts w:ascii="Times New Roman" w:cs="Times New Roman" w:eastAsia="Times New Roman" w:hAnsi="Times New Roman"/>
          <w:sz w:val="18"/>
          <w:szCs w:val="18"/>
          <w:color w:val="auto"/>
        </w:rPr>
      </w:pPr>
    </w:p>
    <w:p>
      <w:pPr>
        <w:ind w:right="20" w:firstLine="1735"/>
        <w:spacing w:after="0"/>
        <w:tabs>
          <w:tab w:leader="none" w:pos="2305" w:val="left"/>
        </w:tabs>
        <w:numPr>
          <w:ilvl w:val="2"/>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 with a copy of each such [***] Licensed Product-Specific Patent application as filed, together with notice of its filing date and serial number; and</w:t>
      </w:r>
    </w:p>
    <w:p>
      <w:pPr>
        <w:spacing w:after="0" w:line="138" w:lineRule="exact"/>
        <w:rPr>
          <w:rFonts w:ascii="Times New Roman" w:cs="Times New Roman" w:eastAsia="Times New Roman" w:hAnsi="Times New Roman"/>
          <w:sz w:val="18"/>
          <w:szCs w:val="18"/>
          <w:color w:val="auto"/>
        </w:rPr>
      </w:pPr>
    </w:p>
    <w:p>
      <w:pPr>
        <w:ind w:firstLine="1735"/>
        <w:spacing w:after="0"/>
        <w:tabs>
          <w:tab w:leader="none" w:pos="2305" w:val="left"/>
        </w:tabs>
        <w:numPr>
          <w:ilvl w:val="2"/>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of any papers, office actions and other [***] correspondence received related to the prosecution of such [***] Licensed Product-Specific Patents within [***] prior to the deadline for taking action with respect thereto.</w:t>
      </w:r>
    </w:p>
    <w:p>
      <w:pPr>
        <w:spacing w:after="0" w:line="131"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agrees that, in consultation with [***] and at [***] request, [***] shall (i) prepare, file, prosecute, and maintain the</w:t>
      </w:r>
    </w:p>
    <w:p>
      <w:pPr>
        <w:jc w:val="both"/>
        <w:ind w:firstLine="6"/>
        <w:spacing w:after="0" w:line="222" w:lineRule="auto"/>
        <w:tabs>
          <w:tab w:leader="none" w:pos="462" w:val="left"/>
        </w:tabs>
        <w:numPr>
          <w:ilvl w:val="0"/>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Licensed Patents in a manner that will generate one or more [***] Licensed Product-Specific Patents, and (ii) include any reasonable comments of [***] on all such potential filings of [***] pursuant to clause (i) of this sentence so as to generate a mutually agreeable filing;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w:t>
      </w:r>
    </w:p>
    <w:p>
      <w:pPr>
        <w:spacing w:after="0" w:line="134"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Enforcement of [***] Licensed Patents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158"/>
        <w:spacing w:after="0" w:line="225" w:lineRule="auto"/>
        <w:tabs>
          <w:tab w:leader="none" w:pos="1729"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If either Party knows or believes that an infringement, unauthorized use, misappropriation, ownership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infringement or other similar activity by a Third Party exists or has occurred with respect to any [***] Licensed Patent, or if a Third Party claims that any [***] Licensed Patent is invalid or unenforceable, then such Party shall notify the other Party and provide it with all details that are known by such Party.</w:t>
      </w:r>
    </w:p>
    <w:p>
      <w:pPr>
        <w:spacing w:after="0" w:line="136" w:lineRule="exact"/>
        <w:rPr>
          <w:rFonts w:ascii="Times New Roman" w:cs="Times New Roman" w:eastAsia="Times New Roman" w:hAnsi="Times New Roman"/>
          <w:sz w:val="18"/>
          <w:szCs w:val="18"/>
          <w:color w:val="auto"/>
        </w:rPr>
      </w:pPr>
    </w:p>
    <w:p>
      <w:pPr>
        <w:jc w:val="both"/>
        <w:ind w:firstLine="1158"/>
        <w:spacing w:after="0" w:line="217" w:lineRule="auto"/>
        <w:tabs>
          <w:tab w:leader="none" w:pos="1717"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to Bring an Action </w:t>
      </w:r>
      <w:r>
        <w:rPr>
          <w:rFonts w:ascii="Times New Roman" w:cs="Times New Roman" w:eastAsia="Times New Roman" w:hAnsi="Times New Roman"/>
          <w:sz w:val="18"/>
          <w:szCs w:val="18"/>
          <w:color w:val="auto"/>
        </w:rPr>
        <w:t>. As between the Parties, [***] has the [***] right, but not the obligation, to enforce and defend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its control, at its own expense, the [***] Licensed Patents (including the [***] Licensed Product-Specific Patents) where the putative infringing activity [***] (collectively a “</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Notwithstanding the foregoing, [***] shall not take any action in respect of any Competitive Infringement that [***], without the express written consent of [***]. [***] has the [***] right, but not the obligation, at its own expense, to enforce any other infringements of the [***] Licensed Patents. [***] also has the right to defend the [***] Licensed Patents where such defense arises outside the context of a Competitive Infringement. If the validity or enforceability of a [***] Licensed Patent is challenged in the course of a Competitive Infringement or any action that [***] is controlling, then [***] shall have the [***] right to control such challenge in accordance with Section 11.6.</w:t>
      </w:r>
    </w:p>
    <w:p>
      <w:pPr>
        <w:spacing w:after="0" w:line="135" w:lineRule="exact"/>
        <w:rPr>
          <w:rFonts w:ascii="Times New Roman" w:cs="Times New Roman" w:eastAsia="Times New Roman" w:hAnsi="Times New Roman"/>
          <w:sz w:val="18"/>
          <w:szCs w:val="18"/>
          <w:color w:val="auto"/>
        </w:rPr>
      </w:pPr>
    </w:p>
    <w:p>
      <w:pPr>
        <w:jc w:val="both"/>
        <w:ind w:right="20" w:firstLine="1158"/>
        <w:spacing w:after="0" w:line="218" w:lineRule="auto"/>
        <w:tabs>
          <w:tab w:leader="none" w:pos="1729"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Assistance</w:t>
      </w:r>
      <w:r>
        <w:rPr>
          <w:rFonts w:ascii="Times New Roman" w:cs="Times New Roman" w:eastAsia="Times New Roman" w:hAnsi="Times New Roman"/>
          <w:sz w:val="18"/>
          <w:szCs w:val="18"/>
          <w:color w:val="auto"/>
        </w:rPr>
        <w:t>. Upon request from the other Party, each Party shall provide reasonable assistance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prosecute and to settle any enforcement or defense action under the control of the prosecuting Party in accordance with Section 11.4(b), including joining as a party to such action, providing access to relevant documents and other evidence and making its employees available, subject to [***]. If either Party is unable to initiate or prosecute an action without joinder of the other Party, then such Party will join such action voluntarily and will execute and cause its Affiliates to execute all documents necessary for such Party to initiate litigation under Section 11.4(b). Notwithstanding the foregoing, [***] shall not settle any Competitive Infringement in a manner that [***], without the express written consent of [***].</w:t>
      </w:r>
    </w:p>
    <w:p>
      <w:pPr>
        <w:spacing w:after="0" w:line="136" w:lineRule="exact"/>
        <w:rPr>
          <w:rFonts w:ascii="Times New Roman" w:cs="Times New Roman" w:eastAsia="Times New Roman" w:hAnsi="Times New Roman"/>
          <w:sz w:val="18"/>
          <w:szCs w:val="18"/>
          <w:color w:val="auto"/>
        </w:rPr>
      </w:pPr>
    </w:p>
    <w:p>
      <w:pPr>
        <w:ind w:right="20" w:firstLine="1158"/>
        <w:spacing w:after="0" w:line="245" w:lineRule="auto"/>
        <w:tabs>
          <w:tab w:leader="none" w:pos="1717"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Any recovery realized as a result of such litigation described in this Section 11.4 (whether by way of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shall [***]. Any remainder after such reimbursement is made shall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40</w:t>
      </w:r>
    </w:p>
    <w:p>
      <w:pPr>
        <w:sectPr>
          <w:pgSz w:w="11900" w:h="16840" w:orient="portrait"/>
          <w:cols w:equalWidth="0" w:num="1">
            <w:col w:w="10580"/>
          </w:cols>
          <w:pgMar w:left="660" w:top="1440" w:right="660" w:bottom="1440" w:gutter="0" w:footer="0" w:header="0"/>
        </w:sectPr>
      </w:pPr>
    </w:p>
    <w:bookmarkStart w:id="948" w:name="page949"/>
    <w:bookmarkEnd w:id="948"/>
    <w:p>
      <w:pPr>
        <w:spacing w:after="0" w:line="254" w:lineRule="exact"/>
        <w:rPr>
          <w:sz w:val="20"/>
          <w:szCs w:val="20"/>
          <w:color w:val="auto"/>
        </w:rPr>
      </w:pPr>
    </w:p>
    <w:p>
      <w:pPr>
        <w:ind w:right="40" w:firstLine="864"/>
        <w:spacing w:after="0" w:line="222" w:lineRule="auto"/>
        <w:rPr>
          <w:sz w:val="20"/>
          <w:szCs w:val="20"/>
          <w:color w:val="auto"/>
        </w:rPr>
      </w:pPr>
      <w:r>
        <w:rPr>
          <w:rFonts w:ascii="Times New Roman" w:cs="Times New Roman" w:eastAsia="Times New Roman" w:hAnsi="Times New Roman"/>
          <w:sz w:val="18"/>
          <w:szCs w:val="18"/>
          <w:color w:val="auto"/>
        </w:rPr>
        <w:t xml:space="preserve">11 . 5 </w:t>
      </w:r>
      <w:r>
        <w:rPr>
          <w:rFonts w:ascii="Times New Roman" w:cs="Times New Roman" w:eastAsia="Times New Roman" w:hAnsi="Times New Roman"/>
          <w:sz w:val="18"/>
          <w:szCs w:val="18"/>
          <w:b w:val="1"/>
          <w:bCs w:val="1"/>
          <w:color w:val="auto"/>
        </w:rPr>
        <w:t>Infringement Claims by Third Parties</w:t>
      </w:r>
      <w:r>
        <w:rPr>
          <w:rFonts w:ascii="Times New Roman" w:cs="Times New Roman" w:eastAsia="Times New Roman" w:hAnsi="Times New Roman"/>
          <w:sz w:val="18"/>
          <w:szCs w:val="18"/>
          <w:color w:val="auto"/>
        </w:rPr>
        <w:t>. If the Exploitation of a [***] Licensed Product in the Territory pursuant to this Agreement results in, or may result in, any claim, suit, or proceeding by a Third Party alleging patent infringement by [***], then [***] has the</w:t>
      </w:r>
    </w:p>
    <w:p>
      <w:pPr>
        <w:spacing w:after="0" w:line="1" w:lineRule="exact"/>
        <w:rPr>
          <w:sz w:val="20"/>
          <w:szCs w:val="20"/>
          <w:color w:val="auto"/>
        </w:rPr>
      </w:pPr>
    </w:p>
    <w:p>
      <w:pPr>
        <w:jc w:val="both"/>
        <w:ind w:right="40" w:firstLine="6"/>
        <w:spacing w:after="0" w:line="208" w:lineRule="auto"/>
        <w:tabs>
          <w:tab w:leader="none" w:pos="437"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 but not the obligation, to defend and control the defense of any such claim, suit, or proceeding at its own expense, using counsel of its own choice;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provisions of Section 11.4 shall govern the right of [***] to assert a counterclaim of infringement of any</w:t>
      </w:r>
    </w:p>
    <w:p>
      <w:pPr>
        <w:spacing w:after="0" w:line="1" w:lineRule="exact"/>
        <w:rPr>
          <w:rFonts w:ascii="Times New Roman" w:cs="Times New Roman" w:eastAsia="Times New Roman" w:hAnsi="Times New Roman"/>
          <w:sz w:val="18"/>
          <w:szCs w:val="18"/>
          <w:color w:val="auto"/>
        </w:rPr>
      </w:pPr>
    </w:p>
    <w:p>
      <w:pPr>
        <w:jc w:val="both"/>
        <w:ind w:right="20" w:firstLine="6"/>
        <w:spacing w:after="0" w:line="218" w:lineRule="auto"/>
        <w:tabs>
          <w:tab w:leader="none" w:pos="461"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Patent, and where the validity or enforceability of a [***] Licensed Patent is challenged in the course of such litigation, the provisions of Section 11.6 shall govern the right of [***] to defend such [***] Licensed Patent. [***] shall [***] notify [***] of any such claim, suit, or proceeding where the alleged patent infringement relates to [***], and keep [***] reasonably informed of all material developments in connection with any such claim, suit, or proceeding.</w:t>
      </w:r>
    </w:p>
    <w:p>
      <w:pPr>
        <w:spacing w:after="0" w:line="136" w:lineRule="exact"/>
        <w:rPr>
          <w:sz w:val="20"/>
          <w:szCs w:val="20"/>
          <w:color w:val="auto"/>
        </w:rPr>
      </w:pPr>
    </w:p>
    <w:p>
      <w:pPr>
        <w:jc w:val="both"/>
        <w:ind w:right="20" w:firstLine="864"/>
        <w:spacing w:after="0" w:line="214" w:lineRule="auto"/>
        <w:rPr>
          <w:sz w:val="20"/>
          <w:szCs w:val="20"/>
          <w:color w:val="auto"/>
        </w:rPr>
      </w:pPr>
      <w:r>
        <w:rPr>
          <w:rFonts w:ascii="Times New Roman" w:cs="Times New Roman" w:eastAsia="Times New Roman" w:hAnsi="Times New Roman"/>
          <w:sz w:val="18"/>
          <w:szCs w:val="18"/>
          <w:color w:val="auto"/>
        </w:rPr>
        <w:t xml:space="preserve">11 . 6 </w:t>
      </w:r>
      <w:r>
        <w:rPr>
          <w:rFonts w:ascii="Times New Roman" w:cs="Times New Roman" w:eastAsia="Times New Roman" w:hAnsi="Times New Roman"/>
          <w:sz w:val="18"/>
          <w:szCs w:val="18"/>
          <w:b w:val="1"/>
          <w:bCs w:val="1"/>
          <w:color w:val="auto"/>
        </w:rPr>
        <w:t>Defense of [***] Licensed Patents</w:t>
      </w:r>
      <w:r>
        <w:rPr>
          <w:rFonts w:ascii="Times New Roman" w:cs="Times New Roman" w:eastAsia="Times New Roman" w:hAnsi="Times New Roman"/>
          <w:sz w:val="18"/>
          <w:szCs w:val="18"/>
          <w:color w:val="auto"/>
        </w:rPr>
        <w:t>. Each Party shall [***] notify the other Party in writing of any alleged or threatened assertion by a Third Party of invalidity or unenforceability of any of the [***] Licensed Patents, in each case in the Territory and of which such Party becomes aware. As between the Parties, [***] shall have the [***] right, but not the obligation, to defend and control the defense of the validity and enforceability of the [***] Licensed Patents, at its sole cost and expense. [***] shall assist and cooperate with [***] as [***] may reasonably request from time to time, at [***] sole cost and expense, in connection with its activities set forth in this Section 11.6, including by being joined as a party plaintiff in such action or proceeding, providing access to relevant documents and other evidence, and making its employees available at reasonable business hours. Where [***] exercises its right to control the defense of a challenge to the validity or enforceability of a [***] Licensed Patent in the course of a Competitive Infringement action or proceeding pursuant to Section 11.4, or a Third Party infringement action or proceeding pursuant to Section 11.5, the Parties shall fully consult and cooperate as regards the conduct of such action or proceeding. Notwithstanding the foregoing, [***] shall not settle the defense of a challenge to the validity or enforceability of a [***] Licensed Patent in the course of any Competitive Infringement action or proceeding pursuant to Section 11.4, or any Third Party infringement action or proceeding pursuant to Section 11.5, [***] without the express written consent of [***].</w:t>
      </w:r>
    </w:p>
    <w:p>
      <w:pPr>
        <w:spacing w:after="0" w:line="138"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18"/>
          <w:szCs w:val="18"/>
          <w:color w:val="auto"/>
        </w:rPr>
        <w:t xml:space="preserve">11. 7 </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xml:space="preserve">. [***] has the [***] right to determine whether to opt in or opt out (and to opt in again) of the Unified Patent Court system with respect to the [***] Licensed Patents, and if requested by [***] shall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30" w:lineRule="exact"/>
        <w:rPr>
          <w:sz w:val="20"/>
          <w:szCs w:val="20"/>
          <w:color w:val="auto"/>
        </w:rPr>
      </w:pPr>
    </w:p>
    <w:p>
      <w:pPr>
        <w:jc w:val="both"/>
        <w:ind w:firstLine="864"/>
        <w:spacing w:after="0" w:line="231"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Patent Linkage</w:t>
      </w:r>
      <w:r>
        <w:rPr>
          <w:rFonts w:ascii="Times New Roman" w:cs="Times New Roman" w:eastAsia="Times New Roman" w:hAnsi="Times New Roman"/>
          <w:sz w:val="18"/>
          <w:szCs w:val="18"/>
          <w:color w:val="auto"/>
        </w:rPr>
        <w:t xml:space="preserve">. As between the Parties, [***] shall have the [***] right, at its sole cost and expense, to obtain patent term extensions, supplementary protection certificates, and equivalents thereof with respect to any [***] Licensed Patent in any country in the Territory,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 shall [***].</w:t>
      </w:r>
    </w:p>
    <w:p>
      <w:pPr>
        <w:spacing w:after="0" w:line="135" w:lineRule="exact"/>
        <w:rPr>
          <w:sz w:val="20"/>
          <w:szCs w:val="20"/>
          <w:color w:val="auto"/>
        </w:rPr>
      </w:pPr>
    </w:p>
    <w:p>
      <w:pPr>
        <w:ind w:left="580" w:hanging="574"/>
        <w:spacing w:after="0"/>
        <w:tabs>
          <w:tab w:leader="none" w:pos="580" w:val="left"/>
        </w:tabs>
        <w:numPr>
          <w:ilvl w:val="0"/>
          <w:numId w:val="9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65" w:lineRule="exact"/>
        <w:rPr>
          <w:sz w:val="20"/>
          <w:szCs w:val="20"/>
          <w:color w:val="auto"/>
        </w:rPr>
      </w:pPr>
    </w:p>
    <w:p>
      <w:pPr>
        <w:jc w:val="both"/>
        <w:ind w:right="40" w:firstLine="864"/>
        <w:spacing w:after="0" w:line="21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Duty of Confidence</w:t>
      </w:r>
      <w:r>
        <w:rPr>
          <w:rFonts w:ascii="Times New Roman" w:cs="Times New Roman" w:eastAsia="Times New Roman" w:hAnsi="Times New Roman"/>
          <w:sz w:val="18"/>
          <w:szCs w:val="18"/>
          <w:color w:val="auto"/>
        </w:rPr>
        <w:t>. Subject to the other provisions of this Article 12, all Confidential Information disclosed by or on behalf of a Party or any of its Affiliates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under this Agreement will be maintained in confidence and otherwise safeguarded by the recipient Party and its Affiliates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during the Term and for a period of [***] thereafter. Notwithstanding the foregoing, (a)</w:t>
      </w:r>
    </w:p>
    <w:p>
      <w:pPr>
        <w:jc w:val="both"/>
        <w:ind w:right="20" w:firstLine="6"/>
        <w:spacing w:after="0" w:line="215" w:lineRule="auto"/>
        <w:tabs>
          <w:tab w:leader="none" w:pos="435" w:val="left"/>
        </w:tabs>
        <w:numPr>
          <w:ilvl w:val="0"/>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statement in respect of the Obe-cel Revenue Interest provided under Section 10.1 is the Confidential Information of Autolus, (b) any information and reports delivered under Section 5.11, any notice delivered under Section 9.3(b), any statement in respect of the [***] Royalties provided under Section 10.1, and any [***] is the Confidential Information of BioNTech, and (c) the terms of this Agreement are the Confidential Information of both Parties. The Recipient Party may only use the Confidential Information of the Disclosing Party for the purposes set forth in this Agreement. Subject to the other provisions of this Article 12, each Recipient Party shall hold as confidential such Confidential Information of the Disclosing Party or its Affiliates [***].</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Exceptions</w:t>
      </w:r>
      <w:r>
        <w:rPr>
          <w:rFonts w:ascii="Times New Roman" w:cs="Times New Roman" w:eastAsia="Times New Roman" w:hAnsi="Times New Roman"/>
          <w:sz w:val="17"/>
          <w:szCs w:val="17"/>
          <w:color w:val="auto"/>
        </w:rPr>
        <w:t>. The obligations under this Article 12 shall not apply to any information to the extent that [***] such information:</w:t>
      </w:r>
    </w:p>
    <w:p>
      <w:pPr>
        <w:spacing w:after="0" w:line="169" w:lineRule="exact"/>
        <w:rPr>
          <w:sz w:val="20"/>
          <w:szCs w:val="20"/>
          <w:color w:val="auto"/>
        </w:rPr>
      </w:pPr>
    </w:p>
    <w:p>
      <w:pPr>
        <w:ind w:right="20" w:firstLine="1158"/>
        <w:spacing w:after="0"/>
        <w:tabs>
          <w:tab w:leader="none" w:pos="1729" w:val="left"/>
        </w:tabs>
        <w:numPr>
          <w:ilvl w:val="0"/>
          <w:numId w:val="9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the time of disclosure) or becomes (after the time of disclosure) known to the public or part of the public domain through no breach of this Agreement by the Recipient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41</w:t>
      </w:r>
    </w:p>
    <w:p>
      <w:pPr>
        <w:sectPr>
          <w:pgSz w:w="11900" w:h="16840" w:orient="portrait"/>
          <w:cols w:equalWidth="0" w:num="1">
            <w:col w:w="10600"/>
          </w:cols>
          <w:pgMar w:left="660" w:top="1440" w:right="640" w:bottom="1440" w:gutter="0" w:footer="0" w:header="0"/>
        </w:sectPr>
      </w:pPr>
    </w:p>
    <w:bookmarkStart w:id="949" w:name="page950"/>
    <w:bookmarkEnd w:id="949"/>
    <w:p>
      <w:pPr>
        <w:spacing w:after="0" w:line="251" w:lineRule="exact"/>
        <w:rPr>
          <w:sz w:val="20"/>
          <w:szCs w:val="20"/>
          <w:color w:val="auto"/>
        </w:rPr>
      </w:pPr>
    </w:p>
    <w:p>
      <w:pPr>
        <w:ind w:left="1720" w:hanging="562"/>
        <w:spacing w:after="0"/>
        <w:tabs>
          <w:tab w:leader="none" w:pos="1720"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or was otherwise in the possession of, the Recipient Party prior to the time of disclosure by the Disclosing</w:t>
      </w: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45" w:lineRule="exact"/>
        <w:rPr>
          <w:sz w:val="20"/>
          <w:szCs w:val="20"/>
          <w:color w:val="auto"/>
        </w:rPr>
      </w:pPr>
    </w:p>
    <w:p>
      <w:pPr>
        <w:ind w:right="20" w:firstLine="1158"/>
        <w:spacing w:after="0"/>
        <w:tabs>
          <w:tab w:leader="none" w:pos="1729"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to the Recipient Party on a non-confidential basis by a Third Party who is entitled to disclose it without breaching any confidentiality obligation to the Disclosing Party or a Third Party; or</w:t>
      </w:r>
    </w:p>
    <w:p>
      <w:pPr>
        <w:spacing w:after="0" w:line="138" w:lineRule="exact"/>
        <w:rPr>
          <w:rFonts w:ascii="Times New Roman" w:cs="Times New Roman" w:eastAsia="Times New Roman" w:hAnsi="Times New Roman"/>
          <w:sz w:val="18"/>
          <w:szCs w:val="18"/>
          <w:color w:val="auto"/>
        </w:rPr>
      </w:pPr>
    </w:p>
    <w:p>
      <w:pPr>
        <w:ind w:firstLine="1158"/>
        <w:spacing w:after="0"/>
        <w:tabs>
          <w:tab w:leader="none" w:pos="1717"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on behalf of the Recipient Party, [***], without reference to the Confidential Information disclosed by the Disclosing Party under this Agreement.</w:t>
      </w:r>
    </w:p>
    <w:p>
      <w:pPr>
        <w:spacing w:after="0" w:line="138" w:lineRule="exact"/>
        <w:rPr>
          <w:sz w:val="20"/>
          <w:szCs w:val="20"/>
          <w:color w:val="auto"/>
        </w:rPr>
      </w:pPr>
    </w:p>
    <w:p>
      <w:pPr>
        <w:jc w:val="both"/>
        <w:ind w:firstLine="576"/>
        <w:spacing w:after="0" w:line="229" w:lineRule="auto"/>
        <w:rPr>
          <w:sz w:val="20"/>
          <w:szCs w:val="20"/>
          <w:color w:val="auto"/>
        </w:rPr>
      </w:pPr>
      <w:r>
        <w:rPr>
          <w:rFonts w:ascii="Times New Roman" w:cs="Times New Roman" w:eastAsia="Times New Roman" w:hAnsi="Times New Roman"/>
          <w:sz w:val="18"/>
          <w:szCs w:val="18"/>
          <w:color w:val="auto"/>
        </w:rPr>
        <w:t>Any combination of Confidential Information shall not be considered in the public domain or in the possession of the Recipient Party merely because individual elements of such Confidential Information are in the public domain or in the possession of the Recipient Party unless the combination and its principles are in the public domain or in the possession of the Recipient Party.</w:t>
      </w:r>
    </w:p>
    <w:p>
      <w:pPr>
        <w:spacing w:after="0" w:line="136"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18"/>
          <w:szCs w:val="18"/>
          <w:color w:val="auto"/>
        </w:rPr>
        <w:t xml:space="preserve">1 2 . 3 </w:t>
      </w:r>
      <w:r>
        <w:rPr>
          <w:rFonts w:ascii="Times New Roman" w:cs="Times New Roman" w:eastAsia="Times New Roman" w:hAnsi="Times New Roman"/>
          <w:sz w:val="18"/>
          <w:szCs w:val="18"/>
          <w:b w:val="1"/>
          <w:bCs w:val="1"/>
          <w:color w:val="auto"/>
        </w:rPr>
        <w:t>Authorized Disclosures</w:t>
      </w:r>
      <w:r>
        <w:rPr>
          <w:rFonts w:ascii="Times New Roman" w:cs="Times New Roman" w:eastAsia="Times New Roman" w:hAnsi="Times New Roman"/>
          <w:sz w:val="18"/>
          <w:szCs w:val="18"/>
          <w:color w:val="auto"/>
        </w:rPr>
        <w:t>. Each Recipient Party may disclose Confidential Information of the Disclosing Party as expressly permitted by this Agreement (including under Section 12.10), or if and to the extent such disclosure is necessary in the following instances:</w:t>
      </w:r>
    </w:p>
    <w:p>
      <w:pPr>
        <w:spacing w:after="0" w:line="134" w:lineRule="exact"/>
        <w:rPr>
          <w:sz w:val="20"/>
          <w:szCs w:val="20"/>
          <w:color w:val="auto"/>
        </w:rPr>
      </w:pPr>
    </w:p>
    <w:p>
      <w:pPr>
        <w:ind w:left="1740" w:hanging="582"/>
        <w:spacing w:after="0"/>
        <w:tabs>
          <w:tab w:leader="none" w:pos="1740"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or prosecuting Know-How or Patents without breaching this Agreement;</w:t>
      </w:r>
    </w:p>
    <w:p>
      <w:pPr>
        <w:spacing w:after="0" w:line="165"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17"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court orders, Applicable Laws, Applicable Data Protection Law, or the listing rules of any exchange on which such Recipient Party’s securities (or the securities of its parent entity) are traded (subject to Section 12.5 with respect to any disclosure of the terms of this Agreement);</w:t>
      </w:r>
    </w:p>
    <w:p>
      <w:pPr>
        <w:spacing w:after="0" w:line="139" w:lineRule="exact"/>
        <w:rPr>
          <w:rFonts w:ascii="Times New Roman" w:cs="Times New Roman" w:eastAsia="Times New Roman" w:hAnsi="Times New Roman"/>
          <w:sz w:val="18"/>
          <w:szCs w:val="18"/>
          <w:color w:val="auto"/>
        </w:rPr>
      </w:pPr>
    </w:p>
    <w:p>
      <w:pPr>
        <w:ind w:right="60" w:firstLine="1158"/>
        <w:spacing w:after="0"/>
        <w:tabs>
          <w:tab w:leader="none" w:pos="1729"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BioNTech as the Recipient Party only, disclosure of such of Autolus’s Confidential Information in Regulatory Filings that the Recipient Party has the right to file, or holds;</w:t>
      </w:r>
    </w:p>
    <w:p>
      <w:pPr>
        <w:spacing w:after="0" w:line="138"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17"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BioNTech as the Recipient Party only, disclosure of such of Autolus’s Confidential Information to BioNTech’s Affiliates, licensees, sublicensees/Sublicensees (through multiple tiers), subcontractors, and other Third Party collaboration partners, and potential licensees, sublicensees/Sublicensees, subcontractors, and other Third Party collaboration partners,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t>
      </w:r>
    </w:p>
    <w:p>
      <w:pPr>
        <w:spacing w:after="0" w:line="139"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a Tax authority in connection with the Tax affairs or a reporting obligation of the Recipient Party;</w:t>
      </w:r>
    </w:p>
    <w:p>
      <w:pPr>
        <w:spacing w:after="0" w:line="165" w:lineRule="exact"/>
        <w:rPr>
          <w:rFonts w:ascii="Times New Roman" w:cs="Times New Roman" w:eastAsia="Times New Roman" w:hAnsi="Times New Roman"/>
          <w:sz w:val="18"/>
          <w:szCs w:val="18"/>
          <w:color w:val="auto"/>
        </w:rPr>
      </w:pPr>
    </w:p>
    <w:p>
      <w:pPr>
        <w:ind w:right="20" w:firstLine="1158"/>
        <w:spacing w:after="0"/>
        <w:tabs>
          <w:tab w:leader="none" w:pos="1729"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such Recipient Party’s directors, employees, [***] who have a need to know such information in order for the Recipient Party to exercise its rights or fulfill its obligations under this Agreement and [***];</w:t>
      </w:r>
    </w:p>
    <w:p>
      <w:pPr>
        <w:spacing w:after="0" w:line="136"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to (i) [***], and (ii)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 and</w:t>
      </w:r>
    </w:p>
    <w:p>
      <w:pPr>
        <w:spacing w:after="0" w:line="167" w:lineRule="exact"/>
        <w:rPr>
          <w:rFonts w:ascii="Times New Roman" w:cs="Times New Roman" w:eastAsia="Times New Roman" w:hAnsi="Times New Roman"/>
          <w:sz w:val="18"/>
          <w:szCs w:val="18"/>
          <w:color w:val="auto"/>
        </w:rPr>
      </w:pPr>
    </w:p>
    <w:p>
      <w:pPr>
        <w:ind w:right="20" w:firstLine="1158"/>
        <w:spacing w:after="0"/>
        <w:tabs>
          <w:tab w:leader="none" w:pos="1717"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Autolus as the Recipient Party only, disclosure of (i) [***], and (ii) [***], in each case (i) and (ii) as reasonably required to enable Autolus and its Affiliates to comply with the terms of each Upstream License Agreement.</w:t>
      </w:r>
    </w:p>
    <w:p>
      <w:pPr>
        <w:spacing w:after="0" w:line="138" w:lineRule="exact"/>
        <w:rPr>
          <w:sz w:val="20"/>
          <w:szCs w:val="20"/>
          <w:color w:val="auto"/>
        </w:rPr>
      </w:pPr>
    </w:p>
    <w:p>
      <w:pPr>
        <w:ind w:right="20" w:firstLine="576"/>
        <w:spacing w:after="0" w:line="220" w:lineRule="auto"/>
        <w:rPr>
          <w:sz w:val="20"/>
          <w:szCs w:val="20"/>
          <w:color w:val="auto"/>
        </w:rPr>
      </w:pPr>
      <w:r>
        <w:rPr>
          <w:rFonts w:ascii="Times New Roman" w:cs="Times New Roman" w:eastAsia="Times New Roman" w:hAnsi="Times New Roman"/>
          <w:sz w:val="18"/>
          <w:szCs w:val="18"/>
          <w:color w:val="auto"/>
        </w:rPr>
        <w:t>Notwithstanding the foregoing, and subject to Section 12.5 with respect to any disclosure of the terms of this Agreement, if the Recipient Party is required to disclose Confidential Information of the Disclosing Party in connection with Section 12.3(b), then the Recipient Party shall</w:t>
      </w:r>
    </w:p>
    <w:p>
      <w:pPr>
        <w:spacing w:after="0" w:line="1" w:lineRule="exact"/>
        <w:rPr>
          <w:sz w:val="20"/>
          <w:szCs w:val="20"/>
          <w:color w:val="auto"/>
        </w:rPr>
      </w:pPr>
    </w:p>
    <w:p>
      <w:pPr>
        <w:jc w:val="both"/>
        <w:ind w:right="20" w:firstLine="6"/>
        <w:spacing w:after="0" w:line="222" w:lineRule="auto"/>
        <w:tabs>
          <w:tab w:leader="none" w:pos="234" w:val="left"/>
        </w:tabs>
        <w:numPr>
          <w:ilvl w:val="0"/>
          <w:numId w:val="9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(ii) [***]; (iii) [***]; and (iv)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always that nothing in this Section 12.3 shall require the Recipient Party to breach or otherwise violate any applicable court order, Applicable Law, or the listing rules of any exchange on which such Party’s securities (or the securities of its parent entity) are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42</w:t>
      </w:r>
    </w:p>
    <w:p>
      <w:pPr>
        <w:sectPr>
          <w:pgSz w:w="11900" w:h="16840" w:orient="portrait"/>
          <w:cols w:equalWidth="0" w:num="1">
            <w:col w:w="10580"/>
          </w:cols>
          <w:pgMar w:left="660" w:top="1440" w:right="660" w:bottom="1440" w:gutter="0" w:footer="0" w:header="0"/>
        </w:sectPr>
      </w:pPr>
    </w:p>
    <w:bookmarkStart w:id="950" w:name="page951"/>
    <w:bookmarkEnd w:id="950"/>
    <w:p>
      <w:pPr>
        <w:spacing w:after="0" w:line="254"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12.4</w:t>
        <w:tab/>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Nothing in this Agreement shall prevent a Party from [***]. A Party shall [***].</w:t>
      </w:r>
    </w:p>
    <w:p>
      <w:pPr>
        <w:spacing w:after="0" w:line="165" w:lineRule="exact"/>
        <w:rPr>
          <w:sz w:val="20"/>
          <w:szCs w:val="20"/>
          <w:color w:val="auto"/>
        </w:rPr>
      </w:pPr>
    </w:p>
    <w:p>
      <w:pPr>
        <w:ind w:firstLine="864"/>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b w:val="1"/>
          <w:bCs w:val="1"/>
          <w:color w:val="auto"/>
        </w:rPr>
        <w:t>Disclosure of Agreement</w:t>
      </w:r>
      <w:r>
        <w:rPr>
          <w:rFonts w:ascii="Times New Roman" w:cs="Times New Roman" w:eastAsia="Times New Roman" w:hAnsi="Times New Roman"/>
          <w:sz w:val="18"/>
          <w:szCs w:val="18"/>
          <w:color w:val="auto"/>
        </w:rPr>
        <w:t xml:space="preserve"> . Notwithstanding the foregoing, either Party may disclose the relevant terms of this Agreement to the extent required, in the reasonable opinion of such Party’s counsel, to comply with the listing rules of any exchange on which such Party’s securities (or the securities of its parent entity) are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shall: (a) [***]; (b) [***]; (c) [***]; and (d)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291" w:lineRule="exact"/>
        <w:rPr>
          <w:sz w:val="20"/>
          <w:szCs w:val="20"/>
          <w:color w:val="auto"/>
        </w:rPr>
      </w:pPr>
    </w:p>
    <w:p>
      <w:pPr>
        <w:jc w:val="both"/>
        <w:ind w:right="80" w:firstLine="864"/>
        <w:spacing w:after="0" w:line="214" w:lineRule="auto"/>
        <w:rPr>
          <w:sz w:val="20"/>
          <w:szCs w:val="20"/>
          <w:color w:val="auto"/>
        </w:rPr>
      </w:pPr>
      <w:r>
        <w:rPr>
          <w:rFonts w:ascii="Times New Roman" w:cs="Times New Roman" w:eastAsia="Times New Roman" w:hAnsi="Times New Roman"/>
          <w:sz w:val="18"/>
          <w:szCs w:val="18"/>
          <w:color w:val="auto"/>
        </w:rPr>
        <w:t xml:space="preserve">12. 6 </w:t>
      </w:r>
      <w:r>
        <w:rPr>
          <w:rFonts w:ascii="Times New Roman" w:cs="Times New Roman" w:eastAsia="Times New Roman" w:hAnsi="Times New Roman"/>
          <w:sz w:val="18"/>
          <w:szCs w:val="18"/>
          <w:b w:val="1"/>
          <w:bCs w:val="1"/>
          <w:color w:val="auto"/>
        </w:rPr>
        <w:t>Ongoing Obligation for Confidentiality</w:t>
      </w:r>
      <w:r>
        <w:rPr>
          <w:rFonts w:ascii="Times New Roman" w:cs="Times New Roman" w:eastAsia="Times New Roman" w:hAnsi="Times New Roman"/>
          <w:sz w:val="18"/>
          <w:szCs w:val="18"/>
          <w:color w:val="auto"/>
        </w:rPr>
        <w:t xml:space="preserve">. Following the expiration or early termination of this Agreement, each Party and its Affiliates shall [***], upon request of the Disclosing Party, return to the other Party or destroy, at [***] election, any Confidential Information of the other Party or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other Party may retain one (1) copy of such Confidential Information for the sole purpose of performing any continuing obligations under this Agreement, as required by Applicable Law, or for legal archival purposes,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upon expiry of the [***] Royalty Term with respect to a given [***] Licensed Product, such [***] Licensed Product and all related</w:t>
      </w:r>
    </w:p>
    <w:p>
      <w:pPr>
        <w:spacing w:after="0" w:line="1" w:lineRule="exact"/>
        <w:rPr>
          <w:sz w:val="20"/>
          <w:szCs w:val="20"/>
          <w:color w:val="auto"/>
        </w:rPr>
      </w:pPr>
    </w:p>
    <w:p>
      <w:pPr>
        <w:jc w:val="both"/>
        <w:ind w:right="100" w:firstLine="6"/>
        <w:spacing w:after="0" w:line="216" w:lineRule="auto"/>
        <w:tabs>
          <w:tab w:leader="none" w:pos="439"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IP shall not be returned or destroyed. Notwithstanding the foregoing, such other Party also may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 All such copies of Confidential Information retained or archived as permitted under this Agreement remain subject to the obligations of confidentiality and non-use set out in this Agreement.</w:t>
      </w:r>
    </w:p>
    <w:p>
      <w:pPr>
        <w:spacing w:after="0" w:line="137" w:lineRule="exact"/>
        <w:rPr>
          <w:sz w:val="20"/>
          <w:szCs w:val="20"/>
          <w:color w:val="auto"/>
        </w:rPr>
      </w:pPr>
    </w:p>
    <w:p>
      <w:pPr>
        <w:jc w:val="both"/>
        <w:ind w:right="80" w:firstLine="864"/>
        <w:spacing w:after="0" w:line="220"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b w:val="1"/>
          <w:bCs w:val="1"/>
          <w:color w:val="auto"/>
        </w:rPr>
        <w:t>Use of Name</w:t>
      </w:r>
      <w:r>
        <w:rPr>
          <w:rFonts w:ascii="Times New Roman" w:cs="Times New Roman" w:eastAsia="Times New Roman" w:hAnsi="Times New Roman"/>
          <w:sz w:val="18"/>
          <w:szCs w:val="18"/>
          <w:color w:val="auto"/>
        </w:rPr>
        <w:t>. Except as expressly permitted in this Agreement, (including in connection with any authorized disclosure under Section 12.3, Section 12.5, Section 12.8 or Section 12.9) neither Party shall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 The restrictions imposed by this Section 12.7 shall not prohibit either Party from making any disclosure identifying the other Party that, in the reasonable opinion of the disclosing Party’s counsel, is required by Applicable Law.</w:t>
      </w:r>
    </w:p>
    <w:p>
      <w:pPr>
        <w:spacing w:after="0" w:line="134" w:lineRule="exact"/>
        <w:rPr>
          <w:sz w:val="20"/>
          <w:szCs w:val="20"/>
          <w:color w:val="auto"/>
        </w:rPr>
      </w:pPr>
    </w:p>
    <w:p>
      <w:pPr>
        <w:jc w:val="both"/>
        <w:ind w:right="10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12 . 8 </w:t>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xml:space="preserve">. Except as expressly permitted under Section 12.3, Section 12.5, Section 12.7, this Section 12.8, or Section 12.9, neither Party shall make any public announcement regarding this Agreement without the prior written consent of the other Party ([***]), except for those disclosures reiterating information for which consent has already been obtained for the relevant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35" w:lineRule="exact"/>
        <w:rPr>
          <w:sz w:val="20"/>
          <w:szCs w:val="20"/>
          <w:color w:val="auto"/>
        </w:rPr>
      </w:pPr>
    </w:p>
    <w:p>
      <w:pPr>
        <w:jc w:val="both"/>
        <w:ind w:right="80" w:firstLine="864"/>
        <w:spacing w:after="0" w:line="245"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Promptly following the Effective Date, the Parties shall issue a mutually agreed joint press release announcing the execution of this Agreement.</w:t>
      </w:r>
    </w:p>
    <w:p>
      <w:pPr>
        <w:spacing w:after="0" w:line="130"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b w:val="1"/>
          <w:bCs w:val="1"/>
          <w:color w:val="auto"/>
        </w:rPr>
        <w:t>Publication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80" w:firstLine="1158"/>
        <w:spacing w:after="0" w:line="214" w:lineRule="auto"/>
        <w:tabs>
          <w:tab w:leader="none" w:pos="1729" w:val="left"/>
        </w:tabs>
        <w:numPr>
          <w:ilvl w:val="1"/>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BioNTech proposes to make any scientific or other publication or presentation that [***], BioNTech shall provide Autolus with an advance copy of each proposed publication or presentation at least [***] prior to its proposed date of publication or presentation. Autolus will have [***] to review and provide any comments on the proposed publication or presentation and BioNTech shall [***]. BioNTech shall comply with any written request of Autolus (i) to delete Autolus’s Confidential Information from such publication or presentation and</w:t>
      </w:r>
    </w:p>
    <w:p>
      <w:pPr>
        <w:spacing w:after="0" w:line="1" w:lineRule="exact"/>
        <w:rPr>
          <w:rFonts w:ascii="Times New Roman" w:cs="Times New Roman" w:eastAsia="Times New Roman" w:hAnsi="Times New Roman"/>
          <w:sz w:val="18"/>
          <w:szCs w:val="18"/>
          <w:color w:val="auto"/>
        </w:rPr>
      </w:pPr>
    </w:p>
    <w:p>
      <w:pPr>
        <w:ind w:right="100" w:firstLine="6"/>
        <w:spacing w:after="0" w:line="228" w:lineRule="auto"/>
        <w:tabs>
          <w:tab w:leader="none" w:pos="266" w:val="left"/>
        </w:tabs>
        <w:numPr>
          <w:ilvl w:val="0"/>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publication or presentation for an additional [***] in order to permit Autolus to obtain Patent protection in accordance with the terms of this Agreement. BioNTech shall acknowledge Autolus’s contribution and authorship according to customary standards.</w:t>
      </w:r>
    </w:p>
    <w:p>
      <w:pPr>
        <w:spacing w:after="0" w:line="138" w:lineRule="exact"/>
        <w:rPr>
          <w:rFonts w:ascii="Times New Roman" w:cs="Times New Roman" w:eastAsia="Times New Roman" w:hAnsi="Times New Roman"/>
          <w:sz w:val="18"/>
          <w:szCs w:val="18"/>
          <w:color w:val="auto"/>
        </w:rPr>
      </w:pPr>
    </w:p>
    <w:p>
      <w:pPr>
        <w:jc w:val="both"/>
        <w:ind w:right="100" w:firstLine="1158"/>
        <w:spacing w:after="0" w:line="229" w:lineRule="auto"/>
        <w:tabs>
          <w:tab w:leader="none" w:pos="1717" w:val="left"/>
        </w:tabs>
        <w:numPr>
          <w:ilvl w:val="1"/>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as permitted under the relevant Technologies License Agreement, BioNTech shall not have the right to make any scientific or other publication or presentation regarding any information BioNTech may generate during the performance of the Evaluation,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t>
      </w:r>
    </w:p>
    <w:p>
      <w:pPr>
        <w:spacing w:after="0" w:line="137" w:lineRule="exact"/>
        <w:rPr>
          <w:rFonts w:ascii="Times New Roman" w:cs="Times New Roman" w:eastAsia="Times New Roman" w:hAnsi="Times New Roman"/>
          <w:sz w:val="18"/>
          <w:szCs w:val="18"/>
          <w:color w:val="auto"/>
        </w:rPr>
      </w:pPr>
    </w:p>
    <w:p>
      <w:pPr>
        <w:jc w:val="both"/>
        <w:ind w:right="80" w:firstLine="1158"/>
        <w:spacing w:after="0" w:line="230" w:lineRule="auto"/>
        <w:tabs>
          <w:tab w:leader="none" w:pos="1729" w:val="left"/>
        </w:tabs>
        <w:numPr>
          <w:ilvl w:val="1"/>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Autolus may make any scientific or other publication or 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publications or presentations shall not contain any Confidential Information of BioNTech and if Autolus proposes to make any scientific or other publication or presentation that (i) [***], or (ii) [***], Autolus shall provide BioNTech with an advance copy of each proposed publication or presentation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43</w:t>
      </w:r>
    </w:p>
    <w:p>
      <w:pPr>
        <w:sectPr>
          <w:pgSz w:w="11900" w:h="16840" w:orient="portrait"/>
          <w:cols w:equalWidth="0" w:num="1">
            <w:col w:w="10660"/>
          </w:cols>
          <w:pgMar w:left="660" w:top="1440" w:right="580" w:bottom="1440" w:gutter="0" w:footer="0" w:header="0"/>
        </w:sectPr>
      </w:pPr>
    </w:p>
    <w:bookmarkStart w:id="951" w:name="page952"/>
    <w:bookmarkEnd w:id="951"/>
    <w:p>
      <w:pPr>
        <w:spacing w:after="0" w:line="25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least [***] prior to its proposed date of publication or presentation. BioNTech will have [***] to review and provide any comments on the proposed publication or presentation and Autolus shall [***]. Autolus shall comply with any written request of BioNTech (1) to delete BioNTech’s Confidential Information from such publication or presentation and (2) withhold publication or presentation for an additional [***] in order to permit BioNTech to obtain Patent protection in accordance with the terms of this Agreement. Autolus shall acknowledge BioNTech’s contribution and authorship according to customary standards.</w:t>
      </w:r>
    </w:p>
    <w:p>
      <w:pPr>
        <w:spacing w:after="0" w:line="135" w:lineRule="exact"/>
        <w:rPr>
          <w:sz w:val="20"/>
          <w:szCs w:val="20"/>
          <w:color w:val="auto"/>
        </w:rPr>
      </w:pPr>
    </w:p>
    <w:p>
      <w:pPr>
        <w:ind w:left="580" w:hanging="574"/>
        <w:spacing w:after="0"/>
        <w:tabs>
          <w:tab w:leader="none" w:pos="580" w:val="left"/>
        </w:tabs>
        <w:numPr>
          <w:ilvl w:val="0"/>
          <w:numId w:val="9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6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Term; Effect of Expiration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1158"/>
        <w:spacing w:after="0" w:line="224" w:lineRule="auto"/>
        <w:tabs>
          <w:tab w:leader="none" w:pos="1729" w:val="left"/>
        </w:tabs>
        <w:numPr>
          <w:ilvl w:val="1"/>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set forth in this Agreement, (i) this Section 13.1(a), Section 14.3 (Survival), Article 17 (Governing Law and Dispute Resolution), Article 18 (General Provisions), and Article 1 (solely with respect to defined terms used in the foregoing Sections or Articles) will be effective as of the Execution Date, and (ii) all other terms of this Agreement will be automatically effective as of the Effective Date. If the Initial Closing has not occurred within [***] following the Execution Date, [***].</w:t>
      </w:r>
    </w:p>
    <w:p>
      <w:pPr>
        <w:spacing w:after="0" w:line="132"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1"/>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will commence upon the Effective Date and expire: (i) with respect to the [***] License, on a</w:t>
      </w:r>
    </w:p>
    <w:p>
      <w:pPr>
        <w:jc w:val="both"/>
        <w:ind w:firstLine="6"/>
        <w:spacing w:after="0" w:line="216" w:lineRule="auto"/>
        <w:tabs>
          <w:tab w:leader="none" w:pos="437" w:val="left"/>
        </w:tabs>
        <w:numPr>
          <w:ilvl w:val="0"/>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Product-by-[***] Licensed Product and country-by-country basis until the expiration of the last to expire [***] Royalty Term with respect to such [***] Licensed Product in such country, and finally in its entirety with respect to all [***] Licensed Products in all countries upon expiration of the [***] Royalty Term with respect to the last [***] Licensed Product in the last country in the Territory; (ii) with respect to the Obe-Cel Revenue Interest, upon the expiration of the Obe-cel Revenue Interest Term; and (iii) in its entirety upon the later of clause (i) and (ii) above, in each case, unless earlier terminated as permitted by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29"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 Royalty Term with respect to a given [***] Licensed Product and country, the license grant in Section 5.1 for such [***] Licensed Product and country shall automatically become fully paid-up, perpetual, irrevocable and royalty-free.</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Termination for Material Breach; Insolvency</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1158"/>
        <w:spacing w:after="0" w:line="215" w:lineRule="auto"/>
        <w:tabs>
          <w:tab w:leader="none" w:pos="1729" w:val="left"/>
        </w:tabs>
        <w:numPr>
          <w:ilvl w:val="0"/>
          <w:numId w:val="9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Autolus or BioNTech is in material breach of any material obligation hereunder, then the non-breaching Party may give written notice to the breaching Party specifying the claimed particulars of such material breach, and if such material breach is not cured within [***] after the breaching Party’s receipt of such notice, or, if such breach (other than with respect to undisputed payments under this Agreement) is not capable of being cured within [***] after the breaching Party’s receipt of such notice, the non-breaching Party may terminate this Agreement immediately by giving written notice to the breaching Party to such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alleged breaching Party disputes in good faith the existence or materiality of a breach specified in a notice provided by the other Party, and such alleged breaching Party provides the other Party notice of such dispute within [***], then the other Party shall not have the right to terminate this Agreement under this Section 13.2(a) unless and until the dispute resolution process in accordance with Section 17.2, has determined that the alleged breaching Party has materially breached a material obligation under the Agreement and such Party has failed to cure such breach within [***] following such decision.</w:t>
      </w:r>
    </w:p>
    <w:p>
      <w:pPr>
        <w:spacing w:after="0" w:line="143" w:lineRule="exact"/>
        <w:rPr>
          <w:rFonts w:ascii="Times New Roman" w:cs="Times New Roman" w:eastAsia="Times New Roman" w:hAnsi="Times New Roman"/>
          <w:sz w:val="18"/>
          <w:szCs w:val="18"/>
          <w:color w:val="auto"/>
        </w:rPr>
      </w:pPr>
    </w:p>
    <w:p>
      <w:pPr>
        <w:ind w:right="40" w:firstLine="1158"/>
        <w:spacing w:after="0"/>
        <w:tabs>
          <w:tab w:leader="none" w:pos="1717" w:val="left"/>
        </w:tabs>
        <w:numPr>
          <w:ilvl w:val="0"/>
          <w:numId w:val="9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may terminate this Agreement on [***] written notice if BioNTech fails to pay Autolus the Upfront Payment when due and such failure to pay is not cured within such [***] period.</w:t>
      </w:r>
    </w:p>
    <w:p>
      <w:pPr>
        <w:spacing w:after="0" w:line="131"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9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Autolus or BioNTech may terminate this Agreement on written notice if an Insolvency Event occurs in relation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w:t>
      </w:r>
    </w:p>
    <w:p>
      <w:pPr>
        <w:spacing w:after="0" w:line="141" w:lineRule="exact"/>
        <w:rPr>
          <w:sz w:val="20"/>
          <w:szCs w:val="20"/>
          <w:color w:val="auto"/>
        </w:rPr>
      </w:pPr>
    </w:p>
    <w:p>
      <w:pPr>
        <w:jc w:val="both"/>
        <w:ind w:firstLine="864"/>
        <w:spacing w:after="0" w:line="23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Termination by BioNTech Without Cause</w:t>
      </w:r>
      <w:r>
        <w:rPr>
          <w:rFonts w:ascii="Times New Roman" w:cs="Times New Roman" w:eastAsia="Times New Roman" w:hAnsi="Times New Roman"/>
          <w:sz w:val="18"/>
          <w:szCs w:val="18"/>
          <w:color w:val="auto"/>
        </w:rPr>
        <w:t xml:space="preserve"> . BioNTech may terminate this Agreement on a [***] Licensed Product-by-[***] Licensed Product basis or in its entirety (a) on [***] prior written notice to Autolus if the First Commercial Sale of a [***] Product has not occurred or (b) on [***] prior written notice to Autolus if the First Commercial Sale of a [***] Product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44</w:t>
      </w:r>
    </w:p>
    <w:p>
      <w:pPr>
        <w:sectPr>
          <w:pgSz w:w="11900" w:h="16840" w:orient="portrait"/>
          <w:cols w:equalWidth="0" w:num="1">
            <w:col w:w="10560"/>
          </w:cols>
          <w:pgMar w:left="660" w:top="1440" w:right="680" w:bottom="1440" w:gutter="0" w:footer="0" w:header="0"/>
        </w:sectPr>
      </w:pPr>
    </w:p>
    <w:bookmarkStart w:id="952" w:name="page953"/>
    <w:bookmarkEnd w:id="952"/>
    <w:p>
      <w:pPr>
        <w:spacing w:after="0" w:line="254" w:lineRule="exact"/>
        <w:rPr>
          <w:sz w:val="20"/>
          <w:szCs w:val="20"/>
          <w:color w:val="auto"/>
        </w:rPr>
      </w:pPr>
    </w:p>
    <w:p>
      <w:pPr>
        <w:ind w:left="580" w:hanging="574"/>
        <w:spacing w:after="0"/>
        <w:tabs>
          <w:tab w:leader="none" w:pos="580" w:val="left"/>
        </w:tabs>
        <w:numPr>
          <w:ilvl w:val="0"/>
          <w:numId w:val="9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Effects of Termination.</w:t>
      </w:r>
    </w:p>
    <w:p>
      <w:pPr>
        <w:spacing w:after="0" w:line="16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Upon Termination</w:t>
      </w:r>
      <w:r>
        <w:rPr>
          <w:rFonts w:ascii="Times New Roman" w:cs="Times New Roman" w:eastAsia="Times New Roman" w:hAnsi="Times New Roman"/>
          <w:sz w:val="17"/>
          <w:szCs w:val="17"/>
          <w:color w:val="auto"/>
        </w:rPr>
        <w:t>. Upon termination, but not expiry, of this Agreement:</w:t>
      </w:r>
    </w:p>
    <w:p>
      <w:pPr>
        <w:spacing w:after="0" w:line="167" w:lineRule="exact"/>
        <w:rPr>
          <w:sz w:val="20"/>
          <w:szCs w:val="20"/>
          <w:color w:val="auto"/>
        </w:rPr>
      </w:pPr>
    </w:p>
    <w:p>
      <w:pPr>
        <w:jc w:val="both"/>
        <w:ind w:firstLine="1158"/>
        <w:spacing w:after="0" w:line="221" w:lineRule="auto"/>
        <w:tabs>
          <w:tab w:leader="none" w:pos="1729" w:val="left"/>
        </w:tabs>
        <w:numPr>
          <w:ilvl w:val="1"/>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licenses granted to BioNTech in respect of the [***] Licensed IP under Section 5.1 terminate;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this Agreement for any reason, upon the request of any Sublicensee of BioNTech who is not then in breach of its sublicense agreement or the terms and conditions of this Agreement applicable to such Sublicensee, Autolus will enter into a direct license to such Sublicensee on the same terms as the relevant terms of this Agreement, taking into account any difference in license scope, territory and duration of sublicense grant;</w:t>
      </w:r>
    </w:p>
    <w:p>
      <w:pPr>
        <w:spacing w:after="0" w:line="141"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17" w:val="left"/>
        </w:tabs>
        <w:numPr>
          <w:ilvl w:val="1"/>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Applicable Law, BioNTech shall wind down any ongoing Clinical Trials with respect to any [***] Licensed Product in a manner and on a timeline reasonably determined by BioNTech and, in each case, consistent with BioNTech’s ethical obligations;</w:t>
      </w:r>
    </w:p>
    <w:p>
      <w:pPr>
        <w:spacing w:after="0" w:line="139" w:lineRule="exact"/>
        <w:rPr>
          <w:rFonts w:ascii="Times New Roman" w:cs="Times New Roman" w:eastAsia="Times New Roman" w:hAnsi="Times New Roman"/>
          <w:sz w:val="18"/>
          <w:szCs w:val="18"/>
          <w:color w:val="auto"/>
        </w:rPr>
      </w:pPr>
    </w:p>
    <w:p>
      <w:pPr>
        <w:jc w:val="both"/>
        <w:ind w:firstLine="1158"/>
        <w:spacing w:after="0" w:line="221" w:lineRule="auto"/>
        <w:tabs>
          <w:tab w:leader="none" w:pos="1729" w:val="left"/>
        </w:tabs>
        <w:numPr>
          <w:ilvl w:val="1"/>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BioNTech and its Affiliates and Sublicensees shall be entitled, during the [***] period following such termination, to sell any commercial inventory of such [***] Licensed Product which remains on hand as of the date of the termination, including any further Commercialization activities in connection with the same, and to continue the Manufacture of in-progress [***] Licensed Product, so long as BioNTech pays to Autolus the royalties applicable to such subsequent sales in accordance with the terms and conditions set forth in this Agreement;</w:t>
      </w:r>
    </w:p>
    <w:p>
      <w:pPr>
        <w:spacing w:after="0" w:line="139" w:lineRule="exact"/>
        <w:rPr>
          <w:rFonts w:ascii="Times New Roman" w:cs="Times New Roman" w:eastAsia="Times New Roman" w:hAnsi="Times New Roman"/>
          <w:sz w:val="18"/>
          <w:szCs w:val="18"/>
          <w:color w:val="auto"/>
        </w:rPr>
      </w:pPr>
    </w:p>
    <w:p>
      <w:pPr>
        <w:ind w:firstLine="1158"/>
        <w:spacing w:after="0"/>
        <w:tabs>
          <w:tab w:leader="none" w:pos="1717" w:val="left"/>
        </w:tabs>
        <w:numPr>
          <w:ilvl w:val="1"/>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Receiving Party shall return or destroy all Confidential Information of the Disclosing Party to the extent requested pursuant to Section 12.6; and</w:t>
      </w:r>
    </w:p>
    <w:p>
      <w:pPr>
        <w:spacing w:after="0" w:line="138" w:lineRule="exact"/>
        <w:rPr>
          <w:rFonts w:ascii="Times New Roman" w:cs="Times New Roman" w:eastAsia="Times New Roman" w:hAnsi="Times New Roman"/>
          <w:sz w:val="18"/>
          <w:szCs w:val="18"/>
          <w:color w:val="auto"/>
        </w:rPr>
      </w:pPr>
    </w:p>
    <w:p>
      <w:pPr>
        <w:ind w:firstLine="1158"/>
        <w:spacing w:after="0"/>
        <w:tabs>
          <w:tab w:leader="none" w:pos="1729" w:val="left"/>
        </w:tabs>
        <w:numPr>
          <w:ilvl w:val="1"/>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such termination was by Autolus pursuant to Section 13.2(b), the Obe-cel Revenue Interest payments set out in Section 7.5 shall terminate as of the effective date of termination.</w:t>
      </w:r>
    </w:p>
    <w:p>
      <w:pPr>
        <w:spacing w:after="0" w:line="134" w:lineRule="exact"/>
        <w:rPr>
          <w:rFonts w:ascii="Times New Roman" w:cs="Times New Roman" w:eastAsia="Times New Roman" w:hAnsi="Times New Roman"/>
          <w:sz w:val="18"/>
          <w:szCs w:val="18"/>
          <w:color w:val="auto"/>
        </w:rPr>
      </w:pPr>
    </w:p>
    <w:p>
      <w:pPr>
        <w:ind w:right="20" w:firstLine="870"/>
        <w:spacing w:after="0" w:line="245" w:lineRule="auto"/>
        <w:tabs>
          <w:tab w:leader="none" w:pos="1125"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BioNTech’s Options</w:t>
      </w:r>
      <w:r>
        <w:rPr>
          <w:rFonts w:ascii="Times New Roman" w:cs="Times New Roman" w:eastAsia="Times New Roman" w:hAnsi="Times New Roman"/>
          <w:sz w:val="18"/>
          <w:szCs w:val="18"/>
          <w:color w:val="auto"/>
        </w:rPr>
        <w:t>. Upon termination of this Agreement, to the extent that any MCSA Negotiation Period, Product Option Period, or Technologies Option Period have not expired, such periods shall expire with effect from the effective date of termination.</w:t>
      </w:r>
    </w:p>
    <w:p>
      <w:pPr>
        <w:spacing w:after="0" w:line="130" w:lineRule="exact"/>
        <w:rPr>
          <w:sz w:val="20"/>
          <w:szCs w:val="20"/>
          <w:color w:val="auto"/>
        </w:rPr>
      </w:pPr>
    </w:p>
    <w:p>
      <w:pPr>
        <w:ind w:firstLine="864"/>
        <w:spacing w:after="0" w:line="245" w:lineRule="auto"/>
        <w:rPr>
          <w:sz w:val="20"/>
          <w:szCs w:val="20"/>
          <w:color w:val="auto"/>
        </w:rPr>
      </w:pPr>
      <w:r>
        <w:rPr>
          <w:rFonts w:ascii="Times New Roman" w:cs="Times New Roman" w:eastAsia="Times New Roman" w:hAnsi="Times New Roman"/>
          <w:sz w:val="18"/>
          <w:szCs w:val="18"/>
          <w:color w:val="auto"/>
        </w:rPr>
        <w:t xml:space="preserve">1 4 . 3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Expiration or termination of this Agreement shall not relieve the Parties of any obligation accruing prior to such expiration or termination. Without limiting the foregoing, the provisions of [***].</w:t>
      </w:r>
    </w:p>
    <w:p>
      <w:pPr>
        <w:spacing w:after="0" w:line="130" w:lineRule="exact"/>
        <w:rPr>
          <w:sz w:val="20"/>
          <w:szCs w:val="20"/>
          <w:color w:val="auto"/>
        </w:rPr>
      </w:pPr>
    </w:p>
    <w:p>
      <w:pPr>
        <w:ind w:left="580" w:hanging="574"/>
        <w:spacing w:after="0"/>
        <w:tabs>
          <w:tab w:leader="none" w:pos="580" w:val="left"/>
        </w:tabs>
        <w:numPr>
          <w:ilvl w:val="0"/>
          <w:numId w:val="9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 and Covenants</w:t>
      </w:r>
    </w:p>
    <w:p>
      <w:pPr>
        <w:spacing w:after="0" w:line="165"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b w:val="1"/>
          <w:bCs w:val="1"/>
          <w:color w:val="auto"/>
        </w:rPr>
        <w:t>Warranties by Each Party</w:t>
      </w:r>
      <w:r>
        <w:rPr>
          <w:rFonts w:ascii="Times New Roman" w:cs="Times New Roman" w:eastAsia="Times New Roman" w:hAnsi="Times New Roman"/>
          <w:sz w:val="18"/>
          <w:szCs w:val="18"/>
          <w:color w:val="auto"/>
        </w:rPr>
        <w:t>. Each Party warrants to the other Party, as of the Effective Date that:</w:t>
      </w:r>
    </w:p>
    <w:p>
      <w:pPr>
        <w:spacing w:after="0" w:line="169" w:lineRule="exact"/>
        <w:rPr>
          <w:sz w:val="20"/>
          <w:szCs w:val="20"/>
          <w:color w:val="auto"/>
        </w:rPr>
      </w:pPr>
    </w:p>
    <w:p>
      <w:pPr>
        <w:ind w:left="1740" w:hanging="582"/>
        <w:spacing w:after="0"/>
        <w:tabs>
          <w:tab w:leader="none" w:pos="1740" w:val="left"/>
        </w:tabs>
        <w:numPr>
          <w:ilvl w:val="0"/>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entity duly organized, validly existing, and in good standing under the laws of its jurisdiction of formation;</w:t>
      </w:r>
    </w:p>
    <w:p>
      <w:pPr>
        <w:spacing w:after="0" w:line="165"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17" w:val="left"/>
        </w:tabs>
        <w:numPr>
          <w:ilvl w:val="0"/>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corporate power and authority to execute, deliver, and perform this Agreement, and has taken all corporate action required by law and its organizational documents to authorize the execution and delivery of this Agreement and the consummation of the transactions contemplated by this Agreement;</w:t>
      </w:r>
    </w:p>
    <w:p>
      <w:pPr>
        <w:spacing w:after="0" w:line="139"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0"/>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agreement enforceable against it in accordance with its terms;</w:t>
      </w:r>
    </w:p>
    <w:p>
      <w:pPr>
        <w:spacing w:after="0" w:line="165"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17" w:val="left"/>
        </w:tabs>
        <w:numPr>
          <w:ilvl w:val="0"/>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and authorizations from all governmental authorities or other Third Parties required to be obtained by such Party in connection with this Agreement have been obtained other than any such consents, approvals and authorizations that may be required under Antitrust Laws, including the HSR Act, with respect to any Technologies Option, other option exercise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45</w:t>
      </w:r>
    </w:p>
    <w:p>
      <w:pPr>
        <w:sectPr>
          <w:pgSz w:w="11900" w:h="16840" w:orient="portrait"/>
          <w:cols w:equalWidth="0" w:num="1">
            <w:col w:w="10560"/>
          </w:cols>
          <w:pgMar w:left="660" w:top="1440" w:right="680" w:bottom="1440" w:gutter="0" w:footer="0" w:header="0"/>
        </w:sectPr>
      </w:pPr>
    </w:p>
    <w:bookmarkStart w:id="953" w:name="page954"/>
    <w:bookmarkEnd w:id="953"/>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contemplated by this Agreement (including the MCSA and the Research and Development Collaboration Agreement); and</w:t>
      </w:r>
    </w:p>
    <w:p>
      <w:pPr>
        <w:spacing w:after="0" w:line="165" w:lineRule="exact"/>
        <w:rPr>
          <w:sz w:val="20"/>
          <w:szCs w:val="20"/>
          <w:color w:val="auto"/>
        </w:rPr>
      </w:pPr>
    </w:p>
    <w:p>
      <w:pPr>
        <w:jc w:val="both"/>
        <w:ind w:firstLine="1158"/>
        <w:spacing w:after="0" w:line="229" w:lineRule="auto"/>
        <w:tabs>
          <w:tab w:leader="none" w:pos="1729" w:val="left"/>
        </w:tabs>
        <w:numPr>
          <w:ilvl w:val="0"/>
          <w:numId w:val="9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contemplated hereby do not: (i) conflict with or result in a breach of any provision of its organizational documents; (ii) result in a breach of any other agreement to which it is a party; or (iii) violate any Applicable Law.</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Warranties by Autolus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15.2</w:t>
      </w:r>
      <w:r>
        <w:rPr>
          <w:rFonts w:ascii="Times New Roman" w:cs="Times New Roman" w:eastAsia="Times New Roman" w:hAnsi="Times New Roman"/>
          <w:sz w:val="18"/>
          <w:szCs w:val="18"/>
          <w:color w:val="auto"/>
        </w:rPr>
        <w:t>, Autolus warrants to BioNTech, as of the Effective Date that:</w:t>
      </w:r>
    </w:p>
    <w:p>
      <w:pPr>
        <w:spacing w:after="0" w:line="165" w:lineRule="exact"/>
        <w:rPr>
          <w:sz w:val="20"/>
          <w:szCs w:val="20"/>
          <w:color w:val="auto"/>
        </w:rPr>
      </w:pPr>
    </w:p>
    <w:p>
      <w:pPr>
        <w:ind w:right="60" w:firstLine="1158"/>
        <w:spacing w:after="0"/>
        <w:tabs>
          <w:tab w:leader="none" w:pos="1729"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rights licensed to Autolus under the Upstream License Agreements, Autolus is the sole and exclusive owner of all of the Autolus IP and the Autolus IP is free from encumbrances;</w:t>
      </w:r>
    </w:p>
    <w:p>
      <w:pPr>
        <w:spacing w:after="0" w:line="138" w:lineRule="exact"/>
        <w:rPr>
          <w:rFonts w:ascii="Times New Roman" w:cs="Times New Roman" w:eastAsia="Times New Roman" w:hAnsi="Times New Roman"/>
          <w:sz w:val="18"/>
          <w:szCs w:val="18"/>
          <w:color w:val="auto"/>
        </w:rPr>
      </w:pPr>
    </w:p>
    <w:p>
      <w:pPr>
        <w:jc w:val="both"/>
        <w:ind w:right="20" w:firstLine="1158"/>
        <w:spacing w:after="0" w:line="221" w:lineRule="auto"/>
        <w:tabs>
          <w:tab w:leader="none" w:pos="1717"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has the right to grant to BioNTech the rights that Autolus purports to grant BioNTech hereunder, including the right to grant: the Product Options; exclusive licenses under the [***] Licensed IP, [***] Licensed IP and [***] Licensed IP; co-exclusive and non-exclusive licenses under the Activity Enhancement Licensed IP; non-exclusive licenses under the Safety Switch Licensed IP and non-exclusive internal research license under the Technologies Option IP to conduct the Evaluation, in each case subject to, and as further set out in, the terms of this Agreement;</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1" w:lineRule="auto"/>
        <w:tabs>
          <w:tab w:leader="none" w:pos="1729"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has, prior to the Effective Date, obtained and provided BioNTech with true, accurate and complete copies of, all relevant consents and waivers from Third Parties, including [***] that enable Autolus to grant, as of the Effective Date (with regards to the [***] License and Obe-cel Revenue Interest and the non-exclusive internal research license under the Technologies Option IP to conduct the Evaluation) or anytime immediately after the Effective Date (with regards to each of the options within the Product Option and Technologies Option), the rights to BioNTech that are contemplated under this Agreement without any further action required to be taken;</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17"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Autolus’s Knowledge, the Development, Manufacture and Commercialization of the [***], the Obe-cel Products, the Autolus Products, and the Option Products does not violate any license and does not infringe or misappropriate any intellectual property rights of any Third Party;</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29"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and its Affiliates have conducted, and to Autolus’s Knowledge, their respective consultants and subcontractors have conducted, all research, Development, Manufacture, and other Exploitation of the [***], the Obe-cel Products, the Autolus Products, and the Option Products in material compliance with all Applicable Law;</w:t>
      </w:r>
    </w:p>
    <w:p>
      <w:pPr>
        <w:spacing w:after="0" w:line="139" w:lineRule="exact"/>
        <w:rPr>
          <w:rFonts w:ascii="Times New Roman" w:cs="Times New Roman" w:eastAsia="Times New Roman" w:hAnsi="Times New Roman"/>
          <w:sz w:val="18"/>
          <w:szCs w:val="18"/>
          <w:color w:val="auto"/>
        </w:rPr>
      </w:pPr>
    </w:p>
    <w:p>
      <w:pPr>
        <w:jc w:val="both"/>
        <w:ind w:right="40" w:firstLine="1158"/>
        <w:spacing w:after="0" w:line="224" w:lineRule="auto"/>
        <w:tabs>
          <w:tab w:leader="none" w:pos="1729"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Upstream License Agreements, there are no agreements or other arrangements to which Autolus or any of its Affiliates is a party relating to the Autolus IP that materially restrict (i) BioNTech’s ability to research, Develop, Manufacture, use, import, offer for sale, sell, have sold and otherwise Commercialize [***] Licensed Products or (ii) Autolus’s ability to research, Develop, Manufacture, use, import, offer for sale, sell, have sold and otherwise Commercialize the Autolus Products, the Obe-Cel Products or the Option Products;</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1" w:lineRule="auto"/>
        <w:tabs>
          <w:tab w:leader="none" w:pos="1717"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Autolus nor any of its Affiliates are delinquent in any payment obligations to any Third Party, or engaged in any dispute with any Third Party, in each case, that, to Autolus’s Knowledge, would limit (i) BioNTech’s ability to research, Develop, Manufacture, use, import, offer for sale, sell, have sold and otherwise Commercialize [***] Licensed Products or (ii) Autolus’s ability to research, Develop, Manufacture, use, import, offer for sale, sell, have sold and otherwise Commercialize the Obe-cel Product, the Autolus Products, or the Option Products;</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17"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challenges, oppositions, nullity actions, interferences, inter-partes reexaminations, inter-partes reviews, post-grant reviews, derivation proceedings or other proceedings are pending or, to Autolus’s Knowledge, have been threatened: (i) as to the Autolus Patents, including any seeking to invalidate or otherwise challenge the Autolus Patents; or (ii) asserting that Autolus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46</w:t>
      </w:r>
    </w:p>
    <w:p>
      <w:pPr>
        <w:sectPr>
          <w:pgSz w:w="11900" w:h="16840" w:orient="portrait"/>
          <w:cols w:equalWidth="0" w:num="1">
            <w:col w:w="10580"/>
          </w:cols>
          <w:pgMar w:left="660" w:top="1440" w:right="660" w:bottom="1440" w:gutter="0" w:footer="0" w:header="0"/>
        </w:sectPr>
      </w:pPr>
    </w:p>
    <w:bookmarkStart w:id="954" w:name="page955"/>
    <w:bookmarkEnd w:id="954"/>
    <w:p>
      <w:pPr>
        <w:spacing w:after="0" w:line="25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infringing or has misappropriated or otherwise is violating any Patent right, trade secret, or other proprietary right of any Third Party as would reasonably be expected to impair the ability of Autolus to fulfil any of its obligations or BioNTech to exercise any of its rights under this Agreement;</w:t>
      </w:r>
    </w:p>
    <w:p>
      <w:pPr>
        <w:spacing w:after="0" w:line="140" w:lineRule="exact"/>
        <w:rPr>
          <w:sz w:val="20"/>
          <w:szCs w:val="20"/>
          <w:color w:val="auto"/>
        </w:rPr>
      </w:pPr>
    </w:p>
    <w:p>
      <w:pPr>
        <w:ind w:right="40" w:firstLine="1158"/>
        <w:spacing w:after="0"/>
        <w:tabs>
          <w:tab w:leader="none" w:pos="1729" w:val="left"/>
        </w:tabs>
        <w:numPr>
          <w:ilvl w:val="1"/>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Autolus’s Knowledge, no Third Party is infringing, misappropriating, or otherwise violating, or threatening to infringe, misappropriate or otherwise violate, the Autolus IP;</w:t>
      </w:r>
    </w:p>
    <w:p>
      <w:pPr>
        <w:spacing w:after="0" w:line="138" w:lineRule="exact"/>
        <w:rPr>
          <w:rFonts w:ascii="Times New Roman" w:cs="Times New Roman" w:eastAsia="Times New Roman" w:hAnsi="Times New Roman"/>
          <w:sz w:val="18"/>
          <w:szCs w:val="18"/>
          <w:color w:val="auto"/>
        </w:rPr>
      </w:pPr>
    </w:p>
    <w:p>
      <w:pPr>
        <w:jc w:val="both"/>
        <w:ind w:firstLine="1158"/>
        <w:spacing w:after="0" w:line="216" w:lineRule="auto"/>
        <w:tabs>
          <w:tab w:leader="none" w:pos="1729" w:val="left"/>
        </w:tabs>
        <w:numPr>
          <w:ilvl w:val="1"/>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inventions claimed, covered or encompassed by the Autolus IP (i) were not conceived, discovered, developed, invented, or otherwise made in connection with any research activities funded, in whole or in part, by the federal government of the United States (or any agency thereof) or the government of any other country, (ii) are not a “subject invention” as that term is described in 35 U.S.C. § 201(e),</w:t>
      </w:r>
    </w:p>
    <w:p>
      <w:pPr>
        <w:spacing w:after="0" w:line="1" w:lineRule="exact"/>
        <w:rPr>
          <w:rFonts w:ascii="Times New Roman" w:cs="Times New Roman" w:eastAsia="Times New Roman" w:hAnsi="Times New Roman"/>
          <w:sz w:val="18"/>
          <w:szCs w:val="18"/>
          <w:color w:val="auto"/>
        </w:rPr>
      </w:pPr>
    </w:p>
    <w:p>
      <w:pPr>
        <w:jc w:val="both"/>
        <w:ind w:right="20" w:firstLine="6"/>
        <w:spacing w:after="0" w:line="218" w:lineRule="auto"/>
        <w:tabs>
          <w:tab w:leader="none" w:pos="319"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otherwise subject to the provisions of the Patent and Trademark Law Amendments Act of 1980, codified at 35 U.S.C. §§ 200-212, or any regulations promulgated pursuant thereto, including in 37 C.F.R. Part 401, (iv) in the case of clauses (ii) or (iii), are not subject to similar obligations or restrictions under the Applicable Law of any other country, and (v) are not the subject of any licenses, options or other rights of any Governmental Authority, within or outside the United States;</w:t>
      </w:r>
    </w:p>
    <w:p>
      <w:pPr>
        <w:spacing w:after="0" w:line="140"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15.2(k)</w:t>
      </w:r>
      <w:r>
        <w:rPr>
          <w:rFonts w:ascii="Times New Roman" w:cs="Times New Roman" w:eastAsia="Times New Roman" w:hAnsi="Times New Roman"/>
          <w:sz w:val="18"/>
          <w:szCs w:val="18"/>
          <w:color w:val="auto"/>
        </w:rPr>
        <w:t xml:space="preserve"> contains all Autolus Patents that are Controlled by Autolus as of the Effective Date;</w:t>
      </w:r>
    </w:p>
    <w:p>
      <w:pPr>
        <w:spacing w:after="0" w:line="158" w:lineRule="exact"/>
        <w:rPr>
          <w:rFonts w:ascii="Times New Roman" w:cs="Times New Roman" w:eastAsia="Times New Roman" w:hAnsi="Times New Roman"/>
          <w:sz w:val="18"/>
          <w:szCs w:val="18"/>
          <w:color w:val="auto"/>
        </w:rPr>
      </w:pPr>
    </w:p>
    <w:p>
      <w:pPr>
        <w:ind w:left="1740" w:hanging="582"/>
        <w:spacing w:after="0"/>
        <w:tabs>
          <w:tab w:leader="none" w:pos="1740"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Autolus Patents are subsisting, and to Autolus’s Knowledge, are not invalid or unenforceable, in whole or in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w:t>
      </w:r>
    </w:p>
    <w:p>
      <w:pPr>
        <w:spacing w:after="0" w:line="145" w:lineRule="exact"/>
        <w:rPr>
          <w:rFonts w:ascii="Times New Roman" w:cs="Times New Roman" w:eastAsia="Times New Roman" w:hAnsi="Times New Roman"/>
          <w:sz w:val="18"/>
          <w:szCs w:val="18"/>
          <w:color w:val="auto"/>
        </w:rPr>
      </w:pPr>
    </w:p>
    <w:p>
      <w:pPr>
        <w:jc w:val="both"/>
        <w:ind w:right="40" w:firstLine="1158"/>
        <w:spacing w:after="0" w:line="224" w:lineRule="auto"/>
        <w:tabs>
          <w:tab w:leader="none" w:pos="1729"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Autolus’s Knowledge, (i) the Autolus Patents are being diligently prosecuted in the respective patent offices in the Territory in accordance with Applicable Law, (ii) Autolus has not taken any action that would render any invention claimed in the Autolus Patents unpatentable, and (iii) the Autolus Patents have been filed and maintained properly and correctly, and all necessary ownership and priority right assignments from named inventors to Autolus have been procured and timely filed and recorded with appropriate patent offices;</w:t>
      </w:r>
    </w:p>
    <w:p>
      <w:pPr>
        <w:spacing w:after="0" w:line="139"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17"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application, registration, maintenance, other related fees and renewal fees in respect of the Autolus Patents have been paid and all necessary documents and certificates have been filed with the relevant agencies for the purpose of obtaining or maintaining the Autolus Patents;</w:t>
      </w:r>
    </w:p>
    <w:p>
      <w:pPr>
        <w:spacing w:after="0" w:line="139" w:lineRule="exact"/>
        <w:rPr>
          <w:rFonts w:ascii="Times New Roman" w:cs="Times New Roman" w:eastAsia="Times New Roman" w:hAnsi="Times New Roman"/>
          <w:sz w:val="18"/>
          <w:szCs w:val="18"/>
          <w:color w:val="auto"/>
        </w:rPr>
      </w:pPr>
    </w:p>
    <w:p>
      <w:pPr>
        <w:jc w:val="both"/>
        <w:ind w:firstLine="1158"/>
        <w:spacing w:after="0" w:line="221" w:lineRule="auto"/>
        <w:tabs>
          <w:tab w:leader="none" w:pos="1717"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and former officers, employees, agents, advisors, consultants, contractors or other representatives of Autolus or any of its Affiliates who are inventors of or have otherwise contributed in a material manner to the creation or development of any Autolus IP have, where Applicable Law does not automatically vest such individual’s rights in Autolus, executed and delivered to Autolus or any such Affiliate a valid and enforceable written assignment or other agreement regarding the protection of proprietary information and the assignment to Autolus of any Autolus IP;</w:t>
      </w:r>
    </w:p>
    <w:p>
      <w:pPr>
        <w:spacing w:after="0" w:line="139" w:lineRule="exact"/>
        <w:rPr>
          <w:rFonts w:ascii="Times New Roman" w:cs="Times New Roman" w:eastAsia="Times New Roman" w:hAnsi="Times New Roman"/>
          <w:sz w:val="18"/>
          <w:szCs w:val="18"/>
          <w:color w:val="auto"/>
        </w:rPr>
      </w:pPr>
    </w:p>
    <w:p>
      <w:pPr>
        <w:ind w:right="40" w:firstLine="1158"/>
        <w:spacing w:after="0"/>
        <w:tabs>
          <w:tab w:leader="none" w:pos="1717"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Autolus’s Knowledge, no Person who claims to be an inventor of an invention claimed in an Autolus Patent is not identified as an inventor of such invention in the filed patent documents for such Autolus Patent;</w:t>
      </w:r>
    </w:p>
    <w:p>
      <w:pPr>
        <w:spacing w:after="0" w:line="138" w:lineRule="exact"/>
        <w:rPr>
          <w:rFonts w:ascii="Times New Roman" w:cs="Times New Roman" w:eastAsia="Times New Roman" w:hAnsi="Times New Roman"/>
          <w:sz w:val="18"/>
          <w:szCs w:val="18"/>
          <w:color w:val="auto"/>
        </w:rPr>
      </w:pPr>
    </w:p>
    <w:p>
      <w:pPr>
        <w:ind w:right="40" w:firstLine="1158"/>
        <w:spacing w:after="0"/>
        <w:tabs>
          <w:tab w:leader="none" w:pos="1717"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Autolus’s Knowledge, no dispute regarding inventorship, authorship, or ownership has been alleged or threatened with respect to any Autolus IP;</w:t>
      </w:r>
    </w:p>
    <w:p>
      <w:pPr>
        <w:spacing w:after="0" w:line="138" w:lineRule="exact"/>
        <w:rPr>
          <w:rFonts w:ascii="Times New Roman" w:cs="Times New Roman" w:eastAsia="Times New Roman" w:hAnsi="Times New Roman"/>
          <w:sz w:val="18"/>
          <w:szCs w:val="18"/>
          <w:color w:val="auto"/>
        </w:rPr>
      </w:pPr>
    </w:p>
    <w:p>
      <w:pPr>
        <w:jc w:val="both"/>
        <w:ind w:right="20" w:firstLine="1158"/>
        <w:spacing w:after="0" w:line="224" w:lineRule="auto"/>
        <w:tabs>
          <w:tab w:leader="none" w:pos="1729"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and its Affiliates have taken commercially reasonable measures consistent with industry practices to protect the secrecy, confidentiality and value of all Autolus Know-How that constitutes trade secrets under Applicable Law, including by requiring all employees, consultants and subcontractors to execute binding and enforceable agreements requiring all such employees, consultants and subcontractors to maintain the confidentiality of all such Know-How;</w:t>
      </w:r>
    </w:p>
    <w:p>
      <w:pPr>
        <w:spacing w:after="0" w:line="139" w:lineRule="exact"/>
        <w:rPr>
          <w:rFonts w:ascii="Times New Roman" w:cs="Times New Roman" w:eastAsia="Times New Roman" w:hAnsi="Times New Roman"/>
          <w:sz w:val="18"/>
          <w:szCs w:val="18"/>
          <w:color w:val="auto"/>
        </w:rPr>
      </w:pPr>
    </w:p>
    <w:p>
      <w:pPr>
        <w:jc w:val="both"/>
        <w:ind w:firstLine="1158"/>
        <w:spacing w:after="0" w:line="229" w:lineRule="auto"/>
        <w:tabs>
          <w:tab w:leader="none" w:pos="1729" w:val="left"/>
        </w:tabs>
        <w:numPr>
          <w:ilvl w:val="1"/>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judgements, settlements, litigations, suits, actions, disputes, arbitration, judicial or legal, administrative or other proceedings, or governmental investigations pending or, to Autolus’s Knowledge, threatened against Autolus or any of its Affiliates that could reasonably be expected to adversely affect or restrict the ability of Autolus to consummate or perform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47</w:t>
      </w:r>
    </w:p>
    <w:p>
      <w:pPr>
        <w:sectPr>
          <w:pgSz w:w="11900" w:h="16840" w:orient="portrait"/>
          <w:cols w:equalWidth="0" w:num="1">
            <w:col w:w="10580"/>
          </w:cols>
          <w:pgMar w:left="660" w:top="1440" w:right="660" w:bottom="1440" w:gutter="0" w:footer="0" w:header="0"/>
        </w:sectPr>
      </w:pPr>
    </w:p>
    <w:bookmarkStart w:id="955" w:name="page956"/>
    <w:bookmarkEnd w:id="955"/>
    <w:p>
      <w:pPr>
        <w:spacing w:after="0" w:line="2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and obligations contemplated under this Agreement, or that would affect the Autolus IP, Autolus’s Control thereof, or the [***] Licensed Products, the Autolus Products, the Obe-Cel Products, or the Option Products;</w:t>
      </w:r>
    </w:p>
    <w:p>
      <w:pPr>
        <w:spacing w:after="0" w:line="138" w:lineRule="exact"/>
        <w:rPr>
          <w:sz w:val="20"/>
          <w:szCs w:val="20"/>
          <w:color w:val="auto"/>
        </w:rPr>
      </w:pPr>
    </w:p>
    <w:p>
      <w:pPr>
        <w:jc w:val="both"/>
        <w:ind w:right="20" w:firstLine="1158"/>
        <w:spacing w:after="0" w:line="229" w:lineRule="auto"/>
        <w:tabs>
          <w:tab w:leader="none" w:pos="1729"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is not in material breach of or material default under the Upstream License Agreements and has not taken or failed to take any action that with or without notice, lapse of time or both would constitute a material breach of or material default under the Upstream License Agreements;</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4" w:lineRule="auto"/>
        <w:tabs>
          <w:tab w:leader="none" w:pos="1717"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Upstream License Agreements, to Autolus’s Knowledge, are valid, binding, enforceable, and in full force and effect,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32"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has received no written notice regarding any material violation, breach, or default under the any Upstream License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w:t>
      </w:r>
    </w:p>
    <w:p>
      <w:pPr>
        <w:spacing w:after="0" w:line="145" w:lineRule="exact"/>
        <w:rPr>
          <w:rFonts w:ascii="Times New Roman" w:cs="Times New Roman" w:eastAsia="Times New Roman" w:hAnsi="Times New Roman"/>
          <w:sz w:val="18"/>
          <w:szCs w:val="18"/>
          <w:color w:val="auto"/>
        </w:rPr>
      </w:pPr>
    </w:p>
    <w:p>
      <w:pPr>
        <w:ind w:firstLine="1158"/>
        <w:spacing w:after="0"/>
        <w:tabs>
          <w:tab w:leader="none" w:pos="1729"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has not waived any rights under any Upstream License Agreements in a manner that would adversely affect in any material respect BioNTech’s rights hereunder;</w:t>
      </w:r>
    </w:p>
    <w:p>
      <w:pPr>
        <w:spacing w:after="0" w:line="138" w:lineRule="exact"/>
        <w:rPr>
          <w:rFonts w:ascii="Times New Roman" w:cs="Times New Roman" w:eastAsia="Times New Roman" w:hAnsi="Times New Roman"/>
          <w:sz w:val="18"/>
          <w:szCs w:val="18"/>
          <w:color w:val="auto"/>
        </w:rPr>
      </w:pPr>
    </w:p>
    <w:p>
      <w:pPr>
        <w:ind w:right="100" w:firstLine="1158"/>
        <w:spacing w:after="0"/>
        <w:tabs>
          <w:tab w:leader="none" w:pos="1717"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Upstream License Agreements are the only agreements under which Autolus receives rights under the Autolus IP, and Autolus has provided BioNTech with true, complete, and correct copies of each such Upstream License Agreement; and</w:t>
      </w:r>
    </w:p>
    <w:p>
      <w:pPr>
        <w:spacing w:after="0" w:line="138"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has, as required by [***], consented to [***] under this Agreement.</w:t>
      </w:r>
    </w:p>
    <w:p>
      <w:pPr>
        <w:spacing w:after="0" w:line="161" w:lineRule="exact"/>
        <w:rPr>
          <w:sz w:val="20"/>
          <w:szCs w:val="20"/>
          <w:color w:val="auto"/>
        </w:rPr>
      </w:pPr>
    </w:p>
    <w:p>
      <w:pPr>
        <w:ind w:right="60" w:firstLine="864"/>
        <w:spacing w:after="0" w:line="245"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Warranties by BioNTech</w:t>
      </w:r>
      <w:r>
        <w:rPr>
          <w:rFonts w:ascii="Times New Roman" w:cs="Times New Roman" w:eastAsia="Times New Roman" w:hAnsi="Times New Roman"/>
          <w:sz w:val="18"/>
          <w:szCs w:val="18"/>
          <w:color w:val="auto"/>
        </w:rPr>
        <w:t xml:space="preserve"> . BioNTech warrants to Autolus, as of the Effective Date that neither it, nor its Affiliates, develops, sells or manufactures tobacco products or makes the majority of its profits from the importation, marketing, sale or disposal of tobacco products.</w:t>
      </w:r>
    </w:p>
    <w:p>
      <w:pPr>
        <w:spacing w:after="0" w:line="130"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Covenants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right="40" w:firstLine="1158"/>
        <w:spacing w:after="0" w:line="219" w:lineRule="auto"/>
        <w:tabs>
          <w:tab w:leader="none" w:pos="1729"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covenants that it shall not employ or use the services of any Person who is debarred under the United States Federal Food, Drug and Cosmetic Act or comparable laws in any other country or jurisdiction, in connection with the Exploitation of [***] Licensed Products (in the case of BioNTech) or the Exploitation of Obe-cel Products and Option Products (in the case of Autolus). If a Party becomes aware of the debarment or threatened debarment of any Person providing services to such Party (including the Party itself and its Affiliates, and any Autolus Licensees and Sublicensees (as applicable)) that directly or indirectly relate to activities under this Agreement, such Party shall [***] notify the other Party in writing.</w:t>
      </w:r>
    </w:p>
    <w:p>
      <w:pPr>
        <w:spacing w:after="0" w:line="139"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hereby covenants it shall not (1) [***], and (2) [***], unless [***]:</w:t>
      </w:r>
    </w:p>
    <w:p>
      <w:pPr>
        <w:spacing w:after="0" w:line="165" w:lineRule="exact"/>
        <w:rPr>
          <w:rFonts w:ascii="Times New Roman" w:cs="Times New Roman" w:eastAsia="Times New Roman" w:hAnsi="Times New Roman"/>
          <w:sz w:val="18"/>
          <w:szCs w:val="18"/>
          <w:color w:val="auto"/>
        </w:rPr>
      </w:pPr>
    </w:p>
    <w:p>
      <w:pPr>
        <w:ind w:right="40" w:firstLine="2311"/>
        <w:spacing w:after="0"/>
        <w:tabs>
          <w:tab w:leader="none" w:pos="2881"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its obligations under any Upstream License Agreement in any way that results in, or would reasonably be expected to result in, the termination of such Upstream License Agreement;</w:t>
      </w:r>
    </w:p>
    <w:p>
      <w:pPr>
        <w:spacing w:after="0" w:line="138" w:lineRule="exact"/>
        <w:rPr>
          <w:rFonts w:ascii="Times New Roman" w:cs="Times New Roman" w:eastAsia="Times New Roman" w:hAnsi="Times New Roman"/>
          <w:sz w:val="18"/>
          <w:szCs w:val="18"/>
          <w:color w:val="auto"/>
        </w:rPr>
      </w:pPr>
    </w:p>
    <w:p>
      <w:pPr>
        <w:jc w:val="both"/>
        <w:ind w:right="60" w:firstLine="2311"/>
        <w:spacing w:after="0" w:line="224" w:lineRule="auto"/>
        <w:tabs>
          <w:tab w:leader="none" w:pos="2881"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any Upstream License Agreement in any way that would adversely affect BioNTech’s rights hereunder in any material respect, without BioNTech’s prior written consent, [***]. Following any modification or amendment to an Upstream License Agreement, Autolus shall provide BioNTech with a copy of the applicable modification to or amendment of the applicable Upstream License Agreement, [***];</w:t>
      </w:r>
    </w:p>
    <w:p>
      <w:pPr>
        <w:spacing w:after="0" w:line="132" w:lineRule="exact"/>
        <w:rPr>
          <w:rFonts w:ascii="Times New Roman" w:cs="Times New Roman" w:eastAsia="Times New Roman" w:hAnsi="Times New Roman"/>
          <w:sz w:val="18"/>
          <w:szCs w:val="18"/>
          <w:color w:val="auto"/>
        </w:rPr>
      </w:pPr>
    </w:p>
    <w:p>
      <w:pPr>
        <w:ind w:left="2880" w:hanging="569"/>
        <w:spacing w:after="0"/>
        <w:tabs>
          <w:tab w:leader="none" w:pos="2880"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Upstream License Agreement in whole or in part without BioNTech’s prior written consent,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48</w:t>
      </w:r>
    </w:p>
    <w:p>
      <w:pPr>
        <w:sectPr>
          <w:pgSz w:w="11900" w:h="16840" w:orient="portrait"/>
          <w:cols w:equalWidth="0" w:num="1">
            <w:col w:w="10600"/>
          </w:cols>
          <w:pgMar w:left="660" w:top="1440" w:right="640" w:bottom="1440" w:gutter="0" w:footer="0" w:header="0"/>
        </w:sectPr>
      </w:pPr>
    </w:p>
    <w:bookmarkStart w:id="956" w:name="page957"/>
    <w:bookmarkEnd w:id="956"/>
    <w:p>
      <w:pPr>
        <w:spacing w:after="0" w:line="258" w:lineRule="exact"/>
        <w:rPr>
          <w:sz w:val="20"/>
          <w:szCs w:val="20"/>
          <w:color w:val="auto"/>
        </w:rPr>
      </w:pPr>
    </w:p>
    <w:p>
      <w:pPr>
        <w:jc w:val="both"/>
        <w:ind w:right="40" w:firstLine="2311"/>
        <w:spacing w:after="0" w:line="224" w:lineRule="auto"/>
        <w:tabs>
          <w:tab w:leader="none" w:pos="2881" w:val="left"/>
        </w:tabs>
        <w:numPr>
          <w:ilvl w:val="1"/>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Autolus’s knowledge thereof, provide BioNTech with notice of and information relating to any alleged or suspected breach or default by Autolus or the other party(s) to the Upstream License Agreements that would adversely affect in any material respect Autolus or BioNTech or its rights hereunder and, following BioNTech’s request, reasonably consult with BioNTech before taking any action in relation to such alleged or suspected breach or default.</w:t>
      </w:r>
    </w:p>
    <w:p>
      <w:pPr>
        <w:spacing w:after="0" w:line="139"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29"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covenants that it shall not, and shall not permit its Affiliates, Autolus Licensees (in the case of Autolus) or Sublicensees (in the case of BioNTech) or anyone acting on its or their behalf under this Agreement to grant or otherwise convey to any Third Party any rights that would be inconsistent with the other Party’s rights hereunder.</w:t>
      </w:r>
    </w:p>
    <w:p>
      <w:pPr>
        <w:spacing w:after="0" w:line="139" w:lineRule="exact"/>
        <w:rPr>
          <w:rFonts w:ascii="Times New Roman" w:cs="Times New Roman" w:eastAsia="Times New Roman" w:hAnsi="Times New Roman"/>
          <w:sz w:val="18"/>
          <w:szCs w:val="18"/>
          <w:color w:val="auto"/>
        </w:rPr>
      </w:pPr>
    </w:p>
    <w:p>
      <w:pPr>
        <w:ind w:right="60" w:firstLine="1158"/>
        <w:spacing w:after="0"/>
        <w:tabs>
          <w:tab w:leader="none" w:pos="1717"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Autolus nor its Affiliates shall grant any option, right or license to any Third Party under the Autolus IP in a manner that conflicts with any of the rights or licenses granted to BioNTech, or any obligations of Autolus, hereunder.</w:t>
      </w:r>
    </w:p>
    <w:p>
      <w:pPr>
        <w:spacing w:after="0" w:line="138" w:lineRule="exact"/>
        <w:rPr>
          <w:rFonts w:ascii="Times New Roman" w:cs="Times New Roman" w:eastAsia="Times New Roman" w:hAnsi="Times New Roman"/>
          <w:sz w:val="18"/>
          <w:szCs w:val="18"/>
          <w:color w:val="auto"/>
        </w:rPr>
      </w:pPr>
    </w:p>
    <w:p>
      <w:pPr>
        <w:jc w:val="both"/>
        <w:ind w:right="40" w:firstLine="1158"/>
        <w:spacing w:after="0" w:line="229" w:lineRule="auto"/>
        <w:tabs>
          <w:tab w:leader="none" w:pos="1729"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receives notice of an alleged payment default by Autolus or its Affiliates under any Upstream License Agreement that Autolus does not cure within [***], Autolus hereby grants to BioNTech the right (but not the obligation) to: (i) [***]; and (ii) [***]. The foregoing shall not preclude any other right or action that BioNTech may have against Autolus for such breach of Section 15.4(b)(iv).</w:t>
      </w:r>
    </w:p>
    <w:p>
      <w:pPr>
        <w:spacing w:after="0" w:line="139" w:lineRule="exact"/>
        <w:rPr>
          <w:rFonts w:ascii="Times New Roman" w:cs="Times New Roman" w:eastAsia="Times New Roman" w:hAnsi="Times New Roman"/>
          <w:sz w:val="18"/>
          <w:szCs w:val="18"/>
          <w:color w:val="auto"/>
        </w:rPr>
      </w:pPr>
    </w:p>
    <w:p>
      <w:pPr>
        <w:ind w:firstLine="1158"/>
        <w:spacing w:after="0"/>
        <w:tabs>
          <w:tab w:leader="none" w:pos="1729"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Autolus has not obtained and provided to BioNTech prior to the Effective Date: (i) [***]; and (ii) [***], in each case ((i) and (ii)), then Autolus will [***]. In each case, [***].</w:t>
      </w:r>
    </w:p>
    <w:p>
      <w:pPr>
        <w:spacing w:after="0" w:line="134" w:lineRule="exact"/>
        <w:rPr>
          <w:sz w:val="20"/>
          <w:szCs w:val="20"/>
          <w:color w:val="auto"/>
        </w:rPr>
      </w:pPr>
    </w:p>
    <w:p>
      <w:pPr>
        <w:jc w:val="both"/>
        <w:ind w:right="2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15. 5 </w:t>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Except as expressly stated in this Article 15: (a) no representation, condition or warranty whatsoever is made or given by or on behalf of BioNTech or Autolus; and (b) all other conditions and warranties, whether arising by operation of law or otherwise, are hereby expressly excluded, including any conditions and warranties of merchantability, fitness for a particular purpose or non-infringement.</w:t>
      </w:r>
    </w:p>
    <w:p>
      <w:pPr>
        <w:spacing w:after="0" w:line="136" w:lineRule="exact"/>
        <w:rPr>
          <w:sz w:val="20"/>
          <w:szCs w:val="20"/>
          <w:color w:val="auto"/>
        </w:rPr>
      </w:pPr>
    </w:p>
    <w:p>
      <w:pPr>
        <w:jc w:val="both"/>
        <w:ind w:right="2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b w:val="1"/>
          <w:bCs w:val="1"/>
          <w:color w:val="auto"/>
        </w:rPr>
        <w:t>Upstream Obligations</w:t>
      </w:r>
      <w:r>
        <w:rPr>
          <w:rFonts w:ascii="Times New Roman" w:cs="Times New Roman" w:eastAsia="Times New Roman" w:hAnsi="Times New Roman"/>
          <w:sz w:val="18"/>
          <w:szCs w:val="18"/>
          <w:color w:val="auto"/>
        </w:rPr>
        <w:t xml:space="preserve">. Notwithstanding anything to the contrary in this Agreement, the licenses and rights granted hereunder are subject to those terms of the Upstream License Agreements that are set out in </w:t>
      </w:r>
      <w:r>
        <w:rPr>
          <w:rFonts w:ascii="Times New Roman" w:cs="Times New Roman" w:eastAsia="Times New Roman" w:hAnsi="Times New Roman"/>
          <w:sz w:val="18"/>
          <w:szCs w:val="18"/>
          <w:u w:val="single" w:color="auto"/>
          <w:color w:val="auto"/>
        </w:rPr>
        <w:t>Schedule 15.6</w:t>
      </w:r>
      <w:r>
        <w:rPr>
          <w:rFonts w:ascii="Times New Roman" w:cs="Times New Roman" w:eastAsia="Times New Roman" w:hAnsi="Times New Roman"/>
          <w:sz w:val="18"/>
          <w:szCs w:val="18"/>
          <w:color w:val="auto"/>
        </w:rPr>
        <w:t xml:space="preserve"> , and BioNTech will, and will procure that its Affiliates, Subcontractors and Sublicensees will, comply with such terms set forth in </w:t>
      </w:r>
      <w:r>
        <w:rPr>
          <w:rFonts w:ascii="Times New Roman" w:cs="Times New Roman" w:eastAsia="Times New Roman" w:hAnsi="Times New Roman"/>
          <w:sz w:val="18"/>
          <w:szCs w:val="18"/>
          <w:u w:val="single" w:color="auto"/>
          <w:color w:val="auto"/>
        </w:rPr>
        <w:t>Schedule 15.6</w:t>
      </w:r>
      <w:r>
        <w:rPr>
          <w:rFonts w:ascii="Times New Roman" w:cs="Times New Roman" w:eastAsia="Times New Roman" w:hAnsi="Times New Roman"/>
          <w:sz w:val="18"/>
          <w:szCs w:val="18"/>
          <w:color w:val="auto"/>
        </w:rPr>
        <w:t xml:space="preserve"> to the extent applicable. Subject to the foregoing, and without limitation to any remedy that may be available to Autolus, if [***], then [***].</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158"/>
        <w:spacing w:after="0" w:line="217" w:lineRule="auto"/>
        <w:tabs>
          <w:tab w:leader="none" w:pos="1729" w:val="left"/>
        </w:tabs>
        <w:numPr>
          <w:ilvl w:val="0"/>
          <w:numId w:val="10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Anti-Corruption Laws</w:t>
      </w:r>
      <w:r>
        <w:rPr>
          <w:rFonts w:ascii="Times New Roman" w:cs="Times New Roman" w:eastAsia="Times New Roman" w:hAnsi="Times New Roman"/>
          <w:sz w:val="18"/>
          <w:szCs w:val="18"/>
          <w:color w:val="auto"/>
        </w:rPr>
        <w:t>. In connection with this Agreement, the Parties shall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local, national, and international laws, regulations, and industry codes dealing with government procurement, conflicts of interest, corruption or bribery, including, if applicable, the U.S. Foreign Corrupt Practices Act of 1977, as amended (“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as amended, any laws enacted to implement the Organisation of Economic Cooperation and Development Convention on Combating Bribery of Foreign Officials in International Business Transactions, and any other applicable equivalent laws. Without limiting the foregoing, in performing its obligations under this Agreement, neither Party shall, directly or indirectly, pay any money to, or offer or give anything of value to, any Government Official, in order to obtain or retain business or to secure any commercial or financial advantage for any Party, including the other Party or for itself or any of their respective Affiliates or Autolus Licensees or Sublicensees (as applicable).</w:t>
      </w:r>
    </w:p>
    <w:p>
      <w:pPr>
        <w:spacing w:after="0" w:line="135" w:lineRule="exact"/>
        <w:rPr>
          <w:rFonts w:ascii="Times New Roman" w:cs="Times New Roman" w:eastAsia="Times New Roman" w:hAnsi="Times New Roman"/>
          <w:sz w:val="18"/>
          <w:szCs w:val="18"/>
          <w:color w:val="auto"/>
        </w:rPr>
      </w:pPr>
    </w:p>
    <w:p>
      <w:pPr>
        <w:jc w:val="both"/>
        <w:ind w:right="20" w:firstLine="1158"/>
        <w:spacing w:after="0" w:line="220" w:lineRule="auto"/>
        <w:tabs>
          <w:tab w:leader="none" w:pos="1717" w:val="left"/>
        </w:tabs>
        <w:numPr>
          <w:ilvl w:val="0"/>
          <w:numId w:val="10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Prohibited Conduct</w:t>
      </w:r>
      <w:r>
        <w:rPr>
          <w:rFonts w:ascii="Times New Roman" w:cs="Times New Roman" w:eastAsia="Times New Roman" w:hAnsi="Times New Roman"/>
          <w:sz w:val="18"/>
          <w:szCs w:val="18"/>
          <w:color w:val="auto"/>
        </w:rPr>
        <w:t>. Without limiting the other obligations of the Parties set forth in this Section 15.7,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to the other that, as of the Effective Date and in the performance of its obligations under this Agreement through the expiration or termination of this Agreement, such Party and, to its knowledge, its Affiliates and its and its Affiliates’ employees and contractors, in connection with the performance of their respective obligations under this Agreement, have not made, offered, given, promised to give, or authorized, and shall not make, offer, give, promise to give, or authorize, any bribe, kickback, payment or transfer of anything of value, directly or indirectly through Third Parties, to any Government Official for the purpose of (i) improperly influencing any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49</w:t>
      </w:r>
    </w:p>
    <w:p>
      <w:pPr>
        <w:sectPr>
          <w:pgSz w:w="11900" w:h="16840" w:orient="portrait"/>
          <w:cols w:equalWidth="0" w:num="1">
            <w:col w:w="10580"/>
          </w:cols>
          <w:pgMar w:left="660" w:top="1440" w:right="660" w:bottom="1440" w:gutter="0" w:footer="0" w:header="0"/>
        </w:sectPr>
      </w:pPr>
    </w:p>
    <w:bookmarkStart w:id="957" w:name="page958"/>
    <w:bookmarkEnd w:id="957"/>
    <w:p>
      <w:pPr>
        <w:spacing w:after="0" w:line="25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decision of the Government Official, (ii) inducing the Government Official to do or omit to do an act in violation of a lawful or otherwise required duty, (iii) securing any improper advantage, or (iv) inducing the Government Official to improperly influence the act or decision of any organization, including any government or government instrumentality, to assist any Party in obtaining or retaining business. If, during the Term of this Agreement, either Party becomes aware that any Person acting on that Party’s behalf has engaged in any prohibited conduct pursuant to this Section 15.7(b) related to the performance of such Party’s obligations under this Agreement, then such Party will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35" w:lineRule="exact"/>
        <w:rPr>
          <w:sz w:val="20"/>
          <w:szCs w:val="20"/>
          <w:color w:val="auto"/>
        </w:rPr>
      </w:pPr>
    </w:p>
    <w:p>
      <w:pPr>
        <w:jc w:val="both"/>
        <w:ind w:right="40" w:firstLine="1158"/>
        <w:spacing w:after="0" w:line="214" w:lineRule="auto"/>
        <w:tabs>
          <w:tab w:leader="none" w:pos="1729" w:val="left"/>
        </w:tabs>
        <w:numPr>
          <w:ilvl w:val="1"/>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Export Control and Sanctions Laws </w:t>
      </w:r>
      <w:r>
        <w:rPr>
          <w:rFonts w:ascii="Times New Roman" w:cs="Times New Roman" w:eastAsia="Times New Roman" w:hAnsi="Times New Roman"/>
          <w:sz w:val="18"/>
          <w:szCs w:val="18"/>
          <w:color w:val="auto"/>
        </w:rPr>
        <w:t>. In connection with this Agreement, (i) the Parties shall comply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local, national, and international laws, and regulations regarding export controls, economic sanctions, trade embargoes, and anti-boycott matters including sanctions regulations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Office of Financial Sanctions Implementation in the United Kingdom, and (ii) except as permitted by applicable government license or authorization, each Party shall not engage in any direct or indirect transactions or dealings with (including export, reexport, or transfer of any items to) (1) any country or territory that is subject to an embargo by the U.S. government, European Union or the United Kingdom, or (2) any Person identified on, or fifty percent (50%) or more owned (individually or in the aggregate) by Persons identified on, any list of designated or prohibited parties maintained by the United States, the European Union or the United Kingdom or other applicable jurisdictions (including the List of Specially Designated Nationals and Blocked Persons, the Foreign Sanctions Evaders List, and the Sectoral Sanctions Identifications List, which are maintained by OFAC, and the Entity List, Denied Persons List, and Unverified List, which are maintained by the Bureau of Industry and Security of the U.S. Commerce Department).</w:t>
      </w:r>
    </w:p>
    <w:p>
      <w:pPr>
        <w:spacing w:after="0" w:line="142" w:lineRule="exact"/>
        <w:rPr>
          <w:rFonts w:ascii="Times New Roman" w:cs="Times New Roman" w:eastAsia="Times New Roman" w:hAnsi="Times New Roman"/>
          <w:sz w:val="18"/>
          <w:szCs w:val="18"/>
          <w:color w:val="auto"/>
        </w:rPr>
      </w:pPr>
    </w:p>
    <w:p>
      <w:pPr>
        <w:jc w:val="both"/>
        <w:ind w:right="20" w:firstLine="1158"/>
        <w:spacing w:after="0" w:line="213" w:lineRule="auto"/>
        <w:tabs>
          <w:tab w:leader="none" w:pos="1717" w:val="left"/>
        </w:tabs>
        <w:numPr>
          <w:ilvl w:val="1"/>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Data Protection Laws</w:t>
      </w:r>
      <w:r>
        <w:rPr>
          <w:rFonts w:ascii="Times New Roman" w:cs="Times New Roman" w:eastAsia="Times New Roman" w:hAnsi="Times New Roman"/>
          <w:sz w:val="18"/>
          <w:szCs w:val="18"/>
          <w:color w:val="auto"/>
        </w:rPr>
        <w:t>. In connection with this Agreement the Parties are independent Data Controllers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the EU GDPR and UK GDPR) in respect of the Personal Data provided by Autolus to BioNTech (the “</w:t>
      </w:r>
      <w:r>
        <w:rPr>
          <w:rFonts w:ascii="Times New Roman" w:cs="Times New Roman" w:eastAsia="Times New Roman" w:hAnsi="Times New Roman"/>
          <w:sz w:val="18"/>
          <w:szCs w:val="18"/>
          <w:b w:val="1"/>
          <w:bCs w:val="1"/>
          <w:color w:val="auto"/>
        </w:rPr>
        <w:t>Shared Personal Data</w:t>
      </w:r>
      <w:r>
        <w:rPr>
          <w:rFonts w:ascii="Times New Roman" w:cs="Times New Roman" w:eastAsia="Times New Roman" w:hAnsi="Times New Roman"/>
          <w:sz w:val="18"/>
          <w:szCs w:val="18"/>
          <w:color w:val="auto"/>
        </w:rPr>
        <w:t>”) and shall disclose, make available, transfer, store, use and process the Shared Personal Data in accordance with Applicable Data Protection Law. Without limiting the obligations of the Parties set forth in Applicable Data Protection Law, each Party covenants to the other that it shall: (i) provide such assistance to the other Party as is reasonably required to enable the other Party to comply with requests by patients to exercise their rights under, and within the time limits imposed by, Applicable Data Protection Law; (ii) have in place throughout the term of this Agreement appropriate technical and organizational security measures to prevent the unauthorized or unlawful processing of the Shared Personal Data and the accidental loss or destruction of, or damage to, the Shared Personal Data, and to ensure a level of security appropriate to the harm that might result from such unauthorized or unlawful processing or accidental loss, destruction or damage and the nature of the Shared Personal Data to be protected; (iii) ensure that any transfer of the Shared Personal Data other than to the United Kingdom or within the European Economic Area is either to a country approved under the EU GDPR or UK GDPR as providing adequate protection, or that there are appropriate safeguards or binding corporate rules in place pursuant to the EU GDPR or UK GDPR, or one of the derogations for specific situations in the EU GDPR or UK GDPR applies to the transfer; and (iv) inform the other Party of any Personal Data Breach (as defined in the EU GDPR and UK GDPR) irrespective of whether there is a requirement to notify any applicable data protection authority or patients.</w:t>
      </w:r>
    </w:p>
    <w:p>
      <w:pPr>
        <w:spacing w:after="0" w:line="140" w:lineRule="exact"/>
        <w:rPr>
          <w:rFonts w:ascii="Times New Roman" w:cs="Times New Roman" w:eastAsia="Times New Roman" w:hAnsi="Times New Roman"/>
          <w:sz w:val="18"/>
          <w:szCs w:val="18"/>
          <w:color w:val="auto"/>
        </w:rPr>
      </w:pPr>
    </w:p>
    <w:p>
      <w:pPr>
        <w:ind w:firstLine="864"/>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1 5 . 8 </w:t>
      </w:r>
      <w:r>
        <w:rPr>
          <w:rFonts w:ascii="Times New Roman" w:cs="Times New Roman" w:eastAsia="Times New Roman" w:hAnsi="Times New Roman"/>
          <w:sz w:val="18"/>
          <w:szCs w:val="18"/>
          <w:b w:val="1"/>
          <w:bCs w:val="1"/>
          <w:color w:val="auto"/>
        </w:rPr>
        <w:t>Compliance with Applicable Laws</w:t>
      </w:r>
      <w:r>
        <w:rPr>
          <w:rFonts w:ascii="Times New Roman" w:cs="Times New Roman" w:eastAsia="Times New Roman" w:hAnsi="Times New Roman"/>
          <w:sz w:val="18"/>
          <w:szCs w:val="18"/>
          <w:color w:val="auto"/>
        </w:rPr>
        <w:t>. (a) Autolus and BioNTech shall coordinate and cooperate fully with each other in mutually determining whether any filings or submissions pursuant to Antitrust Laws or Foreign Investment Laws in connection with the transactions contemplated hereby would be necessary, (b) if BioNTech determines that any such filings or submissions, including HSR Filings, are required with respect to BioNTech’s exercise of any Technologies Option, other option exercise, or any other collaboration contemplated by this Agreement (including but not limited to the MCSA and Research and Development Collaboration Agreement), then the Parties shall cooperate to make an HSR Filing within [***] (unless otherwise agreed to in writing by counsel for the Parties), and any other filings or submissions under other Antitrust Laws or Foreign Investment Laws [***], and (c) any information required to be provided under this Agreement by one Party to the other or to the JSC shall be subject to applicable Antitrust Laws relating to the exchange of competitively sensitive information. The Parties shall cooperate with one another to the extent necessary in the preparation of any such filings or submissions, shall consult and cooperate with each other in connection with obtaining HSR Clearance (if required) and all other required clearances under other Antitrust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50</w:t>
      </w:r>
    </w:p>
    <w:p>
      <w:pPr>
        <w:sectPr>
          <w:pgSz w:w="11900" w:h="16840" w:orient="portrait"/>
          <w:cols w:equalWidth="0" w:num="1">
            <w:col w:w="10620"/>
          </w:cols>
          <w:pgMar w:left="660" w:top="1440" w:right="620" w:bottom="1440" w:gutter="0" w:footer="0" w:header="0"/>
        </w:sectPr>
      </w:pPr>
    </w:p>
    <w:bookmarkStart w:id="958" w:name="page959"/>
    <w:bookmarkEnd w:id="958"/>
    <w:p>
      <w:pPr>
        <w:spacing w:after="0" w:line="25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Laws or Foreign Investment Laws and shall [***] resolve [***] any objections that may be asserted by any applicable Governmental Authority with respect to the transactions notified in any such filings or submissions, including HSR Filings. Each Party shall be responsible for its own costs and expenses associated with any such filings. [***] shall be responsible for the filing fees associated with any such filings or submissions under Antitrust Laws or Foreign Investment Laws, including any HSR Filing. Notwithstanding any other terms of this Agreement, (i) if BioNTech, after coordinating and consulting with Autolus, determines that an HSR Filing is required with respect to BioNTech’s exercise of any Technologies Option, including the [***] Option or the [***] Option, no option exercise fee shall be payable until after the date of HSR Clearance with respect to the applicable disclosure and (ii) any such option exercise will not be effective prior to receipt of any approvals, non-disapprovals, or expirations or terminations of any applicable waiting period in jurisdictions (if any) where necessary filings or submissions pursuant to Antitrust Laws or Foreign Investment Laws are to be made.</w:t>
      </w:r>
    </w:p>
    <w:p>
      <w:pPr>
        <w:spacing w:after="0" w:line="140"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b w:val="1"/>
          <w:bCs w:val="1"/>
          <w:color w:val="auto"/>
        </w:rPr>
        <w:t>Regulatory Efforts.</w:t>
      </w:r>
    </w:p>
    <w:p>
      <w:pPr>
        <w:spacing w:after="0" w:line="165" w:lineRule="exact"/>
        <w:rPr>
          <w:sz w:val="20"/>
          <w:szCs w:val="20"/>
          <w:color w:val="auto"/>
        </w:rPr>
      </w:pPr>
    </w:p>
    <w:p>
      <w:pPr>
        <w:jc w:val="both"/>
        <w:ind w:right="40" w:firstLine="1158"/>
        <w:spacing w:after="0" w:line="210" w:lineRule="auto"/>
        <w:tabs>
          <w:tab w:leader="none" w:pos="1729" w:val="left"/>
        </w:tabs>
        <w:numPr>
          <w:ilvl w:val="1"/>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Cooperation for Antitrust/Foreign Investment approvals </w:t>
      </w:r>
      <w:r>
        <w:rPr>
          <w:rFonts w:ascii="Times New Roman" w:cs="Times New Roman" w:eastAsia="Times New Roman" w:hAnsi="Times New Roman"/>
          <w:sz w:val="18"/>
          <w:szCs w:val="18"/>
          <w:color w:val="auto"/>
        </w:rPr>
        <w:t>. Without limiting the foregoing, neither Autolus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BioNTech, and none of their Affiliates, without the consent of the other Party, shall enter into any agreement with any Governmental Authority pursuant to which Autolus, BioNTech or any of their respective Affiliates, as applicable, agree not to consummate the transactions contemplated hereunder, withdraw any filing, or authorize the extension of any investigation, for any period of time. Each Party shall (i) notify the other [***] upon the receipt by it or any Affiliates of any communication from any Governmental Authority in connection with the transactions contemplated by this Agreement, (ii) permit the other to review in advance any proposed communication by either Party to any Governmental Authority, (iii) provide copies of all communications received from or provided to any Governmental Authority in connection with the transactions contemplated by this Agreement; and (iv) provide advance notice of any meeting, whether in person or by telephone or video conference, with any Governmental Authority in connection with the transactions contemplated by this Agreement and, [***], allow the other to attend unless prohibited by such Governmental Authority. Each Party shall, and shall cause their Affiliates to, [***] collaborate in reviewing and commenting on in advance, provide information and providing such assistance as the other may reasonably request in connection with, and to consult the other on, any (proposed) filing, notification or submission made with, or (proposed) communication with, any Governmental Authority in connection with any filing, submission, investigation or inquiry in connection with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0" w:lineRule="exact"/>
        <w:rPr>
          <w:rFonts w:ascii="Times New Roman" w:cs="Times New Roman" w:eastAsia="Times New Roman" w:hAnsi="Times New Roman"/>
          <w:sz w:val="18"/>
          <w:szCs w:val="18"/>
          <w:color w:val="auto"/>
        </w:rPr>
      </w:pPr>
    </w:p>
    <w:p>
      <w:pPr>
        <w:jc w:val="both"/>
        <w:ind w:right="20" w:firstLine="6"/>
        <w:spacing w:after="0" w:line="216" w:lineRule="auto"/>
        <w:tabs>
          <w:tab w:leader="none" w:pos="297"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may designate any competitively sensitive materials provided to the other as “outside counsel only,” and such materials and information shall be given only to outside counsel of the recipient and will not be disclosed by such outside counsel to employees, officers, or directors of the recipient without the advance written consent of the party providing such materials, and (2) a party may redact such materials to comply with contractual arrangements, and address reasonable attorney-client or other established legal privilege concerns, to the extent they are not governed by a common interest privilege or doctrine.</w:t>
      </w:r>
    </w:p>
    <w:p>
      <w:pPr>
        <w:spacing w:after="0" w:line="136" w:lineRule="exact"/>
        <w:rPr>
          <w:rFonts w:ascii="Times New Roman" w:cs="Times New Roman" w:eastAsia="Times New Roman" w:hAnsi="Times New Roman"/>
          <w:sz w:val="18"/>
          <w:szCs w:val="18"/>
          <w:color w:val="auto"/>
        </w:rPr>
      </w:pPr>
    </w:p>
    <w:p>
      <w:pPr>
        <w:jc w:val="both"/>
        <w:ind w:right="20" w:firstLine="1158"/>
        <w:spacing w:after="0" w:line="216" w:lineRule="auto"/>
        <w:tabs>
          <w:tab w:leader="none" w:pos="1717" w:val="left"/>
        </w:tabs>
        <w:numPr>
          <w:ilvl w:val="1"/>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Conduct Prior to Antitrust/Foreign Investment approvals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this Section 15.9 and [***] does not require that either Party: (i) offer, negotiate, commit to, or effect, by consent decree, hold separate order, trust or otherwise, the sale, divestiture, license or other disposition of any capital stock, assets, rights, products or businesses of it or any of its Affiliates; (ii) agree to any restrictions on its or its affiliates’ business(es);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transactions contemplated by this Agreement (collectively, an “ </w:t>
      </w:r>
      <w:r>
        <w:rPr>
          <w:rFonts w:ascii="Times New Roman" w:cs="Times New Roman" w:eastAsia="Times New Roman" w:hAnsi="Times New Roman"/>
          <w:sz w:val="18"/>
          <w:szCs w:val="18"/>
          <w:b w:val="1"/>
          <w:bCs w:val="1"/>
          <w:color w:val="auto"/>
        </w:rPr>
        <w:t>Antitrust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Remedy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Foreign Investment Remedy</w:t>
      </w:r>
      <w:r>
        <w:rPr>
          <w:rFonts w:ascii="Times New Roman" w:cs="Times New Roman" w:eastAsia="Times New Roman" w:hAnsi="Times New Roman"/>
          <w:sz w:val="18"/>
          <w:szCs w:val="18"/>
          <w:color w:val="auto"/>
        </w:rPr>
        <w:t>”), where such Antitrust Remedy or Foreign Investment Remedy would have a material effect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operate, exercise control or otherwise enjoy any part of its business(es), including any part of its business transferred or contemplated to be transferred by the transactions contemplated in this Agreement.</w:t>
      </w:r>
    </w:p>
    <w:p>
      <w:pPr>
        <w:spacing w:after="0" w:line="135" w:lineRule="exact"/>
        <w:rPr>
          <w:rFonts w:ascii="Times New Roman" w:cs="Times New Roman" w:eastAsia="Times New Roman" w:hAnsi="Times New Roman"/>
          <w:sz w:val="18"/>
          <w:szCs w:val="18"/>
          <w:color w:val="auto"/>
        </w:rPr>
      </w:pPr>
    </w:p>
    <w:p>
      <w:pPr>
        <w:jc w:val="both"/>
        <w:ind w:right="20" w:firstLine="1158"/>
        <w:spacing w:after="0" w:line="225" w:lineRule="auto"/>
        <w:tabs>
          <w:tab w:leader="none" w:pos="1729" w:val="left"/>
        </w:tabs>
        <w:numPr>
          <w:ilvl w:val="1"/>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Outside Date for Any Antitrust/Foreign Investment Approvals </w:t>
      </w:r>
      <w:r>
        <w:rPr>
          <w:rFonts w:ascii="Times New Roman" w:cs="Times New Roman" w:eastAsia="Times New Roman" w:hAnsi="Times New Roman"/>
          <w:sz w:val="18"/>
          <w:szCs w:val="18"/>
          <w:color w:val="auto"/>
        </w:rPr>
        <w:t>. If any filings or submissions, including HSR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required under Antitrust Laws or Foreign Investment Laws with respect to BioNTech’s exercise of any Technologies Option, other option exercise, or any other collaboration contemplated by this Agreement (including but not limited to the MCSA and Research and Development Collaboration Agreement), for each such option or collaboration, the option exercise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51</w:t>
      </w:r>
    </w:p>
    <w:p>
      <w:pPr>
        <w:sectPr>
          <w:pgSz w:w="11900" w:h="16840" w:orient="portrait"/>
          <w:cols w:equalWidth="0" w:num="1">
            <w:col w:w="10600"/>
          </w:cols>
          <w:pgMar w:left="660" w:top="1440" w:right="640" w:bottom="1440" w:gutter="0" w:footer="0" w:header="0"/>
        </w:sectPr>
      </w:pPr>
    </w:p>
    <w:bookmarkStart w:id="959" w:name="page960"/>
    <w:bookmarkEnd w:id="959"/>
    <w:p>
      <w:pPr>
        <w:spacing w:after="0" w:line="25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be deemed withdrawn or the collaboration abandoned if such option or collaboration has not become effective on the date that is [***] following the applicable option exercise date or execution of an agreement contemplated hereunder for failure to obtain the necessary approvals, non-disapprovals, or expirations or terminations of any applicable waiting period in jurisdictions where necessary filings or submissions pursuant to Antitrust Laws or Foreign Investment Laws are to be made (the “</w:t>
      </w:r>
      <w:r>
        <w:rPr>
          <w:rFonts w:ascii="Times New Roman" w:cs="Times New Roman" w:eastAsia="Times New Roman" w:hAnsi="Times New Roman"/>
          <w:sz w:val="18"/>
          <w:szCs w:val="18"/>
          <w:b w:val="1"/>
          <w:bCs w:val="1"/>
          <w:color w:val="auto"/>
        </w:rPr>
        <w:t>Option End Date</w:t>
      </w:r>
      <w:r>
        <w:rPr>
          <w:rFonts w:ascii="Times New Roman" w:cs="Times New Roman" w:eastAsia="Times New Roman" w:hAnsi="Times New Roman"/>
          <w:sz w:val="18"/>
          <w:szCs w:val="18"/>
          <w:color w:val="auto"/>
        </w:rPr>
        <w:t xml:space="preserve">”), unless agreed otherwise by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rights under this Section 15.9(c) shall not be available to any Party whose breach of this Agreement has been a principal cause of or resulted in the failure of the effectiveness of the option or collaboration to occur on or before the Option End Date.</w:t>
      </w:r>
    </w:p>
    <w:p>
      <w:pPr>
        <w:spacing w:after="0" w:line="135" w:lineRule="exact"/>
        <w:rPr>
          <w:sz w:val="20"/>
          <w:szCs w:val="20"/>
          <w:color w:val="auto"/>
        </w:rPr>
      </w:pPr>
    </w:p>
    <w:p>
      <w:pPr>
        <w:ind w:left="580" w:hanging="574"/>
        <w:spacing w:after="0"/>
        <w:tabs>
          <w:tab w:leader="none" w:pos="580" w:val="left"/>
        </w:tabs>
        <w:numPr>
          <w:ilvl w:val="0"/>
          <w:numId w:val="10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Liability</w:t>
      </w:r>
    </w:p>
    <w:p>
      <w:pPr>
        <w:spacing w:after="0" w:line="165" w:lineRule="exact"/>
        <w:rPr>
          <w:rFonts w:ascii="Times New Roman" w:cs="Times New Roman" w:eastAsia="Times New Roman" w:hAnsi="Times New Roman"/>
          <w:sz w:val="18"/>
          <w:szCs w:val="18"/>
          <w:b w:val="1"/>
          <w:bCs w:val="1"/>
          <w:color w:val="auto"/>
        </w:rPr>
      </w:pPr>
    </w:p>
    <w:p>
      <w:pPr>
        <w:jc w:val="both"/>
        <w:ind w:firstLine="864"/>
        <w:spacing w:after="0" w:line="2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1 6 . 1 </w:t>
      </w:r>
      <w:r>
        <w:rPr>
          <w:rFonts w:ascii="Times New Roman" w:cs="Times New Roman" w:eastAsia="Times New Roman" w:hAnsi="Times New Roman"/>
          <w:sz w:val="18"/>
          <w:szCs w:val="18"/>
          <w:b w:val="1"/>
          <w:bCs w:val="1"/>
          <w:color w:val="auto"/>
        </w:rPr>
        <w:t>Indemnification by Autolus</w:t>
      </w:r>
      <w:r>
        <w:rPr>
          <w:rFonts w:ascii="Times New Roman" w:cs="Times New Roman" w:eastAsia="Times New Roman" w:hAnsi="Times New Roman"/>
          <w:sz w:val="18"/>
          <w:szCs w:val="18"/>
          <w:color w:val="auto"/>
        </w:rPr>
        <w:t>. Autolus shall indemnify BioNTech, its Affiliates, and their respective officers, directors, and employees (the “</w:t>
      </w:r>
      <w:r>
        <w:rPr>
          <w:rFonts w:ascii="Times New Roman" w:cs="Times New Roman" w:eastAsia="Times New Roman" w:hAnsi="Times New Roman"/>
          <w:sz w:val="18"/>
          <w:szCs w:val="18"/>
          <w:b w:val="1"/>
          <w:bCs w:val="1"/>
          <w:color w:val="auto"/>
        </w:rPr>
        <w:t>BioNTech Indemnitees</w:t>
      </w:r>
      <w:r>
        <w:rPr>
          <w:rFonts w:ascii="Times New Roman" w:cs="Times New Roman" w:eastAsia="Times New Roman" w:hAnsi="Times New Roman"/>
          <w:sz w:val="18"/>
          <w:szCs w:val="18"/>
          <w:color w:val="auto"/>
        </w:rPr>
        <w:t xml:space="preserve">”) from and against any and all liabilities, damages, losses, costs, fees, or expenses of any nature (including reasonable attorneys’ fees and litigation expenses) (“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incurred by or imposed upon the BioNTech Indemnitees or any of them in connection with any Claim to the extent arising or resulting from: (a) Autolus’s or any of its Affiliates’, (sub)licensees’ or contractors’ Exploitation of Obe-cel Product (including, for clarity, actual or alleged infringement of any Third Party’s intellectual property); (b) the gross negligence or willful misconduct of Autolus or any Autolus Indemnitee; and (c) the material breach of any provision (including any representation or warranty) of this Agreement by Autolus;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Autolus shall not be obliged to so indemnify the BioNTech Indemnitees for any Claims to the extent that BioNTech has an indemnification obligation to an Autolus Indemnitee under Section 16.2.</w:t>
      </w:r>
    </w:p>
    <w:p>
      <w:pPr>
        <w:spacing w:after="0" w:line="363" w:lineRule="exact"/>
        <w:rPr>
          <w:sz w:val="20"/>
          <w:szCs w:val="20"/>
          <w:color w:val="auto"/>
        </w:rPr>
      </w:pPr>
    </w:p>
    <w:p>
      <w:pPr>
        <w:jc w:val="both"/>
        <w:ind w:right="20" w:firstLine="864"/>
        <w:spacing w:after="0" w:line="218" w:lineRule="auto"/>
        <w:rPr>
          <w:sz w:val="20"/>
          <w:szCs w:val="20"/>
          <w:color w:val="auto"/>
        </w:rPr>
      </w:pPr>
      <w:r>
        <w:rPr>
          <w:rFonts w:ascii="Times New Roman" w:cs="Times New Roman" w:eastAsia="Times New Roman" w:hAnsi="Times New Roman"/>
          <w:sz w:val="18"/>
          <w:szCs w:val="18"/>
          <w:color w:val="auto"/>
        </w:rPr>
        <w:t xml:space="preserve">1 6 . 2 </w:t>
      </w:r>
      <w:r>
        <w:rPr>
          <w:rFonts w:ascii="Times New Roman" w:cs="Times New Roman" w:eastAsia="Times New Roman" w:hAnsi="Times New Roman"/>
          <w:sz w:val="18"/>
          <w:szCs w:val="18"/>
          <w:b w:val="1"/>
          <w:bCs w:val="1"/>
          <w:color w:val="auto"/>
        </w:rPr>
        <w:t>Indemnification by BioNTech</w:t>
      </w:r>
      <w:r>
        <w:rPr>
          <w:rFonts w:ascii="Times New Roman" w:cs="Times New Roman" w:eastAsia="Times New Roman" w:hAnsi="Times New Roman"/>
          <w:sz w:val="18"/>
          <w:szCs w:val="18"/>
          <w:color w:val="auto"/>
        </w:rPr>
        <w:t>. BioNTech shall indemnify Autolus, its Affiliates, their respective officers, directors, and employees (the “</w:t>
      </w:r>
      <w:r>
        <w:rPr>
          <w:rFonts w:ascii="Times New Roman" w:cs="Times New Roman" w:eastAsia="Times New Roman" w:hAnsi="Times New Roman"/>
          <w:sz w:val="18"/>
          <w:szCs w:val="18"/>
          <w:b w:val="1"/>
          <w:bCs w:val="1"/>
          <w:color w:val="auto"/>
        </w:rPr>
        <w:t>Autolus Indemnitees</w:t>
      </w:r>
      <w:r>
        <w:rPr>
          <w:rFonts w:ascii="Times New Roman" w:cs="Times New Roman" w:eastAsia="Times New Roman" w:hAnsi="Times New Roman"/>
          <w:sz w:val="18"/>
          <w:szCs w:val="18"/>
          <w:color w:val="auto"/>
        </w:rPr>
        <w:t xml:space="preserve">”) from and against any and all Losses incurred by or imposed upon the Autolus Indemnitees or any of them in connection with any Claim, in each case, to the extent arising or resulting from: (a) BioNTech’s, or any of its Affiliates’, Sublicensees’ or Subcontractors’ Development of a [***] Licensed Binder or a [***] Licensed Binder or Exploitation of [***] Licensed Products; (b) the gross negligence or willful misconduct of BioNTech or any BioNTech Indemnitee; or (c) the material breach of any provision of this Agreement by BioNTech;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BioNTech shall not be obliged to so indemnify the Autolus Indemnitees for any Claims to the extent that Autolus has an indemnification obligation to a BioNTech Indemnitee under Section 16.1.</w:t>
      </w:r>
    </w:p>
    <w:p>
      <w:pPr>
        <w:spacing w:after="0" w:line="13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b w:val="1"/>
          <w:bCs w:val="1"/>
          <w:color w:val="auto"/>
        </w:rPr>
        <w:t>Indemnification Procedure; Settlement; Quantification</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158"/>
        <w:spacing w:after="0" w:line="217" w:lineRule="auto"/>
        <w:tabs>
          <w:tab w:leader="none" w:pos="1729"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BioNTech Indemnitees or Autolus Indemnitees (the “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receives written notice of the commencement of any Claim, and such Indemnified Party intends to seek indemnification pursuant to this Article 16, then the Indemnified Party shall [***] provide BioNTech (if such Indemnified Party is a BioNTech Indemnitee) or Autolus (if such Indemnified Party is a Autolus Indemnitee) written notice of such Claim, and such Party shall provide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with written notice of such Claim within [***] of its receipt of notice from the Indemnified Party, stating the nature, basis and the amount thereof, to the extent known, along with copies of the relevant documents evidencing such Claim and the basis for indemnification sought. Failure of the Indemnified Party to give such notice within the time frame specified will not relieve the Indemnifying Party from its indemnification obligations hereunder, except to the extent that the Indemnifying Party is actually and materially prejudiced thereby.</w:t>
      </w:r>
    </w:p>
    <w:p>
      <w:pPr>
        <w:spacing w:after="0" w:line="139" w:lineRule="exact"/>
        <w:rPr>
          <w:rFonts w:ascii="Times New Roman" w:cs="Times New Roman" w:eastAsia="Times New Roman" w:hAnsi="Times New Roman"/>
          <w:sz w:val="18"/>
          <w:szCs w:val="18"/>
          <w:color w:val="auto"/>
        </w:rPr>
      </w:pPr>
    </w:p>
    <w:p>
      <w:pPr>
        <w:jc w:val="both"/>
        <w:ind w:firstLine="1158"/>
        <w:spacing w:after="0" w:line="224" w:lineRule="auto"/>
        <w:tabs>
          <w:tab w:leader="none" w:pos="1717"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may assume the defense, appeal or settlement proceedings of the Indemnified Party against the Claim with counsel of its choice. The Indemnified Party may retain separate co-counsel at its sole cost and expense and participate in the defense, appeal or settlement proceedings of the Claim, and cooperate, and cause the individual indemnitees to cooperate, with the Indemnifying Party in the defense, settlement or compromise of such Claim.</w:t>
      </w:r>
    </w:p>
    <w:p>
      <w:pPr>
        <w:spacing w:after="0" w:line="139" w:lineRule="exact"/>
        <w:rPr>
          <w:rFonts w:ascii="Times New Roman" w:cs="Times New Roman" w:eastAsia="Times New Roman" w:hAnsi="Times New Roman"/>
          <w:sz w:val="18"/>
          <w:szCs w:val="18"/>
          <w:color w:val="auto"/>
        </w:rPr>
      </w:pPr>
    </w:p>
    <w:p>
      <w:pPr>
        <w:jc w:val="both"/>
        <w:ind w:right="20" w:firstLine="1158"/>
        <w:spacing w:after="0" w:line="229" w:lineRule="auto"/>
        <w:tabs>
          <w:tab w:leader="none" w:pos="1729"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Indemnifying Party compromise or settle any claim or suit in a manner which admits fault or negligence on the part of the Indemnified Parties without the prior written consent of the Indemnified Party. The Indemnified Party and the Indemnifying Party will act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52</w:t>
      </w:r>
    </w:p>
    <w:p>
      <w:pPr>
        <w:sectPr>
          <w:pgSz w:w="11900" w:h="16840" w:orient="portrait"/>
          <w:cols w:equalWidth="0" w:num="1">
            <w:col w:w="10580"/>
          </w:cols>
          <w:pgMar w:left="660" w:top="1440" w:right="660" w:bottom="1440" w:gutter="0" w:footer="0" w:header="0"/>
        </w:sectPr>
      </w:pPr>
    </w:p>
    <w:bookmarkStart w:id="960" w:name="page961"/>
    <w:bookmarkEnd w:id="960"/>
    <w:p>
      <w:pPr>
        <w:spacing w:after="0" w:line="258"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18"/>
          <w:szCs w:val="18"/>
          <w:color w:val="auto"/>
        </w:rPr>
        <w:t>good faith in responding to, defending against, settling or otherwise dealing with Claims. The Indemnified Party and the Indemnifying Party will also cooperate in any such defense, appeal or settlement proceedings, and give each other reasonable access to all information relevant thereto. Whether or not the Indemnifying Party has assumed the defense, appeal or settlement proceedings with respect to a Claim, such Indemnifying Party will not be obligated to indemnify the Indemnified Party for any settlement entered into or any judgment that was consented to without the Indemnifying Party’s prior written consent ([***]).</w:t>
      </w:r>
    </w:p>
    <w:p>
      <w:pPr>
        <w:spacing w:after="0" w:line="135" w:lineRule="exact"/>
        <w:rPr>
          <w:sz w:val="20"/>
          <w:szCs w:val="20"/>
          <w:color w:val="auto"/>
        </w:rPr>
      </w:pPr>
    </w:p>
    <w:p>
      <w:pPr>
        <w:jc w:val="both"/>
        <w:ind w:right="4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1 6 . 4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Each Party shall maintain, at its own cost, insurance with respect to its activities and obligations under this Agreement in such amounts as are commercially reasonable in the industry for companies conducting similar business and shall require any of its Affiliates undertaking activities under this Agreement to do the same. BioNTech may fulfill the foregoing insurance obligations through self-insurance.</w:t>
      </w:r>
    </w:p>
    <w:p>
      <w:pPr>
        <w:spacing w:after="0" w:line="136" w:lineRule="exact"/>
        <w:rPr>
          <w:sz w:val="20"/>
          <w:szCs w:val="20"/>
          <w:color w:val="auto"/>
        </w:rPr>
      </w:pPr>
    </w:p>
    <w:p>
      <w:pPr>
        <w:jc w:val="both"/>
        <w:ind w:right="6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b w:val="1"/>
          <w:bCs w:val="1"/>
          <w:color w:val="auto"/>
        </w:rPr>
        <w:t>Special, Indirect and other Losses</w:t>
      </w:r>
      <w:r>
        <w:rPr>
          <w:rFonts w:ascii="Times New Roman" w:cs="Times New Roman" w:eastAsia="Times New Roman" w:hAnsi="Times New Roman"/>
          <w:sz w:val="18"/>
          <w:szCs w:val="18"/>
          <w:color w:val="auto"/>
        </w:rPr>
        <w:t xml:space="preserve"> . Except for [***], neither Party nor any of its Affiliates shall be liable in contract, tort, negligence breach of statutory duty or otherwise for any special, indirect, incidental, punitive or consequential damages or for any economic loss or loss of profits suffered by the other Party, regardless of any notice of the possibility of such damages.</w:t>
      </w:r>
    </w:p>
    <w:p>
      <w:pPr>
        <w:spacing w:after="0" w:line="135" w:lineRule="exact"/>
        <w:rPr>
          <w:sz w:val="20"/>
          <w:szCs w:val="20"/>
          <w:color w:val="auto"/>
        </w:rPr>
      </w:pPr>
    </w:p>
    <w:p>
      <w:pPr>
        <w:jc w:val="both"/>
        <w:ind w:right="60" w:firstLine="864"/>
        <w:spacing w:after="0" w:line="220"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b w:val="1"/>
          <w:bCs w:val="1"/>
          <w:color w:val="auto"/>
        </w:rPr>
        <w:t>After-Tax Basis</w:t>
      </w:r>
      <w:r>
        <w:rPr>
          <w:rFonts w:ascii="Times New Roman" w:cs="Times New Roman" w:eastAsia="Times New Roman" w:hAnsi="Times New Roman"/>
          <w:sz w:val="18"/>
          <w:szCs w:val="18"/>
          <w:color w:val="auto"/>
        </w:rPr>
        <w:t>. All payments made under Section 16.1 and Section 16.2 shall be on an after -tax basis. “After-tax basis” shall mean that the amount payable pursuant to the indemnities given by the Parties under Section 16.1 and Section 16.2 will be calculated in such a manner as will ensure that, after taking into account: (a) the amount of any Tax payable by the Indemnified Party as a result of the payment being subject to Tax in the hands of the Indemnified Party (or would be subject to Tax but for a relief (save for any relief described in (b))); and (b) all reliefs that arise to the Indemnified Party in respect of either that Tax or a matter giving rise to the payment, the Indemnified Party is in the same position as it would have been in if the matter giving rise to the payment had not occurred.</w:t>
      </w:r>
    </w:p>
    <w:p>
      <w:pPr>
        <w:spacing w:after="0" w:line="134" w:lineRule="exact"/>
        <w:rPr>
          <w:sz w:val="20"/>
          <w:szCs w:val="20"/>
          <w:color w:val="auto"/>
        </w:rPr>
      </w:pPr>
    </w:p>
    <w:p>
      <w:pPr>
        <w:ind w:left="580" w:hanging="574"/>
        <w:spacing w:after="0"/>
        <w:tabs>
          <w:tab w:leader="none" w:pos="580" w:val="left"/>
        </w:tabs>
        <w:numPr>
          <w:ilvl w:val="0"/>
          <w:numId w:val="10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165" w:lineRule="exact"/>
        <w:rPr>
          <w:sz w:val="20"/>
          <w:szCs w:val="20"/>
          <w:color w:val="auto"/>
        </w:rPr>
      </w:pPr>
    </w:p>
    <w:p>
      <w:pPr>
        <w:jc w:val="both"/>
        <w:ind w:right="4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17 . 1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is governed by, and will be interpreted in accordance with, the substantive laws of [***] without giving effect to any conflicts or choice of law rule or principle that might otherwise refer construction or interpretation of this Agreement to the substantive law of another jurisdiction. The provisions of the United Nations Convention on Contracts for the International Sale of Goods are expressly excluded.</w:t>
      </w:r>
    </w:p>
    <w:p>
      <w:pPr>
        <w:spacing w:after="0" w:line="136" w:lineRule="exact"/>
        <w:rPr>
          <w:sz w:val="20"/>
          <w:szCs w:val="20"/>
          <w:color w:val="auto"/>
        </w:rPr>
      </w:pPr>
    </w:p>
    <w:p>
      <w:pPr>
        <w:jc w:val="both"/>
        <w:ind w:right="40" w:firstLine="864"/>
        <w:spacing w:after="0" w:line="217"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xml:space="preserve">. In the event of any disputes, controversies or differences between the Parties, arising out of, in relation to, or in connection with this Agreement, including any alleged breach of this Agreement or any issue relating to the formation, scope, validity, construction, interpretation, enforceability, breach, performance, application, or termination of this Agreement a (“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then upon the written request of either Party, the Parties agree to a meeting of the appropriate subject matter expert at each Party, and discuss in good faith an amicable resolution thereof. If the Dispute is not resolved within [***] following the written request for amicable resolution, then either Party may then escalate the matter to the [***]. If [***] cannot resolve the Dispute within [***] following escalation thereto for amicable resolution, and a Party wishes to pursue the matter, it may commence litigation. The Parties irrevocably and unconditionally submit to the exclusive jurisdiction of the courts in [***] for the resolution of all Disputes.</w:t>
      </w:r>
    </w:p>
    <w:p>
      <w:pPr>
        <w:spacing w:after="0" w:line="135" w:lineRule="exact"/>
        <w:rPr>
          <w:sz w:val="20"/>
          <w:szCs w:val="20"/>
          <w:color w:val="auto"/>
        </w:rPr>
      </w:pPr>
    </w:p>
    <w:p>
      <w:pPr>
        <w:jc w:val="both"/>
        <w:ind w:right="8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17. 3 </w:t>
      </w:r>
      <w:r>
        <w:rPr>
          <w:rFonts w:ascii="Times New Roman" w:cs="Times New Roman" w:eastAsia="Times New Roman" w:hAnsi="Times New Roman"/>
          <w:sz w:val="18"/>
          <w:szCs w:val="18"/>
          <w:b w:val="1"/>
          <w:bCs w:val="1"/>
          <w:color w:val="auto"/>
        </w:rPr>
        <w:t>Patent Disputes</w:t>
      </w:r>
      <w:r>
        <w:rPr>
          <w:rFonts w:ascii="Times New Roman" w:cs="Times New Roman" w:eastAsia="Times New Roman" w:hAnsi="Times New Roman"/>
          <w:sz w:val="18"/>
          <w:szCs w:val="18"/>
          <w:color w:val="auto"/>
        </w:rPr>
        <w:t>. As between the Parties, notwithstanding anything herein to the contrary, any dispute, controversy or claim relating to the scope, validity, enforceability or infringement of any Patent shall [***]. With respect to any Patent issues related to the enforceability or validity of a Patent, [***].</w:t>
      </w:r>
    </w:p>
    <w:p>
      <w:pPr>
        <w:spacing w:after="0" w:line="135" w:lineRule="exact"/>
        <w:rPr>
          <w:sz w:val="20"/>
          <w:szCs w:val="20"/>
          <w:color w:val="auto"/>
        </w:rPr>
      </w:pPr>
    </w:p>
    <w:p>
      <w:pPr>
        <w:jc w:val="both"/>
        <w:ind w:firstLine="864"/>
        <w:spacing w:after="0" w:line="220" w:lineRule="auto"/>
        <w:rPr>
          <w:sz w:val="20"/>
          <w:szCs w:val="20"/>
          <w:color w:val="auto"/>
        </w:rPr>
      </w:pPr>
      <w:r>
        <w:rPr>
          <w:rFonts w:ascii="Times New Roman" w:cs="Times New Roman" w:eastAsia="Times New Roman" w:hAnsi="Times New Roman"/>
          <w:sz w:val="18"/>
          <w:szCs w:val="18"/>
          <w:color w:val="auto"/>
        </w:rPr>
        <w:t xml:space="preserve">17 . 4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xml:space="preserve"> . The Parties agree that irreparable damage may occur if [***] this Agreement was not performed in accordance with the terms thereof and that each Party may seek specific performance of the terms thereof, in addition to any other remedy to which it is entitled at law or in equity. It is therefore agreed that each Party may seek a temporary, preliminary, or permanent injunction or injunctions to prevent breaches of [***] this Agreement, without posting any bond or other undertaking, in addition to any other remedy to which they are entitled at law or in equity, and if any action should be brought in equity to enforce any of the provisions of [***] this Agreement, the other Party shall not raise the defense that there is an adequate remedy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53</w:t>
      </w:r>
    </w:p>
    <w:p>
      <w:pPr>
        <w:sectPr>
          <w:pgSz w:w="11900" w:h="16840" w:orient="portrait"/>
          <w:cols w:equalWidth="0" w:num="1">
            <w:col w:w="10620"/>
          </w:cols>
          <w:pgMar w:left="660" w:top="1440" w:right="620" w:bottom="1440" w:gutter="0" w:footer="0" w:header="0"/>
        </w:sectPr>
      </w:pPr>
    </w:p>
    <w:bookmarkStart w:id="961" w:name="page962"/>
    <w:bookmarkEnd w:id="961"/>
    <w:p>
      <w:pPr>
        <w:spacing w:after="0" w:line="254" w:lineRule="exact"/>
        <w:rPr>
          <w:sz w:val="20"/>
          <w:szCs w:val="20"/>
          <w:color w:val="auto"/>
        </w:rPr>
      </w:pPr>
    </w:p>
    <w:p>
      <w:pPr>
        <w:ind w:left="880" w:right="8320" w:hanging="874"/>
        <w:spacing w:after="0" w:line="433" w:lineRule="auto"/>
        <w:tabs>
          <w:tab w:leader="none" w:pos="592" w:val="left"/>
        </w:tabs>
        <w:numPr>
          <w:ilvl w:val="0"/>
          <w:numId w:val="10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Provisions </w:t>
      </w: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Assignment.</w:t>
      </w:r>
    </w:p>
    <w:p>
      <w:pPr>
        <w:spacing w:after="0" w:line="1" w:lineRule="exact"/>
        <w:rPr>
          <w:rFonts w:ascii="Times New Roman" w:cs="Times New Roman" w:eastAsia="Times New Roman" w:hAnsi="Times New Roman"/>
          <w:sz w:val="18"/>
          <w:szCs w:val="18"/>
          <w:b w:val="1"/>
          <w:bCs w:val="1"/>
          <w:color w:val="auto"/>
        </w:rPr>
      </w:pPr>
    </w:p>
    <w:p>
      <w:pPr>
        <w:jc w:val="both"/>
        <w:ind w:right="60" w:firstLine="1158"/>
        <w:spacing w:after="0" w:line="219" w:lineRule="auto"/>
        <w:tabs>
          <w:tab w:leader="none" w:pos="1729" w:val="left"/>
        </w:tabs>
        <w:numPr>
          <w:ilvl w:val="1"/>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Party may assign or transfer this Agreement or its rights and obligations under this Agreement without [***], except that, and without prejudice to Section 18.1(b) (a) [***] this Agreement or its rights and obligations under this Agreement [***] without [***]; and (b) [***] this Agreement [***] without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this Agreement [***] and this Agreement [***]. The assigning Party shall provide the other Party with [***] written notice of any such assignment. Any permitted assignee shall assume all obligations of its assignor under this Agreement ([***]). Any attempted assignment in contravention of the foregoing is void. This Agreement is binding upon and inures to the benefit of the Parties hereto and their respective successors and permitted assigns.</w:t>
      </w:r>
    </w:p>
    <w:p>
      <w:pPr>
        <w:spacing w:after="0" w:line="139" w:lineRule="exact"/>
        <w:rPr>
          <w:rFonts w:ascii="Times New Roman" w:cs="Times New Roman" w:eastAsia="Times New Roman" w:hAnsi="Times New Roman"/>
          <w:sz w:val="18"/>
          <w:szCs w:val="18"/>
          <w:color w:val="auto"/>
        </w:rPr>
      </w:pPr>
    </w:p>
    <w:p>
      <w:pPr>
        <w:ind w:left="1720" w:hanging="562"/>
        <w:spacing w:after="0"/>
        <w:tabs>
          <w:tab w:leader="none" w:pos="1720" w:val="left"/>
        </w:tabs>
        <w:numPr>
          <w:ilvl w:val="1"/>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Autolus may:</w:t>
      </w:r>
    </w:p>
    <w:p>
      <w:pPr>
        <w:spacing w:after="0" w:line="163" w:lineRule="exact"/>
        <w:rPr>
          <w:rFonts w:ascii="Times New Roman" w:cs="Times New Roman" w:eastAsia="Times New Roman" w:hAnsi="Times New Roman"/>
          <w:sz w:val="18"/>
          <w:szCs w:val="18"/>
          <w:color w:val="auto"/>
        </w:rPr>
      </w:pPr>
    </w:p>
    <w:p>
      <w:pPr>
        <w:ind w:right="60" w:firstLine="1735"/>
        <w:spacing w:after="0" w:line="242" w:lineRule="auto"/>
        <w:tabs>
          <w:tab w:leader="none" w:pos="2305" w:val="left"/>
        </w:tabs>
        <w:numPr>
          <w:ilvl w:val="2"/>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 Obe-cel Product Transaction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in accordance with the terms of the foregoing Section 18.1(a), Autolus shall [***] pursuant to which [***];</w:t>
      </w:r>
    </w:p>
    <w:p>
      <w:pPr>
        <w:spacing w:after="0" w:line="134" w:lineRule="exact"/>
        <w:rPr>
          <w:rFonts w:ascii="Times New Roman" w:cs="Times New Roman" w:eastAsia="Times New Roman" w:hAnsi="Times New Roman"/>
          <w:sz w:val="18"/>
          <w:szCs w:val="18"/>
          <w:color w:val="auto"/>
        </w:rPr>
      </w:pPr>
    </w:p>
    <w:p>
      <w:pPr>
        <w:ind w:right="60" w:firstLine="1735"/>
        <w:spacing w:after="0" w:line="242" w:lineRule="auto"/>
        <w:tabs>
          <w:tab w:leader="none" w:pos="2305" w:val="left"/>
        </w:tabs>
        <w:numPr>
          <w:ilvl w:val="2"/>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 enter into an Option Product or Next Gen Option Product Transaction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in accordance with the terms of the foregoing Section 18.1(a), Autolus shall [***] pursuant to which [***];</w:t>
      </w:r>
    </w:p>
    <w:p>
      <w:pPr>
        <w:spacing w:after="0" w:line="134" w:lineRule="exact"/>
        <w:rPr>
          <w:rFonts w:ascii="Times New Roman" w:cs="Times New Roman" w:eastAsia="Times New Roman" w:hAnsi="Times New Roman"/>
          <w:sz w:val="18"/>
          <w:szCs w:val="18"/>
          <w:color w:val="auto"/>
        </w:rPr>
      </w:pPr>
    </w:p>
    <w:p>
      <w:pPr>
        <w:ind w:right="60" w:firstLine="1735"/>
        <w:spacing w:after="0" w:line="242" w:lineRule="auto"/>
        <w:tabs>
          <w:tab w:leader="none" w:pos="2305" w:val="left"/>
        </w:tabs>
        <w:numPr>
          <w:ilvl w:val="2"/>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 [***] Transaction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in accordance with the terms of the foregoing Section 18.1(a), Autolus shall [***]; and</w:t>
      </w:r>
    </w:p>
    <w:p>
      <w:pPr>
        <w:spacing w:after="0" w:line="134" w:lineRule="exact"/>
        <w:rPr>
          <w:rFonts w:ascii="Times New Roman" w:cs="Times New Roman" w:eastAsia="Times New Roman" w:hAnsi="Times New Roman"/>
          <w:sz w:val="18"/>
          <w:szCs w:val="18"/>
          <w:color w:val="auto"/>
        </w:rPr>
      </w:pPr>
    </w:p>
    <w:p>
      <w:pPr>
        <w:ind w:right="60" w:firstLine="1735"/>
        <w:spacing w:after="0" w:line="242" w:lineRule="auto"/>
        <w:tabs>
          <w:tab w:leader="none" w:pos="2305" w:val="left"/>
        </w:tabs>
        <w:numPr>
          <w:ilvl w:val="2"/>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 Technologies Option Transaction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in accordance with the terms of the foregoing Section 18.1(a) [***], Autolus shall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w:t>
      </w:r>
    </w:p>
    <w:p>
      <w:pPr>
        <w:spacing w:after="0" w:line="161" w:lineRule="exact"/>
        <w:rPr>
          <w:sz w:val="20"/>
          <w:szCs w:val="20"/>
          <w:color w:val="auto"/>
        </w:rPr>
      </w:pPr>
    </w:p>
    <w:p>
      <w:pPr>
        <w:jc w:val="both"/>
        <w:ind w:firstLine="864"/>
        <w:spacing w:after="0" w:line="217"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 No Party shall be liable for delay or failure in the performance of any of its obligations hereunder if such delay or failure is due to a cause beyond the reasonable control of a Party, including acts of God, fires, floods, earthquakes, acts of war, terrorism, or civil unrest, or hurricane or other inclement weather, explosions, embargoes, epidemics, pandemics, quarantines, or any other event similar to those enumerated above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affected Party [***] notifies the other Party,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affected Party shall [***] avoid or remove such causes of non-performance and to mitigate the effect of such occurrence, and shall continue performance with the utmost dispatch whenever such causes are removed. Such excuse from liability will be effective only to the extent and duration of the Force Majeure event causing the failure or delay in performance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has not caused such events to occur. When such circumstances arise, the Parties shall [***].</w:t>
      </w:r>
    </w:p>
    <w:p>
      <w:pPr>
        <w:spacing w:after="0" w:line="135" w:lineRule="exact"/>
        <w:rPr>
          <w:sz w:val="20"/>
          <w:szCs w:val="20"/>
          <w:color w:val="auto"/>
        </w:rPr>
      </w:pPr>
    </w:p>
    <w:p>
      <w:pPr>
        <w:jc w:val="both"/>
        <w:ind w:right="6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Extension to Affiliates</w:t>
      </w:r>
      <w:r>
        <w:rPr>
          <w:rFonts w:ascii="Times New Roman" w:cs="Times New Roman" w:eastAsia="Times New Roman" w:hAnsi="Times New Roman"/>
          <w:sz w:val="18"/>
          <w:szCs w:val="18"/>
          <w:color w:val="auto"/>
        </w:rPr>
        <w:t xml:space="preserve">. Without prejudice to the provisions of any Section in this Agreement that explicitly refers to a Party’s Affiliates, the Parties agree that any Affiliates of a Party may exercise any of the rights granted to such Party in this Agreement or perform any of such Party’s obligations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shall be responsible for the performance of any of its obligations that are performed by its Affiliates.</w:t>
      </w:r>
    </w:p>
    <w:p>
      <w:pPr>
        <w:spacing w:after="0" w:line="136" w:lineRule="exact"/>
        <w:rPr>
          <w:sz w:val="20"/>
          <w:szCs w:val="20"/>
          <w:color w:val="auto"/>
        </w:rPr>
      </w:pPr>
    </w:p>
    <w:p>
      <w:pPr>
        <w:jc w:val="both"/>
        <w:ind w:right="4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one (1) or more of the provisions of this Agreement become invalid or unenforceable as a matter of law, then this Agreement shall be construed as if such provision were not contained herein and the remainder of this Agreement shall be in full force and effect, and the Parties will [***] substitute for the invalid or unenforceable provision a valid and enforceable provision that conforms as nearly as possible with the original intent of the Parties.</w:t>
      </w:r>
    </w:p>
    <w:p>
      <w:pPr>
        <w:spacing w:after="0" w:line="136" w:lineRule="exact"/>
        <w:rPr>
          <w:sz w:val="20"/>
          <w:szCs w:val="20"/>
          <w:color w:val="auto"/>
        </w:rPr>
      </w:pPr>
    </w:p>
    <w:p>
      <w:pPr>
        <w:jc w:val="both"/>
        <w:ind w:right="6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54</w:t>
      </w:r>
    </w:p>
    <w:p>
      <w:pPr>
        <w:sectPr>
          <w:pgSz w:w="11900" w:h="16840" w:orient="portrait"/>
          <w:cols w:equalWidth="0" w:num="1">
            <w:col w:w="10620"/>
          </w:cols>
          <w:pgMar w:left="660" w:top="1440" w:right="620" w:bottom="1440" w:gutter="0" w:footer="0" w:header="0"/>
        </w:sectPr>
      </w:pPr>
    </w:p>
    <w:bookmarkStart w:id="962" w:name="page963"/>
    <w:bookmarkEnd w:id="962"/>
    <w:p>
      <w:pPr>
        <w:spacing w:after="0" w:line="25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effective unless it has been given in writing and signed by the Party giving such waiver. No provision of this Agreement may be amended or modified other than by a written document signed by authorized representatives of each Party.</w:t>
      </w:r>
    </w:p>
    <w:p>
      <w:pPr>
        <w:spacing w:after="0" w:line="134" w:lineRule="exact"/>
        <w:rPr>
          <w:sz w:val="20"/>
          <w:szCs w:val="20"/>
          <w:color w:val="auto"/>
        </w:rPr>
      </w:pPr>
    </w:p>
    <w:p>
      <w:pPr>
        <w:jc w:val="both"/>
        <w:ind w:firstLine="864"/>
        <w:spacing w:after="0" w:line="218"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It is expressly agreed that the Parties shall be independent contractors and that the relationship between the Parties shall not constitute a partnership, joint venture or agency. Neither Party shall have the authority to make any statements, representations or commitments of any kind or to take any action that will be binding on the other Party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 The Parties (and any successor, assignee, transferee, or Affiliate of a Party) shall not treat or report the relationship between the Parties arising under this Agreement as a partnership for tax purposes, unless required by Applicable Law.</w:t>
      </w:r>
    </w:p>
    <w:p>
      <w:pPr>
        <w:spacing w:after="0" w:line="136" w:lineRule="exact"/>
        <w:rPr>
          <w:sz w:val="20"/>
          <w:szCs w:val="20"/>
          <w:color w:val="auto"/>
        </w:rPr>
      </w:pPr>
    </w:p>
    <w:p>
      <w:pPr>
        <w:jc w:val="both"/>
        <w:ind w:firstLine="864"/>
        <w:spacing w:after="0" w:line="22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when: (a) delivered by hand (with written confirmation of receipt); (b) when received by the addressee, if sent by an internationally recognized overnight delivery service (receipt requested), or (c) delivered by electronic mail followed by delivery via either of the methods set forth in Section 18.7(a) or Section 18.7(b), in each case, to the appropriate addresses set forth below (or to such other addresses as a Party may designate by notice):</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to Autolus:</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Autolus Limited and Autolus Holdings (UK) Limited</w:t>
      </w:r>
    </w:p>
    <w:p>
      <w:pPr>
        <w:ind w:left="1160"/>
        <w:spacing w:after="0" w:line="208" w:lineRule="auto"/>
        <w:rPr>
          <w:sz w:val="20"/>
          <w:szCs w:val="20"/>
          <w:color w:val="auto"/>
        </w:rPr>
      </w:pPr>
      <w:r>
        <w:rPr>
          <w:rFonts w:ascii="Times New Roman" w:cs="Times New Roman" w:eastAsia="Times New Roman" w:hAnsi="Times New Roman"/>
          <w:sz w:val="18"/>
          <w:szCs w:val="18"/>
          <w:color w:val="auto"/>
        </w:rPr>
        <w:t>The Mediaworks</w:t>
      </w:r>
    </w:p>
    <w:p>
      <w:pPr>
        <w:ind w:left="1160"/>
        <w:spacing w:after="0" w:line="209" w:lineRule="auto"/>
        <w:rPr>
          <w:sz w:val="20"/>
          <w:szCs w:val="20"/>
          <w:color w:val="auto"/>
        </w:rPr>
      </w:pPr>
      <w:r>
        <w:rPr>
          <w:rFonts w:ascii="Times New Roman" w:cs="Times New Roman" w:eastAsia="Times New Roman" w:hAnsi="Times New Roman"/>
          <w:sz w:val="18"/>
          <w:szCs w:val="18"/>
          <w:color w:val="auto"/>
        </w:rPr>
        <w:t>191 Wood Lane</w:t>
      </w:r>
    </w:p>
    <w:p>
      <w:pPr>
        <w:ind w:left="1160"/>
        <w:spacing w:after="0" w:line="209" w:lineRule="auto"/>
        <w:rPr>
          <w:sz w:val="20"/>
          <w:szCs w:val="20"/>
          <w:color w:val="auto"/>
        </w:rPr>
      </w:pPr>
      <w:r>
        <w:rPr>
          <w:rFonts w:ascii="Times New Roman" w:cs="Times New Roman" w:eastAsia="Times New Roman" w:hAnsi="Times New Roman"/>
          <w:sz w:val="18"/>
          <w:szCs w:val="18"/>
          <w:color w:val="auto"/>
        </w:rPr>
        <w:t>London</w:t>
      </w:r>
    </w:p>
    <w:p>
      <w:pPr>
        <w:ind w:left="1160"/>
        <w:spacing w:after="0" w:line="209" w:lineRule="auto"/>
        <w:rPr>
          <w:sz w:val="20"/>
          <w:szCs w:val="20"/>
          <w:color w:val="auto"/>
        </w:rPr>
      </w:pPr>
      <w:r>
        <w:rPr>
          <w:rFonts w:ascii="Times New Roman" w:cs="Times New Roman" w:eastAsia="Times New Roman" w:hAnsi="Times New Roman"/>
          <w:sz w:val="18"/>
          <w:szCs w:val="18"/>
          <w:color w:val="auto"/>
        </w:rPr>
        <w:t>England</w:t>
      </w:r>
    </w:p>
    <w:p>
      <w:pPr>
        <w:ind w:left="1160"/>
        <w:spacing w:after="0" w:line="208" w:lineRule="auto"/>
        <w:rPr>
          <w:sz w:val="20"/>
          <w:szCs w:val="20"/>
          <w:color w:val="auto"/>
        </w:rPr>
      </w:pPr>
      <w:r>
        <w:rPr>
          <w:rFonts w:ascii="Times New Roman" w:cs="Times New Roman" w:eastAsia="Times New Roman" w:hAnsi="Times New Roman"/>
          <w:sz w:val="18"/>
          <w:szCs w:val="18"/>
          <w:color w:val="auto"/>
        </w:rPr>
        <w:t>W12 7FP</w:t>
      </w:r>
    </w:p>
    <w:p>
      <w:pPr>
        <w:ind w:left="1160"/>
        <w:spacing w:after="0" w:line="209" w:lineRule="auto"/>
        <w:rPr>
          <w:sz w:val="20"/>
          <w:szCs w:val="20"/>
          <w:color w:val="auto"/>
        </w:rPr>
      </w:pPr>
      <w:r>
        <w:rPr>
          <w:rFonts w:ascii="Times New Roman" w:cs="Times New Roman" w:eastAsia="Times New Roman" w:hAnsi="Times New Roman"/>
          <w:sz w:val="18"/>
          <w:szCs w:val="18"/>
          <w:color w:val="auto"/>
        </w:rPr>
        <w:t>Attn: General Counsel</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Cooley LLP</w:t>
      </w:r>
    </w:p>
    <w:p>
      <w:pPr>
        <w:ind w:left="1160"/>
        <w:spacing w:after="0" w:line="208" w:lineRule="auto"/>
        <w:rPr>
          <w:sz w:val="20"/>
          <w:szCs w:val="20"/>
          <w:color w:val="auto"/>
        </w:rPr>
      </w:pPr>
      <w:r>
        <w:rPr>
          <w:rFonts w:ascii="Times New Roman" w:cs="Times New Roman" w:eastAsia="Times New Roman" w:hAnsi="Times New Roman"/>
          <w:sz w:val="18"/>
          <w:szCs w:val="18"/>
          <w:color w:val="auto"/>
        </w:rPr>
        <w:t>11951 Freedom Drive</w:t>
      </w:r>
    </w:p>
    <w:p>
      <w:pPr>
        <w:ind w:left="1160"/>
        <w:spacing w:after="0" w:line="209" w:lineRule="auto"/>
        <w:rPr>
          <w:sz w:val="20"/>
          <w:szCs w:val="20"/>
          <w:color w:val="auto"/>
        </w:rPr>
      </w:pPr>
      <w:r>
        <w:rPr>
          <w:rFonts w:ascii="Times New Roman" w:cs="Times New Roman" w:eastAsia="Times New Roman" w:hAnsi="Times New Roman"/>
          <w:sz w:val="18"/>
          <w:szCs w:val="18"/>
          <w:color w:val="auto"/>
        </w:rPr>
        <w:t>One Freedom Square</w:t>
      </w:r>
    </w:p>
    <w:p>
      <w:pPr>
        <w:ind w:left="1160"/>
        <w:spacing w:after="0" w:line="209" w:lineRule="auto"/>
        <w:rPr>
          <w:sz w:val="20"/>
          <w:szCs w:val="20"/>
          <w:color w:val="auto"/>
        </w:rPr>
      </w:pPr>
      <w:r>
        <w:rPr>
          <w:rFonts w:ascii="Times New Roman" w:cs="Times New Roman" w:eastAsia="Times New Roman" w:hAnsi="Times New Roman"/>
          <w:sz w:val="18"/>
          <w:szCs w:val="18"/>
          <w:color w:val="auto"/>
        </w:rPr>
        <w:t>Reston Town Center</w:t>
      </w:r>
    </w:p>
    <w:p>
      <w:pPr>
        <w:ind w:left="1160"/>
        <w:spacing w:after="0" w:line="209" w:lineRule="auto"/>
        <w:rPr>
          <w:sz w:val="20"/>
          <w:szCs w:val="20"/>
          <w:color w:val="auto"/>
        </w:rPr>
      </w:pPr>
      <w:r>
        <w:rPr>
          <w:rFonts w:ascii="Times New Roman" w:cs="Times New Roman" w:eastAsia="Times New Roman" w:hAnsi="Times New Roman"/>
          <w:sz w:val="18"/>
          <w:szCs w:val="18"/>
          <w:color w:val="auto"/>
        </w:rPr>
        <w:t>Reston, VA 20190-5656</w:t>
      </w:r>
    </w:p>
    <w:p>
      <w:pPr>
        <w:ind w:left="1160"/>
        <w:spacing w:after="0" w:line="208" w:lineRule="auto"/>
        <w:rPr>
          <w:sz w:val="20"/>
          <w:szCs w:val="20"/>
          <w:color w:val="auto"/>
        </w:rPr>
      </w:pPr>
      <w:r>
        <w:rPr>
          <w:rFonts w:ascii="Times New Roman" w:cs="Times New Roman" w:eastAsia="Times New Roman" w:hAnsi="Times New Roman"/>
          <w:sz w:val="18"/>
          <w:szCs w:val="18"/>
          <w:color w:val="auto"/>
        </w:rPr>
        <w:t>Attn: [***]</w:t>
      </w:r>
    </w:p>
    <w:p>
      <w:pPr>
        <w:ind w:left="1160"/>
        <w:spacing w:after="0" w:line="209" w:lineRule="auto"/>
        <w:rPr>
          <w:sz w:val="20"/>
          <w:szCs w:val="20"/>
          <w:color w:val="auto"/>
        </w:rPr>
      </w:pPr>
      <w:r>
        <w:rPr>
          <w:rFonts w:ascii="Times New Roman" w:cs="Times New Roman" w:eastAsia="Times New Roman" w:hAnsi="Times New Roman"/>
          <w:sz w:val="18"/>
          <w:szCs w:val="18"/>
          <w:color w:val="auto"/>
        </w:rPr>
        <w:t>Telephone: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to BioNTech:</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BioNTech SE</w:t>
      </w:r>
    </w:p>
    <w:p>
      <w:pPr>
        <w:ind w:left="1160"/>
        <w:spacing w:after="0" w:line="208" w:lineRule="auto"/>
        <w:rPr>
          <w:sz w:val="20"/>
          <w:szCs w:val="20"/>
          <w:color w:val="auto"/>
        </w:rPr>
      </w:pPr>
      <w:r>
        <w:rPr>
          <w:rFonts w:ascii="Times New Roman" w:cs="Times New Roman" w:eastAsia="Times New Roman" w:hAnsi="Times New Roman"/>
          <w:sz w:val="18"/>
          <w:szCs w:val="18"/>
          <w:color w:val="auto"/>
        </w:rPr>
        <w:t>An d. Goldgrube 12,</w:t>
      </w:r>
    </w:p>
    <w:p>
      <w:pPr>
        <w:ind w:left="1160"/>
        <w:spacing w:after="0" w:line="209" w:lineRule="auto"/>
        <w:rPr>
          <w:sz w:val="20"/>
          <w:szCs w:val="20"/>
          <w:color w:val="auto"/>
        </w:rPr>
      </w:pPr>
      <w:r>
        <w:rPr>
          <w:rFonts w:ascii="Times New Roman" w:cs="Times New Roman" w:eastAsia="Times New Roman" w:hAnsi="Times New Roman"/>
          <w:sz w:val="18"/>
          <w:szCs w:val="18"/>
          <w:color w:val="auto"/>
        </w:rPr>
        <w:t>55131 Mainz,</w:t>
      </w:r>
    </w:p>
    <w:p>
      <w:pPr>
        <w:ind w:left="1160"/>
        <w:spacing w:after="0" w:line="209" w:lineRule="auto"/>
        <w:rPr>
          <w:sz w:val="20"/>
          <w:szCs w:val="20"/>
          <w:color w:val="auto"/>
        </w:rPr>
      </w:pPr>
      <w:r>
        <w:rPr>
          <w:rFonts w:ascii="Times New Roman" w:cs="Times New Roman" w:eastAsia="Times New Roman" w:hAnsi="Times New Roman"/>
          <w:sz w:val="18"/>
          <w:szCs w:val="18"/>
          <w:color w:val="auto"/>
        </w:rPr>
        <w:t>Germany</w:t>
      </w:r>
    </w:p>
    <w:p>
      <w:pPr>
        <w:ind w:left="1160"/>
        <w:spacing w:after="0" w:line="209" w:lineRule="auto"/>
        <w:rPr>
          <w:sz w:val="20"/>
          <w:szCs w:val="20"/>
          <w:color w:val="auto"/>
        </w:rPr>
      </w:pPr>
      <w:r>
        <w:rPr>
          <w:rFonts w:ascii="Times New Roman" w:cs="Times New Roman" w:eastAsia="Times New Roman" w:hAnsi="Times New Roman"/>
          <w:sz w:val="18"/>
          <w:szCs w:val="18"/>
          <w:color w:val="auto"/>
        </w:rPr>
        <w:t>Attn: [***]</w:t>
      </w: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ind w:left="1160"/>
        <w:spacing w:after="0" w:line="208" w:lineRule="auto"/>
        <w:rPr>
          <w:sz w:val="20"/>
          <w:szCs w:val="20"/>
          <w:color w:val="auto"/>
        </w:rPr>
      </w:pPr>
      <w:r>
        <w:rPr>
          <w:rFonts w:ascii="Times New Roman" w:cs="Times New Roman" w:eastAsia="Times New Roman" w:hAnsi="Times New Roman"/>
          <w:sz w:val="18"/>
          <w:szCs w:val="18"/>
          <w:color w:val="auto"/>
        </w:rPr>
        <w:t>Attn: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55</w:t>
      </w:r>
    </w:p>
    <w:p>
      <w:pPr>
        <w:sectPr>
          <w:pgSz w:w="11900" w:h="16840" w:orient="portrait"/>
          <w:cols w:equalWidth="0" w:num="1">
            <w:col w:w="10580"/>
          </w:cols>
          <w:pgMar w:left="660" w:top="1440" w:right="660" w:bottom="1440" w:gutter="0" w:footer="0" w:header="0"/>
        </w:sectPr>
      </w:pPr>
    </w:p>
    <w:bookmarkStart w:id="963" w:name="page964"/>
    <w:bookmarkEnd w:id="963"/>
    <w:p>
      <w:pPr>
        <w:spacing w:after="0" w:line="254" w:lineRule="exact"/>
        <w:rPr>
          <w:sz w:val="20"/>
          <w:szCs w:val="20"/>
          <w:color w:val="auto"/>
        </w:rPr>
      </w:pPr>
    </w:p>
    <w:p>
      <w:pPr>
        <w:jc w:val="both"/>
        <w:ind w:right="2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1 8 . 8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BioNTech and Autolus each hereby covenant and agree, without the necessity of any further consideration, to execute, acknowledge and deliver any and all such other documents and take any such other action as may be reasonably necessary to carry out the intent and purposes of this Agreement.</w:t>
      </w:r>
    </w:p>
    <w:p>
      <w:pPr>
        <w:spacing w:after="0" w:line="135" w:lineRule="exact"/>
        <w:rPr>
          <w:sz w:val="20"/>
          <w:szCs w:val="20"/>
          <w:color w:val="auto"/>
        </w:rPr>
      </w:pPr>
    </w:p>
    <w:p>
      <w:pPr>
        <w:jc w:val="both"/>
        <w:ind w:right="2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18. 9 </w:t>
      </w: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Each Party shall perform its obligations under this Agreement in accordance with all Applicable Laws. No Party shall, or shall be required to, undertake any activity under or in connection with this Agreement which violates, or which it believes, in good faith, may violate, any Applicable Law.</w:t>
      </w:r>
    </w:p>
    <w:p>
      <w:pPr>
        <w:spacing w:after="0" w:line="135" w:lineRule="exact"/>
        <w:rPr>
          <w:sz w:val="20"/>
          <w:szCs w:val="20"/>
          <w:color w:val="auto"/>
        </w:rPr>
      </w:pPr>
    </w:p>
    <w:p>
      <w:pPr>
        <w:jc w:val="both"/>
        <w:ind w:right="20" w:firstLine="864"/>
        <w:spacing w:after="0" w:line="225" w:lineRule="auto"/>
        <w:rPr>
          <w:sz w:val="20"/>
          <w:szCs w:val="20"/>
          <w:color w:val="auto"/>
        </w:rPr>
      </w:pPr>
      <w:r>
        <w:rPr>
          <w:rFonts w:ascii="Times New Roman" w:cs="Times New Roman" w:eastAsia="Times New Roman" w:hAnsi="Times New Roman"/>
          <w:sz w:val="18"/>
          <w:szCs w:val="18"/>
          <w:color w:val="auto"/>
        </w:rPr>
        <w:t xml:space="preserve">1 8 . 1 0 </w:t>
      </w:r>
      <w:r>
        <w:rPr>
          <w:rFonts w:ascii="Times New Roman" w:cs="Times New Roman" w:eastAsia="Times New Roman" w:hAnsi="Times New Roman"/>
          <w:sz w:val="18"/>
          <w:szCs w:val="18"/>
          <w:b w:val="1"/>
          <w:bCs w:val="1"/>
          <w:color w:val="auto"/>
        </w:rPr>
        <w:t>No Third Party Beneficiary Rights</w:t>
      </w:r>
      <w:r>
        <w:rPr>
          <w:rFonts w:ascii="Times New Roman" w:cs="Times New Roman" w:eastAsia="Times New Roman" w:hAnsi="Times New Roman"/>
          <w:sz w:val="18"/>
          <w:szCs w:val="18"/>
          <w:color w:val="auto"/>
        </w:rPr>
        <w:t>. Except for the rights of Sublicensees under Section 14.1(a), the provisions of this Agreement are for the sole benefit of the Parties and no other Person or entity shall have any right or claim against either Party by reason of these provisions or be entitled to enforce any of these provisions against either Party (including under the Contracts (Rights of Third Parties) Act 1999). The rights of the Parties to amend this Agreement are not subject to the consent of any other Person.</w:t>
      </w:r>
    </w:p>
    <w:p>
      <w:pPr>
        <w:spacing w:after="0" w:line="136" w:lineRule="exact"/>
        <w:rPr>
          <w:sz w:val="20"/>
          <w:szCs w:val="20"/>
          <w:color w:val="auto"/>
        </w:rPr>
      </w:pPr>
    </w:p>
    <w:p>
      <w:pPr>
        <w:jc w:val="both"/>
        <w:ind w:right="2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b w:val="1"/>
          <w:bCs w:val="1"/>
          <w:color w:val="auto"/>
        </w:rPr>
        <w:t>English Language</w:t>
      </w:r>
      <w:r>
        <w:rPr>
          <w:rFonts w:ascii="Times New Roman" w:cs="Times New Roman" w:eastAsia="Times New Roman" w:hAnsi="Times New Roman"/>
          <w:sz w:val="18"/>
          <w:szCs w:val="18"/>
          <w:color w:val="auto"/>
        </w:rPr>
        <w:t>. 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 All notices and other communications given under this Agreement shall be in the English language.</w:t>
      </w:r>
    </w:p>
    <w:p>
      <w:pPr>
        <w:spacing w:after="0" w:line="135" w:lineRule="exact"/>
        <w:rPr>
          <w:sz w:val="20"/>
          <w:szCs w:val="20"/>
          <w:color w:val="auto"/>
        </w:rPr>
      </w:pPr>
    </w:p>
    <w:p>
      <w:pPr>
        <w:jc w:val="both"/>
        <w:ind w:firstLine="864"/>
        <w:spacing w:after="0" w:line="215" w:lineRule="auto"/>
        <w:rPr>
          <w:sz w:val="20"/>
          <w:szCs w:val="20"/>
          <w:color w:val="auto"/>
        </w:rPr>
      </w:pPr>
      <w:r>
        <w:rPr>
          <w:rFonts w:ascii="Times New Roman" w:cs="Times New Roman" w:eastAsia="Times New Roman" w:hAnsi="Times New Roman"/>
          <w:sz w:val="18"/>
          <w:szCs w:val="18"/>
          <w:color w:val="auto"/>
        </w:rPr>
        <w:t xml:space="preserve">1 8 . 1 2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In this Agreement, unless otherwise specified: (a) “includes” and “including” shall mean respectively includes and including without limitation; (b) “hereof,” “herein,” and “herewith,” and words of similar import, shall, unless otherwise stated, be construed to refer to this Agreement as a whole and not to any particular provision of this Agreement; (c) “in writing” or “written” includes any mode of reproducing words in a legible and non-transitory form, including emails and faxes, unless another form is prescribed by Applicable Law;</w:t>
      </w:r>
    </w:p>
    <w:p>
      <w:pPr>
        <w:spacing w:after="0" w:line="3" w:lineRule="exact"/>
        <w:rPr>
          <w:sz w:val="20"/>
          <w:szCs w:val="20"/>
          <w:color w:val="auto"/>
        </w:rPr>
      </w:pPr>
    </w:p>
    <w:p>
      <w:pPr>
        <w:jc w:val="both"/>
        <w:ind w:firstLine="6"/>
        <w:spacing w:after="0" w:line="212" w:lineRule="auto"/>
        <w:tabs>
          <w:tab w:leader="none" w:pos="256"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disjunctive but not necessarily exclusive; (e) a Party includes its permitted assignees or the respective successors in title to substantially the whole of its undertaking; (f) a statute or statutory instrument or any of their provisions is to be construed as a reference to that statute or statutory instrument or such provision as the same may have been or may from time to time hereafter be amended or re-enacted in accordance with any requirements with respect to such amendment or re-enactment; (g) words denoting the singular shall include the plural and vice versa and words denoting any gender shall include all genders; (h) the Exhibits, Schedules and other attachments form part of the operative provision of this Agreement and references to this Agreement shall, unless the context otherwise requires, include references to the Exhibits, Schedules and attachments; (i) the headings in this Agreement are for information only and shall not be considered in the interpretation of this Agreement; (j) general words shall not be given a restrictive interpretation by reason of their being preceded or followed by words indicating a particular class of acts, matters or things; (k) the word “any” shall mean “any and all” and (l) “shall” has the same meaning as “will” wherever referenced, and vice versa. 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w:t>
      </w:r>
    </w:p>
    <w:p>
      <w:pPr>
        <w:spacing w:after="0" w:line="137" w:lineRule="exact"/>
        <w:rPr>
          <w:rFonts w:ascii="Times New Roman" w:cs="Times New Roman" w:eastAsia="Times New Roman" w:hAnsi="Times New Roman"/>
          <w:sz w:val="18"/>
          <w:szCs w:val="18"/>
          <w:color w:val="auto"/>
        </w:rPr>
      </w:pPr>
    </w:p>
    <w:p>
      <w:pPr>
        <w:jc w:val="both"/>
        <w:ind w:right="20" w:firstLine="864"/>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1 8 . 1 3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Except as otherwise expressly provided in this Agreement, each Party shall pay the fees and expenses of its respective lawyers and other experts and all other expenses and costs incurred by such Party incidental to the negotiation, preparation, execution and delivery of this Agreement.</w:t>
      </w:r>
    </w:p>
    <w:p>
      <w:pPr>
        <w:spacing w:after="0" w:line="135" w:lineRule="exact"/>
        <w:rPr>
          <w:sz w:val="20"/>
          <w:szCs w:val="20"/>
          <w:color w:val="auto"/>
        </w:rPr>
      </w:pPr>
    </w:p>
    <w:p>
      <w:pPr>
        <w:jc w:val="both"/>
        <w:ind w:firstLine="864"/>
        <w:spacing w:after="0" w:line="216"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 This Agreement, together with its Schedules, sets forth the entire agreement and understanding of the Parties as to the subject matter hereof and supersedes all proposals, oral or written, and all other prior communications between the Parties with respect to such subject matter, including, for clarity, the confidentiality agreement entered into by [***] dated [***]. Each Party acknowledges that in entering into this Agreement it does not rely on, and shall have no remedies in respect of, any statement, representation, assurance or warranty (whether made innocently or negligently) that is not set out in this Agreement. Each Party agrees that it shall not have any claim for innocent or negligent misrepresentation based on any statement in this Agreement. In the event of any inconsistency between the terms of this Agreement and the pharmacovigilance agreement entered into pursuant to Section 5.12(b) the terms of this Agreement shall prevail and govern, except to the extent such conflicting terms relate directly to the pharmacovigilance responsibilities of the Parties (including the exchange of safety data), in which case the terms of the pharmacovigilance agreement shall prevail and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56</w:t>
      </w:r>
    </w:p>
    <w:p>
      <w:pPr>
        <w:sectPr>
          <w:pgSz w:w="11900" w:h="16840" w:orient="portrait"/>
          <w:cols w:equalWidth="0" w:num="1">
            <w:col w:w="10580"/>
          </w:cols>
          <w:pgMar w:left="660" w:top="1440" w:right="660" w:bottom="1440" w:gutter="0" w:footer="0" w:header="0"/>
        </w:sectPr>
      </w:pPr>
    </w:p>
    <w:bookmarkStart w:id="964" w:name="page965"/>
    <w:bookmarkEnd w:id="964"/>
    <w:p>
      <w:pPr>
        <w:spacing w:after="0" w:line="254" w:lineRule="exact"/>
        <w:rPr>
          <w:sz w:val="20"/>
          <w:szCs w:val="20"/>
          <w:color w:val="auto"/>
        </w:rPr>
      </w:pPr>
    </w:p>
    <w:p>
      <w:pPr>
        <w:jc w:val="both"/>
        <w:ind w:right="20" w:firstLine="864"/>
        <w:spacing w:after="0" w:line="231"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(1) or more counterparts, each of which shall be deemed an original, but all of which together shall constitute one and the same instrument. This Agreement may be executed by facsimile or electronically transmitted signatures (including .pdf) and such signatures shall be deemed to bind each Party hereto as if they were original signatures.</w:t>
      </w:r>
    </w:p>
    <w:p>
      <w:pPr>
        <w:spacing w:after="0" w:line="135" w:lineRule="exact"/>
        <w:rPr>
          <w:sz w:val="20"/>
          <w:szCs w:val="20"/>
          <w:color w:val="auto"/>
        </w:rPr>
      </w:pPr>
    </w:p>
    <w:p>
      <w:pPr>
        <w:ind w:firstLine="864"/>
        <w:spacing w:after="0" w:line="245"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No remedy referred to in this Agreement is intended to be exclusive, but each shall be cumulative and in addition to any other remedy referred to in this Agreement or otherwise available under law.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57</w:t>
      </w:r>
    </w:p>
    <w:p>
      <w:pPr>
        <w:sectPr>
          <w:pgSz w:w="11900" w:h="16840" w:orient="portrait"/>
          <w:cols w:equalWidth="0" w:num="1">
            <w:col w:w="10580"/>
          </w:cols>
          <w:pgMar w:left="660" w:top="1440" w:right="660" w:bottom="1440" w:gutter="0" w:footer="0" w:header="0"/>
        </w:sectPr>
      </w:pPr>
    </w:p>
    <w:bookmarkStart w:id="965" w:name="page966"/>
    <w:bookmarkEnd w:id="965"/>
    <w:p>
      <w:pPr>
        <w:spacing w:after="0" w:line="200" w:lineRule="exact"/>
        <w:rPr>
          <w:sz w:val="20"/>
          <w:szCs w:val="20"/>
          <w:color w:val="auto"/>
        </w:rPr>
      </w:pPr>
    </w:p>
    <w:p>
      <w:pPr>
        <w:spacing w:after="0" w:line="246"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intending to be bound have caused this Agreement to be executed by their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as of the Execution Date.</w:t>
      </w: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BIONTECH SE</w:t>
            </w: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AUTOLUS LIMITED</w:t>
            </w:r>
          </w:p>
        </w:tc>
      </w:tr>
      <w:tr>
        <w:trPr>
          <w:trHeight w:val="558"/>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Ryan Richardson</w:t>
            </w: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By: /s/ Christian Itin</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4"/>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Ryan Richardson</w:t>
            </w: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Name: Christian Itin</w:t>
            </w:r>
          </w:p>
        </w:tc>
      </w:tr>
      <w:tr>
        <w:trPr>
          <w:trHeight w:val="372"/>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Management Board Member and Chief Strategy Officer</w:t>
            </w: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558"/>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Sierk Poetting</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4"/>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Sierk Poetting</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2"/>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Management Board Member and Chief Operating Officer</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0"/>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AUTOLUS HOLDINGS (UK) LIMITED</w:t>
            </w:r>
          </w:p>
        </w:tc>
      </w:tr>
      <w:tr>
        <w:trPr>
          <w:trHeight w:val="558"/>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By: /s/ Christian Itin</w:t>
            </w:r>
          </w:p>
        </w:tc>
      </w:tr>
      <w:tr>
        <w:trPr>
          <w:trHeight w:val="20"/>
        </w:trPr>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4"/>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Name: Christian Itin</w:t>
            </w:r>
          </w:p>
        </w:tc>
      </w:tr>
      <w:tr>
        <w:trPr>
          <w:trHeight w:val="372"/>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LICENSE AGREEMENT</w:t>
      </w:r>
    </w:p>
    <w:p>
      <w:pPr>
        <w:sectPr>
          <w:pgSz w:w="11900" w:h="16840" w:orient="portrait"/>
          <w:cols w:equalWidth="0" w:num="1">
            <w:col w:w="10560"/>
          </w:cols>
          <w:pgMar w:left="660" w:top="1440" w:right="680" w:bottom="1440" w:gutter="0" w:footer="0" w:header="0"/>
        </w:sectPr>
      </w:pPr>
    </w:p>
    <w:bookmarkStart w:id="966" w:name="page967"/>
    <w:bookmarkEnd w:id="966"/>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1.8</w:t>
      </w:r>
    </w:p>
    <w:p>
      <w:pPr>
        <w:spacing w:after="0" w:line="1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ACTIVITY ENHANCEMENT LICENSED TECHNOLOGY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67" w:name="page968"/>
    <w:bookmarkEnd w:id="967"/>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1.27</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AUTO1/22 PRODUCT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w:t>
      </w:r>
    </w:p>
    <w:p>
      <w:pPr>
        <w:sectPr>
          <w:pgSz w:w="11900" w:h="16840" w:orient="portrait"/>
          <w:cols w:equalWidth="0" w:num="1">
            <w:col w:w="9800"/>
          </w:cols>
          <w:pgMar w:left="660" w:top="1440" w:right="1440" w:bottom="1440" w:gutter="0" w:footer="0" w:header="0"/>
        </w:sectPr>
      </w:pPr>
    </w:p>
    <w:bookmarkStart w:id="968" w:name="page969"/>
    <w:bookmarkEnd w:id="968"/>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1.29</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AUTO6NG PRODUCT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69" w:name="page970"/>
    <w:bookmarkEnd w:id="969"/>
    <w:p>
      <w:pPr>
        <w:spacing w:after="0" w:line="254" w:lineRule="exact"/>
        <w:rPr>
          <w:sz w:val="20"/>
          <w:szCs w:val="20"/>
          <w:color w:val="auto"/>
        </w:rPr>
      </w:pPr>
    </w:p>
    <w:p>
      <w:pPr>
        <w:jc w:val="right"/>
        <w:ind w:right="3840"/>
        <w:spacing w:after="0"/>
        <w:rPr>
          <w:sz w:val="20"/>
          <w:szCs w:val="20"/>
          <w:color w:val="auto"/>
        </w:rPr>
      </w:pPr>
      <w:r>
        <w:rPr>
          <w:rFonts w:ascii="Times New Roman" w:cs="Times New Roman" w:eastAsia="Times New Roman" w:hAnsi="Times New Roman"/>
          <w:sz w:val="18"/>
          <w:szCs w:val="18"/>
          <w:b w:val="1"/>
          <w:bCs w:val="1"/>
          <w:color w:val="auto"/>
        </w:rPr>
        <w:t>SCHEDULE 1.30</w:t>
      </w:r>
    </w:p>
    <w:p>
      <w:pPr>
        <w:spacing w:after="0" w:line="15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 PRODUCT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0" w:name="page971"/>
    <w:bookmarkEnd w:id="970"/>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1.36</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BASEBALL ARBITRATION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1" w:name="page972"/>
    <w:bookmarkEnd w:id="971"/>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1.38</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 LICENSED BINDER</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2" w:name="page973"/>
    <w:bookmarkEnd w:id="972"/>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1.60</w:t>
      </w:r>
    </w:p>
    <w:p>
      <w:pPr>
        <w:spacing w:after="0" w:line="1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 LICENSED BINDERS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3" w:name="page974"/>
    <w:bookmarkEnd w:id="973"/>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1.61</w:t>
      </w:r>
    </w:p>
    <w:p>
      <w:pPr>
        <w:spacing w:after="0" w:line="1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 LICENSED BINDERS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40" w:orient="portrait"/>
          <w:cols w:equalWidth="0" w:num="1">
            <w:col w:w="9800"/>
          </w:cols>
          <w:pgMar w:left="660" w:top="1440" w:right="1440" w:bottom="1440" w:gutter="0" w:footer="0" w:header="0"/>
        </w:sectPr>
      </w:pPr>
    </w:p>
    <w:bookmarkStart w:id="974" w:name="page975"/>
    <w:bookmarkEnd w:id="974"/>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1.152</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OBE-CEL PRODUCT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5" w:name="page976"/>
    <w:bookmarkEnd w:id="975"/>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SCHEDULE 1.191</w:t>
      </w:r>
    </w:p>
    <w:p>
      <w:pPr>
        <w:spacing w:after="0" w:line="153" w:lineRule="exact"/>
        <w:rPr>
          <w:sz w:val="20"/>
          <w:szCs w:val="20"/>
          <w:color w:val="auto"/>
        </w:rPr>
      </w:pPr>
    </w:p>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SAFETY SWITCH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6" w:name="page977"/>
    <w:bookmarkEnd w:id="976"/>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1.227</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 LICENSED BINDER</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w:t>
      </w:r>
    </w:p>
    <w:p>
      <w:pPr>
        <w:sectPr>
          <w:pgSz w:w="11900" w:h="16840" w:orient="portrait"/>
          <w:cols w:equalWidth="0" w:num="1">
            <w:col w:w="9800"/>
          </w:cols>
          <w:pgMar w:left="660" w:top="1440" w:right="1440" w:bottom="1440" w:gutter="0" w:footer="0" w:header="0"/>
        </w:sectPr>
      </w:pPr>
    </w:p>
    <w:bookmarkStart w:id="977" w:name="page978"/>
    <w:bookmarkEnd w:id="977"/>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1.228</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 LICENSED BINDER</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8" w:name="page979"/>
    <w:bookmarkEnd w:id="978"/>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3.1</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MANUFACTURING AND COMMERCIAL SERVICES AGREEMENT TERMS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79" w:name="page980"/>
    <w:bookmarkEnd w:id="979"/>
    <w:p>
      <w:pPr>
        <w:spacing w:after="0" w:line="2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3.1(B)</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PROCESS TIMELINES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80" w:name="page981"/>
    <w:bookmarkEnd w:id="980"/>
    <w:p>
      <w:pPr>
        <w:spacing w:after="0" w:line="25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SCHEDULE 4.4(A)</w:t>
      </w:r>
    </w:p>
    <w:p>
      <w:pPr>
        <w:spacing w:after="0" w:line="1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PRODUCT AGREEMENT TERMS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81" w:name="page982"/>
    <w:bookmarkEnd w:id="981"/>
    <w:p>
      <w:pPr>
        <w:spacing w:after="0" w:line="25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SCHEDULE 6.2</w:t>
      </w:r>
    </w:p>
    <w:p>
      <w:pPr>
        <w:spacing w:after="0" w:line="1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TRANSFERRED MATERIALS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40" w:orient="portrait"/>
          <w:cols w:equalWidth="0" w:num="1">
            <w:col w:w="9800"/>
          </w:cols>
          <w:pgMar w:left="660" w:top="1440" w:right="1440" w:bottom="1440" w:gutter="0" w:footer="0" w:header="0"/>
        </w:sectPr>
      </w:pPr>
    </w:p>
    <w:bookmarkStart w:id="982" w:name="page983"/>
    <w:bookmarkEnd w:id="982"/>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6.5</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TECHNOLOGIES LICENSE AGREEMENT</w:t>
      </w:r>
    </w:p>
    <w:p>
      <w:pPr>
        <w:sectPr>
          <w:pgSz w:w="11900" w:h="16840" w:orient="portrait"/>
          <w:cols w:equalWidth="0" w:num="1">
            <w:col w:w="9020"/>
          </w:cols>
          <w:pgMar w:left="1440" w:top="1440" w:right="1440" w:bottom="1440" w:gutter="0" w:footer="0" w:header="0"/>
        </w:sectPr>
      </w:pPr>
    </w:p>
    <w:bookmarkStart w:id="983" w:name="page984"/>
    <w:bookmarkEnd w:id="983"/>
    <w:p>
      <w:pPr>
        <w:spacing w:after="0" w:line="200" w:lineRule="exact"/>
        <w:rPr>
          <w:sz w:val="20"/>
          <w:szCs w:val="20"/>
          <w:color w:val="auto"/>
        </w:rPr>
      </w:pPr>
    </w:p>
    <w:p>
      <w:pPr>
        <w:spacing w:after="0" w:line="28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15.2</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AUTOLUS DISCLOSURES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84" w:name="page985"/>
    <w:bookmarkEnd w:id="984"/>
    <w:p>
      <w:pPr>
        <w:spacing w:after="0" w:line="200" w:lineRule="exact"/>
        <w:rPr>
          <w:sz w:val="20"/>
          <w:szCs w:val="20"/>
          <w:color w:val="auto"/>
        </w:rPr>
      </w:pPr>
    </w:p>
    <w:p>
      <w:pPr>
        <w:spacing w:after="0" w:line="28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15.2(K)</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AUTOLUS PATENTS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40" w:orient="portrait"/>
          <w:cols w:equalWidth="0" w:num="1">
            <w:col w:w="9800"/>
          </w:cols>
          <w:pgMar w:left="660" w:top="1440" w:right="1440" w:bottom="1440" w:gutter="0" w:footer="0" w:header="0"/>
        </w:sectPr>
      </w:pPr>
    </w:p>
    <w:bookmarkStart w:id="985" w:name="page986"/>
    <w:bookmarkEnd w:id="985"/>
    <w:p>
      <w:pPr>
        <w:spacing w:after="0" w:line="200" w:lineRule="exact"/>
        <w:rPr>
          <w:sz w:val="20"/>
          <w:szCs w:val="20"/>
          <w:color w:val="auto"/>
        </w:rPr>
      </w:pPr>
    </w:p>
    <w:p>
      <w:pPr>
        <w:spacing w:after="0" w:line="28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SCHEDULE 15.6</w:t>
      </w:r>
    </w:p>
    <w:p>
      <w:pPr>
        <w:spacing w:after="0" w:line="15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UPSTREAM OBLIGATIONS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40" w:orient="portrait"/>
          <w:cols w:equalWidth="0" w:num="1">
            <w:col w:w="9800"/>
          </w:cols>
          <w:pgMar w:left="660" w:top="1440" w:right="1440" w:bottom="1440" w:gutter="0" w:footer="0" w:header="0"/>
        </w:sectPr>
      </w:pPr>
    </w:p>
    <w:bookmarkStart w:id="986" w:name="page987"/>
    <w:bookmarkEnd w:id="986"/>
    <w:p>
      <w:pPr>
        <w:jc w:val="right"/>
        <w:spacing w:after="0"/>
        <w:rPr>
          <w:sz w:val="20"/>
          <w:szCs w:val="20"/>
          <w:color w:val="auto"/>
        </w:rPr>
      </w:pPr>
      <w:r>
        <w:rPr>
          <w:rFonts w:ascii="Times New Roman" w:cs="Times New Roman" w:eastAsia="Times New Roman" w:hAnsi="Times New Roman"/>
          <w:sz w:val="19"/>
          <w:szCs w:val="19"/>
          <w:b w:val="1"/>
          <w:bCs w:val="1"/>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80" w:type="dxa"/>
            <w:vAlign w:val="bottom"/>
            <w:shd w:val="clear" w:color="auto" w:fill="DEEAF6"/>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4040" w:type="dxa"/>
            <w:vAlign w:val="bottom"/>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(Shanghai) Pharmaceuticals Co., Ltd</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4"/>
              </w:rPr>
              <w:t>China</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Australia Pty Ltd</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5"/>
              </w:rPr>
              <w:t>Australia</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BioNTainer Holding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Cell &amp; Gene Therapies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Delivery Technologies (US), LLC</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73"/>
        </w:trPr>
        <w:tc>
          <w:tcPr>
            <w:tcW w:w="6380" w:type="dxa"/>
            <w:vAlign w:val="bottom"/>
          </w:tcPr>
          <w:p>
            <w:pPr>
              <w:spacing w:after="0"/>
              <w:rPr>
                <w:sz w:val="6"/>
                <w:szCs w:val="6"/>
                <w:color w:val="auto"/>
              </w:rPr>
            </w:pPr>
          </w:p>
        </w:tc>
        <w:tc>
          <w:tcPr>
            <w:tcW w:w="4040" w:type="dxa"/>
            <w:vAlign w:val="bottom"/>
          </w:tcPr>
          <w:p>
            <w:pPr>
              <w:spacing w:after="0"/>
              <w:rPr>
                <w:sz w:val="6"/>
                <w:szCs w:val="6"/>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Delivery Technologies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Diagnostics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Europe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Idar-Oberstein Services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03"/>
        </w:trPr>
        <w:tc>
          <w:tcPr>
            <w:tcW w:w="6380" w:type="dxa"/>
            <w:vAlign w:val="bottom"/>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Individualized mRNA Manufacturing GmbH</w:t>
            </w:r>
          </w:p>
        </w:tc>
        <w:tc>
          <w:tcPr>
            <w:tcW w:w="4040" w:type="dxa"/>
            <w:vAlign w:val="bottom"/>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73"/>
        </w:trPr>
        <w:tc>
          <w:tcPr>
            <w:tcW w:w="6380" w:type="dxa"/>
            <w:vAlign w:val="bottom"/>
            <w:shd w:val="clear" w:color="auto" w:fill="DEEAF6"/>
          </w:tcPr>
          <w:p>
            <w:pPr>
              <w:spacing w:after="0"/>
              <w:rPr>
                <w:sz w:val="6"/>
                <w:szCs w:val="6"/>
                <w:color w:val="auto"/>
              </w:rPr>
            </w:pPr>
          </w:p>
        </w:tc>
        <w:tc>
          <w:tcPr>
            <w:tcW w:w="4040" w:type="dxa"/>
            <w:vAlign w:val="bottom"/>
            <w:shd w:val="clear" w:color="auto" w:fill="DEEAF6"/>
          </w:tcPr>
          <w:p>
            <w:pPr>
              <w:spacing w:after="0"/>
              <w:rPr>
                <w:sz w:val="6"/>
                <w:szCs w:val="6"/>
                <w:color w:val="auto"/>
              </w:rPr>
            </w:pP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Innovation and Services Marburg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Innovation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Innovative Manufacturing Services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Israel Ltd.</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rPr>
              <w:t>Israel</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Manufacturing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Manufacturing Marburg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Pharmaceuticals Asia Pacific Pte. Ltd.</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8"/>
              </w:rPr>
              <w:t>Singapore</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Pharmaceuticals Spain S.L.U.</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8"/>
              </w:rPr>
              <w:t>Spain</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R&amp;D (Austria)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Austria</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Real Estate Holding GmbH</w:t>
            </w:r>
          </w:p>
        </w:tc>
        <w:tc>
          <w:tcPr>
            <w:tcW w:w="4040" w:type="dxa"/>
            <w:vAlign w:val="bottom"/>
            <w:tcBorders>
              <w:bottom w:val="single" w:sz="8" w:color="DEEAF6"/>
            </w:tcBorders>
            <w:shd w:val="clear" w:color="auto" w:fill="DEEAF6"/>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Real Estate Verwaltungs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Research and Development, Inc.</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Rwanda Ltd.</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9"/>
              </w:rPr>
              <w:t>Rwanda</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Sénégal Suarl</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4"/>
              </w:rPr>
              <w:t>Senegal</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Switzerland GmbH</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9"/>
              </w:rPr>
              <w:t>Switzerland</w:t>
            </w:r>
          </w:p>
        </w:tc>
      </w:tr>
      <w:tr>
        <w:trPr>
          <w:trHeight w:val="62"/>
        </w:trPr>
        <w:tc>
          <w:tcPr>
            <w:tcW w:w="6380" w:type="dxa"/>
            <w:vAlign w:val="bottom"/>
          </w:tcPr>
          <w:p>
            <w:pPr>
              <w:spacing w:after="0"/>
              <w:rPr>
                <w:sz w:val="5"/>
                <w:szCs w:val="5"/>
                <w:color w:val="auto"/>
              </w:rPr>
            </w:pPr>
          </w:p>
        </w:tc>
        <w:tc>
          <w:tcPr>
            <w:tcW w:w="4040" w:type="dxa"/>
            <w:vAlign w:val="bottom"/>
          </w:tcPr>
          <w:p>
            <w:pPr>
              <w:spacing w:after="0"/>
              <w:rPr>
                <w:sz w:val="5"/>
                <w:szCs w:val="5"/>
                <w:color w:val="auto"/>
              </w:rPr>
            </w:pPr>
          </w:p>
        </w:tc>
      </w:tr>
      <w:tr>
        <w:trPr>
          <w:trHeight w:val="203"/>
        </w:trPr>
        <w:tc>
          <w:tcPr>
            <w:tcW w:w="6380" w:type="dxa"/>
            <w:vAlign w:val="bottom"/>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Taiwan Co. Ltd.</w:t>
            </w:r>
          </w:p>
        </w:tc>
        <w:tc>
          <w:tcPr>
            <w:tcW w:w="4040" w:type="dxa"/>
            <w:vAlign w:val="bottom"/>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73"/>
        </w:trPr>
        <w:tc>
          <w:tcPr>
            <w:tcW w:w="6380" w:type="dxa"/>
            <w:vAlign w:val="bottom"/>
            <w:shd w:val="clear" w:color="auto" w:fill="DEEAF6"/>
          </w:tcPr>
          <w:p>
            <w:pPr>
              <w:spacing w:after="0"/>
              <w:rPr>
                <w:sz w:val="6"/>
                <w:szCs w:val="6"/>
                <w:color w:val="auto"/>
              </w:rPr>
            </w:pPr>
          </w:p>
        </w:tc>
        <w:tc>
          <w:tcPr>
            <w:tcW w:w="4040" w:type="dxa"/>
            <w:vAlign w:val="bottom"/>
            <w:shd w:val="clear" w:color="auto" w:fill="DEEAF6"/>
          </w:tcPr>
          <w:p>
            <w:pPr>
              <w:spacing w:after="0"/>
              <w:rPr>
                <w:sz w:val="6"/>
                <w:szCs w:val="6"/>
                <w:color w:val="auto"/>
              </w:rPr>
            </w:pP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Turkey Tıbbi Ürünler Ve Klinik Araştırma Ticaret Anonim Şirketi</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5"/>
              </w:rPr>
              <w:t>Turkey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UK Limited</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rPr>
              <w:t>UK</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BioNTech US Inc.</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BioNTech USA Holding LLC</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InstaDeep DE GmbH</w:t>
            </w:r>
          </w:p>
        </w:tc>
        <w:tc>
          <w:tcPr>
            <w:tcW w:w="4040" w:type="dxa"/>
            <w:vAlign w:val="bottom"/>
          </w:tcPr>
          <w:p>
            <w:pPr>
              <w:jc w:val="center"/>
              <w:ind w:left="70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20"/>
        </w:trPr>
        <w:tc>
          <w:tcPr>
            <w:tcW w:w="638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InstaDeep LLC</w:t>
            </w:r>
          </w:p>
        </w:tc>
        <w:tc>
          <w:tcPr>
            <w:tcW w:w="4040" w:type="dxa"/>
            <w:vAlign w:val="bottom"/>
            <w:tcBorders>
              <w:bottom w:val="single" w:sz="8" w:color="DEEAF6"/>
            </w:tcBorders>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14"/>
        </w:trPr>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InstaDeep Ltd</w:t>
            </w:r>
          </w:p>
        </w:tc>
        <w:tc>
          <w:tcPr>
            <w:tcW w:w="404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rPr>
              <w:t>UK</w:t>
            </w:r>
          </w:p>
        </w:tc>
      </w:tr>
      <w:tr>
        <w:trPr>
          <w:trHeight w:val="26"/>
        </w:trPr>
        <w:tc>
          <w:tcPr>
            <w:tcW w:w="638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14"/>
        </w:trPr>
        <w:tc>
          <w:tcPr>
            <w:tcW w:w="6380" w:type="dxa"/>
            <w:vAlign w:val="bottom"/>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InstaDeep Nigeria Limited</w:t>
            </w:r>
          </w:p>
        </w:tc>
        <w:tc>
          <w:tcPr>
            <w:tcW w:w="4040" w:type="dxa"/>
            <w:vAlign w:val="bottom"/>
            <w:shd w:val="clear" w:color="auto" w:fill="DEEAF6"/>
          </w:tcPr>
          <w:p>
            <w:pPr>
              <w:jc w:val="center"/>
              <w:ind w:left="682"/>
              <w:spacing w:after="0"/>
              <w:rPr>
                <w:sz w:val="20"/>
                <w:szCs w:val="20"/>
                <w:color w:val="auto"/>
              </w:rPr>
            </w:pPr>
            <w:r>
              <w:rPr>
                <w:rFonts w:ascii="Times New Roman" w:cs="Times New Roman" w:eastAsia="Times New Roman" w:hAnsi="Times New Roman"/>
                <w:sz w:val="16"/>
                <w:szCs w:val="16"/>
                <w:color w:val="auto"/>
                <w:w w:val="99"/>
              </w:rPr>
              <w:t>Nigeria</w:t>
            </w:r>
          </w:p>
        </w:tc>
      </w:tr>
      <w:tr>
        <w:trPr>
          <w:trHeight w:val="26"/>
        </w:trPr>
        <w:tc>
          <w:tcPr>
            <w:tcW w:w="6380" w:type="dxa"/>
            <w:vAlign w:val="bottom"/>
            <w:shd w:val="clear" w:color="auto" w:fill="DEEAF6"/>
          </w:tcPr>
          <w:p>
            <w:pPr>
              <w:spacing w:after="0"/>
              <w:rPr>
                <w:sz w:val="2"/>
                <w:szCs w:val="2"/>
                <w:color w:val="auto"/>
              </w:rPr>
            </w:pPr>
          </w:p>
        </w:tc>
        <w:tc>
          <w:tcPr>
            <w:tcW w:w="4040" w:type="dxa"/>
            <w:vAlign w:val="bottom"/>
            <w:shd w:val="clear" w:color="auto" w:fill="DEEAF6"/>
          </w:tcPr>
          <w:p>
            <w:pPr>
              <w:spacing w:after="0"/>
              <w:rPr>
                <w:sz w:val="2"/>
                <w:szCs w:val="2"/>
                <w:color w:val="auto"/>
              </w:rPr>
            </w:pPr>
          </w:p>
        </w:tc>
      </w:tr>
    </w:tbl>
    <w:p>
      <w:pPr>
        <w:sectPr>
          <w:pgSz w:w="11900" w:h="16840" w:orient="portrait"/>
          <w:cols w:equalWidth="0" w:num="1">
            <w:col w:w="10560"/>
          </w:cols>
          <w:pgMar w:left="660" w:top="555" w:right="680" w:bottom="1440" w:gutter="0" w:footer="0" w:header="0"/>
        </w:sectPr>
      </w:pPr>
    </w:p>
    <w:bookmarkStart w:id="987" w:name="page988"/>
    <w:bookmarkEnd w:id="987"/>
    <w:p>
      <w:pPr>
        <w:jc w:val="right"/>
        <w:spacing w:after="0"/>
        <w:rPr>
          <w:sz w:val="20"/>
          <w:szCs w:val="20"/>
          <w:color w:val="auto"/>
        </w:rPr>
      </w:pPr>
      <w:r>
        <w:rPr>
          <w:rFonts w:ascii="Times New Roman" w:cs="Times New Roman" w:eastAsia="Times New Roman" w:hAnsi="Times New Roman"/>
          <w:sz w:val="19"/>
          <w:szCs w:val="19"/>
          <w:b w:val="1"/>
          <w:bCs w:val="1"/>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0" w:type="dxa"/>
            <w:vAlign w:val="bottom"/>
            <w:shd w:val="clear" w:color="auto" w:fill="DEEAF6"/>
          </w:tcPr>
          <w:p>
            <w:pPr>
              <w:ind w:left="1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5420" w:type="dxa"/>
            <w:vAlign w:val="bottom"/>
            <w:shd w:val="clear" w:color="auto" w:fill="DEEAF6"/>
          </w:tcPr>
          <w:p>
            <w:pPr>
              <w:jc w:val="center"/>
              <w:ind w:left="204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r>
      <w:tr>
        <w:trPr>
          <w:trHeight w:val="214"/>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InstaDeep SARL</w:t>
            </w:r>
          </w:p>
        </w:tc>
        <w:tc>
          <w:tcPr>
            <w:tcW w:w="5420" w:type="dxa"/>
            <w:vAlign w:val="bottom"/>
          </w:tcPr>
          <w:p>
            <w:pPr>
              <w:jc w:val="center"/>
              <w:ind w:left="2022"/>
              <w:spacing w:after="0"/>
              <w:rPr>
                <w:sz w:val="20"/>
                <w:szCs w:val="20"/>
                <w:color w:val="auto"/>
              </w:rPr>
            </w:pPr>
            <w:r>
              <w:rPr>
                <w:rFonts w:ascii="Times New Roman" w:cs="Times New Roman" w:eastAsia="Times New Roman" w:hAnsi="Times New Roman"/>
                <w:sz w:val="16"/>
                <w:szCs w:val="16"/>
                <w:color w:val="auto"/>
                <w:w w:val="99"/>
              </w:rPr>
              <w:t>Tunisia</w:t>
            </w:r>
          </w:p>
        </w:tc>
      </w:tr>
      <w:tr>
        <w:trPr>
          <w:trHeight w:val="26"/>
        </w:trPr>
        <w:tc>
          <w:tcPr>
            <w:tcW w:w="500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20"/>
        </w:trPr>
        <w:tc>
          <w:tcPr>
            <w:tcW w:w="500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InstaDeep SAS</w:t>
            </w:r>
          </w:p>
        </w:tc>
        <w:tc>
          <w:tcPr>
            <w:tcW w:w="5420" w:type="dxa"/>
            <w:vAlign w:val="bottom"/>
            <w:tcBorders>
              <w:bottom w:val="single" w:sz="8" w:color="DEEAF6"/>
            </w:tcBorders>
            <w:shd w:val="clear" w:color="auto" w:fill="DEEAF6"/>
          </w:tcPr>
          <w:p>
            <w:pPr>
              <w:jc w:val="center"/>
              <w:ind w:left="2042"/>
              <w:spacing w:after="0"/>
              <w:rPr>
                <w:sz w:val="20"/>
                <w:szCs w:val="20"/>
                <w:color w:val="auto"/>
              </w:rPr>
            </w:pPr>
            <w:r>
              <w:rPr>
                <w:rFonts w:ascii="Times New Roman" w:cs="Times New Roman" w:eastAsia="Times New Roman" w:hAnsi="Times New Roman"/>
                <w:sz w:val="16"/>
                <w:szCs w:val="16"/>
                <w:color w:val="auto"/>
                <w:w w:val="96"/>
              </w:rPr>
              <w:t>France</w:t>
            </w:r>
          </w:p>
        </w:tc>
      </w:tr>
      <w:tr>
        <w:trPr>
          <w:trHeight w:val="214"/>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JPT Peptide Technologies GmbH</w:t>
            </w:r>
          </w:p>
        </w:tc>
        <w:tc>
          <w:tcPr>
            <w:tcW w:w="5420" w:type="dxa"/>
            <w:vAlign w:val="bottom"/>
          </w:tcPr>
          <w:p>
            <w:pPr>
              <w:jc w:val="center"/>
              <w:ind w:left="204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6"/>
        </w:trPr>
        <w:tc>
          <w:tcPr>
            <w:tcW w:w="500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20"/>
        </w:trPr>
        <w:tc>
          <w:tcPr>
            <w:tcW w:w="500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JPT Peptide Technologies, Inc.</w:t>
            </w:r>
          </w:p>
        </w:tc>
        <w:tc>
          <w:tcPr>
            <w:tcW w:w="5420" w:type="dxa"/>
            <w:vAlign w:val="bottom"/>
            <w:tcBorders>
              <w:bottom w:val="single" w:sz="8" w:color="DEEAF6"/>
            </w:tcBorders>
            <w:shd w:val="clear" w:color="auto" w:fill="DEEAF6"/>
          </w:tcPr>
          <w:p>
            <w:pPr>
              <w:jc w:val="center"/>
              <w:ind w:left="20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14"/>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New Technologies Re</w:t>
            </w:r>
          </w:p>
        </w:tc>
        <w:tc>
          <w:tcPr>
            <w:tcW w:w="5420" w:type="dxa"/>
            <w:vAlign w:val="bottom"/>
          </w:tcPr>
          <w:p>
            <w:pPr>
              <w:jc w:val="center"/>
              <w:ind w:left="2022"/>
              <w:spacing w:after="0"/>
              <w:rPr>
                <w:sz w:val="20"/>
                <w:szCs w:val="20"/>
                <w:color w:val="auto"/>
              </w:rPr>
            </w:pPr>
            <w:r>
              <w:rPr>
                <w:rFonts w:ascii="Times New Roman" w:cs="Times New Roman" w:eastAsia="Times New Roman" w:hAnsi="Times New Roman"/>
                <w:sz w:val="16"/>
                <w:szCs w:val="16"/>
                <w:color w:val="auto"/>
                <w:w w:val="96"/>
              </w:rPr>
              <w:t>Luxembourg</w:t>
            </w:r>
          </w:p>
        </w:tc>
      </w:tr>
      <w:tr>
        <w:trPr>
          <w:trHeight w:val="26"/>
        </w:trPr>
        <w:tc>
          <w:tcPr>
            <w:tcW w:w="500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20"/>
        </w:trPr>
        <w:tc>
          <w:tcPr>
            <w:tcW w:w="5000" w:type="dxa"/>
            <w:vAlign w:val="bottom"/>
            <w:tcBorders>
              <w:bottom w:val="single" w:sz="8" w:color="DEEAF6"/>
            </w:tcBorders>
            <w:shd w:val="clear" w:color="auto" w:fill="DEEAF6"/>
          </w:tcPr>
          <w:p>
            <w:pPr>
              <w:ind w:left="120"/>
              <w:spacing w:after="0"/>
              <w:rPr>
                <w:sz w:val="20"/>
                <w:szCs w:val="20"/>
                <w:color w:val="auto"/>
              </w:rPr>
            </w:pPr>
            <w:r>
              <w:rPr>
                <w:rFonts w:ascii="Times New Roman" w:cs="Times New Roman" w:eastAsia="Times New Roman" w:hAnsi="Times New Roman"/>
                <w:sz w:val="16"/>
                <w:szCs w:val="16"/>
                <w:color w:val="auto"/>
              </w:rPr>
              <w:t>NT Security and Services GmbH</w:t>
            </w:r>
          </w:p>
        </w:tc>
        <w:tc>
          <w:tcPr>
            <w:tcW w:w="5420" w:type="dxa"/>
            <w:vAlign w:val="bottom"/>
            <w:tcBorders>
              <w:bottom w:val="single" w:sz="8" w:color="DEEAF6"/>
            </w:tcBorders>
            <w:shd w:val="clear" w:color="auto" w:fill="DEEAF6"/>
          </w:tcPr>
          <w:p>
            <w:pPr>
              <w:jc w:val="center"/>
              <w:ind w:left="2042"/>
              <w:spacing w:after="0"/>
              <w:rPr>
                <w:sz w:val="20"/>
                <w:szCs w:val="20"/>
                <w:color w:val="auto"/>
              </w:rPr>
            </w:pPr>
            <w:r>
              <w:rPr>
                <w:rFonts w:ascii="Times New Roman" w:cs="Times New Roman" w:eastAsia="Times New Roman" w:hAnsi="Times New Roman"/>
                <w:sz w:val="16"/>
                <w:szCs w:val="16"/>
                <w:color w:val="auto"/>
                <w:w w:val="97"/>
              </w:rPr>
              <w:t>Germany</w:t>
            </w:r>
          </w:p>
        </w:tc>
      </w:tr>
      <w:tr>
        <w:trPr>
          <w:trHeight w:val="214"/>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reSano GmbH</w:t>
            </w:r>
          </w:p>
        </w:tc>
        <w:tc>
          <w:tcPr>
            <w:tcW w:w="5420" w:type="dxa"/>
            <w:vAlign w:val="bottom"/>
          </w:tcPr>
          <w:p>
            <w:pPr>
              <w:jc w:val="center"/>
              <w:ind w:left="2042"/>
              <w:spacing w:after="0"/>
              <w:rPr>
                <w:sz w:val="20"/>
                <w:szCs w:val="20"/>
                <w:color w:val="auto"/>
              </w:rPr>
            </w:pPr>
            <w:r>
              <w:rPr>
                <w:rFonts w:ascii="Times New Roman" w:cs="Times New Roman" w:eastAsia="Times New Roman" w:hAnsi="Times New Roman"/>
                <w:sz w:val="16"/>
                <w:szCs w:val="16"/>
                <w:color w:val="auto"/>
                <w:w w:val="97"/>
              </w:rPr>
              <w:t>Germany</w:t>
            </w:r>
          </w:p>
        </w:tc>
      </w:tr>
    </w:tbl>
    <w:p>
      <w:pPr>
        <w:sectPr>
          <w:pgSz w:w="11900" w:h="16840" w:orient="portrait"/>
          <w:cols w:equalWidth="0" w:num="1">
            <w:col w:w="10560"/>
          </w:cols>
          <w:pgMar w:left="660" w:top="554" w:right="680" w:bottom="1440" w:gutter="0" w:footer="0" w:header="0"/>
        </w:sectPr>
      </w:pPr>
    </w:p>
    <w:bookmarkStart w:id="988" w:name="page989"/>
    <w:bookmarkEnd w:id="988"/>
    <w:p>
      <w:pPr>
        <w:spacing w:after="0" w:line="37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12.1</w:t>
      </w:r>
    </w:p>
    <w:p>
      <w:pPr>
        <w:jc w:val="center"/>
        <w:ind w:right="20"/>
        <w:spacing w:after="0" w:line="223" w:lineRule="auto"/>
        <w:rPr>
          <w:sz w:val="20"/>
          <w:szCs w:val="20"/>
          <w:color w:val="auto"/>
        </w:rPr>
      </w:pPr>
      <w:r>
        <w:rPr>
          <w:rFonts w:ascii="Times New Roman" w:cs="Times New Roman" w:eastAsia="Times New Roman" w:hAnsi="Times New Roman"/>
          <w:sz w:val="16"/>
          <w:szCs w:val="16"/>
          <w:b w:val="1"/>
          <w:bCs w:val="1"/>
          <w:color w:val="auto"/>
        </w:rPr>
        <w:t>CERTIFICATION PURSUANT TO</w:t>
      </w:r>
    </w:p>
    <w:p>
      <w:pPr>
        <w:jc w:val="center"/>
        <w:ind w:right="-39"/>
        <w:spacing w:after="0" w:line="203" w:lineRule="auto"/>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Ugur Sahin, certify that:</w:t>
      </w:r>
    </w:p>
    <w:p>
      <w:pPr>
        <w:spacing w:after="0" w:line="68" w:lineRule="exact"/>
        <w:rPr>
          <w:sz w:val="20"/>
          <w:szCs w:val="20"/>
          <w:color w:val="auto"/>
        </w:rPr>
      </w:pPr>
    </w:p>
    <w:p>
      <w:pPr>
        <w:ind w:left="580" w:hanging="286"/>
        <w:spacing w:after="0"/>
        <w:tabs>
          <w:tab w:leader="none" w:pos="580" w:val="left"/>
        </w:tabs>
        <w:numPr>
          <w:ilvl w:val="0"/>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BioNTech SE;</w:t>
      </w:r>
    </w:p>
    <w:p>
      <w:pPr>
        <w:spacing w:after="0" w:line="68" w:lineRule="exact"/>
        <w:rPr>
          <w:rFonts w:ascii="Times New Roman" w:cs="Times New Roman" w:eastAsia="Times New Roman" w:hAnsi="Times New Roman"/>
          <w:sz w:val="16"/>
          <w:szCs w:val="16"/>
          <w:color w:val="auto"/>
        </w:rPr>
      </w:pPr>
    </w:p>
    <w:p>
      <w:pPr>
        <w:ind w:left="580" w:right="220" w:hanging="286"/>
        <w:spacing w:after="0" w:line="234" w:lineRule="auto"/>
        <w:tabs>
          <w:tab w:leader="none" w:pos="580" w:val="left"/>
        </w:tabs>
        <w:numPr>
          <w:ilvl w:val="0"/>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580" w:right="300" w:hanging="286"/>
        <w:spacing w:after="0" w:line="234" w:lineRule="auto"/>
        <w:tabs>
          <w:tab w:leader="none" w:pos="580" w:val="left"/>
        </w:tabs>
        <w:numPr>
          <w:ilvl w:val="0"/>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9" w:lineRule="exact"/>
        <w:rPr>
          <w:rFonts w:ascii="Times New Roman" w:cs="Times New Roman" w:eastAsia="Times New Roman" w:hAnsi="Times New Roman"/>
          <w:sz w:val="16"/>
          <w:szCs w:val="16"/>
          <w:color w:val="auto"/>
        </w:rPr>
      </w:pPr>
    </w:p>
    <w:p>
      <w:pPr>
        <w:ind w:left="580" w:right="20" w:hanging="286"/>
        <w:spacing w:after="0" w:line="223" w:lineRule="auto"/>
        <w:tabs>
          <w:tab w:leader="none" w:pos="580" w:val="left"/>
        </w:tabs>
        <w:numPr>
          <w:ilvl w:val="0"/>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1" w:lineRule="exact"/>
        <w:rPr>
          <w:rFonts w:ascii="Times New Roman" w:cs="Times New Roman" w:eastAsia="Times New Roman" w:hAnsi="Times New Roman"/>
          <w:sz w:val="16"/>
          <w:szCs w:val="16"/>
          <w:color w:val="auto"/>
        </w:rPr>
      </w:pPr>
    </w:p>
    <w:p>
      <w:pPr>
        <w:ind w:left="1160" w:right="140" w:hanging="290"/>
        <w:spacing w:after="0" w:line="223" w:lineRule="auto"/>
        <w:tabs>
          <w:tab w:leader="none" w:pos="1148" w:val="left"/>
        </w:tabs>
        <w:numPr>
          <w:ilvl w:val="1"/>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6"/>
          <w:szCs w:val="16"/>
          <w:color w:val="auto"/>
        </w:rPr>
      </w:pPr>
    </w:p>
    <w:p>
      <w:pPr>
        <w:ind w:left="1160" w:right="120" w:hanging="290"/>
        <w:spacing w:after="0" w:line="223" w:lineRule="auto"/>
        <w:tabs>
          <w:tab w:leader="none" w:pos="1148" w:val="left"/>
        </w:tabs>
        <w:numPr>
          <w:ilvl w:val="1"/>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6"/>
          <w:szCs w:val="16"/>
          <w:color w:val="auto"/>
        </w:rPr>
      </w:pPr>
    </w:p>
    <w:p>
      <w:pPr>
        <w:ind w:left="1160" w:hanging="290"/>
        <w:spacing w:after="0" w:line="234" w:lineRule="auto"/>
        <w:tabs>
          <w:tab w:leader="none" w:pos="1148" w:val="left"/>
        </w:tabs>
        <w:numPr>
          <w:ilvl w:val="1"/>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ind w:left="1160" w:right="240" w:hanging="290"/>
        <w:spacing w:after="0" w:line="295" w:lineRule="auto"/>
        <w:tabs>
          <w:tab w:leader="none" w:pos="1148" w:val="left"/>
        </w:tabs>
        <w:numPr>
          <w:ilvl w:val="1"/>
          <w:numId w:val="10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 w:lineRule="exact"/>
        <w:rPr>
          <w:rFonts w:ascii="Times New Roman" w:cs="Times New Roman" w:eastAsia="Times New Roman" w:hAnsi="Times New Roman"/>
          <w:sz w:val="14"/>
          <w:szCs w:val="14"/>
          <w:color w:val="auto"/>
        </w:rPr>
      </w:pPr>
    </w:p>
    <w:p>
      <w:pPr>
        <w:ind w:left="580" w:right="660" w:hanging="286"/>
        <w:spacing w:after="0" w:line="234" w:lineRule="auto"/>
        <w:tabs>
          <w:tab w:leader="none" w:pos="580" w:val="left"/>
        </w:tabs>
        <w:numPr>
          <w:ilvl w:val="0"/>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160" w:right="100" w:hanging="290"/>
        <w:spacing w:after="0" w:line="234" w:lineRule="auto"/>
        <w:tabs>
          <w:tab w:leader="none" w:pos="1148" w:val="left"/>
        </w:tabs>
        <w:numPr>
          <w:ilvl w:val="1"/>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160" w:right="180" w:hanging="290"/>
        <w:spacing w:after="0" w:line="234" w:lineRule="auto"/>
        <w:tabs>
          <w:tab w:leader="none" w:pos="1148" w:val="left"/>
        </w:tabs>
        <w:numPr>
          <w:ilvl w:val="1"/>
          <w:numId w:val="10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313" w:lineRule="exact"/>
        <w:rPr>
          <w:sz w:val="20"/>
          <w:szCs w:val="20"/>
          <w:color w:val="auto"/>
        </w:rPr>
      </w:pPr>
    </w:p>
    <w:p>
      <w:pPr>
        <w:ind w:left="20"/>
        <w:spacing w:after="0"/>
        <w:tabs>
          <w:tab w:leader="none" w:pos="5700" w:val="left"/>
          <w:tab w:leader="none" w:pos="7660" w:val="left"/>
        </w:tabs>
        <w:rPr>
          <w:sz w:val="20"/>
          <w:szCs w:val="20"/>
          <w:color w:val="auto"/>
        </w:rPr>
      </w:pPr>
      <w:r>
        <w:rPr>
          <w:rFonts w:ascii="Times New Roman" w:cs="Times New Roman" w:eastAsia="Times New Roman" w:hAnsi="Times New Roman"/>
          <w:sz w:val="16"/>
          <w:szCs w:val="16"/>
          <w:color w:val="auto"/>
        </w:rPr>
        <w:t>Date: March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Prof. Dr. Ugur Sahin</w:t>
      </w:r>
    </w:p>
    <w:p>
      <w:pPr>
        <w:spacing w:after="0" w:line="54"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Prof. Dr. Ugur Sahin</w:t>
      </w:r>
    </w:p>
    <w:p>
      <w:pPr>
        <w:spacing w:after="0" w:line="5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ectPr>
          <w:pgSz w:w="11900" w:h="16840" w:orient="portrait"/>
          <w:cols w:equalWidth="0" w:num="1">
            <w:col w:w="10580"/>
          </w:cols>
          <w:pgMar w:left="660" w:top="1440" w:right="660" w:bottom="1440" w:gutter="0" w:footer="0" w:header="0"/>
        </w:sectPr>
      </w:pPr>
    </w:p>
    <w:bookmarkStart w:id="989" w:name="page990"/>
    <w:bookmarkEnd w:id="989"/>
    <w:p>
      <w:pPr>
        <w:spacing w:after="0" w:line="37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Exhibit 12.2</w:t>
      </w:r>
    </w:p>
    <w:p>
      <w:pPr>
        <w:jc w:val="center"/>
        <w:ind w:right="20"/>
        <w:spacing w:after="0" w:line="223" w:lineRule="auto"/>
        <w:rPr>
          <w:sz w:val="20"/>
          <w:szCs w:val="20"/>
          <w:color w:val="auto"/>
        </w:rPr>
      </w:pPr>
      <w:r>
        <w:rPr>
          <w:rFonts w:ascii="Times New Roman" w:cs="Times New Roman" w:eastAsia="Times New Roman" w:hAnsi="Times New Roman"/>
          <w:sz w:val="16"/>
          <w:szCs w:val="16"/>
          <w:b w:val="1"/>
          <w:bCs w:val="1"/>
          <w:color w:val="auto"/>
        </w:rPr>
        <w:t>CERTIFICATION PURSUANT TO</w:t>
      </w:r>
    </w:p>
    <w:p>
      <w:pPr>
        <w:jc w:val="center"/>
        <w:ind w:right="-39"/>
        <w:spacing w:after="0" w:line="203" w:lineRule="auto"/>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Jens Holstein, certify that:</w:t>
      </w:r>
    </w:p>
    <w:p>
      <w:pPr>
        <w:spacing w:after="0" w:line="68" w:lineRule="exact"/>
        <w:rPr>
          <w:sz w:val="20"/>
          <w:szCs w:val="20"/>
          <w:color w:val="auto"/>
        </w:rPr>
      </w:pPr>
    </w:p>
    <w:p>
      <w:pPr>
        <w:ind w:left="580" w:hanging="286"/>
        <w:spacing w:after="0"/>
        <w:tabs>
          <w:tab w:leader="none" w:pos="580" w:val="left"/>
        </w:tabs>
        <w:numPr>
          <w:ilvl w:val="0"/>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BioNTech SE;</w:t>
      </w:r>
    </w:p>
    <w:p>
      <w:pPr>
        <w:spacing w:after="0" w:line="68" w:lineRule="exact"/>
        <w:rPr>
          <w:rFonts w:ascii="Times New Roman" w:cs="Times New Roman" w:eastAsia="Times New Roman" w:hAnsi="Times New Roman"/>
          <w:sz w:val="16"/>
          <w:szCs w:val="16"/>
          <w:color w:val="auto"/>
        </w:rPr>
      </w:pPr>
    </w:p>
    <w:p>
      <w:pPr>
        <w:ind w:left="580" w:right="220" w:hanging="286"/>
        <w:spacing w:after="0" w:line="234" w:lineRule="auto"/>
        <w:tabs>
          <w:tab w:leader="none" w:pos="580" w:val="left"/>
        </w:tabs>
        <w:numPr>
          <w:ilvl w:val="0"/>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580" w:right="300" w:hanging="286"/>
        <w:spacing w:after="0" w:line="234" w:lineRule="auto"/>
        <w:tabs>
          <w:tab w:leader="none" w:pos="580" w:val="left"/>
        </w:tabs>
        <w:numPr>
          <w:ilvl w:val="0"/>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9" w:lineRule="exact"/>
        <w:rPr>
          <w:rFonts w:ascii="Times New Roman" w:cs="Times New Roman" w:eastAsia="Times New Roman" w:hAnsi="Times New Roman"/>
          <w:sz w:val="16"/>
          <w:szCs w:val="16"/>
          <w:color w:val="auto"/>
        </w:rPr>
      </w:pPr>
    </w:p>
    <w:p>
      <w:pPr>
        <w:ind w:left="580" w:right="20" w:hanging="286"/>
        <w:spacing w:after="0" w:line="223" w:lineRule="auto"/>
        <w:tabs>
          <w:tab w:leader="none" w:pos="580" w:val="left"/>
        </w:tabs>
        <w:numPr>
          <w:ilvl w:val="0"/>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1" w:lineRule="exact"/>
        <w:rPr>
          <w:rFonts w:ascii="Times New Roman" w:cs="Times New Roman" w:eastAsia="Times New Roman" w:hAnsi="Times New Roman"/>
          <w:sz w:val="16"/>
          <w:szCs w:val="16"/>
          <w:color w:val="auto"/>
        </w:rPr>
      </w:pPr>
    </w:p>
    <w:p>
      <w:pPr>
        <w:ind w:left="1160" w:right="140" w:hanging="290"/>
        <w:spacing w:after="0" w:line="223" w:lineRule="auto"/>
        <w:tabs>
          <w:tab w:leader="none" w:pos="1148" w:val="left"/>
        </w:tabs>
        <w:numPr>
          <w:ilvl w:val="1"/>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6"/>
          <w:szCs w:val="16"/>
          <w:color w:val="auto"/>
        </w:rPr>
      </w:pPr>
    </w:p>
    <w:p>
      <w:pPr>
        <w:ind w:left="1160" w:right="120" w:hanging="290"/>
        <w:spacing w:after="0" w:line="223" w:lineRule="auto"/>
        <w:tabs>
          <w:tab w:leader="none" w:pos="1148" w:val="left"/>
        </w:tabs>
        <w:numPr>
          <w:ilvl w:val="1"/>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6"/>
          <w:szCs w:val="16"/>
          <w:color w:val="auto"/>
        </w:rPr>
      </w:pPr>
    </w:p>
    <w:p>
      <w:pPr>
        <w:ind w:left="1160" w:hanging="290"/>
        <w:spacing w:after="0" w:line="234" w:lineRule="auto"/>
        <w:tabs>
          <w:tab w:leader="none" w:pos="1148" w:val="left"/>
        </w:tabs>
        <w:numPr>
          <w:ilvl w:val="1"/>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ind w:left="1160" w:right="240" w:hanging="290"/>
        <w:spacing w:after="0" w:line="295" w:lineRule="auto"/>
        <w:tabs>
          <w:tab w:leader="none" w:pos="1148" w:val="left"/>
        </w:tabs>
        <w:numPr>
          <w:ilvl w:val="1"/>
          <w:numId w:val="10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 w:lineRule="exact"/>
        <w:rPr>
          <w:rFonts w:ascii="Times New Roman" w:cs="Times New Roman" w:eastAsia="Times New Roman" w:hAnsi="Times New Roman"/>
          <w:sz w:val="14"/>
          <w:szCs w:val="14"/>
          <w:color w:val="auto"/>
        </w:rPr>
      </w:pPr>
    </w:p>
    <w:p>
      <w:pPr>
        <w:ind w:left="580" w:right="660" w:hanging="286"/>
        <w:spacing w:after="0" w:line="234" w:lineRule="auto"/>
        <w:tabs>
          <w:tab w:leader="none" w:pos="580" w:val="left"/>
        </w:tabs>
        <w:numPr>
          <w:ilvl w:val="0"/>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160" w:right="100" w:hanging="290"/>
        <w:spacing w:after="0" w:line="234" w:lineRule="auto"/>
        <w:tabs>
          <w:tab w:leader="none" w:pos="1148" w:val="left"/>
        </w:tabs>
        <w:numPr>
          <w:ilvl w:val="1"/>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160" w:right="180" w:hanging="290"/>
        <w:spacing w:after="0" w:line="234" w:lineRule="auto"/>
        <w:tabs>
          <w:tab w:leader="none" w:pos="1148" w:val="left"/>
        </w:tabs>
        <w:numPr>
          <w:ilvl w:val="1"/>
          <w:numId w:val="10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313" w:lineRule="exact"/>
        <w:rPr>
          <w:sz w:val="20"/>
          <w:szCs w:val="20"/>
          <w:color w:val="auto"/>
        </w:rPr>
      </w:pPr>
    </w:p>
    <w:p>
      <w:pPr>
        <w:ind w:left="20"/>
        <w:spacing w:after="0"/>
        <w:tabs>
          <w:tab w:leader="none" w:pos="5740" w:val="left"/>
          <w:tab w:leader="none" w:pos="7900" w:val="left"/>
        </w:tabs>
        <w:rPr>
          <w:sz w:val="20"/>
          <w:szCs w:val="20"/>
          <w:color w:val="auto"/>
        </w:rPr>
      </w:pPr>
      <w:r>
        <w:rPr>
          <w:rFonts w:ascii="Times New Roman" w:cs="Times New Roman" w:eastAsia="Times New Roman" w:hAnsi="Times New Roman"/>
          <w:sz w:val="16"/>
          <w:szCs w:val="16"/>
          <w:color w:val="auto"/>
        </w:rPr>
        <w:t>Date: March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Jens Holstein</w:t>
      </w:r>
    </w:p>
    <w:p>
      <w:pPr>
        <w:spacing w:after="0" w:line="54"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6"/>
          <w:szCs w:val="16"/>
          <w:b w:val="1"/>
          <w:bCs w:val="1"/>
          <w:color w:val="auto"/>
        </w:rPr>
        <w:t>Jens Holstein</w:t>
      </w:r>
    </w:p>
    <w:p>
      <w:pPr>
        <w:spacing w:after="0" w:line="5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ectPr>
          <w:pgSz w:w="11900" w:h="16840" w:orient="portrait"/>
          <w:cols w:equalWidth="0" w:num="1">
            <w:col w:w="10580"/>
          </w:cols>
          <w:pgMar w:left="660" w:top="1440" w:right="660" w:bottom="1440" w:gutter="0" w:footer="0" w:header="0"/>
        </w:sectPr>
      </w:pPr>
    </w:p>
    <w:bookmarkStart w:id="990" w:name="page991"/>
    <w:bookmarkEnd w:id="990"/>
    <w:p>
      <w:pPr>
        <w:spacing w:after="0" w:line="36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6"/>
          <w:szCs w:val="16"/>
          <w:b w:val="1"/>
          <w:bCs w:val="1"/>
          <w:color w:val="auto"/>
        </w:rPr>
        <w:t>Exhibit 13.1</w:t>
      </w:r>
    </w:p>
    <w:p>
      <w:pPr>
        <w:jc w:val="center"/>
        <w:ind w:right="40"/>
        <w:spacing w:after="0" w:line="203" w:lineRule="auto"/>
        <w:rPr>
          <w:sz w:val="20"/>
          <w:szCs w:val="20"/>
          <w:color w:val="auto"/>
        </w:rPr>
      </w:pPr>
      <w:r>
        <w:rPr>
          <w:rFonts w:ascii="Times New Roman" w:cs="Times New Roman" w:eastAsia="Times New Roman" w:hAnsi="Times New Roman"/>
          <w:sz w:val="16"/>
          <w:szCs w:val="16"/>
          <w:b w:val="1"/>
          <w:bCs w:val="1"/>
          <w:color w:val="auto"/>
        </w:rPr>
        <w:t>CERTIFICATION PURSUANT TO</w:t>
      </w:r>
    </w:p>
    <w:p>
      <w:pPr>
        <w:jc w:val="center"/>
        <w:ind w:right="20"/>
        <w:spacing w:after="0" w:line="204" w:lineRule="auto"/>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5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The certification set forth below is being submitted in connection with the Annual Report on Form 20-F for the year ended 2023 (the “Report”) for the purpose of complying with Rule 13a-14(b) or Rule 15d-14(b) of the Securities Exchange Act of 1934 (the “Exchange Act”) and Section 1350 of Chapter 63 of Title 18 of the United States Code.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Ugur Sahin, Chief Executive Officer of BioNTech SE (the “Company”), certify that:</w:t>
      </w:r>
    </w:p>
    <w:p>
      <w:pPr>
        <w:spacing w:after="0" w:line="68" w:lineRule="exact"/>
        <w:rPr>
          <w:sz w:val="20"/>
          <w:szCs w:val="20"/>
          <w:color w:val="auto"/>
        </w:rPr>
      </w:pPr>
    </w:p>
    <w:p>
      <w:pPr>
        <w:ind w:left="580" w:hanging="286"/>
        <w:spacing w:after="0"/>
        <w:tabs>
          <w:tab w:leader="none" w:pos="580" w:val="left"/>
        </w:tabs>
        <w:numPr>
          <w:ilvl w:val="0"/>
          <w:numId w:val="10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Exchange Act; and</w:t>
      </w:r>
    </w:p>
    <w:p>
      <w:pPr>
        <w:spacing w:after="0" w:line="6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0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5680" w:val="left"/>
          <w:tab w:leader="none" w:pos="7660" w:val="left"/>
        </w:tabs>
        <w:rPr>
          <w:sz w:val="20"/>
          <w:szCs w:val="20"/>
          <w:color w:val="auto"/>
        </w:rPr>
      </w:pPr>
      <w:r>
        <w:rPr>
          <w:rFonts w:ascii="Times New Roman" w:cs="Times New Roman" w:eastAsia="Times New Roman" w:hAnsi="Times New Roman"/>
          <w:sz w:val="16"/>
          <w:szCs w:val="16"/>
          <w:color w:val="auto"/>
        </w:rPr>
        <w:t>Date: March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Prof. Dr. Ugur Sahin</w:t>
      </w:r>
    </w:p>
    <w:p>
      <w:pPr>
        <w:spacing w:after="0" w:line="54"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Prof. Dr. Ugur Sahin</w:t>
      </w:r>
    </w:p>
    <w:p>
      <w:pPr>
        <w:spacing w:after="0" w:line="5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ectPr>
          <w:pgSz w:w="11900" w:h="16840" w:orient="portrait"/>
          <w:cols w:equalWidth="0" w:num="1">
            <w:col w:w="10600"/>
          </w:cols>
          <w:pgMar w:left="660" w:top="1440" w:right="640" w:bottom="1440" w:gutter="0" w:footer="0" w:header="0"/>
        </w:sectPr>
      </w:pPr>
    </w:p>
    <w:bookmarkStart w:id="991" w:name="page992"/>
    <w:bookmarkEnd w:id="991"/>
    <w:p>
      <w:pPr>
        <w:spacing w:after="0" w:line="36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6"/>
          <w:szCs w:val="16"/>
          <w:b w:val="1"/>
          <w:bCs w:val="1"/>
          <w:color w:val="auto"/>
        </w:rPr>
        <w:t>Exhibit 13.2</w:t>
      </w:r>
    </w:p>
    <w:p>
      <w:pPr>
        <w:jc w:val="center"/>
        <w:ind w:right="40"/>
        <w:spacing w:after="0" w:line="203" w:lineRule="auto"/>
        <w:rPr>
          <w:sz w:val="20"/>
          <w:szCs w:val="20"/>
          <w:color w:val="auto"/>
        </w:rPr>
      </w:pPr>
      <w:r>
        <w:rPr>
          <w:rFonts w:ascii="Times New Roman" w:cs="Times New Roman" w:eastAsia="Times New Roman" w:hAnsi="Times New Roman"/>
          <w:sz w:val="16"/>
          <w:szCs w:val="16"/>
          <w:b w:val="1"/>
          <w:bCs w:val="1"/>
          <w:color w:val="auto"/>
        </w:rPr>
        <w:t>CERTIFICATION PURSUANT TO</w:t>
      </w:r>
    </w:p>
    <w:p>
      <w:pPr>
        <w:jc w:val="center"/>
        <w:ind w:right="20"/>
        <w:spacing w:after="0" w:line="204" w:lineRule="auto"/>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5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The certification set forth below is being submitted in connection with the Annual Report on Form 20-F for the year ended 2023 (the “Report”) for the purpose of complying with Rule 13a-14(b) or Rule 15d-14(b) of the Securities Exchange Act of 1934 (the “Exchange Act”) and Section 1350 of Chapter 63 of Title 18 of the United States Code.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Jens Holstein, Chief Financial Officer of BioNTech SE (the “Company”), certify that:</w:t>
      </w:r>
    </w:p>
    <w:p>
      <w:pPr>
        <w:spacing w:after="0" w:line="68" w:lineRule="exact"/>
        <w:rPr>
          <w:sz w:val="20"/>
          <w:szCs w:val="20"/>
          <w:color w:val="auto"/>
        </w:rPr>
      </w:pPr>
    </w:p>
    <w:p>
      <w:pPr>
        <w:ind w:left="580" w:hanging="286"/>
        <w:spacing w:after="0"/>
        <w:tabs>
          <w:tab w:leader="none" w:pos="580" w:val="left"/>
        </w:tabs>
        <w:numPr>
          <w:ilvl w:val="0"/>
          <w:numId w:val="10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Exchange Act; and</w:t>
      </w:r>
    </w:p>
    <w:p>
      <w:pPr>
        <w:spacing w:after="0" w:line="6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0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20"/>
        <w:spacing w:after="0"/>
        <w:tabs>
          <w:tab w:leader="none" w:pos="5740" w:val="left"/>
          <w:tab w:leader="none" w:pos="7900" w:val="left"/>
        </w:tabs>
        <w:rPr>
          <w:sz w:val="20"/>
          <w:szCs w:val="20"/>
          <w:color w:val="auto"/>
        </w:rPr>
      </w:pPr>
      <w:r>
        <w:rPr>
          <w:rFonts w:ascii="Times New Roman" w:cs="Times New Roman" w:eastAsia="Times New Roman" w:hAnsi="Times New Roman"/>
          <w:sz w:val="16"/>
          <w:szCs w:val="16"/>
          <w:color w:val="auto"/>
        </w:rPr>
        <w:t>Date: March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Jens Holstein</w:t>
      </w:r>
    </w:p>
    <w:p>
      <w:pPr>
        <w:spacing w:after="0" w:line="54"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Jens Holstein</w:t>
      </w:r>
    </w:p>
    <w:p>
      <w:pPr>
        <w:spacing w:after="0" w:line="5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ectPr>
          <w:pgSz w:w="11900" w:h="16840" w:orient="portrait"/>
          <w:cols w:equalWidth="0" w:num="1">
            <w:col w:w="10600"/>
          </w:cols>
          <w:pgMar w:left="660" w:top="1440" w:right="640" w:bottom="1440" w:gutter="0" w:footer="0" w:header="0"/>
        </w:sectPr>
      </w:pPr>
    </w:p>
    <w:bookmarkStart w:id="992" w:name="page993"/>
    <w:bookmarkEnd w:id="992"/>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176" w:lineRule="exact"/>
        <w:rPr>
          <w:sz w:val="20"/>
          <w:szCs w:val="20"/>
          <w:color w:val="auto"/>
        </w:rPr>
      </w:pPr>
    </w:p>
    <w:p>
      <w:pPr>
        <w:ind w:left="1160" w:right="420" w:hanging="578"/>
        <w:spacing w:after="0" w:line="234" w:lineRule="auto"/>
        <w:tabs>
          <w:tab w:leader="none" w:pos="1148" w:val="left"/>
        </w:tabs>
        <w:numPr>
          <w:ilvl w:val="0"/>
          <w:numId w:val="10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33333"/>
        </w:rPr>
        <w:t>Registration Statement (Form S-8 No. 333-253263) pertaining to the 2020 Employee Equity Plan, the 2020 Restricted Stock Unit Plan for North America Employees, the 2017 Employee Stock Ownership Plan and the 2020 Management Board ESOP of BioNTech SE,</w:t>
      </w:r>
    </w:p>
    <w:p>
      <w:pPr>
        <w:spacing w:after="0" w:line="145" w:lineRule="exact"/>
        <w:rPr>
          <w:rFonts w:ascii="Times New Roman" w:cs="Times New Roman" w:eastAsia="Times New Roman" w:hAnsi="Times New Roman"/>
          <w:sz w:val="16"/>
          <w:szCs w:val="16"/>
          <w:color w:val="auto"/>
        </w:rPr>
      </w:pPr>
    </w:p>
    <w:p>
      <w:pPr>
        <w:ind w:left="1160" w:right="60" w:hanging="578"/>
        <w:spacing w:after="0" w:line="234" w:lineRule="auto"/>
        <w:tabs>
          <w:tab w:leader="none" w:pos="1148" w:val="left"/>
        </w:tabs>
        <w:numPr>
          <w:ilvl w:val="0"/>
          <w:numId w:val="10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33333"/>
        </w:rPr>
        <w:t>Registration Statement (Form S-8 No. 333-269740) pertaining to the 2020 Employee Equity Plan, 2020 Restricted Stock Unit Plan for North America Employees and 2021 Employee Stock Ownership Plan of BioNTech SE, and</w:t>
      </w:r>
    </w:p>
    <w:p>
      <w:pPr>
        <w:spacing w:after="0" w:line="145" w:lineRule="exact"/>
        <w:rPr>
          <w:rFonts w:ascii="Times New Roman" w:cs="Times New Roman" w:eastAsia="Times New Roman" w:hAnsi="Times New Roman"/>
          <w:sz w:val="16"/>
          <w:szCs w:val="16"/>
          <w:color w:val="auto"/>
        </w:rPr>
      </w:pPr>
    </w:p>
    <w:p>
      <w:pPr>
        <w:ind w:left="1160" w:right="80" w:hanging="578"/>
        <w:spacing w:after="0" w:line="234" w:lineRule="auto"/>
        <w:tabs>
          <w:tab w:leader="none" w:pos="1148" w:val="left"/>
        </w:tabs>
        <w:numPr>
          <w:ilvl w:val="0"/>
          <w:numId w:val="10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33333"/>
        </w:rPr>
        <w:t>Registration Statement (Form S-8 No. 333-277105) pertaining to the 2024 Non-North America Employee Participation Plan and 2024 North America Employee Participation Plan of BioNTech SE,</w:t>
      </w:r>
    </w:p>
    <w:p>
      <w:pPr>
        <w:spacing w:after="0" w:line="145"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333333"/>
        </w:rPr>
        <w:t>of our reports dated March 20, 2024, with respect to the consolidated financial statements of BioNTech SE and the effectiveness of internal control over financial reporting of BioNTech SE included in this Annual Report (Form 20-F) of BioNTech SE for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EY GmbH &amp; Co. KG Wirtschaftsprüfungsgesellschaft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Cologne, Germany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20, 2024</w:t>
      </w:r>
    </w:p>
    <w:p>
      <w:pPr>
        <w:sectPr>
          <w:pgSz w:w="11900" w:h="16840" w:orient="portrait"/>
          <w:cols w:equalWidth="0" w:num="1">
            <w:col w:w="10580"/>
          </w:cols>
          <w:pgMar w:left="660" w:top="555" w:right="660" w:bottom="1440" w:gutter="0" w:footer="0" w:header="0"/>
        </w:sectPr>
      </w:pPr>
    </w:p>
    <w:bookmarkStart w:id="993" w:name="page994"/>
    <w:bookmarkEnd w:id="993"/>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BioNTech SE</w:t>
      </w:r>
    </w:p>
    <w:p>
      <w:pPr>
        <w:jc w:val="center"/>
        <w:ind w:right="-39"/>
        <w:spacing w:after="0" w:line="199" w:lineRule="auto"/>
        <w:rPr>
          <w:sz w:val="20"/>
          <w:szCs w:val="20"/>
          <w:color w:val="auto"/>
        </w:rPr>
      </w:pPr>
      <w:r>
        <w:rPr>
          <w:rFonts w:ascii="Calibri" w:cs="Calibri" w:eastAsia="Calibri" w:hAnsi="Calibri"/>
          <w:sz w:val="18"/>
          <w:szCs w:val="18"/>
          <w:b w:val="1"/>
          <w:bCs w:val="1"/>
          <w:color w:val="auto"/>
        </w:rPr>
        <w:t>Compensation Clawback Policy</w:t>
      </w:r>
    </w:p>
    <w:p>
      <w:pPr>
        <w:jc w:val="center"/>
        <w:ind w:right="-19"/>
        <w:spacing w:after="0" w:line="191" w:lineRule="auto"/>
        <w:rPr>
          <w:sz w:val="20"/>
          <w:szCs w:val="20"/>
          <w:color w:val="auto"/>
        </w:rPr>
      </w:pPr>
      <w:r>
        <w:rPr>
          <w:rFonts w:ascii="Calibri" w:cs="Calibri" w:eastAsia="Calibri" w:hAnsi="Calibri"/>
          <w:sz w:val="16"/>
          <w:szCs w:val="16"/>
          <w:color w:val="auto"/>
        </w:rPr>
        <w:t>Adopted November 29, 2023</w:t>
      </w:r>
    </w:p>
    <w:p>
      <w:pPr>
        <w:spacing w:after="0" w:line="18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Purpose</w:t>
      </w:r>
    </w:p>
    <w:p>
      <w:pPr>
        <w:spacing w:after="0" w:line="199" w:lineRule="exact"/>
        <w:rPr>
          <w:sz w:val="20"/>
          <w:szCs w:val="20"/>
          <w:color w:val="auto"/>
        </w:rPr>
      </w:pPr>
    </w:p>
    <w:p>
      <w:pPr>
        <w:ind w:right="380"/>
        <w:spacing w:after="0" w:line="198" w:lineRule="auto"/>
        <w:rPr>
          <w:sz w:val="20"/>
          <w:szCs w:val="20"/>
          <w:color w:val="auto"/>
        </w:rPr>
      </w:pPr>
      <w:r>
        <w:rPr>
          <w:rFonts w:ascii="Calibri" w:cs="Calibri" w:eastAsia="Calibri" w:hAnsi="Calibri"/>
          <w:sz w:val="16"/>
          <w:szCs w:val="16"/>
          <w:color w:val="auto"/>
        </w:rPr>
        <w:t>The Supervisory Board (the “</w:t>
      </w:r>
      <w:r>
        <w:rPr>
          <w:rFonts w:ascii="Calibri" w:cs="Calibri" w:eastAsia="Calibri" w:hAnsi="Calibri"/>
          <w:sz w:val="16"/>
          <w:szCs w:val="16"/>
          <w:b w:val="1"/>
          <w:bCs w:val="1"/>
          <w:color w:val="auto"/>
        </w:rPr>
        <w:t>Board</w:t>
      </w:r>
      <w:r>
        <w:rPr>
          <w:rFonts w:ascii="Calibri" w:cs="Calibri" w:eastAsia="Calibri" w:hAnsi="Calibri"/>
          <w:sz w:val="16"/>
          <w:szCs w:val="16"/>
          <w:color w:val="auto"/>
        </w:rPr>
        <w:t>”) of BioNTech SE (the “</w:t>
      </w:r>
      <w:r>
        <w:rPr>
          <w:rFonts w:ascii="Calibri" w:cs="Calibri" w:eastAsia="Calibri" w:hAnsi="Calibri"/>
          <w:sz w:val="16"/>
          <w:szCs w:val="16"/>
          <w:b w:val="1"/>
          <w:bCs w:val="1"/>
          <w:color w:val="auto"/>
        </w:rPr>
        <w:t>Corporation</w:t>
      </w:r>
      <w:r>
        <w:rPr>
          <w:rFonts w:ascii="Calibri" w:cs="Calibri" w:eastAsia="Calibri" w:hAnsi="Calibri"/>
          <w:sz w:val="16"/>
          <w:szCs w:val="16"/>
          <w:color w:val="auto"/>
        </w:rPr>
        <w:t>”) has adopted this compensation clawback policy (the “</w:t>
      </w:r>
      <w:r>
        <w:rPr>
          <w:rFonts w:ascii="Calibri" w:cs="Calibri" w:eastAsia="Calibri" w:hAnsi="Calibri"/>
          <w:sz w:val="16"/>
          <w:szCs w:val="16"/>
          <w:b w:val="1"/>
          <w:bCs w:val="1"/>
          <w:color w:val="auto"/>
        </w:rPr>
        <w:t>Policy</w:t>
      </w:r>
      <w:r>
        <w:rPr>
          <w:rFonts w:ascii="Calibri" w:cs="Calibri" w:eastAsia="Calibri" w:hAnsi="Calibri"/>
          <w:sz w:val="16"/>
          <w:szCs w:val="16"/>
          <w:color w:val="auto"/>
        </w:rPr>
        <w:t>”) which provides for the recoupment of incentive-based compensation in the event of an accounting restatement. This Policy is intended to comply with Section 10D of the Securities Exchange Act of 1934 (the “</w:t>
      </w:r>
      <w:r>
        <w:rPr>
          <w:rFonts w:ascii="Calibri" w:cs="Calibri" w:eastAsia="Calibri" w:hAnsi="Calibri"/>
          <w:sz w:val="16"/>
          <w:szCs w:val="16"/>
          <w:b w:val="1"/>
          <w:bCs w:val="1"/>
          <w:color w:val="auto"/>
        </w:rPr>
        <w:t>Act</w:t>
      </w:r>
      <w:r>
        <w:rPr>
          <w:rFonts w:ascii="Calibri" w:cs="Calibri" w:eastAsia="Calibri" w:hAnsi="Calibri"/>
          <w:sz w:val="16"/>
          <w:szCs w:val="16"/>
          <w:color w:val="auto"/>
        </w:rPr>
        <w:t>”) and the rules promulgated thereunder by the U.S. Securities and Exchange Commission (“</w:t>
      </w:r>
      <w:r>
        <w:rPr>
          <w:rFonts w:ascii="Calibri" w:cs="Calibri" w:eastAsia="Calibri" w:hAnsi="Calibri"/>
          <w:sz w:val="16"/>
          <w:szCs w:val="16"/>
          <w:b w:val="1"/>
          <w:bCs w:val="1"/>
          <w:color w:val="auto"/>
        </w:rPr>
        <w:t>SEC</w:t>
      </w:r>
      <w:r>
        <w:rPr>
          <w:rFonts w:ascii="Calibri" w:cs="Calibri" w:eastAsia="Calibri" w:hAnsi="Calibri"/>
          <w:sz w:val="16"/>
          <w:szCs w:val="16"/>
          <w:color w:val="auto"/>
        </w:rPr>
        <w:t>”), any other applicable rules and regulations of the SEC, the listing standards of Nasdaq, and the laws of the jurisdiction in which the Corporation is organized or has its principal place of business (collectively, the “</w:t>
      </w:r>
      <w:r>
        <w:rPr>
          <w:rFonts w:ascii="Calibri" w:cs="Calibri" w:eastAsia="Calibri" w:hAnsi="Calibri"/>
          <w:sz w:val="16"/>
          <w:szCs w:val="16"/>
          <w:b w:val="1"/>
          <w:bCs w:val="1"/>
          <w:color w:val="auto"/>
        </w:rPr>
        <w:t>Applicable Rules</w:t>
      </w:r>
      <w:r>
        <w:rPr>
          <w:rFonts w:ascii="Calibri" w:cs="Calibri" w:eastAsia="Calibri" w:hAnsi="Calibri"/>
          <w:sz w:val="16"/>
          <w:szCs w:val="16"/>
          <w:color w:val="auto"/>
        </w:rPr>
        <w:t>”), and will be interpreted consistent therewith.</w:t>
      </w:r>
    </w:p>
    <w:p>
      <w:pPr>
        <w:spacing w:after="0" w:line="19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Applicability and Effective Date</w:t>
      </w:r>
    </w:p>
    <w:p>
      <w:pPr>
        <w:spacing w:after="0" w:line="199" w:lineRule="exact"/>
        <w:rPr>
          <w:sz w:val="20"/>
          <w:szCs w:val="20"/>
          <w:color w:val="auto"/>
        </w:rPr>
      </w:pPr>
    </w:p>
    <w:p>
      <w:pPr>
        <w:spacing w:after="0" w:line="197" w:lineRule="auto"/>
        <w:rPr>
          <w:sz w:val="20"/>
          <w:szCs w:val="20"/>
          <w:color w:val="auto"/>
        </w:rPr>
      </w:pPr>
      <w:r>
        <w:rPr>
          <w:rFonts w:ascii="Calibri" w:cs="Calibri" w:eastAsia="Calibri" w:hAnsi="Calibri"/>
          <w:sz w:val="16"/>
          <w:szCs w:val="16"/>
          <w:color w:val="auto"/>
        </w:rPr>
        <w:t>This Policy is effective October 2, 2023 (the “</w:t>
      </w:r>
      <w:r>
        <w:rPr>
          <w:rFonts w:ascii="Calibri" w:cs="Calibri" w:eastAsia="Calibri" w:hAnsi="Calibri"/>
          <w:sz w:val="16"/>
          <w:szCs w:val="16"/>
          <w:b w:val="1"/>
          <w:bCs w:val="1"/>
          <w:color w:val="auto"/>
        </w:rPr>
        <w:t>Effective Date</w:t>
      </w:r>
      <w:r>
        <w:rPr>
          <w:rFonts w:ascii="Calibri" w:cs="Calibri" w:eastAsia="Calibri" w:hAnsi="Calibri"/>
          <w:sz w:val="16"/>
          <w:szCs w:val="16"/>
          <w:color w:val="auto"/>
        </w:rPr>
        <w:t>”) and is applicable to all Incentive-Based Compensation (as defined below) received by Executive Officers (as defined below) after the Effective Date. The Policy will be administered by the Board or, if so designated by the Board, the Compensation, Nominating and Corporate Governance Committee of the Board (the “</w:t>
      </w:r>
      <w:r>
        <w:rPr>
          <w:rFonts w:ascii="Calibri" w:cs="Calibri" w:eastAsia="Calibri" w:hAnsi="Calibri"/>
          <w:sz w:val="16"/>
          <w:szCs w:val="16"/>
          <w:b w:val="1"/>
          <w:bCs w:val="1"/>
          <w:color w:val="auto"/>
        </w:rPr>
        <w:t>Committee</w:t>
      </w:r>
      <w:r>
        <w:rPr>
          <w:rFonts w:ascii="Calibri" w:cs="Calibri" w:eastAsia="Calibri" w:hAnsi="Calibri"/>
          <w:sz w:val="16"/>
          <w:szCs w:val="16"/>
          <w:color w:val="auto"/>
        </w:rPr>
        <w:t>”), in which case references to the Board will be deemed to be references to the Committee. Any determination made by the Board under this Policy will be final and binding on all affected individuals. Each Executive Officer shall be required to execute the acknowledgement in Appendix A of this Policy as soon as practicable after the later of (i) the Effective Date and (ii) the date on which the employee is designated as an Executive Officer; provided, however, that failure to execute such acknowledgement shall have no impact on the enforceability of this Policy.</w:t>
      </w:r>
    </w:p>
    <w:p>
      <w:pPr>
        <w:spacing w:after="0" w:line="19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Restatement Clawback</w:t>
      </w:r>
    </w:p>
    <w:p>
      <w:pPr>
        <w:spacing w:after="0" w:line="199" w:lineRule="exact"/>
        <w:rPr>
          <w:sz w:val="20"/>
          <w:szCs w:val="20"/>
          <w:color w:val="auto"/>
        </w:rPr>
      </w:pPr>
    </w:p>
    <w:p>
      <w:pPr>
        <w:ind w:right="120"/>
        <w:spacing w:after="0" w:line="197" w:lineRule="auto"/>
        <w:rPr>
          <w:sz w:val="20"/>
          <w:szCs w:val="20"/>
          <w:color w:val="auto"/>
        </w:rPr>
      </w:pPr>
      <w:r>
        <w:rPr>
          <w:rFonts w:ascii="Calibri" w:cs="Calibri" w:eastAsia="Calibri" w:hAnsi="Calibri"/>
          <w:sz w:val="16"/>
          <w:szCs w:val="16"/>
          <w:color w:val="auto"/>
        </w:rPr>
        <w:t>In the event the Corporation is required to prepare an Accounting Restatement (as defined below), any Executive Officer who received Excess Compensation (as defined below) during the three (3) completed fiscal years preceding the date the Corporation is required to prepare an Accounting Restatement (the “</w:t>
      </w:r>
      <w:r>
        <w:rPr>
          <w:rFonts w:ascii="Calibri" w:cs="Calibri" w:eastAsia="Calibri" w:hAnsi="Calibri"/>
          <w:sz w:val="16"/>
          <w:szCs w:val="16"/>
          <w:b w:val="1"/>
          <w:bCs w:val="1"/>
          <w:color w:val="auto"/>
        </w:rPr>
        <w:t>Look-Back</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Period</w:t>
      </w:r>
      <w:r>
        <w:rPr>
          <w:rFonts w:ascii="Calibri" w:cs="Calibri" w:eastAsia="Calibri" w:hAnsi="Calibri"/>
          <w:sz w:val="16"/>
          <w:szCs w:val="16"/>
          <w:color w:val="auto"/>
        </w:rPr>
        <w:t>”) shall be required to repay or forfeit such Excess Compensation reasonably promptly. For purposes of this Policy, the date the Corporation is required to</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prepare an Accounting Restatement is deemed to be the earlier of the date (i) the Board (or a designated committee thereof) concludes, or reasonably should have concluded, that the Corporation is required to prepare an Accounting Restatement, or (ii) a court, regulator, or other legally authorized body directs the Corporation to prepare an Accounting Restatement.</w:t>
      </w:r>
    </w:p>
    <w:p>
      <w:pPr>
        <w:spacing w:after="0" w:line="19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Method of Repayment; Conditions for Non-Recovery</w:t>
      </w:r>
    </w:p>
    <w:p>
      <w:pPr>
        <w:spacing w:after="0" w:line="199" w:lineRule="exact"/>
        <w:rPr>
          <w:sz w:val="20"/>
          <w:szCs w:val="20"/>
          <w:color w:val="auto"/>
        </w:rPr>
      </w:pPr>
    </w:p>
    <w:p>
      <w:pPr>
        <w:ind w:right="20"/>
        <w:spacing w:after="0" w:line="197" w:lineRule="auto"/>
        <w:rPr>
          <w:sz w:val="20"/>
          <w:szCs w:val="20"/>
          <w:color w:val="auto"/>
        </w:rPr>
      </w:pPr>
      <w:r>
        <w:rPr>
          <w:rFonts w:ascii="Calibri" w:cs="Calibri" w:eastAsia="Calibri" w:hAnsi="Calibri"/>
          <w:sz w:val="16"/>
          <w:szCs w:val="16"/>
          <w:color w:val="auto"/>
        </w:rPr>
        <w:t>The Board shall have discretion to determine the appropriate means of recovery of Excess Compensation, which may include, without limitation, direct payment in a lump sum from the Executive Officer, recovery over time, cancellation of outstanding awards, the reduction of future pay and/or awards, and/or any other method which the Board determines is advisable to achieve reasonably prompt recovery of Excess Compensation. At the direction of the Board, the Corporation shall take all actions reasonable and appropriate to recover Excess Compensation from any applicable Executive Officer, and such Executive Officer shall be required to reimburse the Corporation for any and all expenses reasonably incurred (including legal fees) by the Corporation in recovering such Excess Compensation in accordance with this Policy.</w:t>
      </w:r>
    </w:p>
    <w:p>
      <w:pPr>
        <w:spacing w:after="0" w:line="202" w:lineRule="exact"/>
        <w:rPr>
          <w:sz w:val="20"/>
          <w:szCs w:val="20"/>
          <w:color w:val="auto"/>
        </w:rPr>
      </w:pPr>
    </w:p>
    <w:p>
      <w:pPr>
        <w:ind w:right="20"/>
        <w:spacing w:after="0" w:line="201" w:lineRule="auto"/>
        <w:rPr>
          <w:sz w:val="20"/>
          <w:szCs w:val="20"/>
          <w:color w:val="auto"/>
        </w:rPr>
      </w:pPr>
      <w:r>
        <w:rPr>
          <w:rFonts w:ascii="Calibri" w:cs="Calibri" w:eastAsia="Calibri" w:hAnsi="Calibri"/>
          <w:sz w:val="16"/>
          <w:szCs w:val="16"/>
          <w:color w:val="auto"/>
        </w:rPr>
        <w:t>The Committee, or in the absence of the Committee, a majority of the independent directors on the Board, may determine that repayment of Excess Compensation (or a portion thereof) is not required only where it determines that recovery would be impracticable and one of the following circumstances exists: (i) the direct expense paid to a third party to assist in enforcing this Policy would exceed the amount to be recovered, provided the Corporation has (A) made a reasonable attempt to recover such Excess Compensation, (B) documented such reasonable attempt, and (C) provided such documentation to Nasdaq; (ii) recovery would violate home country law where the law was adopted</w:t>
      </w:r>
    </w:p>
    <w:p>
      <w:pPr>
        <w:sectPr>
          <w:pgSz w:w="11900" w:h="16840" w:orient="portrait"/>
          <w:cols w:equalWidth="0" w:num="1">
            <w:col w:w="10540"/>
          </w:cols>
          <w:pgMar w:left="660" w:top="1440" w:right="700" w:bottom="1440" w:gutter="0" w:footer="0" w:header="0"/>
        </w:sectPr>
      </w:pPr>
    </w:p>
    <w:bookmarkStart w:id="994" w:name="page995"/>
    <w:bookmarkEnd w:id="994"/>
    <w:p>
      <w:pPr>
        <w:spacing w:after="0" w:line="171" w:lineRule="exact"/>
        <w:rPr>
          <w:sz w:val="20"/>
          <w:szCs w:val="20"/>
          <w:color w:val="auto"/>
        </w:rPr>
      </w:pPr>
    </w:p>
    <w:p>
      <w:pPr>
        <w:spacing w:after="0" w:line="232" w:lineRule="auto"/>
        <w:rPr>
          <w:sz w:val="20"/>
          <w:szCs w:val="20"/>
          <w:color w:val="auto"/>
        </w:rPr>
      </w:pPr>
      <w:r>
        <w:rPr>
          <w:rFonts w:ascii="Calibri" w:cs="Calibri" w:eastAsia="Calibri" w:hAnsi="Calibri"/>
          <w:sz w:val="14"/>
          <w:szCs w:val="14"/>
          <w:color w:val="auto"/>
        </w:rPr>
        <w:t>prior to November 28, 2022, provided the Corporation has (A) obtained an opinion of home country counsel acceptable to Nasdaq that recovery would result in such violation and (B) provided such opinion to the Nasdaq; or (iii) recovery would likely cause an otherwise tax-qualified retirement plan, under which benefits are broadly available to employees of the Corporation, to fail to meet the requirements of 26 U.S.C. 401(a)(13) or 26 U.S.C. 411(a) and the regulations thereunder.</w:t>
      </w:r>
    </w:p>
    <w:p>
      <w:pPr>
        <w:spacing w:after="0" w:line="19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No Fault Application, No Indemnification</w:t>
      </w:r>
    </w:p>
    <w:p>
      <w:pPr>
        <w:spacing w:after="0" w:line="199" w:lineRule="exact"/>
        <w:rPr>
          <w:sz w:val="20"/>
          <w:szCs w:val="20"/>
          <w:color w:val="auto"/>
        </w:rPr>
      </w:pPr>
    </w:p>
    <w:p>
      <w:pPr>
        <w:ind w:right="160"/>
        <w:spacing w:after="0" w:line="203" w:lineRule="auto"/>
        <w:rPr>
          <w:sz w:val="20"/>
          <w:szCs w:val="20"/>
          <w:color w:val="auto"/>
        </w:rPr>
      </w:pPr>
      <w:r>
        <w:rPr>
          <w:rFonts w:ascii="Calibri" w:cs="Calibri" w:eastAsia="Calibri" w:hAnsi="Calibri"/>
          <w:sz w:val="16"/>
          <w:szCs w:val="16"/>
          <w:color w:val="auto"/>
        </w:rPr>
        <w:t>Recovery of Excess Compensation under this Policy is on a “no fault” basis, meaning that it will occur regardless of whether the Executive Officer engaged in misconduct or was otherwise directly or indirectly responsible, in whole or in part, for the Accounting Restatement. No Executive Officer may be indemnified by the Corporation, or any of its affiliates, from losses arising from the application of this Policy.</w:t>
      </w:r>
    </w:p>
    <w:p>
      <w:pPr>
        <w:spacing w:after="0" w:line="19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Definitions</w:t>
      </w:r>
    </w:p>
    <w:p>
      <w:pPr>
        <w:spacing w:after="0" w:line="191" w:lineRule="auto"/>
        <w:rPr>
          <w:sz w:val="20"/>
          <w:szCs w:val="20"/>
          <w:color w:val="auto"/>
        </w:rPr>
      </w:pPr>
      <w:r>
        <w:rPr>
          <w:rFonts w:ascii="Calibri" w:cs="Calibri" w:eastAsia="Calibri" w:hAnsi="Calibri"/>
          <w:sz w:val="16"/>
          <w:szCs w:val="16"/>
          <w:color w:val="auto"/>
        </w:rPr>
        <w:t>For purposes of this Policy, the following definitions will apply:</w:t>
      </w:r>
    </w:p>
    <w:p>
      <w:pPr>
        <w:spacing w:after="0" w:line="200" w:lineRule="exact"/>
        <w:rPr>
          <w:sz w:val="20"/>
          <w:szCs w:val="20"/>
          <w:color w:val="auto"/>
        </w:rPr>
      </w:pPr>
    </w:p>
    <w:p>
      <w:pPr>
        <w:ind w:left="580" w:right="40"/>
        <w:spacing w:after="0" w:line="200" w:lineRule="auto"/>
        <w:rPr>
          <w:sz w:val="20"/>
          <w:szCs w:val="20"/>
          <w:color w:val="auto"/>
        </w:rPr>
      </w:pPr>
      <w:r>
        <w:rPr>
          <w:rFonts w:ascii="Calibri" w:cs="Calibri" w:eastAsia="Calibri" w:hAnsi="Calibri"/>
          <w:sz w:val="16"/>
          <w:szCs w:val="16"/>
          <w:b w:val="1"/>
          <w:bCs w:val="1"/>
          <w:color w:val="auto"/>
        </w:rPr>
        <w:t xml:space="preserve">“Accounting Restatement” </w:t>
      </w:r>
      <w:r>
        <w:rPr>
          <w:rFonts w:ascii="Calibri" w:cs="Calibri" w:eastAsia="Calibri" w:hAnsi="Calibri"/>
          <w:sz w:val="16"/>
          <w:szCs w:val="16"/>
          <w:color w:val="auto"/>
        </w:rPr>
        <w:t>means an accounting restatement due to the material noncompliance of the Corporation with any financial reporting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201" w:lineRule="exact"/>
        <w:rPr>
          <w:sz w:val="20"/>
          <w:szCs w:val="20"/>
          <w:color w:val="auto"/>
        </w:rPr>
      </w:pPr>
    </w:p>
    <w:p>
      <w:pPr>
        <w:ind w:left="580"/>
        <w:spacing w:after="0" w:line="198" w:lineRule="auto"/>
        <w:rPr>
          <w:sz w:val="20"/>
          <w:szCs w:val="20"/>
          <w:color w:val="auto"/>
        </w:rPr>
      </w:pPr>
      <w:r>
        <w:rPr>
          <w:rFonts w:ascii="Calibri" w:cs="Calibri" w:eastAsia="Calibri" w:hAnsi="Calibri"/>
          <w:sz w:val="16"/>
          <w:szCs w:val="16"/>
          <w:color w:val="auto"/>
        </w:rPr>
        <w:t>Changes to financial statements that do not constitute an Accounting Restatement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(v) adjustments to provisional amounts in connection with a prior business combination; and (vi) revisions for stock splits, reverse stock splits, stock dividends, or other changes in capital structure.</w:t>
      </w:r>
    </w:p>
    <w:p>
      <w:pPr>
        <w:spacing w:after="0" w:line="203" w:lineRule="exact"/>
        <w:rPr>
          <w:sz w:val="20"/>
          <w:szCs w:val="20"/>
          <w:color w:val="auto"/>
        </w:rPr>
      </w:pPr>
    </w:p>
    <w:p>
      <w:pPr>
        <w:ind w:left="580" w:right="20"/>
        <w:spacing w:after="0" w:line="195" w:lineRule="auto"/>
        <w:rPr>
          <w:sz w:val="20"/>
          <w:szCs w:val="20"/>
          <w:color w:val="auto"/>
        </w:rPr>
      </w:pPr>
      <w:r>
        <w:rPr>
          <w:rFonts w:ascii="Calibri" w:cs="Calibri" w:eastAsia="Calibri" w:hAnsi="Calibri"/>
          <w:sz w:val="16"/>
          <w:szCs w:val="16"/>
          <w:b w:val="1"/>
          <w:bCs w:val="1"/>
          <w:color w:val="auto"/>
        </w:rPr>
        <w:t xml:space="preserve">“Excess Compensation” </w:t>
      </w:r>
      <w:r>
        <w:rPr>
          <w:rFonts w:ascii="Calibri" w:cs="Calibri" w:eastAsia="Calibri" w:hAnsi="Calibri"/>
          <w:sz w:val="16"/>
          <w:szCs w:val="16"/>
          <w:color w:val="auto"/>
        </w:rPr>
        <w:t>means any amount of Incentive-Based Compensation received by an Executive Officer after commencement of service as an</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Executive Officer that exceeds the amount of Incentive-Based Compensation that otherwise would have been received had it been determined based on the Accounting Restatement, computed without regard to any taxes and social security paid. For Incentive Compensation based on stock or American Depositary Share (“</w:t>
      </w:r>
      <w:r>
        <w:rPr>
          <w:rFonts w:ascii="Calibri" w:cs="Calibri" w:eastAsia="Calibri" w:hAnsi="Calibri"/>
          <w:sz w:val="16"/>
          <w:szCs w:val="16"/>
          <w:b w:val="1"/>
          <w:bCs w:val="1"/>
          <w:color w:val="auto"/>
        </w:rPr>
        <w:t>ADS</w:t>
      </w:r>
      <w:r>
        <w:rPr>
          <w:rFonts w:ascii="Calibri" w:cs="Calibri" w:eastAsia="Calibri" w:hAnsi="Calibri"/>
          <w:sz w:val="16"/>
          <w:szCs w:val="16"/>
          <w:color w:val="auto"/>
        </w:rPr>
        <w:t>”)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or ADS price or total shareholder return, as applicable, and the Corporation shall retain documentation of the determination of such estimate and provide such documentation to Nasdaq if so required by the Applicable Rules. Incentive-Based Compensation is deemed received during the fiscal year during which the applicable financial reporting measure, stock or ADS price and/or total shareholder return measure, upon which the payment is based, is achieved, even if the grant or payment occurs after the end of such period.</w:t>
      </w:r>
    </w:p>
    <w:p>
      <w:pPr>
        <w:spacing w:after="0" w:line="204" w:lineRule="exact"/>
        <w:rPr>
          <w:sz w:val="20"/>
          <w:szCs w:val="20"/>
          <w:color w:val="auto"/>
        </w:rPr>
      </w:pPr>
    </w:p>
    <w:p>
      <w:pPr>
        <w:ind w:left="580" w:right="80"/>
        <w:spacing w:after="0" w:line="203" w:lineRule="auto"/>
        <w:rPr>
          <w:sz w:val="20"/>
          <w:szCs w:val="20"/>
          <w:color w:val="auto"/>
        </w:rPr>
      </w:pPr>
      <w:r>
        <w:rPr>
          <w:rFonts w:ascii="Calibri" w:cs="Calibri" w:eastAsia="Calibri" w:hAnsi="Calibri"/>
          <w:sz w:val="16"/>
          <w:szCs w:val="16"/>
          <w:b w:val="1"/>
          <w:bCs w:val="1"/>
          <w:color w:val="auto"/>
        </w:rPr>
        <w:t xml:space="preserve">“Executive Officer” </w:t>
      </w:r>
      <w:r>
        <w:rPr>
          <w:rFonts w:ascii="Calibri" w:cs="Calibri" w:eastAsia="Calibri" w:hAnsi="Calibri"/>
          <w:sz w:val="16"/>
          <w:szCs w:val="16"/>
          <w:color w:val="auto"/>
        </w:rPr>
        <w:t>means an individual who is, or was during the Look-Back Period, an executive officer of the Corporation within the meaning of Rule 10D-1(d) under the Act. A determination that an individual is an Executive Officer for the purposes of this Policy shall not imply that she or he is an “executive officer” of the Corporation with respect to any other requirement of applicable law.</w:t>
      </w:r>
    </w:p>
    <w:p>
      <w:pPr>
        <w:spacing w:after="0" w:line="200" w:lineRule="exact"/>
        <w:rPr>
          <w:sz w:val="20"/>
          <w:szCs w:val="20"/>
          <w:color w:val="auto"/>
        </w:rPr>
      </w:pPr>
    </w:p>
    <w:p>
      <w:pPr>
        <w:spacing w:after="0" w:line="229" w:lineRule="exact"/>
        <w:rPr>
          <w:sz w:val="20"/>
          <w:szCs w:val="20"/>
          <w:color w:val="auto"/>
        </w:rPr>
      </w:pPr>
    </w:p>
    <w:p>
      <w:pPr>
        <w:jc w:val="both"/>
        <w:ind w:left="580" w:right="20"/>
        <w:spacing w:after="0" w:line="203" w:lineRule="auto"/>
        <w:rPr>
          <w:sz w:val="20"/>
          <w:szCs w:val="20"/>
          <w:color w:val="auto"/>
        </w:rPr>
      </w:pPr>
      <w:r>
        <w:rPr>
          <w:rFonts w:ascii="Calibri" w:cs="Calibri" w:eastAsia="Calibri" w:hAnsi="Calibri"/>
          <w:sz w:val="16"/>
          <w:szCs w:val="16"/>
          <w:b w:val="1"/>
          <w:bCs w:val="1"/>
          <w:color w:val="auto"/>
        </w:rPr>
        <w:t xml:space="preserve">“Incentive-Based Compensation” </w:t>
      </w:r>
      <w:r>
        <w:rPr>
          <w:rFonts w:ascii="Calibri" w:cs="Calibri" w:eastAsia="Calibri" w:hAnsi="Calibri"/>
          <w:sz w:val="16"/>
          <w:szCs w:val="16"/>
          <w:color w:val="auto"/>
        </w:rPr>
        <w:t>means any compensation that is granted, earned or vested based wholly or in part on stock or ADS price, total shareholder</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return, and/or the attainment of (i) any financial reporting measure(s) that are determined and presented in accordance with the accounting principles used in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Calibri" w:cs="Calibri" w:eastAsia="Calibri" w:hAnsi="Calibri"/>
          <w:sz w:val="13"/>
          <w:szCs w:val="13"/>
          <w:color w:val="auto"/>
        </w:rPr>
        <w:t>- 2 -</w:t>
      </w:r>
    </w:p>
    <w:p>
      <w:pPr>
        <w:sectPr>
          <w:pgSz w:w="11900" w:h="16840" w:orient="portrait"/>
          <w:cols w:equalWidth="0" w:num="1">
            <w:col w:w="10540"/>
          </w:cols>
          <w:pgMar w:left="660" w:top="1440" w:right="700" w:bottom="1440" w:gutter="0" w:footer="0" w:header="0"/>
        </w:sectPr>
      </w:pPr>
    </w:p>
    <w:bookmarkStart w:id="995" w:name="page996"/>
    <w:bookmarkEnd w:id="995"/>
    <w:p>
      <w:pPr>
        <w:spacing w:after="0" w:line="161" w:lineRule="exact"/>
        <w:rPr>
          <w:sz w:val="20"/>
          <w:szCs w:val="20"/>
          <w:color w:val="auto"/>
        </w:rPr>
      </w:pPr>
    </w:p>
    <w:p>
      <w:pPr>
        <w:ind w:left="580"/>
        <w:spacing w:after="0"/>
        <w:rPr>
          <w:sz w:val="20"/>
          <w:szCs w:val="20"/>
          <w:color w:val="auto"/>
        </w:rPr>
      </w:pPr>
      <w:r>
        <w:rPr>
          <w:rFonts w:ascii="Calibri" w:cs="Calibri" w:eastAsia="Calibri" w:hAnsi="Calibri"/>
          <w:sz w:val="16"/>
          <w:szCs w:val="16"/>
          <w:color w:val="auto"/>
        </w:rPr>
        <w:t>preparing the Corporation’s financial statements and/or (ii) any other measures that are derived in whole or in part from such measures.</w:t>
      </w:r>
    </w:p>
    <w:p>
      <w:pPr>
        <w:spacing w:after="0" w:line="199" w:lineRule="exact"/>
        <w:rPr>
          <w:sz w:val="20"/>
          <w:szCs w:val="20"/>
          <w:color w:val="auto"/>
        </w:rPr>
      </w:pPr>
    </w:p>
    <w:p>
      <w:pPr>
        <w:ind w:left="580"/>
        <w:spacing w:after="0" w:line="200" w:lineRule="auto"/>
        <w:rPr>
          <w:sz w:val="20"/>
          <w:szCs w:val="20"/>
          <w:color w:val="auto"/>
        </w:rPr>
      </w:pPr>
      <w:r>
        <w:rPr>
          <w:rFonts w:ascii="Calibri" w:cs="Calibri" w:eastAsia="Calibri" w:hAnsi="Calibri"/>
          <w:sz w:val="16"/>
          <w:szCs w:val="16"/>
          <w:color w:val="auto"/>
        </w:rPr>
        <w:t>Compensation that does not constitute “Incentive-Based Compensation” includes equity incentive awards for which the grant is not contingent upon achieving any financial reporting measure performance goal for an individual to receive such award and that vest exclusively upon completion of a specified employment period, without any performance condition, and bonus awards that are discretionary or based on subjective goals or goals unrelated to financial reporting measures.</w:t>
      </w:r>
    </w:p>
    <w:p>
      <w:pPr>
        <w:spacing w:after="0" w:line="19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Administration, Amendment, and Termination</w:t>
      </w:r>
    </w:p>
    <w:p>
      <w:pPr>
        <w:spacing w:after="0" w:line="199" w:lineRule="exact"/>
        <w:rPr>
          <w:sz w:val="20"/>
          <w:szCs w:val="20"/>
          <w:color w:val="auto"/>
        </w:rPr>
      </w:pPr>
    </w:p>
    <w:p>
      <w:pPr>
        <w:ind w:right="80"/>
        <w:spacing w:after="0" w:line="209" w:lineRule="auto"/>
        <w:rPr>
          <w:sz w:val="20"/>
          <w:szCs w:val="20"/>
          <w:color w:val="auto"/>
        </w:rPr>
      </w:pPr>
      <w:r>
        <w:rPr>
          <w:rFonts w:ascii="Calibri" w:cs="Calibri" w:eastAsia="Calibri" w:hAnsi="Calibri"/>
          <w:sz w:val="16"/>
          <w:szCs w:val="16"/>
          <w:color w:val="auto"/>
        </w:rPr>
        <w:t>This Policy will be enforced and, if applicable, appropriate proxy disclosures and exhibit filings will be made in accordance with the Applicable Rules. The terms of this policy shall be construed and/or enforced in accordance with the Applicable Rules.</w:t>
      </w:r>
    </w:p>
    <w:p>
      <w:pPr>
        <w:spacing w:after="0" w:line="200" w:lineRule="exact"/>
        <w:rPr>
          <w:sz w:val="20"/>
          <w:szCs w:val="20"/>
          <w:color w:val="auto"/>
        </w:rPr>
      </w:pPr>
    </w:p>
    <w:p>
      <w:pPr>
        <w:ind w:right="440"/>
        <w:spacing w:after="0" w:line="209" w:lineRule="auto"/>
        <w:rPr>
          <w:sz w:val="20"/>
          <w:szCs w:val="20"/>
          <w:color w:val="auto"/>
        </w:rPr>
      </w:pPr>
      <w:r>
        <w:rPr>
          <w:rFonts w:ascii="Calibri" w:cs="Calibri" w:eastAsia="Calibri" w:hAnsi="Calibri"/>
          <w:sz w:val="16"/>
          <w:szCs w:val="16"/>
          <w:color w:val="auto"/>
        </w:rPr>
        <w:t>The Board shall have authority to (i) exercise all of the powers granted to it under the Policy, (ii) construe, interpret, and implement this Policy, and (iii) make all determinations necessary or advisable in administering this Policy.</w:t>
      </w:r>
    </w:p>
    <w:p>
      <w:pPr>
        <w:spacing w:after="0" w:line="200" w:lineRule="exact"/>
        <w:rPr>
          <w:sz w:val="20"/>
          <w:szCs w:val="20"/>
          <w:color w:val="auto"/>
        </w:rPr>
      </w:pPr>
    </w:p>
    <w:p>
      <w:pPr>
        <w:ind w:right="160"/>
        <w:spacing w:after="0" w:line="200" w:lineRule="auto"/>
        <w:rPr>
          <w:sz w:val="20"/>
          <w:szCs w:val="20"/>
          <w:color w:val="auto"/>
        </w:rPr>
      </w:pPr>
      <w:r>
        <w:rPr>
          <w:rFonts w:ascii="Calibri" w:cs="Calibri" w:eastAsia="Calibri" w:hAnsi="Calibri"/>
          <w:sz w:val="16"/>
          <w:szCs w:val="16"/>
          <w:color w:val="auto"/>
        </w:rPr>
        <w:t>In addition, the Board may amend this Policy from time to time in its discretion, and shall amend this Policy as it deems necessary, including to reflect changes in applicable law. The Board may terminate this Policy at any time in accordance with the Applicable Rules. Any such amendment (or provision thereof) or termination shall not be effective if such amendment or termination would (after taking into account any actions taken by the Corporation contemporaneously with such amendment or termination) cause the Corporation to violate the Applicable Rules.</w:t>
      </w:r>
    </w:p>
    <w:p>
      <w:pPr>
        <w:spacing w:after="0" w:line="201" w:lineRule="exact"/>
        <w:rPr>
          <w:sz w:val="20"/>
          <w:szCs w:val="20"/>
          <w:color w:val="auto"/>
        </w:rPr>
      </w:pPr>
    </w:p>
    <w:p>
      <w:pPr>
        <w:jc w:val="both"/>
        <w:ind w:right="100"/>
        <w:spacing w:after="0" w:line="203" w:lineRule="auto"/>
        <w:rPr>
          <w:sz w:val="20"/>
          <w:szCs w:val="20"/>
          <w:color w:val="auto"/>
        </w:rPr>
      </w:pPr>
      <w:r>
        <w:rPr>
          <w:rFonts w:ascii="Calibri" w:cs="Calibri" w:eastAsia="Calibri" w:hAnsi="Calibri"/>
          <w:sz w:val="16"/>
          <w:szCs w:val="16"/>
          <w:color w:val="auto"/>
        </w:rPr>
        <w:t>The terms contained in this Policy are intended to be construed in addition to any terms contained in any Executive Officer employment or service agreement. In the event of any conflict or inconsistency between this Policy and any other policies, plans, or other materials of the Corporation (including any agreement between the Corporation and any Executive Officer subject to this Policy), this Policy will govern.</w:t>
      </w:r>
    </w:p>
    <w:p>
      <w:pPr>
        <w:spacing w:after="0" w:line="201" w:lineRule="exact"/>
        <w:rPr>
          <w:sz w:val="20"/>
          <w:szCs w:val="20"/>
          <w:color w:val="auto"/>
        </w:rPr>
      </w:pPr>
    </w:p>
    <w:p>
      <w:pPr>
        <w:ind w:right="60"/>
        <w:spacing w:after="0" w:line="209" w:lineRule="auto"/>
        <w:rPr>
          <w:sz w:val="20"/>
          <w:szCs w:val="20"/>
          <w:color w:val="auto"/>
        </w:rPr>
      </w:pPr>
      <w:r>
        <w:rPr>
          <w:rFonts w:ascii="Calibri" w:cs="Calibri" w:eastAsia="Calibri" w:hAnsi="Calibri"/>
          <w:sz w:val="16"/>
          <w:szCs w:val="16"/>
          <w:color w:val="auto"/>
        </w:rPr>
        <w:t>This Policy will be deemed to be automatically updated to incorporate any requirement of law, the SEC, exchange listing standard, rule or regulation applicable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3"/>
          <w:szCs w:val="13"/>
          <w:color w:val="auto"/>
        </w:rPr>
        <w:t>- 3 -</w:t>
      </w:r>
    </w:p>
    <w:p>
      <w:pPr>
        <w:sectPr>
          <w:pgSz w:w="11900" w:h="16840" w:orient="portrait"/>
          <w:cols w:equalWidth="0" w:num="1">
            <w:col w:w="10540"/>
          </w:cols>
          <w:pgMar w:left="660" w:top="1440" w:right="700" w:bottom="1440" w:gutter="0" w:footer="0" w:header="0"/>
        </w:sectPr>
      </w:pPr>
    </w:p>
    <w:bookmarkStart w:id="996" w:name="page997"/>
    <w:bookmarkEnd w:id="996"/>
    <w:p>
      <w:pPr>
        <w:spacing w:after="0" w:line="159" w:lineRule="exact"/>
        <w:rPr>
          <w:sz w:val="20"/>
          <w:szCs w:val="20"/>
          <w:color w:val="auto"/>
        </w:rPr>
      </w:pPr>
    </w:p>
    <w:p>
      <w:pPr>
        <w:jc w:val="center"/>
        <w:ind w:right="-139"/>
        <w:spacing w:after="0"/>
        <w:rPr>
          <w:sz w:val="20"/>
          <w:szCs w:val="20"/>
          <w:color w:val="auto"/>
        </w:rPr>
      </w:pPr>
      <w:r>
        <w:rPr>
          <w:rFonts w:ascii="Calibri" w:cs="Calibri" w:eastAsia="Calibri" w:hAnsi="Calibri"/>
          <w:sz w:val="19"/>
          <w:szCs w:val="19"/>
          <w:b w:val="1"/>
          <w:bCs w:val="1"/>
          <w:color w:val="auto"/>
        </w:rPr>
        <w:t>Appendix A:</w:t>
      </w:r>
    </w:p>
    <w:p>
      <w:pPr>
        <w:spacing w:after="0" w:line="188" w:lineRule="exact"/>
        <w:rPr>
          <w:sz w:val="20"/>
          <w:szCs w:val="20"/>
          <w:color w:val="auto"/>
        </w:rPr>
      </w:pPr>
    </w:p>
    <w:p>
      <w:pPr>
        <w:jc w:val="center"/>
        <w:ind w:right="-139"/>
        <w:spacing w:after="0"/>
        <w:rPr>
          <w:sz w:val="20"/>
          <w:szCs w:val="20"/>
          <w:color w:val="auto"/>
        </w:rPr>
      </w:pPr>
      <w:r>
        <w:rPr>
          <w:rFonts w:ascii="Calibri" w:cs="Calibri" w:eastAsia="Calibri" w:hAnsi="Calibri"/>
          <w:sz w:val="19"/>
          <w:szCs w:val="19"/>
          <w:b w:val="1"/>
          <w:bCs w:val="1"/>
          <w:color w:val="auto"/>
        </w:rPr>
        <w:t>BioNTech SE</w:t>
      </w:r>
    </w:p>
    <w:p>
      <w:pPr>
        <w:jc w:val="center"/>
        <w:ind w:right="-159"/>
        <w:spacing w:after="0" w:line="205" w:lineRule="auto"/>
        <w:rPr>
          <w:sz w:val="20"/>
          <w:szCs w:val="20"/>
          <w:color w:val="auto"/>
        </w:rPr>
      </w:pPr>
      <w:r>
        <w:rPr>
          <w:rFonts w:ascii="Calibri" w:cs="Calibri" w:eastAsia="Calibri" w:hAnsi="Calibri"/>
          <w:sz w:val="18"/>
          <w:szCs w:val="18"/>
          <w:b w:val="1"/>
          <w:bCs w:val="1"/>
          <w:color w:val="auto"/>
        </w:rPr>
        <w:t>Compensation Clawback Policy</w:t>
      </w:r>
    </w:p>
    <w:p>
      <w:pPr>
        <w:spacing w:after="0" w:line="189"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ACKNOWLEDGMENT</w:t>
      </w:r>
    </w:p>
    <w:p>
      <w:pPr>
        <w:spacing w:after="0" w:line="193" w:lineRule="exact"/>
        <w:rPr>
          <w:sz w:val="20"/>
          <w:szCs w:val="20"/>
          <w:color w:val="auto"/>
        </w:rPr>
      </w:pPr>
    </w:p>
    <w:p>
      <w:pPr>
        <w:spacing w:after="0" w:line="200" w:lineRule="auto"/>
        <w:rPr>
          <w:sz w:val="20"/>
          <w:szCs w:val="20"/>
          <w:color w:val="auto"/>
        </w:rPr>
      </w:pPr>
      <w:r>
        <w:rPr>
          <w:rFonts w:ascii="Calibri" w:cs="Calibri" w:eastAsia="Calibri" w:hAnsi="Calibri"/>
          <w:sz w:val="16"/>
          <w:szCs w:val="16"/>
          <w:color w:val="auto"/>
        </w:rPr>
        <w:t>The undersigned acknowledges and agrees that the undersigned (i) is, and will be, subject to the Compensation Clawback Policy (the “Policy”) to which this acknowledgement is appended with respect to any Incentive-Based Compensation received on or after October 2, 2023, and (ii) will abide by the terms of the Policy, including by returning Excess Compensation (as defined in the Compensation Clawback Policy) pursuant to whatever method the Board determines is advisable to achieve reasonably prompt recovery of such Excess Compensation, as prescribed under the Policy.</w:t>
      </w:r>
    </w:p>
    <w:p>
      <w:pPr>
        <w:spacing w:after="0" w:line="191" w:lineRule="exact"/>
        <w:rPr>
          <w:sz w:val="20"/>
          <w:szCs w:val="20"/>
          <w:color w:val="auto"/>
        </w:rPr>
      </w:pPr>
    </w:p>
    <w:p>
      <w:pPr>
        <w:spacing w:after="0"/>
        <w:rPr>
          <w:sz w:val="20"/>
          <w:szCs w:val="20"/>
          <w:color w:val="auto"/>
        </w:rPr>
      </w:pPr>
      <w:r>
        <w:rPr>
          <w:rFonts w:ascii="Calibri" w:cs="Calibri" w:eastAsia="Calibri" w:hAnsi="Calibri"/>
          <w:sz w:val="16"/>
          <w:szCs w:val="16"/>
          <w:color w:val="auto"/>
        </w:rPr>
        <w:t>Capitalized terms used but not defined have the meanings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Calibri" w:cs="Calibri" w:eastAsia="Calibri" w:hAnsi="Calibri"/>
          <w:sz w:val="16"/>
          <w:szCs w:val="16"/>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Calibri" w:cs="Calibri" w:eastAsia="Calibri" w:hAnsi="Calibri"/>
          <w:sz w:val="16"/>
          <w:szCs w:val="16"/>
          <w:color w:val="auto"/>
        </w:rPr>
        <w:t>Signature</w:t>
      </w:r>
    </w:p>
    <w:p>
      <w:pPr>
        <w:spacing w:after="0" w:line="321" w:lineRule="exact"/>
        <w:rPr>
          <w:sz w:val="20"/>
          <w:szCs w:val="20"/>
          <w:color w:val="auto"/>
        </w:rPr>
      </w:pPr>
    </w:p>
    <w:p>
      <w:pPr>
        <w:ind w:left="3480"/>
        <w:spacing w:after="0"/>
        <w:rPr>
          <w:sz w:val="20"/>
          <w:szCs w:val="20"/>
          <w:color w:val="auto"/>
        </w:rPr>
      </w:pPr>
      <w:r>
        <w:rPr>
          <w:rFonts w:ascii="Calibri" w:cs="Calibri" w:eastAsia="Calibri" w:hAnsi="Calibri"/>
          <w:sz w:val="16"/>
          <w:szCs w:val="16"/>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Calibri" w:cs="Calibri" w:eastAsia="Calibri" w:hAnsi="Calibri"/>
          <w:sz w:val="13"/>
          <w:szCs w:val="13"/>
          <w:color w:val="auto"/>
        </w:rPr>
        <w:t>- 4 -</w:t>
      </w:r>
    </w:p>
    <w:p>
      <w:pPr>
        <w:sectPr>
          <w:pgSz w:w="11900" w:h="16840" w:orient="portrait"/>
          <w:cols w:equalWidth="0" w:num="1">
            <w:col w:w="10420"/>
          </w:cols>
          <w:pgMar w:left="660" w:top="1440" w:right="820" w:bottom="1440" w:gutter="0" w:footer="0" w:header="0"/>
        </w:sectPr>
      </w:pPr>
    </w:p>
    <w:bookmarkStart w:id="997" w:name="page998"/>
    <w:bookmarkEnd w:id="99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BF876EE"/>
    <w:multiLevelType w:val="hybridMultilevel"/>
    <w:lvl w:ilvl="0">
      <w:lvlJc w:val="left"/>
      <w:lvlText w:val="☐"/>
      <w:numFmt w:val="bullet"/>
      <w:start w:val="1"/>
    </w:lvl>
  </w:abstractNum>
  <w:abstractNum w:abstractNumId="1">
    <w:nsid w:val="675ADBA"/>
    <w:multiLevelType w:val="hybridMultilevel"/>
    <w:lvl w:ilvl="0">
      <w:lvlJc w:val="left"/>
      <w:lvlText w:val="☒"/>
      <w:numFmt w:val="bullet"/>
      <w:start w:val="1"/>
    </w:lvl>
  </w:abstractNum>
  <w:abstractNum w:abstractNumId="2">
    <w:nsid w:val="C12AC7F"/>
    <w:multiLevelType w:val="hybridMultilevel"/>
    <w:lvl w:ilvl="0">
      <w:lvlJc w:val="left"/>
      <w:lvlText w:val="☐"/>
      <w:numFmt w:val="bullet"/>
      <w:start w:val="1"/>
    </w:lvl>
  </w:abstractNum>
  <w:abstractNum w:abstractNumId="3">
    <w:nsid w:val="6798F039"/>
    <w:multiLevelType w:val="hybridMultilevel"/>
    <w:lvl w:ilvl="0">
      <w:lvlJc w:val="left"/>
      <w:lvlText w:val="☐"/>
      <w:numFmt w:val="bullet"/>
      <w:start w:val="1"/>
    </w:lvl>
  </w:abstractNum>
  <w:abstractNum w:abstractNumId="4">
    <w:nsid w:val="70837C02"/>
    <w:multiLevelType w:val="hybridMultilevel"/>
    <w:lvl w:ilvl="0">
      <w:lvlJc w:val="left"/>
      <w:lvlText w:val="*"/>
      <w:numFmt w:val="bullet"/>
      <w:start w:val="1"/>
    </w:lvl>
  </w:abstractNum>
  <w:abstractNum w:abstractNumId="5">
    <w:nsid w:val="7E4A5715"/>
    <w:multiLevelType w:val="hybridMultilevel"/>
    <w:lvl w:ilvl="0">
      <w:lvlJc w:val="left"/>
      <w:lvlText w:val="•"/>
      <w:numFmt w:val="bullet"/>
      <w:start w:val="1"/>
    </w:lvl>
  </w:abstractNum>
  <w:abstractNum w:abstractNumId="6">
    <w:nsid w:val="42B8AC67"/>
    <w:multiLevelType w:val="hybridMultilevel"/>
    <w:lvl w:ilvl="0">
      <w:lvlJc w:val="left"/>
      <w:lvlText w:val="•"/>
      <w:numFmt w:val="bullet"/>
      <w:start w:val="1"/>
    </w:lvl>
  </w:abstractNum>
  <w:abstractNum w:abstractNumId="7">
    <w:nsid w:val="246348EA"/>
    <w:multiLevelType w:val="hybridMultilevel"/>
    <w:lvl w:ilvl="0">
      <w:lvlJc w:val="left"/>
      <w:lvlText w:val="%1."/>
      <w:numFmt w:val="upperLetter"/>
      <w:start w:val="1"/>
    </w:lvl>
  </w:abstractNum>
  <w:abstractNum w:abstractNumId="8">
    <w:nsid w:val="170EB52B"/>
    <w:multiLevelType w:val="hybridMultilevel"/>
    <w:lvl w:ilvl="0">
      <w:lvlJc w:val="left"/>
      <w:lvlText w:val="•"/>
      <w:numFmt w:val="bullet"/>
      <w:start w:val="1"/>
    </w:lvl>
  </w:abstractNum>
  <w:abstractNum w:abstractNumId="9">
    <w:nsid w:val="2DFBCB8C"/>
    <w:multiLevelType w:val="hybridMultilevel"/>
    <w:lvl w:ilvl="0">
      <w:lvlJc w:val="left"/>
      <w:lvlText w:val="•"/>
      <w:numFmt w:val="bullet"/>
      <w:start w:val="1"/>
    </w:lvl>
  </w:abstractNum>
  <w:abstractNum w:abstractNumId="10">
    <w:nsid w:val="3830D6B6"/>
    <w:multiLevelType w:val="hybridMultilevel"/>
    <w:lvl w:ilvl="0">
      <w:lvlJc w:val="left"/>
      <w:lvlText w:val="•"/>
      <w:numFmt w:val="bullet"/>
      <w:start w:val="1"/>
    </w:lvl>
  </w:abstractNum>
  <w:abstractNum w:abstractNumId="11">
    <w:nsid w:val="6D48CF87"/>
    <w:multiLevelType w:val="hybridMultilevel"/>
    <w:lvl w:ilvl="0">
      <w:lvlJc w:val="left"/>
      <w:lvlText w:val="•"/>
      <w:numFmt w:val="bullet"/>
      <w:start w:val="1"/>
    </w:lvl>
  </w:abstractNum>
  <w:abstractNum w:abstractNumId="12">
    <w:nsid w:val="576FC41B"/>
    <w:multiLevelType w:val="hybridMultilevel"/>
    <w:lvl w:ilvl="0">
      <w:lvlJc w:val="left"/>
      <w:lvlText w:val="•"/>
      <w:numFmt w:val="bullet"/>
      <w:start w:val="1"/>
    </w:lvl>
  </w:abstractNum>
  <w:abstractNum w:abstractNumId="13">
    <w:nsid w:val="64A1C464"/>
    <w:multiLevelType w:val="hybridMultilevel"/>
    <w:lvl w:ilvl="0">
      <w:lvlJc w:val="left"/>
      <w:lvlText w:val="•"/>
      <w:numFmt w:val="bullet"/>
      <w:start w:val="1"/>
    </w:lvl>
  </w:abstractNum>
  <w:abstractNum w:abstractNumId="14">
    <w:nsid w:val="31723BF5"/>
    <w:multiLevelType w:val="hybridMultilevel"/>
    <w:lvl w:ilvl="0">
      <w:lvlJc w:val="left"/>
      <w:lvlText w:val="•"/>
      <w:numFmt w:val="bullet"/>
      <w:start w:val="1"/>
    </w:lvl>
  </w:abstractNum>
  <w:abstractNum w:abstractNumId="15">
    <w:nsid w:val="11F69861"/>
    <w:multiLevelType w:val="hybridMultilevel"/>
    <w:lvl w:ilvl="0">
      <w:lvlJc w:val="left"/>
      <w:lvlText w:val="•"/>
      <w:numFmt w:val="bullet"/>
      <w:start w:val="1"/>
    </w:lvl>
  </w:abstractNum>
  <w:abstractNum w:abstractNumId="16">
    <w:nsid w:val="369956AB"/>
    <w:multiLevelType w:val="hybridMultilevel"/>
    <w:lvl w:ilvl="0">
      <w:lvlJc w:val="left"/>
      <w:lvlText w:val="•"/>
      <w:numFmt w:val="bullet"/>
      <w:start w:val="1"/>
    </w:lvl>
  </w:abstractNum>
  <w:abstractNum w:abstractNumId="17">
    <w:nsid w:val="D3BE41C"/>
    <w:multiLevelType w:val="hybridMultilevel"/>
    <w:lvl w:ilvl="0">
      <w:lvlJc w:val="left"/>
      <w:lvlText w:val="•"/>
      <w:numFmt w:val="bullet"/>
      <w:start w:val="1"/>
    </w:lvl>
  </w:abstractNum>
  <w:abstractNum w:abstractNumId="18">
    <w:nsid w:val="4CDA15E7"/>
    <w:multiLevelType w:val="hybridMultilevel"/>
    <w:lvl w:ilvl="0">
      <w:lvlJc w:val="left"/>
      <w:lvlText w:val="•"/>
      <w:numFmt w:val="bullet"/>
      <w:start w:val="1"/>
    </w:lvl>
  </w:abstractNum>
  <w:abstractNum w:abstractNumId="19">
    <w:nsid w:val="7BDD6690"/>
    <w:multiLevelType w:val="hybridMultilevel"/>
    <w:lvl w:ilvl="0">
      <w:lvlJc w:val="left"/>
      <w:lvlText w:val="•"/>
      <w:numFmt w:val="bullet"/>
      <w:start w:val="1"/>
    </w:lvl>
  </w:abstractNum>
  <w:abstractNum w:abstractNumId="20">
    <w:nsid w:val="DFB5C5B"/>
    <w:multiLevelType w:val="hybridMultilevel"/>
    <w:lvl w:ilvl="0">
      <w:lvlJc w:val="left"/>
      <w:lvlText w:val="•"/>
      <w:numFmt w:val="bullet"/>
      <w:start w:val="1"/>
    </w:lvl>
  </w:abstractNum>
  <w:abstractNum w:abstractNumId="21">
    <w:nsid w:val="6F3E5490"/>
    <w:multiLevelType w:val="hybridMultilevel"/>
    <w:lvl w:ilvl="0">
      <w:lvlJc w:val="left"/>
      <w:lvlText w:val="•"/>
      <w:numFmt w:val="bullet"/>
      <w:start w:val="1"/>
    </w:lvl>
  </w:abstractNum>
  <w:abstractNum w:abstractNumId="22">
    <w:nsid w:val="1464BE1E"/>
    <w:multiLevelType w:val="hybridMultilevel"/>
    <w:lvl w:ilvl="0">
      <w:lvlJc w:val="left"/>
      <w:lvlText w:val="•"/>
      <w:numFmt w:val="bullet"/>
      <w:start w:val="1"/>
    </w:lvl>
  </w:abstractNum>
  <w:abstractNum w:abstractNumId="23">
    <w:nsid w:val="66BBB7E5"/>
    <w:multiLevelType w:val="hybridMultilevel"/>
    <w:lvl w:ilvl="0">
      <w:lvlJc w:val="left"/>
      <w:lvlText w:val="•"/>
      <w:numFmt w:val="bullet"/>
      <w:start w:val="1"/>
    </w:lvl>
  </w:abstractNum>
  <w:abstractNum w:abstractNumId="24">
    <w:nsid w:val="28168302"/>
    <w:multiLevelType w:val="hybridMultilevel"/>
    <w:lvl w:ilvl="0">
      <w:lvlJc w:val="left"/>
      <w:lvlText w:val="•"/>
      <w:numFmt w:val="bullet"/>
      <w:start w:val="1"/>
    </w:lvl>
  </w:abstractNum>
  <w:abstractNum w:abstractNumId="25">
    <w:nsid w:val="32A5C7A8"/>
    <w:multiLevelType w:val="hybridMultilevel"/>
    <w:lvl w:ilvl="0">
      <w:lvlJc w:val="left"/>
      <w:lvlText w:val="•"/>
      <w:numFmt w:val="bullet"/>
      <w:start w:val="1"/>
    </w:lvl>
  </w:abstractNum>
  <w:abstractNum w:abstractNumId="26">
    <w:nsid w:val="3A541011"/>
    <w:multiLevelType w:val="hybridMultilevel"/>
    <w:lvl w:ilvl="0">
      <w:lvlJc w:val="left"/>
      <w:lvlText w:val="•"/>
      <w:numFmt w:val="bullet"/>
      <w:start w:val="1"/>
    </w:lvl>
  </w:abstractNum>
  <w:abstractNum w:abstractNumId="27">
    <w:nsid w:val="4423C777"/>
    <w:multiLevelType w:val="hybridMultilevel"/>
    <w:lvl w:ilvl="0">
      <w:lvlJc w:val="left"/>
      <w:lvlText w:val="•"/>
      <w:numFmt w:val="bullet"/>
      <w:start w:val="1"/>
    </w:lvl>
  </w:abstractNum>
  <w:abstractNum w:abstractNumId="28">
    <w:nsid w:val="5F5C6E4D"/>
    <w:multiLevelType w:val="hybridMultilevel"/>
    <w:lvl w:ilvl="0">
      <w:lvlJc w:val="left"/>
      <w:lvlText w:val="•"/>
      <w:numFmt w:val="bullet"/>
      <w:start w:val="1"/>
    </w:lvl>
  </w:abstractNum>
  <w:abstractNum w:abstractNumId="29">
    <w:nsid w:val="7C2A56CD"/>
    <w:multiLevelType w:val="hybridMultilevel"/>
    <w:lvl w:ilvl="0">
      <w:lvlJc w:val="left"/>
      <w:lvlText w:val="•"/>
      <w:numFmt w:val="bullet"/>
      <w:start w:val="1"/>
    </w:lvl>
  </w:abstractNum>
  <w:abstractNum w:abstractNumId="30">
    <w:nsid w:val="7AB86EE1"/>
    <w:multiLevelType w:val="hybridMultilevel"/>
    <w:lvl w:ilvl="0">
      <w:lvlJc w:val="left"/>
      <w:lvlText w:val="•"/>
      <w:numFmt w:val="bullet"/>
      <w:start w:val="1"/>
    </w:lvl>
  </w:abstractNum>
  <w:abstractNum w:abstractNumId="31">
    <w:nsid w:val="B54E53B"/>
    <w:multiLevelType w:val="hybridMultilevel"/>
    <w:lvl w:ilvl="0">
      <w:lvlJc w:val="left"/>
      <w:lvlText w:val="•"/>
      <w:numFmt w:val="bullet"/>
      <w:start w:val="1"/>
    </w:lvl>
  </w:abstractNum>
  <w:abstractNum w:abstractNumId="32">
    <w:nsid w:val="2A00487"/>
    <w:multiLevelType w:val="hybridMultilevel"/>
    <w:lvl w:ilvl="0">
      <w:lvlJc w:val="left"/>
      <w:lvlText w:val="•"/>
      <w:numFmt w:val="bullet"/>
      <w:start w:val="1"/>
    </w:lvl>
  </w:abstractNum>
  <w:abstractNum w:abstractNumId="33">
    <w:nsid w:val="6CB1B60"/>
    <w:multiLevelType w:val="hybridMultilevel"/>
    <w:lvl w:ilvl="0">
      <w:lvlJc w:val="left"/>
      <w:lvlText w:val="•"/>
      <w:numFmt w:val="bullet"/>
      <w:start w:val="1"/>
    </w:lvl>
  </w:abstractNum>
  <w:abstractNum w:abstractNumId="34">
    <w:nsid w:val="72EDD574"/>
    <w:multiLevelType w:val="hybridMultilevel"/>
    <w:lvl w:ilvl="0">
      <w:lvlJc w:val="left"/>
      <w:lvlText w:val="•"/>
      <w:numFmt w:val="bullet"/>
      <w:start w:val="1"/>
    </w:lvl>
  </w:abstractNum>
  <w:abstractNum w:abstractNumId="35">
    <w:nsid w:val="7323808A"/>
    <w:multiLevelType w:val="hybridMultilevel"/>
    <w:lvl w:ilvl="0">
      <w:lvlJc w:val="left"/>
      <w:lvlText w:val="•"/>
      <w:numFmt w:val="bullet"/>
      <w:start w:val="1"/>
    </w:lvl>
  </w:abstractNum>
  <w:abstractNum w:abstractNumId="36">
    <w:nsid w:val="5157276"/>
    <w:multiLevelType w:val="hybridMultilevel"/>
    <w:lvl w:ilvl="0">
      <w:lvlJc w:val="left"/>
      <w:lvlText w:val="•"/>
      <w:numFmt w:val="bullet"/>
      <w:start w:val="1"/>
    </w:lvl>
  </w:abstractNum>
  <w:abstractNum w:abstractNumId="37">
    <w:nsid w:val="35A681DB"/>
    <w:multiLevelType w:val="hybridMultilevel"/>
    <w:lvl w:ilvl="0">
      <w:lvlJc w:val="left"/>
      <w:lvlText w:val="•"/>
      <w:numFmt w:val="bullet"/>
      <w:start w:val="1"/>
    </w:lvl>
  </w:abstractNum>
  <w:abstractNum w:abstractNumId="38">
    <w:nsid w:val="1786C974"/>
    <w:multiLevelType w:val="hybridMultilevel"/>
    <w:lvl w:ilvl="0">
      <w:lvlJc w:val="left"/>
      <w:lvlText w:val="•"/>
      <w:numFmt w:val="bullet"/>
      <w:start w:val="1"/>
    </w:lvl>
  </w:abstractNum>
  <w:abstractNum w:abstractNumId="39">
    <w:nsid w:val="1C2427A1"/>
    <w:multiLevelType w:val="hybridMultilevel"/>
    <w:lvl w:ilvl="0">
      <w:lvlJc w:val="left"/>
      <w:lvlText w:val="•"/>
      <w:numFmt w:val="bullet"/>
      <w:start w:val="1"/>
    </w:lvl>
  </w:abstractNum>
  <w:abstractNum w:abstractNumId="40">
    <w:nsid w:val="63A24D68"/>
    <w:multiLevelType w:val="hybridMultilevel"/>
    <w:lvl w:ilvl="0">
      <w:lvlJc w:val="left"/>
      <w:lvlText w:val="•"/>
      <w:numFmt w:val="bullet"/>
      <w:start w:val="1"/>
    </w:lvl>
  </w:abstractNum>
  <w:abstractNum w:abstractNumId="41">
    <w:nsid w:val="4FB7A02A"/>
    <w:multiLevelType w:val="hybridMultilevel"/>
    <w:lvl w:ilvl="0">
      <w:lvlJc w:val="left"/>
      <w:lvlText w:val="•"/>
      <w:numFmt w:val="bullet"/>
      <w:start w:val="1"/>
    </w:lvl>
  </w:abstractNum>
  <w:abstractNum w:abstractNumId="42">
    <w:nsid w:val="96CF728"/>
    <w:multiLevelType w:val="hybridMultilevel"/>
    <w:lvl w:ilvl="0">
      <w:lvlJc w:val="left"/>
      <w:lvlText w:val="•"/>
      <w:numFmt w:val="bullet"/>
      <w:start w:val="1"/>
    </w:lvl>
  </w:abstractNum>
  <w:abstractNum w:abstractNumId="43">
    <w:nsid w:val="3B121183"/>
    <w:multiLevelType w:val="hybridMultilevel"/>
    <w:lvl w:ilvl="0">
      <w:lvlJc w:val="left"/>
      <w:lvlText w:val="•"/>
      <w:numFmt w:val="bullet"/>
      <w:start w:val="1"/>
    </w:lvl>
  </w:abstractNum>
  <w:abstractNum w:abstractNumId="44">
    <w:nsid w:val="3459648F"/>
    <w:multiLevelType w:val="hybridMultilevel"/>
    <w:lvl w:ilvl="0">
      <w:lvlJc w:val="left"/>
      <w:lvlText w:val="•"/>
      <w:numFmt w:val="bullet"/>
      <w:start w:val="1"/>
    </w:lvl>
  </w:abstractNum>
  <w:abstractNum w:abstractNumId="45">
    <w:nsid w:val="3ADF331D"/>
    <w:multiLevelType w:val="hybridMultilevel"/>
    <w:lvl w:ilvl="0">
      <w:lvlJc w:val="left"/>
      <w:lvlText w:val="•"/>
      <w:numFmt w:val="bullet"/>
      <w:start w:val="1"/>
    </w:lvl>
  </w:abstractNum>
  <w:abstractNum w:abstractNumId="46">
    <w:nsid w:val="4D08A9E4"/>
    <w:multiLevelType w:val="hybridMultilevel"/>
    <w:lvl w:ilvl="0">
      <w:lvlJc w:val="left"/>
      <w:lvlText w:val="•"/>
      <w:numFmt w:val="bullet"/>
      <w:start w:val="1"/>
    </w:lvl>
  </w:abstractNum>
  <w:abstractNum w:abstractNumId="47">
    <w:nsid w:val="6AF2BB3A"/>
    <w:multiLevelType w:val="hybridMultilevel"/>
    <w:lvl w:ilvl="0">
      <w:lvlJc w:val="left"/>
      <w:lvlText w:val="•"/>
      <w:numFmt w:val="bullet"/>
      <w:start w:val="1"/>
    </w:lvl>
  </w:abstractNum>
  <w:abstractNum w:abstractNumId="48">
    <w:nsid w:val="481B1739"/>
    <w:multiLevelType w:val="hybridMultilevel"/>
    <w:lvl w:ilvl="0">
      <w:lvlJc w:val="left"/>
      <w:lvlText w:val="•"/>
      <w:numFmt w:val="bullet"/>
      <w:start w:val="1"/>
    </w:lvl>
  </w:abstractNum>
  <w:abstractNum w:abstractNumId="49">
    <w:nsid w:val="19E2BFCC"/>
    <w:multiLevelType w:val="hybridMultilevel"/>
    <w:lvl w:ilvl="0">
      <w:lvlJc w:val="left"/>
      <w:lvlText w:val="•"/>
      <w:numFmt w:val="bullet"/>
      <w:start w:val="1"/>
    </w:lvl>
  </w:abstractNum>
  <w:abstractNum w:abstractNumId="50">
    <w:nsid w:val="66D021CA"/>
    <w:multiLevelType w:val="hybridMultilevel"/>
    <w:lvl w:ilvl="0">
      <w:lvlJc w:val="left"/>
      <w:lvlText w:val="•"/>
      <w:numFmt w:val="bullet"/>
      <w:start w:val="1"/>
    </w:lvl>
  </w:abstractNum>
  <w:abstractNum w:abstractNumId="51">
    <w:nsid w:val="56167394"/>
    <w:multiLevelType w:val="hybridMultilevel"/>
    <w:lvl w:ilvl="0">
      <w:lvlJc w:val="left"/>
      <w:lvlText w:val="•"/>
      <w:numFmt w:val="bullet"/>
      <w:start w:val="1"/>
    </w:lvl>
  </w:abstractNum>
  <w:abstractNum w:abstractNumId="52">
    <w:nsid w:val="921145C"/>
    <w:multiLevelType w:val="hybridMultilevel"/>
    <w:lvl w:ilvl="0">
      <w:lvlJc w:val="left"/>
      <w:lvlText w:val="•"/>
      <w:numFmt w:val="bullet"/>
      <w:start w:val="1"/>
    </w:lvl>
  </w:abstractNum>
  <w:abstractNum w:abstractNumId="53">
    <w:nsid w:val="7B34DFE8"/>
    <w:multiLevelType w:val="hybridMultilevel"/>
    <w:lvl w:ilvl="0">
      <w:lvlJc w:val="left"/>
      <w:lvlText w:val="•"/>
      <w:numFmt w:val="bullet"/>
      <w:start w:val="1"/>
    </w:lvl>
  </w:abstractNum>
  <w:abstractNum w:abstractNumId="54">
    <w:nsid w:val="3CD22B79"/>
    <w:multiLevelType w:val="hybridMultilevel"/>
    <w:lvl w:ilvl="0">
      <w:lvlJc w:val="left"/>
      <w:lvlText w:val="•"/>
      <w:numFmt w:val="bullet"/>
      <w:start w:val="1"/>
    </w:lvl>
  </w:abstractNum>
  <w:abstractNum w:abstractNumId="55">
    <w:nsid w:val="3137975E"/>
    <w:multiLevelType w:val="hybridMultilevel"/>
    <w:lvl w:ilvl="0">
      <w:lvlJc w:val="left"/>
      <w:lvlText w:val="•"/>
      <w:numFmt w:val="bullet"/>
      <w:start w:val="1"/>
    </w:lvl>
  </w:abstractNum>
  <w:abstractNum w:abstractNumId="56">
    <w:nsid w:val="2DDAA791"/>
    <w:multiLevelType w:val="hybridMultilevel"/>
    <w:lvl w:ilvl="0">
      <w:lvlJc w:val="left"/>
      <w:lvlText w:val="•"/>
      <w:numFmt w:val="bullet"/>
      <w:start w:val="1"/>
    </w:lvl>
  </w:abstractNum>
  <w:abstractNum w:abstractNumId="57">
    <w:nsid w:val="77263B8A"/>
    <w:multiLevelType w:val="hybridMultilevel"/>
    <w:lvl w:ilvl="0">
      <w:lvlJc w:val="left"/>
      <w:lvlText w:val="•"/>
      <w:numFmt w:val="bullet"/>
      <w:start w:val="1"/>
    </w:lvl>
  </w:abstractNum>
  <w:abstractNum w:abstractNumId="58">
    <w:nsid w:val="755B5ED6"/>
    <w:multiLevelType w:val="hybridMultilevel"/>
    <w:lvl w:ilvl="0">
      <w:lvlJc w:val="left"/>
      <w:lvlText w:val="%1."/>
      <w:numFmt w:val="decimal"/>
      <w:start w:val="1"/>
    </w:lvl>
  </w:abstractNum>
  <w:abstractNum w:abstractNumId="59">
    <w:nsid w:val="D3715DE"/>
    <w:multiLevelType w:val="hybridMultilevel"/>
    <w:lvl w:ilvl="0">
      <w:lvlJc w:val="left"/>
      <w:lvlText w:val="%1"/>
      <w:numFmt w:val="decimal"/>
      <w:start w:val="460"/>
    </w:lvl>
  </w:abstractNum>
  <w:abstractNum w:abstractNumId="60">
    <w:nsid w:val="73509257"/>
    <w:multiLevelType w:val="hybridMultilevel"/>
    <w:lvl w:ilvl="0">
      <w:lvlJc w:val="left"/>
      <w:lvlText w:val="%1."/>
      <w:numFmt w:val="decimal"/>
      <w:start w:val="2"/>
    </w:lvl>
  </w:abstractNum>
  <w:abstractNum w:abstractNumId="61">
    <w:nsid w:val="7013CDB7"/>
    <w:multiLevelType w:val="hybridMultilevel"/>
    <w:lvl w:ilvl="0">
      <w:lvlJc w:val="left"/>
      <w:lvlText w:val="%1."/>
      <w:numFmt w:val="decimal"/>
      <w:start w:val="3"/>
    </w:lvl>
  </w:abstractNum>
  <w:abstractNum w:abstractNumId="62">
    <w:nsid w:val="188BFB19"/>
    <w:multiLevelType w:val="hybridMultilevel"/>
    <w:lvl w:ilvl="0">
      <w:lvlJc w:val="left"/>
      <w:lvlText w:val="%1."/>
      <w:numFmt w:val="decimal"/>
      <w:start w:val="4"/>
    </w:lvl>
  </w:abstractNum>
  <w:abstractNum w:abstractNumId="63">
    <w:nsid w:val="75F096DF"/>
    <w:multiLevelType w:val="hybridMultilevel"/>
    <w:lvl w:ilvl="0">
      <w:lvlJc w:val="left"/>
      <w:lvlText w:val="•"/>
      <w:numFmt w:val="bullet"/>
      <w:start w:val="1"/>
    </w:lvl>
  </w:abstractNum>
  <w:abstractNum w:abstractNumId="64">
    <w:nsid w:val="76DEE918"/>
    <w:multiLevelType w:val="hybridMultilevel"/>
    <w:lvl w:ilvl="0">
      <w:lvlJc w:val="left"/>
      <w:lvlText w:val="%1."/>
      <w:numFmt w:val="decimal"/>
      <w:start w:val="1"/>
    </w:lvl>
  </w:abstractNum>
  <w:abstractNum w:abstractNumId="65">
    <w:nsid w:val="B79D08D"/>
    <w:multiLevelType w:val="hybridMultilevel"/>
    <w:lvl w:ilvl="0">
      <w:lvlJc w:val="left"/>
      <w:lvlText w:val="a"/>
      <w:numFmt w:val="bullet"/>
      <w:start w:val="1"/>
    </w:lvl>
  </w:abstractNum>
  <w:abstractNum w:abstractNumId="66">
    <w:nsid w:val="69141769"/>
    <w:multiLevelType w:val="hybridMultilevel"/>
    <w:lvl w:ilvl="0">
      <w:lvlJc w:val="left"/>
      <w:lvlText w:val="•"/>
      <w:numFmt w:val="bullet"/>
      <w:start w:val="1"/>
    </w:lvl>
  </w:abstractNum>
  <w:abstractNum w:abstractNumId="67">
    <w:nsid w:val="7BF45B8E"/>
    <w:multiLevelType w:val="hybridMultilevel"/>
    <w:lvl w:ilvl="0">
      <w:lvlJc w:val="left"/>
      <w:lvlText w:val="•"/>
      <w:numFmt w:val="bullet"/>
      <w:start w:val="1"/>
    </w:lvl>
  </w:abstractNum>
  <w:abstractNum w:abstractNumId="68">
    <w:nsid w:val="41205269"/>
    <w:multiLevelType w:val="hybridMultilevel"/>
    <w:lvl w:ilvl="0">
      <w:lvlJc w:val="left"/>
      <w:lvlText w:val="%1."/>
      <w:numFmt w:val="upperLetter"/>
      <w:start w:val="21"/>
    </w:lvl>
    <w:lvl w:ilvl="1">
      <w:lvlJc w:val="left"/>
      <w:lvlText w:val="•"/>
      <w:numFmt w:val="bullet"/>
      <w:start w:val="1"/>
    </w:lvl>
  </w:abstractNum>
  <w:abstractNum w:abstractNumId="69">
    <w:nsid w:val="9AE0DD"/>
    <w:multiLevelType w:val="hybridMultilevel"/>
    <w:lvl w:ilvl="0">
      <w:lvlJc w:val="left"/>
      <w:lvlText w:val="%1."/>
      <w:numFmt w:val="decimal"/>
      <w:start w:val="1"/>
    </w:lvl>
    <w:lvl w:ilvl="1">
      <w:lvlJc w:val="left"/>
      <w:lvlText w:val="%2)"/>
      <w:numFmt w:val="lowerLetter"/>
      <w:start w:val="1"/>
    </w:lvl>
  </w:abstractNum>
  <w:abstractNum w:abstractNumId="70">
    <w:nsid w:val="1818832F"/>
    <w:multiLevelType w:val="hybridMultilevel"/>
    <w:lvl w:ilvl="0">
      <w:lvlJc w:val="left"/>
      <w:lvlText w:val="•"/>
      <w:numFmt w:val="bullet"/>
      <w:start w:val="1"/>
    </w:lvl>
  </w:abstractNum>
  <w:abstractNum w:abstractNumId="71">
    <w:nsid w:val="24C29FD1"/>
    <w:multiLevelType w:val="hybridMultilevel"/>
    <w:lvl w:ilvl="0">
      <w:lvlJc w:val="left"/>
      <w:lvlText w:val="•"/>
      <w:numFmt w:val="bullet"/>
      <w:start w:val="1"/>
    </w:lvl>
  </w:abstractNum>
  <w:abstractNum w:abstractNumId="72">
    <w:nsid w:val="50528108"/>
    <w:multiLevelType w:val="hybridMultilevel"/>
    <w:lvl w:ilvl="0">
      <w:lvlJc w:val="left"/>
      <w:lvlText w:val="•"/>
      <w:numFmt w:val="bullet"/>
      <w:start w:val="1"/>
    </w:lvl>
    <w:lvl w:ilvl="1">
      <w:lvlJc w:val="left"/>
      <w:lvlText w:val="%2)"/>
      <w:numFmt w:val="lowerLetter"/>
      <w:start w:val="2"/>
    </w:lvl>
  </w:abstractNum>
  <w:abstractNum w:abstractNumId="73">
    <w:nsid w:val="21857A57"/>
    <w:multiLevelType w:val="hybridMultilevel"/>
    <w:lvl w:ilvl="0">
      <w:lvlJc w:val="left"/>
      <w:lvlText w:val="•"/>
      <w:numFmt w:val="bullet"/>
      <w:start w:val="1"/>
    </w:lvl>
  </w:abstractNum>
  <w:abstractNum w:abstractNumId="74">
    <w:nsid w:val="5FD4B154"/>
    <w:multiLevelType w:val="hybridMultilevel"/>
    <w:lvl w:ilvl="0">
      <w:lvlJc w:val="left"/>
      <w:lvlText w:val="%1"/>
      <w:numFmt w:val="lowerRoman"/>
      <w:start w:val="1"/>
    </w:lvl>
    <w:lvl w:ilvl="1">
      <w:lvlJc w:val="left"/>
      <w:lvlText w:val="%2)"/>
      <w:numFmt w:val="lowerLetter"/>
      <w:start w:val="3"/>
    </w:lvl>
  </w:abstractNum>
  <w:abstractNum w:abstractNumId="75">
    <w:nsid w:val="4ABE597"/>
    <w:multiLevelType w:val="hybridMultilevel"/>
    <w:lvl w:ilvl="0">
      <w:lvlJc w:val="left"/>
      <w:lvlText w:val="%1."/>
      <w:numFmt w:val="lowerRoman"/>
      <w:start w:val="1"/>
    </w:lvl>
    <w:lvl w:ilvl="1">
      <w:lvlJc w:val="left"/>
      <w:lvlText w:val="%2"/>
      <w:numFmt w:val="lowerLetter"/>
      <w:start w:val="1"/>
    </w:lvl>
  </w:abstractNum>
  <w:abstractNum w:abstractNumId="76">
    <w:nsid w:val="5C64AD75"/>
    <w:multiLevelType w:val="hybridMultilevel"/>
    <w:lvl w:ilvl="0">
      <w:lvlJc w:val="left"/>
      <w:lvlText w:val="•"/>
      <w:numFmt w:val="bullet"/>
      <w:start w:val="1"/>
    </w:lvl>
  </w:abstractNum>
  <w:abstractNum w:abstractNumId="77">
    <w:nsid w:val="2CDD5B39"/>
    <w:multiLevelType w:val="hybridMultilevel"/>
    <w:lvl w:ilvl="0">
      <w:lvlJc w:val="left"/>
      <w:lvlText w:val="•"/>
      <w:numFmt w:val="bullet"/>
      <w:start w:val="1"/>
    </w:lvl>
  </w:abstractNum>
  <w:abstractNum w:abstractNumId="78">
    <w:nsid w:val="6F9EA0D1"/>
    <w:multiLevelType w:val="hybridMultilevel"/>
    <w:lvl w:ilvl="0">
      <w:lvlJc w:val="left"/>
      <w:lvlText w:val="A"/>
      <w:numFmt w:val="bullet"/>
      <w:start w:val="1"/>
    </w:lvl>
    <w:lvl w:ilvl="1">
      <w:lvlJc w:val="left"/>
      <w:lvlText w:val="%2."/>
      <w:numFmt w:val="lowerRoman"/>
      <w:start w:val="2"/>
    </w:lvl>
  </w:abstractNum>
  <w:abstractNum w:abstractNumId="79">
    <w:nsid w:val="247FC4AE"/>
    <w:multiLevelType w:val="hybridMultilevel"/>
    <w:lvl w:ilvl="0">
      <w:lvlJc w:val="left"/>
      <w:lvlText w:val="%1"/>
      <w:numFmt w:val="lowerRoman"/>
      <w:start w:val="1"/>
    </w:lvl>
    <w:lvl w:ilvl="1">
      <w:lvlJc w:val="left"/>
      <w:lvlText w:val="%2)"/>
      <w:numFmt w:val="lowerLetter"/>
      <w:start w:val="1"/>
    </w:lvl>
  </w:abstractNum>
  <w:abstractNum w:abstractNumId="80">
    <w:nsid w:val="46C01B05"/>
    <w:multiLevelType w:val="hybridMultilevel"/>
    <w:lvl w:ilvl="0">
      <w:lvlJc w:val="left"/>
      <w:lvlText w:val="%1."/>
      <w:numFmt w:val="lowerRoman"/>
      <w:start w:val="1"/>
    </w:lvl>
    <w:lvl w:ilvl="1">
      <w:lvlJc w:val="left"/>
      <w:lvlText w:val="%2"/>
      <w:numFmt w:val="lowerLetter"/>
      <w:start w:val="1"/>
    </w:lvl>
  </w:abstractNum>
  <w:abstractNum w:abstractNumId="81">
    <w:nsid w:val="566EC29B"/>
    <w:multiLevelType w:val="hybridMultilevel"/>
    <w:lvl w:ilvl="0">
      <w:lvlJc w:val="left"/>
      <w:lvlText w:val="•"/>
      <w:numFmt w:val="bullet"/>
      <w:start w:val="1"/>
    </w:lvl>
  </w:abstractNum>
  <w:abstractNum w:abstractNumId="82">
    <w:nsid w:val="7A963843"/>
    <w:multiLevelType w:val="hybridMultilevel"/>
    <w:lvl w:ilvl="0">
      <w:lvlJc w:val="left"/>
      <w:lvlText w:val="•"/>
      <w:numFmt w:val="bullet"/>
      <w:start w:val="1"/>
    </w:lvl>
  </w:abstractNum>
  <w:abstractNum w:abstractNumId="83">
    <w:nsid w:val="4FE12F61"/>
    <w:multiLevelType w:val="hybridMultilevel"/>
    <w:lvl w:ilvl="0">
      <w:lvlJc w:val="left"/>
      <w:lvlText w:val="%1."/>
      <w:numFmt w:val="decimal"/>
      <w:start w:val="3"/>
    </w:lvl>
  </w:abstractNum>
  <w:abstractNum w:abstractNumId="84">
    <w:nsid w:val="51A3A284"/>
    <w:multiLevelType w:val="hybridMultilevel"/>
    <w:lvl w:ilvl="0">
      <w:lvlJc w:val="left"/>
      <w:lvlText w:val="%1."/>
      <w:numFmt w:val="lowerRoman"/>
      <w:start w:val="1"/>
    </w:lvl>
  </w:abstractNum>
  <w:abstractNum w:abstractNumId="85">
    <w:nsid w:val="376863BC"/>
    <w:multiLevelType w:val="hybridMultilevel"/>
    <w:lvl w:ilvl="0">
      <w:lvlJc w:val="left"/>
      <w:lvlText w:val="%1."/>
      <w:numFmt w:val="lowerRoman"/>
      <w:start w:val="2"/>
    </w:lvl>
  </w:abstractNum>
  <w:abstractNum w:abstractNumId="86">
    <w:nsid w:val="118C6C0"/>
    <w:multiLevelType w:val="hybridMultilevel"/>
    <w:lvl w:ilvl="0">
      <w:lvlJc w:val="left"/>
      <w:lvlText w:val="%1."/>
      <w:numFmt w:val="lowerRoman"/>
      <w:start w:val="3"/>
    </w:lvl>
  </w:abstractNum>
  <w:abstractNum w:abstractNumId="87">
    <w:nsid w:val="7F7E4A15"/>
    <w:multiLevelType w:val="hybridMultilevel"/>
    <w:lvl w:ilvl="0">
      <w:lvlJc w:val="left"/>
      <w:lvlText w:val="%1."/>
      <w:numFmt w:val="lowerRoman"/>
      <w:start w:val="4"/>
    </w:lvl>
  </w:abstractNum>
  <w:abstractNum w:abstractNumId="88">
    <w:nsid w:val="2E8E9F47"/>
    <w:multiLevelType w:val="hybridMultilevel"/>
    <w:lvl w:ilvl="0">
      <w:lvlJc w:val="left"/>
      <w:lvlText w:val="%1."/>
      <w:numFmt w:val="lowerRoman"/>
      <w:start w:val="5"/>
    </w:lvl>
  </w:abstractNum>
  <w:abstractNum w:abstractNumId="89">
    <w:nsid w:val="76742596"/>
    <w:multiLevelType w:val="hybridMultilevel"/>
    <w:lvl w:ilvl="0">
      <w:lvlJc w:val="left"/>
      <w:lvlText w:val="%1."/>
      <w:numFmt w:val="lowerRoman"/>
      <w:start w:val="7"/>
    </w:lvl>
  </w:abstractNum>
  <w:abstractNum w:abstractNumId="90">
    <w:nsid w:val="CB55FF3"/>
    <w:multiLevelType w:val="hybridMultilevel"/>
    <w:lvl w:ilvl="0">
      <w:lvlJc w:val="left"/>
      <w:lvlText w:val="•"/>
      <w:numFmt w:val="bullet"/>
      <w:start w:val="1"/>
    </w:lvl>
  </w:abstractNum>
  <w:abstractNum w:abstractNumId="91">
    <w:nsid w:val="21DF319E"/>
    <w:multiLevelType w:val="hybridMultilevel"/>
    <w:lvl w:ilvl="0">
      <w:lvlJc w:val="left"/>
      <w:lvlText w:val="%1."/>
      <w:numFmt w:val="lowerRoman"/>
      <w:start w:val="8"/>
    </w:lvl>
  </w:abstractNum>
  <w:abstractNum w:abstractNumId="92">
    <w:nsid w:val="6687F34D"/>
    <w:multiLevelType w:val="hybridMultilevel"/>
    <w:lvl w:ilvl="0">
      <w:lvlJc w:val="left"/>
      <w:lvlText w:val="•"/>
      <w:numFmt w:val="bullet"/>
      <w:start w:val="1"/>
    </w:lvl>
    <w:lvl w:ilvl="1">
      <w:lvlJc w:val="left"/>
      <w:lvlText w:val="A"/>
      <w:numFmt w:val="bullet"/>
      <w:start w:val="1"/>
    </w:lvl>
  </w:abstractNum>
  <w:abstractNum w:abstractNumId="93">
    <w:nsid w:val="25415B0C"/>
    <w:multiLevelType w:val="hybridMultilevel"/>
    <w:lvl w:ilvl="0">
      <w:lvlJc w:val="left"/>
      <w:lvlText w:val="•"/>
      <w:numFmt w:val="bullet"/>
      <w:start w:val="1"/>
    </w:lvl>
  </w:abstractNum>
  <w:abstractNum w:abstractNumId="94">
    <w:nsid w:val="17CFC87D"/>
    <w:multiLevelType w:val="hybridMultilevel"/>
    <w:lvl w:ilvl="0">
      <w:lvlJc w:val="left"/>
      <w:lvlText w:val="•"/>
      <w:numFmt w:val="bullet"/>
      <w:start w:val="1"/>
    </w:lvl>
    <w:lvl w:ilvl="1">
      <w:lvlJc w:val="left"/>
      <w:lvlText w:val="%2."/>
      <w:numFmt w:val="lowerRoman"/>
      <w:start w:val="2"/>
    </w:lvl>
  </w:abstractNum>
  <w:abstractNum w:abstractNumId="95">
    <w:nsid w:val="5D66DC65"/>
    <w:multiLevelType w:val="hybridMultilevel"/>
    <w:lvl w:ilvl="0">
      <w:lvlJc w:val="left"/>
      <w:lvlText w:val="•"/>
      <w:numFmt w:val="bullet"/>
      <w:start w:val="1"/>
    </w:lvl>
    <w:lvl w:ilvl="1">
      <w:lvlJc w:val="left"/>
      <w:lvlText w:val="A"/>
      <w:numFmt w:val="bullet"/>
      <w:start w:val="1"/>
    </w:lvl>
  </w:abstractNum>
  <w:abstractNum w:abstractNumId="96">
    <w:nsid w:val="30BB2B99"/>
    <w:multiLevelType w:val="hybridMultilevel"/>
    <w:lvl w:ilvl="0">
      <w:lvlJc w:val="left"/>
      <w:lvlText w:val="A"/>
      <w:numFmt w:val="bullet"/>
      <w:start w:val="1"/>
    </w:lvl>
    <w:lvl w:ilvl="1">
      <w:lvlJc w:val="left"/>
      <w:lvlText w:val="%2."/>
      <w:numFmt w:val="decimal"/>
      <w:start w:val="4"/>
    </w:lvl>
  </w:abstractNum>
  <w:abstractNum w:abstractNumId="97">
    <w:nsid w:val="E3DFE6"/>
    <w:multiLevelType w:val="hybridMultilevel"/>
    <w:lvl w:ilvl="0">
      <w:lvlJc w:val="left"/>
      <w:lvlText w:val="%1."/>
      <w:numFmt w:val="decimal"/>
      <w:start w:val="1"/>
    </w:lvl>
    <w:lvl w:ilvl="1">
      <w:lvlJc w:val="left"/>
      <w:lvlText w:val="%2."/>
      <w:numFmt w:val="lowerRoman"/>
      <w:start w:val="1"/>
    </w:lvl>
  </w:abstractNum>
  <w:abstractNum w:abstractNumId="98">
    <w:nsid w:val="595B37F3"/>
    <w:multiLevelType w:val="hybridMultilevel"/>
    <w:lvl w:ilvl="0">
      <w:lvlJc w:val="left"/>
      <w:lvlText w:val="•"/>
      <w:numFmt w:val="bullet"/>
      <w:start w:val="1"/>
    </w:lvl>
  </w:abstractNum>
  <w:abstractNum w:abstractNumId="99">
    <w:nsid w:val="71DB7E02"/>
    <w:multiLevelType w:val="hybridMultilevel"/>
    <w:lvl w:ilvl="0">
      <w:lvlJc w:val="left"/>
      <w:lvlText w:val="%1."/>
      <w:numFmt w:val="decimal"/>
      <w:start w:val="1"/>
    </w:lvl>
    <w:lvl w:ilvl="1">
      <w:lvlJc w:val="left"/>
      <w:lvlText w:val="•"/>
      <w:numFmt w:val="bullet"/>
      <w:start w:val="1"/>
    </w:lvl>
  </w:abstractNum>
  <w:abstractNum w:abstractNumId="100">
    <w:nsid w:val="17EC0C4"/>
    <w:multiLevelType w:val="hybridMultilevel"/>
    <w:lvl w:ilvl="0">
      <w:lvlJc w:val="left"/>
      <w:lvlText w:val="%1."/>
      <w:numFmt w:val="decimal"/>
      <w:start w:val="2"/>
    </w:lvl>
    <w:lvl w:ilvl="1">
      <w:lvlJc w:val="left"/>
      <w:lvlText w:val="•"/>
      <w:numFmt w:val="bullet"/>
      <w:start w:val="1"/>
    </w:lvl>
  </w:abstractNum>
  <w:abstractNum w:abstractNumId="101">
    <w:nsid w:val="7173BB22"/>
    <w:multiLevelType w:val="hybridMultilevel"/>
    <w:lvl w:ilvl="0">
      <w:lvlJc w:val="left"/>
      <w:lvlText w:val="%1."/>
      <w:numFmt w:val="decimal"/>
      <w:start w:val="3"/>
    </w:lvl>
    <w:lvl w:ilvl="1">
      <w:lvlJc w:val="left"/>
      <w:lvlText w:val="•"/>
      <w:numFmt w:val="bullet"/>
      <w:start w:val="1"/>
    </w:lvl>
  </w:abstractNum>
  <w:abstractNum w:abstractNumId="102">
    <w:nsid w:val="169E1DD3"/>
    <w:multiLevelType w:val="hybridMultilevel"/>
    <w:lvl w:ilvl="0">
      <w:lvlJc w:val="left"/>
      <w:lvlText w:val="%1."/>
      <w:numFmt w:val="decimal"/>
      <w:start w:val="6"/>
    </w:lvl>
    <w:lvl w:ilvl="1">
      <w:lvlJc w:val="left"/>
      <w:lvlText w:val="•"/>
      <w:numFmt w:val="bullet"/>
      <w:start w:val="1"/>
    </w:lvl>
  </w:abstractNum>
  <w:abstractNum w:abstractNumId="103">
    <w:nsid w:val="51D141CC"/>
    <w:multiLevelType w:val="hybridMultilevel"/>
    <w:lvl w:ilvl="0">
      <w:lvlJc w:val="left"/>
      <w:lvlText w:val="%1."/>
      <w:numFmt w:val="decimal"/>
      <w:start w:val="7"/>
    </w:lvl>
    <w:lvl w:ilvl="1">
      <w:lvlJc w:val="left"/>
      <w:lvlText w:val="•"/>
      <w:numFmt w:val="bullet"/>
      <w:start w:val="1"/>
    </w:lvl>
  </w:abstractNum>
  <w:abstractNum w:abstractNumId="104">
    <w:nsid w:val="12F9357A"/>
    <w:multiLevelType w:val="hybridMultilevel"/>
    <w:lvl w:ilvl="0">
      <w:lvlJc w:val="left"/>
      <w:lvlText w:val="•"/>
      <w:numFmt w:val="bullet"/>
      <w:start w:val="1"/>
    </w:lvl>
  </w:abstractNum>
  <w:abstractNum w:abstractNumId="105">
    <w:nsid w:val="7672CF28"/>
    <w:multiLevelType w:val="hybridMultilevel"/>
    <w:lvl w:ilvl="0">
      <w:lvlJc w:val="left"/>
      <w:lvlText w:val="•"/>
      <w:numFmt w:val="bullet"/>
      <w:start w:val="1"/>
    </w:lvl>
  </w:abstractNum>
  <w:abstractNum w:abstractNumId="106">
    <w:nsid w:val="567D2763"/>
    <w:multiLevelType w:val="hybridMultilevel"/>
    <w:lvl w:ilvl="0">
      <w:lvlJc w:val="left"/>
      <w:lvlText w:val="•"/>
      <w:numFmt w:val="bullet"/>
      <w:start w:val="1"/>
    </w:lvl>
  </w:abstractNum>
  <w:abstractNum w:abstractNumId="107">
    <w:nsid w:val="6F5DE2EF"/>
    <w:multiLevelType w:val="hybridMultilevel"/>
    <w:lvl w:ilvl="0">
      <w:lvlJc w:val="left"/>
      <w:lvlText w:val="•"/>
      <w:numFmt w:val="bullet"/>
      <w:start w:val="1"/>
    </w:lvl>
  </w:abstractNum>
  <w:abstractNum w:abstractNumId="108">
    <w:nsid w:val="23502A61"/>
    <w:multiLevelType w:val="hybridMultilevel"/>
    <w:lvl w:ilvl="0">
      <w:lvlJc w:val="left"/>
      <w:lvlText w:val="•"/>
      <w:numFmt w:val="bullet"/>
      <w:start w:val="1"/>
    </w:lvl>
  </w:abstractNum>
  <w:abstractNum w:abstractNumId="109">
    <w:nsid w:val="461BC834"/>
    <w:multiLevelType w:val="hybridMultilevel"/>
    <w:lvl w:ilvl="0">
      <w:lvlJc w:val="left"/>
      <w:lvlText w:val="•"/>
      <w:numFmt w:val="bullet"/>
      <w:start w:val="1"/>
    </w:lvl>
  </w:abstractNum>
  <w:abstractNum w:abstractNumId="110">
    <w:nsid w:val="13DDA79D"/>
    <w:multiLevelType w:val="hybridMultilevel"/>
    <w:lvl w:ilvl="0">
      <w:lvlJc w:val="left"/>
      <w:lvlText w:val="•"/>
      <w:numFmt w:val="bullet"/>
      <w:start w:val="1"/>
    </w:lvl>
  </w:abstractNum>
  <w:abstractNum w:abstractNumId="111">
    <w:nsid w:val="6A104566"/>
    <w:multiLevelType w:val="hybridMultilevel"/>
    <w:lvl w:ilvl="0">
      <w:lvlJc w:val="left"/>
      <w:lvlText w:val="•"/>
      <w:numFmt w:val="bullet"/>
      <w:start w:val="1"/>
    </w:lvl>
  </w:abstractNum>
  <w:abstractNum w:abstractNumId="112">
    <w:nsid w:val="1C8A8ACF"/>
    <w:multiLevelType w:val="hybridMultilevel"/>
    <w:lvl w:ilvl="0">
      <w:lvlJc w:val="left"/>
      <w:lvlText w:val="•"/>
      <w:numFmt w:val="bullet"/>
      <w:start w:val="1"/>
    </w:lvl>
  </w:abstractNum>
  <w:abstractNum w:abstractNumId="113">
    <w:nsid w:val="E73DFE0"/>
    <w:multiLevelType w:val="hybridMultilevel"/>
    <w:lvl w:ilvl="0">
      <w:lvlJc w:val="left"/>
      <w:lvlText w:val="•"/>
      <w:numFmt w:val="bullet"/>
      <w:start w:val="1"/>
    </w:lvl>
  </w:abstractNum>
  <w:abstractNum w:abstractNumId="114">
    <w:nsid w:val="39F174C7"/>
    <w:multiLevelType w:val="hybridMultilevel"/>
    <w:lvl w:ilvl="0">
      <w:lvlJc w:val="left"/>
      <w:lvlText w:val="•"/>
      <w:numFmt w:val="bullet"/>
      <w:start w:val="1"/>
    </w:lvl>
  </w:abstractNum>
  <w:abstractNum w:abstractNumId="115">
    <w:nsid w:val="6E2E2D53"/>
    <w:multiLevelType w:val="hybridMultilevel"/>
    <w:lvl w:ilvl="0">
      <w:lvlJc w:val="left"/>
      <w:lvlText w:val="•"/>
      <w:numFmt w:val="bullet"/>
      <w:start w:val="1"/>
    </w:lvl>
  </w:abstractNum>
  <w:abstractNum w:abstractNumId="116">
    <w:nsid w:val="45DC439D"/>
    <w:multiLevelType w:val="hybridMultilevel"/>
    <w:lvl w:ilvl="0">
      <w:lvlJc w:val="left"/>
      <w:lvlText w:val="•"/>
      <w:numFmt w:val="bullet"/>
      <w:start w:val="1"/>
    </w:lvl>
  </w:abstractNum>
  <w:abstractNum w:abstractNumId="117">
    <w:nsid w:val="3B0A3B87"/>
    <w:multiLevelType w:val="hybridMultilevel"/>
    <w:lvl w:ilvl="0">
      <w:lvlJc w:val="left"/>
      <w:lvlText w:val="•"/>
      <w:numFmt w:val="bullet"/>
      <w:start w:val="1"/>
    </w:lvl>
  </w:abstractNum>
  <w:abstractNum w:abstractNumId="118">
    <w:nsid w:val="6DAC7768"/>
    <w:multiLevelType w:val="hybridMultilevel"/>
    <w:lvl w:ilvl="0">
      <w:lvlJc w:val="left"/>
      <w:lvlText w:val="•"/>
      <w:numFmt w:val="bullet"/>
      <w:start w:val="1"/>
    </w:lvl>
  </w:abstractNum>
  <w:abstractNum w:abstractNumId="119">
    <w:nsid w:val="746AE2E4"/>
    <w:multiLevelType w:val="hybridMultilevel"/>
    <w:lvl w:ilvl="0">
      <w:lvlJc w:val="left"/>
      <w:lvlText w:val="•"/>
      <w:numFmt w:val="bullet"/>
      <w:start w:val="1"/>
    </w:lvl>
  </w:abstractNum>
  <w:abstractNum w:abstractNumId="120">
    <w:nsid w:val="317E611D"/>
    <w:multiLevelType w:val="hybridMultilevel"/>
    <w:lvl w:ilvl="0">
      <w:lvlJc w:val="left"/>
      <w:lvlText w:val="•"/>
      <w:numFmt w:val="bullet"/>
      <w:start w:val="1"/>
    </w:lvl>
    <w:lvl w:ilvl="1">
      <w:lvlJc w:val="left"/>
      <w:lvlText w:val="◦"/>
      <w:numFmt w:val="bullet"/>
      <w:start w:val="1"/>
    </w:lvl>
  </w:abstractNum>
  <w:abstractNum w:abstractNumId="121">
    <w:nsid w:val="7A61D75B"/>
    <w:multiLevelType w:val="hybridMultilevel"/>
    <w:lvl w:ilvl="0">
      <w:lvlJc w:val="left"/>
      <w:lvlText w:val="•"/>
      <w:numFmt w:val="bullet"/>
      <w:start w:val="1"/>
    </w:lvl>
  </w:abstractNum>
  <w:abstractNum w:abstractNumId="122">
    <w:nsid w:val="164A1482"/>
    <w:multiLevelType w:val="hybridMultilevel"/>
    <w:lvl w:ilvl="0">
      <w:lvlJc w:val="left"/>
      <w:lvlText w:val="•"/>
      <w:numFmt w:val="bullet"/>
      <w:start w:val="1"/>
    </w:lvl>
  </w:abstractNum>
  <w:abstractNum w:abstractNumId="123">
    <w:nsid w:val="1806546B"/>
    <w:multiLevelType w:val="hybridMultilevel"/>
    <w:lvl w:ilvl="0">
      <w:lvlJc w:val="left"/>
      <w:lvlText w:val="•"/>
      <w:numFmt w:val="bullet"/>
      <w:start w:val="1"/>
    </w:lvl>
    <w:lvl w:ilvl="1">
      <w:lvlJc w:val="left"/>
      <w:lvlText w:val="◦"/>
      <w:numFmt w:val="bullet"/>
      <w:start w:val="1"/>
    </w:lvl>
  </w:abstractNum>
  <w:abstractNum w:abstractNumId="124">
    <w:nsid w:val="1FA33267"/>
    <w:multiLevelType w:val="hybridMultilevel"/>
    <w:lvl w:ilvl="0">
      <w:lvlJc w:val="left"/>
      <w:lvlText w:val="•"/>
      <w:numFmt w:val="bullet"/>
      <w:start w:val="1"/>
    </w:lvl>
    <w:lvl w:ilvl="1">
      <w:lvlJc w:val="left"/>
      <w:lvlText w:val="◦"/>
      <w:numFmt w:val="bullet"/>
      <w:start w:val="1"/>
    </w:lvl>
  </w:abstractNum>
  <w:abstractNum w:abstractNumId="125">
    <w:nsid w:val="2E19DD00"/>
    <w:multiLevelType w:val="hybridMultilevel"/>
    <w:lvl w:ilvl="0">
      <w:lvlJc w:val="left"/>
      <w:lvlText w:val="•"/>
      <w:numFmt w:val="bullet"/>
      <w:start w:val="1"/>
    </w:lvl>
  </w:abstractNum>
  <w:abstractNum w:abstractNumId="126">
    <w:nsid w:val="756D30D0"/>
    <w:multiLevelType w:val="hybridMultilevel"/>
    <w:lvl w:ilvl="0">
      <w:lvlJc w:val="left"/>
      <w:lvlText w:val="•"/>
      <w:numFmt w:val="bullet"/>
      <w:start w:val="1"/>
    </w:lvl>
  </w:abstractNum>
  <w:abstractNum w:abstractNumId="127">
    <w:nsid w:val="505E5E01"/>
    <w:multiLevelType w:val="hybridMultilevel"/>
    <w:lvl w:ilvl="0">
      <w:lvlJc w:val="left"/>
      <w:lvlText w:val="•"/>
      <w:numFmt w:val="bullet"/>
      <w:start w:val="1"/>
    </w:lvl>
  </w:abstractNum>
  <w:abstractNum w:abstractNumId="128">
    <w:nsid w:val="2EFDBCE6"/>
    <w:multiLevelType w:val="hybridMultilevel"/>
    <w:lvl w:ilvl="0">
      <w:lvlJc w:val="left"/>
      <w:lvlText w:val="•"/>
      <w:numFmt w:val="bullet"/>
      <w:start w:val="1"/>
    </w:lvl>
  </w:abstractNum>
  <w:abstractNum w:abstractNumId="129">
    <w:nsid w:val="4EC868C4"/>
    <w:multiLevelType w:val="hybridMultilevel"/>
    <w:lvl w:ilvl="0">
      <w:lvlJc w:val="left"/>
      <w:lvlText w:val="•"/>
      <w:numFmt w:val="bullet"/>
      <w:start w:val="1"/>
    </w:lvl>
  </w:abstractNum>
  <w:abstractNum w:abstractNumId="130">
    <w:nsid w:val="4239DC03"/>
    <w:multiLevelType w:val="hybridMultilevel"/>
    <w:lvl w:ilvl="0">
      <w:lvlJc w:val="left"/>
      <w:lvlText w:val="•"/>
      <w:numFmt w:val="bullet"/>
      <w:start w:val="1"/>
    </w:lvl>
  </w:abstractNum>
  <w:abstractNum w:abstractNumId="131">
    <w:nsid w:val="307C7DAA"/>
    <w:multiLevelType w:val="hybridMultilevel"/>
    <w:lvl w:ilvl="0">
      <w:lvlJc w:val="left"/>
      <w:lvlText w:val="€"/>
      <w:numFmt w:val="bullet"/>
      <w:start w:val="1"/>
    </w:lvl>
  </w:abstractNum>
  <w:abstractNum w:abstractNumId="132">
    <w:nsid w:val="403C23E6"/>
    <w:multiLevelType w:val="hybridMultilevel"/>
    <w:lvl w:ilvl="0">
      <w:lvlJc w:val="left"/>
      <w:lvlText w:val="(%1)"/>
      <w:numFmt w:val="decimal"/>
      <w:start w:val="1"/>
    </w:lvl>
  </w:abstractNum>
  <w:abstractNum w:abstractNumId="133">
    <w:nsid w:val="58D7F9D7"/>
    <w:multiLevelType w:val="hybridMultilevel"/>
    <w:lvl w:ilvl="0">
      <w:lvlJc w:val="left"/>
      <w:lvlText w:val="•"/>
      <w:numFmt w:val="bullet"/>
      <w:start w:val="1"/>
    </w:lvl>
  </w:abstractNum>
  <w:abstractNum w:abstractNumId="134">
    <w:nsid w:val="24DBF76"/>
    <w:multiLevelType w:val="hybridMultilevel"/>
    <w:lvl w:ilvl="0">
      <w:lvlJc w:val="left"/>
      <w:lvlText w:val="•"/>
      <w:numFmt w:val="bullet"/>
      <w:start w:val="1"/>
    </w:lvl>
  </w:abstractNum>
  <w:abstractNum w:abstractNumId="135">
    <w:nsid w:val="53355960"/>
    <w:multiLevelType w:val="hybridMultilevel"/>
    <w:lvl w:ilvl="0">
      <w:lvlJc w:val="left"/>
      <w:lvlText w:val="•"/>
      <w:numFmt w:val="bullet"/>
      <w:start w:val="1"/>
    </w:lvl>
  </w:abstractNum>
  <w:abstractNum w:abstractNumId="136">
    <w:nsid w:val="4F4AC8FF"/>
    <w:multiLevelType w:val="hybridMultilevel"/>
    <w:lvl w:ilvl="0">
      <w:lvlJc w:val="left"/>
      <w:lvlText w:val="(%1)"/>
      <w:numFmt w:val="decimal"/>
      <w:start w:val="1"/>
    </w:lvl>
  </w:abstractNum>
  <w:abstractNum w:abstractNumId="137">
    <w:nsid w:val="58CAE6D9"/>
    <w:multiLevelType w:val="hybridMultilevel"/>
    <w:lvl w:ilvl="0">
      <w:lvlJc w:val="left"/>
      <w:lvlText w:val="(%1)"/>
      <w:numFmt w:val="decimal"/>
      <w:start w:val="1"/>
    </w:lvl>
  </w:abstractNum>
  <w:abstractNum w:abstractNumId="138">
    <w:nsid w:val="42933C4F"/>
    <w:multiLevelType w:val="hybridMultilevel"/>
    <w:lvl w:ilvl="0">
      <w:lvlJc w:val="left"/>
      <w:lvlText w:val="•"/>
      <w:numFmt w:val="bullet"/>
      <w:start w:val="1"/>
    </w:lvl>
  </w:abstractNum>
  <w:abstractNum w:abstractNumId="139">
    <w:nsid w:val="729AF360"/>
    <w:multiLevelType w:val="hybridMultilevel"/>
    <w:lvl w:ilvl="0">
      <w:lvlJc w:val="left"/>
      <w:lvlText w:val="•"/>
      <w:numFmt w:val="bullet"/>
      <w:start w:val="1"/>
    </w:lvl>
  </w:abstractNum>
  <w:abstractNum w:abstractNumId="140">
    <w:nsid w:val="1EE6AF0D"/>
    <w:multiLevelType w:val="hybridMultilevel"/>
    <w:lvl w:ilvl="0">
      <w:lvlJc w:val="left"/>
      <w:lvlText w:val="(%1)"/>
      <w:numFmt w:val="decimal"/>
      <w:start w:val="1"/>
    </w:lvl>
  </w:abstractNum>
  <w:abstractNum w:abstractNumId="141">
    <w:nsid w:val="5670E3ED"/>
    <w:multiLevelType w:val="hybridMultilevel"/>
    <w:lvl w:ilvl="0">
      <w:lvlJc w:val="left"/>
      <w:lvlText w:val="(%1)"/>
      <w:numFmt w:val="decimal"/>
      <w:start w:val="6"/>
    </w:lvl>
  </w:abstractNum>
  <w:abstractNum w:abstractNumId="142">
    <w:nsid w:val="5CAB38C6"/>
    <w:multiLevelType w:val="hybridMultilevel"/>
    <w:lvl w:ilvl="0">
      <w:lvlJc w:val="left"/>
      <w:lvlText w:val="(%1)"/>
      <w:numFmt w:val="decimal"/>
      <w:start w:val="1"/>
    </w:lvl>
  </w:abstractNum>
  <w:abstractNum w:abstractNumId="143">
    <w:nsid w:val="3B7139DD"/>
    <w:multiLevelType w:val="hybridMultilevel"/>
    <w:lvl w:ilvl="0">
      <w:lvlJc w:val="left"/>
      <w:lvlText w:val="(%1)"/>
      <w:numFmt w:val="decimal"/>
      <w:start w:val="2"/>
    </w:lvl>
  </w:abstractNum>
  <w:abstractNum w:abstractNumId="144">
    <w:nsid w:val="64E4C3CD"/>
    <w:multiLevelType w:val="hybridMultilevel"/>
    <w:lvl w:ilvl="0">
      <w:lvlJc w:val="left"/>
      <w:lvlText w:val="•"/>
      <w:numFmt w:val="bullet"/>
      <w:start w:val="1"/>
    </w:lvl>
  </w:abstractNum>
  <w:abstractNum w:abstractNumId="145">
    <w:nsid w:val="169CAD8D"/>
    <w:multiLevelType w:val="hybridMultilevel"/>
    <w:lvl w:ilvl="0">
      <w:lvlJc w:val="left"/>
      <w:lvlText w:val="•"/>
      <w:numFmt w:val="bullet"/>
      <w:start w:val="1"/>
    </w:lvl>
  </w:abstractNum>
  <w:abstractNum w:abstractNumId="146">
    <w:nsid w:val="299F6730"/>
    <w:multiLevelType w:val="hybridMultilevel"/>
    <w:lvl w:ilvl="0">
      <w:lvlJc w:val="left"/>
      <w:lvlText w:val="•"/>
      <w:numFmt w:val="bullet"/>
      <w:start w:val="1"/>
    </w:lvl>
  </w:abstractNum>
  <w:abstractNum w:abstractNumId="147">
    <w:nsid w:val="2AC1076A"/>
    <w:multiLevelType w:val="hybridMultilevel"/>
    <w:lvl w:ilvl="0">
      <w:lvlJc w:val="left"/>
      <w:lvlText w:val="•"/>
      <w:numFmt w:val="bullet"/>
      <w:start w:val="1"/>
    </w:lvl>
  </w:abstractNum>
  <w:abstractNum w:abstractNumId="148">
    <w:nsid w:val="51A6E915"/>
    <w:multiLevelType w:val="hybridMultilevel"/>
    <w:lvl w:ilvl="0">
      <w:lvlJc w:val="left"/>
      <w:lvlText w:val="•"/>
      <w:numFmt w:val="bullet"/>
      <w:start w:val="1"/>
    </w:lvl>
  </w:abstractNum>
  <w:abstractNum w:abstractNumId="149">
    <w:nsid w:val="174BDE99"/>
    <w:multiLevelType w:val="hybridMultilevel"/>
    <w:lvl w:ilvl="0">
      <w:lvlJc w:val="left"/>
      <w:lvlText w:val="•"/>
      <w:numFmt w:val="bullet"/>
      <w:start w:val="1"/>
    </w:lvl>
  </w:abstractNum>
  <w:abstractNum w:abstractNumId="150">
    <w:nsid w:val="1F2BEA4E"/>
    <w:multiLevelType w:val="hybridMultilevel"/>
    <w:lvl w:ilvl="0">
      <w:lvlJc w:val="left"/>
      <w:lvlText w:val="•"/>
      <w:numFmt w:val="bullet"/>
      <w:start w:val="1"/>
    </w:lvl>
  </w:abstractNum>
  <w:abstractNum w:abstractNumId="151">
    <w:nsid w:val="3254A32"/>
    <w:multiLevelType w:val="hybridMultilevel"/>
    <w:lvl w:ilvl="0">
      <w:lvlJc w:val="left"/>
      <w:lvlText w:val="•"/>
      <w:numFmt w:val="bullet"/>
      <w:start w:val="1"/>
    </w:lvl>
  </w:abstractNum>
  <w:abstractNum w:abstractNumId="152">
    <w:nsid w:val="11ADB5F4"/>
    <w:multiLevelType w:val="hybridMultilevel"/>
    <w:lvl w:ilvl="0">
      <w:lvlJc w:val="left"/>
      <w:lvlText w:val="(%1)"/>
      <w:numFmt w:val="decimal"/>
      <w:start w:val="1"/>
    </w:lvl>
  </w:abstractNum>
  <w:abstractNum w:abstractNumId="153">
    <w:nsid w:val="3575FED1"/>
    <w:multiLevelType w:val="hybridMultilevel"/>
    <w:lvl w:ilvl="0">
      <w:lvlJc w:val="left"/>
      <w:lvlText w:val="•"/>
      <w:numFmt w:val="bullet"/>
      <w:start w:val="1"/>
    </w:lvl>
  </w:abstractNum>
  <w:abstractNum w:abstractNumId="154">
    <w:nsid w:val="1B2B9E9D"/>
    <w:multiLevelType w:val="hybridMultilevel"/>
    <w:lvl w:ilvl="0">
      <w:lvlJc w:val="left"/>
      <w:lvlText w:val="•"/>
      <w:numFmt w:val="bullet"/>
      <w:start w:val="1"/>
    </w:lvl>
  </w:abstractNum>
  <w:abstractNum w:abstractNumId="155">
    <w:nsid w:val="3150E85C"/>
    <w:multiLevelType w:val="hybridMultilevel"/>
    <w:lvl w:ilvl="0">
      <w:lvlJc w:val="left"/>
      <w:lvlText w:val="•"/>
      <w:numFmt w:val="bullet"/>
      <w:start w:val="1"/>
    </w:lvl>
  </w:abstractNum>
  <w:abstractNum w:abstractNumId="156">
    <w:nsid w:val="638FDBD1"/>
    <w:multiLevelType w:val="hybridMultilevel"/>
    <w:lvl w:ilvl="0">
      <w:lvlJc w:val="left"/>
      <w:lvlText w:val="•"/>
      <w:numFmt w:val="bullet"/>
      <w:start w:val="1"/>
    </w:lvl>
  </w:abstractNum>
  <w:abstractNum w:abstractNumId="157">
    <w:nsid w:val="1098CF6E"/>
    <w:multiLevelType w:val="hybridMultilevel"/>
    <w:lvl w:ilvl="0">
      <w:lvlJc w:val="left"/>
      <w:lvlText w:val="(%1)"/>
      <w:numFmt w:val="lowerRoman"/>
      <w:start w:val="1"/>
    </w:lvl>
  </w:abstractNum>
  <w:abstractNum w:abstractNumId="158">
    <w:nsid w:val="1AF465D"/>
    <w:multiLevelType w:val="hybridMultilevel"/>
    <w:lvl w:ilvl="0">
      <w:lvlJc w:val="left"/>
      <w:lvlText w:val="•"/>
      <w:numFmt w:val="bullet"/>
      <w:start w:val="1"/>
    </w:lvl>
  </w:abstractNum>
  <w:abstractNum w:abstractNumId="159">
    <w:nsid w:val="128D98B7"/>
    <w:multiLevelType w:val="hybridMultilevel"/>
    <w:lvl w:ilvl="0">
      <w:lvlJc w:val="left"/>
      <w:lvlText w:val="•"/>
      <w:numFmt w:val="bullet"/>
      <w:start w:val="1"/>
    </w:lvl>
  </w:abstractNum>
  <w:abstractNum w:abstractNumId="160">
    <w:nsid w:val="5F613832"/>
    <w:multiLevelType w:val="hybridMultilevel"/>
    <w:lvl w:ilvl="0">
      <w:lvlJc w:val="left"/>
      <w:lvlText w:val="•"/>
      <w:numFmt w:val="bullet"/>
      <w:start w:val="1"/>
    </w:lvl>
  </w:abstractNum>
  <w:abstractNum w:abstractNumId="161">
    <w:nsid w:val="43E92260"/>
    <w:multiLevelType w:val="hybridMultilevel"/>
    <w:lvl w:ilvl="0">
      <w:lvlJc w:val="left"/>
      <w:lvlText w:val="•"/>
      <w:numFmt w:val="bullet"/>
      <w:start w:val="1"/>
    </w:lvl>
  </w:abstractNum>
  <w:abstractNum w:abstractNumId="162">
    <w:nsid w:val="430A1662"/>
    <w:multiLevelType w:val="hybridMultilevel"/>
    <w:lvl w:ilvl="0">
      <w:lvlJc w:val="left"/>
      <w:lvlText w:val="•"/>
      <w:numFmt w:val="bullet"/>
      <w:start w:val="1"/>
    </w:lvl>
  </w:abstractNum>
  <w:abstractNum w:abstractNumId="163">
    <w:nsid w:val="1F9D5C18"/>
    <w:multiLevelType w:val="hybridMultilevel"/>
    <w:lvl w:ilvl="0">
      <w:lvlJc w:val="left"/>
      <w:lvlText w:val="•"/>
      <w:numFmt w:val="bullet"/>
      <w:start w:val="1"/>
    </w:lvl>
  </w:abstractNum>
  <w:abstractNum w:abstractNumId="164">
    <w:nsid w:val="1CC11C37"/>
    <w:multiLevelType w:val="hybridMultilevel"/>
    <w:lvl w:ilvl="0">
      <w:lvlJc w:val="left"/>
      <w:lvlText w:val="•"/>
      <w:numFmt w:val="bullet"/>
      <w:start w:val="1"/>
    </w:lvl>
  </w:abstractNum>
  <w:abstractNum w:abstractNumId="165">
    <w:nsid w:val="4557D5D8"/>
    <w:multiLevelType w:val="hybridMultilevel"/>
    <w:lvl w:ilvl="0">
      <w:lvlJc w:val="left"/>
      <w:lvlText w:val="•"/>
      <w:numFmt w:val="bullet"/>
      <w:start w:val="1"/>
    </w:lvl>
  </w:abstractNum>
  <w:abstractNum w:abstractNumId="166">
    <w:nsid w:val="72D2B579"/>
    <w:multiLevelType w:val="hybridMultilevel"/>
    <w:lvl w:ilvl="0">
      <w:lvlJc w:val="left"/>
      <w:lvlText w:val="•"/>
      <w:numFmt w:val="bullet"/>
      <w:start w:val="1"/>
    </w:lvl>
  </w:abstractNum>
  <w:abstractNum w:abstractNumId="167">
    <w:nsid w:val="6C0BE536"/>
    <w:multiLevelType w:val="hybridMultilevel"/>
    <w:lvl w:ilvl="0">
      <w:lvlJc w:val="left"/>
      <w:lvlText w:val="•"/>
      <w:numFmt w:val="bullet"/>
      <w:start w:val="1"/>
    </w:lvl>
  </w:abstractNum>
  <w:abstractNum w:abstractNumId="168">
    <w:nsid w:val="1E22BCB2"/>
    <w:multiLevelType w:val="hybridMultilevel"/>
    <w:lvl w:ilvl="0">
      <w:lvlJc w:val="left"/>
      <w:lvlText w:val="*"/>
      <w:numFmt w:val="bullet"/>
      <w:start w:val="1"/>
    </w:lvl>
  </w:abstractNum>
  <w:abstractNum w:abstractNumId="169">
    <w:nsid w:val="3565F1C8"/>
    <w:multiLevelType w:val="hybridMultilevel"/>
    <w:lvl w:ilvl="0">
      <w:lvlJc w:val="left"/>
      <w:lvlText w:val="†"/>
      <w:numFmt w:val="bullet"/>
      <w:start w:val="1"/>
    </w:lvl>
  </w:abstractNum>
  <w:abstractNum w:abstractNumId="170">
    <w:nsid w:val="5EA6D896"/>
    <w:multiLevelType w:val="hybridMultilevel"/>
    <w:lvl w:ilvl="0">
      <w:lvlJc w:val="left"/>
      <w:lvlText w:val="(%1)"/>
      <w:numFmt w:val="decimal"/>
      <w:start w:val="1"/>
    </w:lvl>
  </w:abstractNum>
  <w:abstractNum w:abstractNumId="171">
    <w:nsid w:val="3D096BBF"/>
    <w:multiLevelType w:val="hybridMultilevel"/>
    <w:lvl w:ilvl="0">
      <w:lvlJc w:val="left"/>
      <w:lvlText w:val="1"/>
      <w:numFmt w:val="bullet"/>
      <w:start w:val="1"/>
    </w:lvl>
  </w:abstractNum>
  <w:abstractNum w:abstractNumId="172">
    <w:nsid w:val="BD6D5B5"/>
    <w:multiLevelType w:val="hybridMultilevel"/>
    <w:lvl w:ilvl="0">
      <w:lvlJc w:val="left"/>
      <w:lvlText w:val="2"/>
      <w:numFmt w:val="bullet"/>
      <w:start w:val="1"/>
    </w:lvl>
  </w:abstractNum>
  <w:abstractNum w:abstractNumId="173">
    <w:nsid w:val="3B52115C"/>
    <w:multiLevelType w:val="hybridMultilevel"/>
    <w:lvl w:ilvl="0">
      <w:lvlJc w:val="left"/>
      <w:lvlText w:val="•"/>
      <w:numFmt w:val="bullet"/>
      <w:start w:val="1"/>
    </w:lvl>
  </w:abstractNum>
  <w:abstractNum w:abstractNumId="174">
    <w:nsid w:val="787AA59C"/>
    <w:multiLevelType w:val="hybridMultilevel"/>
    <w:lvl w:ilvl="0">
      <w:lvlJc w:val="left"/>
      <w:lvlText w:val="•"/>
      <w:numFmt w:val="bullet"/>
      <w:start w:val="1"/>
    </w:lvl>
  </w:abstractNum>
  <w:abstractNum w:abstractNumId="175">
    <w:nsid w:val="70BB9983"/>
    <w:multiLevelType w:val="hybridMultilevel"/>
    <w:lvl w:ilvl="0">
      <w:lvlJc w:val="left"/>
      <w:lvlText w:val="(%1)"/>
      <w:numFmt w:val="lowerRoman"/>
      <w:start w:val="2"/>
    </w:lvl>
  </w:abstractNum>
  <w:abstractNum w:abstractNumId="176">
    <w:nsid w:val="51EEBEEA"/>
    <w:multiLevelType w:val="hybridMultilevel"/>
    <w:lvl w:ilvl="0">
      <w:lvlJc w:val="left"/>
      <w:lvlText w:val="•"/>
      <w:numFmt w:val="bullet"/>
      <w:start w:val="1"/>
    </w:lvl>
  </w:abstractNum>
  <w:abstractNum w:abstractNumId="177">
    <w:nsid w:val="221A0CCD"/>
    <w:multiLevelType w:val="hybridMultilevel"/>
    <w:lvl w:ilvl="0">
      <w:lvlJc w:val="left"/>
      <w:lvlText w:val="•"/>
      <w:numFmt w:val="bullet"/>
      <w:start w:val="1"/>
    </w:lvl>
  </w:abstractNum>
  <w:abstractNum w:abstractNumId="178">
    <w:nsid w:val="1B7CA0ED"/>
    <w:multiLevelType w:val="hybridMultilevel"/>
    <w:lvl w:ilvl="0">
      <w:lvlJc w:val="left"/>
      <w:lvlText w:val="•"/>
      <w:numFmt w:val="bullet"/>
      <w:start w:val="1"/>
    </w:lvl>
  </w:abstractNum>
  <w:abstractNum w:abstractNumId="179">
    <w:nsid w:val="2395A7FF"/>
    <w:multiLevelType w:val="hybridMultilevel"/>
    <w:lvl w:ilvl="0">
      <w:lvlJc w:val="left"/>
      <w:lvlText w:val="•"/>
      <w:numFmt w:val="bullet"/>
      <w:start w:val="1"/>
    </w:lvl>
  </w:abstractNum>
  <w:abstractNum w:abstractNumId="180">
    <w:nsid w:val="3965EB66"/>
    <w:multiLevelType w:val="hybridMultilevel"/>
    <w:lvl w:ilvl="0">
      <w:lvlJc w:val="left"/>
      <w:lvlText w:val="•"/>
      <w:numFmt w:val="bullet"/>
      <w:start w:val="1"/>
    </w:lvl>
    <w:lvl w:ilvl="1">
      <w:lvlJc w:val="left"/>
      <w:lvlText w:val="◦"/>
      <w:numFmt w:val="bullet"/>
      <w:start w:val="1"/>
    </w:lvl>
  </w:abstractNum>
  <w:abstractNum w:abstractNumId="181">
    <w:nsid w:val="3AA88B3C"/>
    <w:multiLevelType w:val="hybridMultilevel"/>
    <w:lvl w:ilvl="0">
      <w:lvlJc w:val="left"/>
      <w:lvlText w:val="•"/>
      <w:numFmt w:val="bullet"/>
      <w:start w:val="1"/>
    </w:lvl>
  </w:abstractNum>
  <w:abstractNum w:abstractNumId="182">
    <w:nsid w:val="26BAF231"/>
    <w:multiLevelType w:val="hybridMultilevel"/>
    <w:lvl w:ilvl="0">
      <w:lvlJc w:val="left"/>
      <w:lvlText w:val="3"/>
      <w:numFmt w:val="bullet"/>
      <w:start w:val="1"/>
    </w:lvl>
  </w:abstractNum>
  <w:abstractNum w:abstractNumId="183">
    <w:nsid w:val="4B13A15A"/>
    <w:multiLevelType w:val="hybridMultilevel"/>
    <w:lvl w:ilvl="0">
      <w:lvlJc w:val="left"/>
      <w:lvlText w:val="•"/>
      <w:numFmt w:val="bullet"/>
      <w:start w:val="1"/>
    </w:lvl>
  </w:abstractNum>
  <w:abstractNum w:abstractNumId="184">
    <w:nsid w:val="701E8A0D"/>
    <w:multiLevelType w:val="hybridMultilevel"/>
    <w:lvl w:ilvl="0">
      <w:lvlJc w:val="left"/>
      <w:lvlText w:val="4"/>
      <w:numFmt w:val="bullet"/>
      <w:start w:val="1"/>
    </w:lvl>
  </w:abstractNum>
  <w:abstractNum w:abstractNumId="185">
    <w:nsid w:val="41E690CF"/>
    <w:multiLevelType w:val="hybridMultilevel"/>
    <w:lvl w:ilvl="0">
      <w:lvlJc w:val="left"/>
      <w:lvlText w:val="5"/>
      <w:numFmt w:val="bullet"/>
      <w:start w:val="1"/>
    </w:lvl>
  </w:abstractNum>
  <w:abstractNum w:abstractNumId="186">
    <w:nsid w:val="7C6489B6"/>
    <w:multiLevelType w:val="hybridMultilevel"/>
    <w:lvl w:ilvl="0">
      <w:lvlJc w:val="left"/>
      <w:lvlText w:val="6"/>
      <w:numFmt w:val="bullet"/>
      <w:start w:val="1"/>
    </w:lvl>
  </w:abstractNum>
  <w:abstractNum w:abstractNumId="187">
    <w:nsid w:val="53AE65DE"/>
    <w:multiLevelType w:val="hybridMultilevel"/>
    <w:lvl w:ilvl="0">
      <w:lvlJc w:val="left"/>
      <w:lvlText w:val="(%1)"/>
      <w:numFmt w:val="decimal"/>
      <w:start w:val="1"/>
    </w:lvl>
  </w:abstractNum>
  <w:abstractNum w:abstractNumId="188">
    <w:nsid w:val="527F603D"/>
    <w:multiLevelType w:val="hybridMultilevel"/>
    <w:lvl w:ilvl="0">
      <w:lvlJc w:val="left"/>
      <w:lvlText w:val="7"/>
      <w:numFmt w:val="bullet"/>
      <w:start w:val="1"/>
    </w:lvl>
  </w:abstractNum>
  <w:abstractNum w:abstractNumId="189">
    <w:nsid w:val="7E13D013"/>
    <w:multiLevelType w:val="hybridMultilevel"/>
    <w:lvl w:ilvl="0">
      <w:lvlJc w:val="left"/>
      <w:lvlText w:val="("/>
      <w:numFmt w:val="bullet"/>
      <w:start w:val="1"/>
    </w:lvl>
  </w:abstractNum>
  <w:abstractNum w:abstractNumId="190">
    <w:nsid w:val="663BFE95"/>
    <w:multiLevelType w:val="hybridMultilevel"/>
    <w:lvl w:ilvl="0">
      <w:lvlJc w:val="left"/>
      <w:lvlText w:val="8"/>
      <w:numFmt w:val="bullet"/>
      <w:start w:val="1"/>
    </w:lvl>
  </w:abstractNum>
  <w:abstractNum w:abstractNumId="191">
    <w:nsid w:val="31E0986F"/>
    <w:multiLevelType w:val="hybridMultilevel"/>
    <w:lvl w:ilvl="0">
      <w:lvlJc w:val="left"/>
      <w:lvlText w:val="9"/>
      <w:numFmt w:val="bullet"/>
      <w:start w:val="1"/>
    </w:lvl>
  </w:abstractNum>
  <w:abstractNum w:abstractNumId="192">
    <w:nsid w:val="41FCF274"/>
    <w:multiLevelType w:val="hybridMultilevel"/>
    <w:lvl w:ilvl="0">
      <w:lvlJc w:val="left"/>
      <w:lvlText w:val="%1"/>
      <w:numFmt w:val="decimal"/>
      <w:start w:val="10"/>
    </w:lvl>
  </w:abstractNum>
  <w:abstractNum w:abstractNumId="193">
    <w:nsid w:val="294614F7"/>
    <w:multiLevelType w:val="hybridMultilevel"/>
    <w:lvl w:ilvl="0">
      <w:lvlJc w:val="left"/>
      <w:lvlText w:val="%1"/>
      <w:numFmt w:val="decimal"/>
      <w:start w:val="12"/>
    </w:lvl>
  </w:abstractNum>
  <w:abstractNum w:abstractNumId="194">
    <w:nsid w:val="517DF487"/>
    <w:multiLevelType w:val="hybridMultilevel"/>
    <w:lvl w:ilvl="0">
      <w:lvlJc w:val="left"/>
      <w:lvlText w:val="%1."/>
      <w:numFmt w:val="decimal"/>
      <w:start w:val="12"/>
    </w:lvl>
  </w:abstractNum>
  <w:abstractNum w:abstractNumId="195">
    <w:nsid w:val="5EBE0EAB"/>
    <w:multiLevelType w:val="hybridMultilevel"/>
    <w:lvl w:ilvl="0">
      <w:lvlJc w:val="left"/>
      <w:lvlText w:val="(%1)"/>
      <w:numFmt w:val="decimal"/>
      <w:start w:val="1"/>
    </w:lvl>
  </w:abstractNum>
  <w:abstractNum w:abstractNumId="196">
    <w:nsid w:val="6E9DEAD0"/>
    <w:multiLevelType w:val="hybridMultilevel"/>
    <w:lvl w:ilvl="0">
      <w:lvlJc w:val="left"/>
      <w:lvlText w:val="(%1)"/>
      <w:numFmt w:val="decimal"/>
      <w:start w:val="1"/>
    </w:lvl>
  </w:abstractNum>
  <w:abstractNum w:abstractNumId="197">
    <w:nsid w:val="4450AA00"/>
    <w:multiLevelType w:val="hybridMultilevel"/>
    <w:lvl w:ilvl="0">
      <w:lvlJc w:val="left"/>
      <w:lvlText w:val="(%1)"/>
      <w:numFmt w:val="decimal"/>
      <w:start w:val="1"/>
    </w:lvl>
  </w:abstractNum>
  <w:abstractNum w:abstractNumId="198">
    <w:nsid w:val="4AC9F3E2"/>
    <w:multiLevelType w:val="hybridMultilevel"/>
    <w:lvl w:ilvl="0">
      <w:lvlJc w:val="left"/>
      <w:lvlText w:val="(%1)"/>
      <w:numFmt w:val="decimal"/>
      <w:start w:val="1"/>
    </w:lvl>
  </w:abstractNum>
  <w:abstractNum w:abstractNumId="199">
    <w:nsid w:val="CC0A782"/>
    <w:multiLevelType w:val="hybridMultilevel"/>
    <w:lvl w:ilvl="0">
      <w:lvlJc w:val="left"/>
      <w:lvlText w:val="(%1)"/>
      <w:numFmt w:val="decimal"/>
      <w:start w:val="1"/>
    </w:lvl>
  </w:abstractNum>
  <w:abstractNum w:abstractNumId="200">
    <w:nsid w:val="79B69BC9"/>
    <w:multiLevelType w:val="hybridMultilevel"/>
    <w:lvl w:ilvl="0">
      <w:lvlJc w:val="left"/>
      <w:lvlText w:val="(%1)"/>
      <w:numFmt w:val="decimal"/>
      <w:start w:val="1"/>
    </w:lvl>
  </w:abstractNum>
  <w:abstractNum w:abstractNumId="201">
    <w:nsid w:val="2970CC78"/>
    <w:multiLevelType w:val="hybridMultilevel"/>
    <w:lvl w:ilvl="0">
      <w:lvlJc w:val="left"/>
      <w:lvlText w:val="(%1)"/>
      <w:numFmt w:val="decimal"/>
      <w:start w:val="1"/>
    </w:lvl>
  </w:abstractNum>
  <w:abstractNum w:abstractNumId="202">
    <w:nsid w:val="49CA1341"/>
    <w:multiLevelType w:val="hybridMultilevel"/>
    <w:lvl w:ilvl="0">
      <w:lvlJc w:val="left"/>
      <w:lvlText w:val="(%1)"/>
      <w:numFmt w:val="decimal"/>
      <w:start w:val="1"/>
    </w:lvl>
  </w:abstractNum>
  <w:abstractNum w:abstractNumId="203">
    <w:nsid w:val="58D717E"/>
    <w:multiLevelType w:val="hybridMultilevel"/>
    <w:lvl w:ilvl="0">
      <w:lvlJc w:val="left"/>
      <w:lvlText w:val="(%1)"/>
      <w:numFmt w:val="decimal"/>
      <w:start w:val="1"/>
    </w:lvl>
  </w:abstractNum>
  <w:abstractNum w:abstractNumId="204">
    <w:nsid w:val="64C2DDD5"/>
    <w:multiLevelType w:val="hybridMultilevel"/>
    <w:lvl w:ilvl="0">
      <w:lvlJc w:val="left"/>
      <w:lvlText w:val="(%1)"/>
      <w:numFmt w:val="decimal"/>
      <w:start w:val="1"/>
    </w:lvl>
  </w:abstractNum>
  <w:abstractNum w:abstractNumId="205">
    <w:nsid w:val="4244B8DE"/>
    <w:multiLevelType w:val="hybridMultilevel"/>
    <w:lvl w:ilvl="0">
      <w:lvlJc w:val="left"/>
      <w:lvlText w:val="(%1)"/>
      <w:numFmt w:val="decimal"/>
      <w:start w:val="1"/>
    </w:lvl>
  </w:abstractNum>
  <w:abstractNum w:abstractNumId="206">
    <w:nsid w:val="76490B01"/>
    <w:multiLevelType w:val="hybridMultilevel"/>
    <w:lvl w:ilvl="0">
      <w:lvlJc w:val="left"/>
      <w:lvlText w:val="%1"/>
      <w:numFmt w:val="decimal"/>
      <w:start w:val="18"/>
    </w:lvl>
  </w:abstractNum>
  <w:abstractNum w:abstractNumId="207">
    <w:nsid w:val="36B19CBF"/>
    <w:multiLevelType w:val="hybridMultilevel"/>
    <w:lvl w:ilvl="0">
      <w:lvlJc w:val="left"/>
      <w:lvlText w:val="(%1)"/>
      <w:numFmt w:val="decimal"/>
      <w:start w:val="1"/>
    </w:lvl>
  </w:abstractNum>
  <w:abstractNum w:abstractNumId="208">
    <w:nsid w:val="645EC5AB"/>
    <w:multiLevelType w:val="hybridMultilevel"/>
    <w:lvl w:ilvl="0">
      <w:lvlJc w:val="left"/>
      <w:lvlText w:val="•"/>
      <w:numFmt w:val="bullet"/>
      <w:start w:val="1"/>
    </w:lvl>
  </w:abstractNum>
  <w:abstractNum w:abstractNumId="209">
    <w:nsid w:val="11C5ABEF"/>
    <w:multiLevelType w:val="hybridMultilevel"/>
    <w:lvl w:ilvl="0">
      <w:lvlJc w:val="left"/>
      <w:lvlText w:val="A"/>
      <w:numFmt w:val="bullet"/>
      <w:start w:val="1"/>
    </w:lvl>
  </w:abstractNum>
  <w:abstractNum w:abstractNumId="210">
    <w:nsid w:val="5A4744BE"/>
    <w:multiLevelType w:val="hybridMultilevel"/>
    <w:lvl w:ilvl="0">
      <w:lvlJc w:val="left"/>
      <w:lvlText w:val="(%1)"/>
      <w:numFmt w:val="lowerRoman"/>
      <w:start w:val="2"/>
    </w:lvl>
  </w:abstractNum>
  <w:abstractNum w:abstractNumId="211">
    <w:nsid w:val="1DC4B111"/>
    <w:multiLevelType w:val="hybridMultilevel"/>
    <w:lvl w:ilvl="0">
      <w:lvlJc w:val="left"/>
      <w:lvlText w:val="•"/>
      <w:numFmt w:val="bullet"/>
      <w:start w:val="1"/>
    </w:lvl>
  </w:abstractNum>
  <w:abstractNum w:abstractNumId="212">
    <w:nsid w:val="4C6E372B"/>
    <w:multiLevelType w:val="hybridMultilevel"/>
    <w:lvl w:ilvl="0">
      <w:lvlJc w:val="left"/>
      <w:lvlText w:val="•"/>
      <w:numFmt w:val="bullet"/>
      <w:start w:val="1"/>
    </w:lvl>
  </w:abstractNum>
  <w:abstractNum w:abstractNumId="213">
    <w:nsid w:val="10236EF"/>
    <w:multiLevelType w:val="hybridMultilevel"/>
    <w:lvl w:ilvl="0">
      <w:lvlJc w:val="left"/>
      <w:lvlText w:val="•"/>
      <w:numFmt w:val="bullet"/>
      <w:start w:val="1"/>
    </w:lvl>
  </w:abstractNum>
  <w:abstractNum w:abstractNumId="214">
    <w:nsid w:val="68D8526B"/>
    <w:multiLevelType w:val="hybridMultilevel"/>
    <w:lvl w:ilvl="0">
      <w:lvlJc w:val="left"/>
      <w:lvlText w:val="•"/>
      <w:numFmt w:val="bullet"/>
      <w:start w:val="1"/>
    </w:lvl>
  </w:abstractNum>
  <w:abstractNum w:abstractNumId="215">
    <w:nsid w:val="3C8CC138"/>
    <w:multiLevelType w:val="hybridMultilevel"/>
    <w:lvl w:ilvl="0">
      <w:lvlJc w:val="left"/>
      <w:lvlText w:val="•"/>
      <w:numFmt w:val="bullet"/>
      <w:start w:val="1"/>
    </w:lvl>
  </w:abstractNum>
  <w:abstractNum w:abstractNumId="216">
    <w:nsid w:val="42E8C7BE"/>
    <w:multiLevelType w:val="hybridMultilevel"/>
    <w:lvl w:ilvl="0">
      <w:lvlJc w:val="left"/>
      <w:lvlText w:val="•"/>
      <w:numFmt w:val="bullet"/>
      <w:start w:val="1"/>
    </w:lvl>
  </w:abstractNum>
  <w:abstractNum w:abstractNumId="217">
    <w:nsid w:val="653CDC22"/>
    <w:multiLevelType w:val="hybridMultilevel"/>
    <w:lvl w:ilvl="0">
      <w:lvlJc w:val="left"/>
      <w:lvlText w:val="•"/>
      <w:numFmt w:val="bullet"/>
      <w:start w:val="1"/>
    </w:lvl>
  </w:abstractNum>
  <w:abstractNum w:abstractNumId="218">
    <w:nsid w:val="103B2716"/>
    <w:multiLevelType w:val="hybridMultilevel"/>
    <w:lvl w:ilvl="0">
      <w:lvlJc w:val="left"/>
      <w:lvlText w:val="•"/>
      <w:numFmt w:val="bullet"/>
      <w:start w:val="1"/>
    </w:lvl>
  </w:abstractNum>
  <w:abstractNum w:abstractNumId="219">
    <w:nsid w:val="156827FB"/>
    <w:multiLevelType w:val="hybridMultilevel"/>
    <w:lvl w:ilvl="0">
      <w:lvlJc w:val="left"/>
      <w:lvlText w:val="•"/>
      <w:numFmt w:val="bullet"/>
      <w:start w:val="1"/>
    </w:lvl>
  </w:abstractNum>
  <w:abstractNum w:abstractNumId="220">
    <w:nsid w:val="6350AC35"/>
    <w:multiLevelType w:val="hybridMultilevel"/>
    <w:lvl w:ilvl="0">
      <w:lvlJc w:val="left"/>
      <w:lvlText w:val="•"/>
      <w:numFmt w:val="bullet"/>
      <w:start w:val="1"/>
    </w:lvl>
  </w:abstractNum>
  <w:abstractNum w:abstractNumId="221">
    <w:nsid w:val="767725AB"/>
    <w:multiLevelType w:val="hybridMultilevel"/>
    <w:lvl w:ilvl="0">
      <w:lvlJc w:val="left"/>
      <w:lvlText w:val="[***]"/>
      <w:numFmt w:val="bullet"/>
      <w:start w:val="1"/>
    </w:lvl>
  </w:abstractNum>
  <w:abstractNum w:abstractNumId="222">
    <w:nsid w:val="4748C06A"/>
    <w:multiLevelType w:val="hybridMultilevel"/>
    <w:lvl w:ilvl="0">
      <w:lvlJc w:val="left"/>
      <w:lvlText w:val="%1."/>
      <w:numFmt w:val="decimal"/>
      <w:start w:val="1"/>
    </w:lvl>
  </w:abstractNum>
  <w:abstractNum w:abstractNumId="223">
    <w:nsid w:val="254D9EA9"/>
    <w:multiLevelType w:val="hybridMultilevel"/>
    <w:lvl w:ilvl="0">
      <w:lvlJc w:val="left"/>
      <w:lvlText w:val="%1."/>
      <w:numFmt w:val="decimal"/>
      <w:start w:val="3"/>
    </w:lvl>
  </w:abstractNum>
  <w:abstractNum w:abstractNumId="224">
    <w:nsid w:val="1FBD3AA3"/>
    <w:multiLevelType w:val="hybridMultilevel"/>
    <w:lvl w:ilvl="0">
      <w:lvlJc w:val="left"/>
      <w:lvlText w:val="(%1)"/>
      <w:numFmt w:val="decimal"/>
      <w:start w:val="1"/>
    </w:lvl>
  </w:abstractNum>
  <w:abstractNum w:abstractNumId="225">
    <w:nsid w:val="18C6B4F2"/>
    <w:multiLevelType w:val="hybridMultilevel"/>
    <w:lvl w:ilvl="0">
      <w:lvlJc w:val="left"/>
      <w:lvlText w:val="(%1)"/>
      <w:numFmt w:val="decimal"/>
      <w:start w:val="10"/>
    </w:lvl>
  </w:abstractNum>
  <w:abstractNum w:abstractNumId="226">
    <w:nsid w:val="40BAD55"/>
    <w:multiLevelType w:val="hybridMultilevel"/>
    <w:lvl w:ilvl="0">
      <w:lvlJc w:val="left"/>
      <w:lvlText w:val="(%1)"/>
      <w:numFmt w:val="upperLetter"/>
      <w:start w:val="1"/>
    </w:lvl>
  </w:abstractNum>
  <w:abstractNum w:abstractNumId="227">
    <w:nsid w:val="E5B2573"/>
    <w:multiLevelType w:val="hybridMultilevel"/>
    <w:lvl w:ilvl="0">
      <w:lvlJc w:val="left"/>
      <w:lvlText w:val="%1."/>
      <w:numFmt w:val="decimal"/>
      <w:start w:val="1"/>
    </w:lvl>
  </w:abstractNum>
  <w:abstractNum w:abstractNumId="228">
    <w:nsid w:val="5D175EF2"/>
    <w:multiLevelType w:val="hybridMultilevel"/>
    <w:lvl w:ilvl="0">
      <w:lvlJc w:val="left"/>
      <w:lvlText w:val="%1."/>
      <w:numFmt w:val="decimal"/>
      <w:start w:val="2"/>
    </w:lvl>
  </w:abstractNum>
  <w:abstractNum w:abstractNumId="229">
    <w:nsid w:val="4ED5A137"/>
    <w:multiLevelType w:val="hybridMultilevel"/>
    <w:lvl w:ilvl="0">
      <w:lvlJc w:val="left"/>
      <w:lvlText w:val="%1."/>
      <w:numFmt w:val="decimal"/>
      <w:start w:val="4"/>
    </w:lvl>
  </w:abstractNum>
  <w:abstractNum w:abstractNumId="230">
    <w:nsid w:val="1B1BCCF5"/>
    <w:multiLevelType w:val="hybridMultilevel"/>
    <w:lvl w:ilvl="0">
      <w:lvlJc w:val="left"/>
      <w:lvlText w:val="%1."/>
      <w:numFmt w:val="decimal"/>
      <w:start w:val="4"/>
    </w:lvl>
  </w:abstractNum>
  <w:abstractNum w:abstractNumId="231">
    <w:nsid w:val="56CDFABB"/>
    <w:multiLevelType w:val="hybridMultilevel"/>
    <w:lvl w:ilvl="0">
      <w:lvlJc w:val="left"/>
      <w:lvlText w:val="%1."/>
      <w:numFmt w:val="decimal"/>
      <w:start w:val="10"/>
    </w:lvl>
  </w:abstractNum>
  <w:abstractNum w:abstractNumId="232">
    <w:nsid w:val="78466DAF"/>
    <w:multiLevelType w:val="hybridMultilevel"/>
    <w:lvl w:ilvl="0">
      <w:lvlJc w:val="left"/>
      <w:lvlText w:val="%1."/>
      <w:numFmt w:val="decimal"/>
      <w:start w:val="18"/>
    </w:lvl>
  </w:abstractNum>
  <w:abstractNum w:abstractNumId="233">
    <w:nsid w:val="64E5E036"/>
    <w:multiLevelType w:val="hybridMultilevel"/>
    <w:lvl w:ilvl="0">
      <w:lvlJc w:val="left"/>
      <w:lvlText w:val="%1."/>
      <w:numFmt w:val="decimal"/>
      <w:start w:val="23"/>
    </w:lvl>
  </w:abstractNum>
  <w:abstractNum w:abstractNumId="234">
    <w:nsid w:val="5C5B6C3A"/>
    <w:multiLevelType w:val="hybridMultilevel"/>
    <w:lvl w:ilvl="0">
      <w:lvlJc w:val="left"/>
      <w:lvlText w:val="(%1)"/>
      <w:numFmt w:val="decimal"/>
      <w:start w:val="1"/>
    </w:lvl>
  </w:abstractNum>
  <w:abstractNum w:abstractNumId="235">
    <w:nsid w:val="5D094B84"/>
    <w:multiLevelType w:val="hybridMultilevel"/>
    <w:lvl w:ilvl="0">
      <w:lvlJc w:val="left"/>
      <w:lvlText w:val="(%1)"/>
      <w:numFmt w:val="upperLetter"/>
      <w:start w:val="1"/>
    </w:lvl>
  </w:abstractNum>
  <w:abstractNum w:abstractNumId="236">
    <w:nsid w:val="272A9914"/>
    <w:multiLevelType w:val="hybridMultilevel"/>
    <w:lvl w:ilvl="0">
      <w:lvlJc w:val="left"/>
      <w:lvlText w:val="%1."/>
      <w:numFmt w:val="decimal"/>
      <w:start w:val="1"/>
    </w:lvl>
  </w:abstractNum>
  <w:abstractNum w:abstractNumId="237">
    <w:nsid w:val="52A4773B"/>
    <w:multiLevelType w:val="hybridMultilevel"/>
    <w:lvl w:ilvl="0">
      <w:lvlJc w:val="left"/>
      <w:lvlText w:val="(%1)"/>
      <w:numFmt w:val="lowerLetter"/>
      <w:start w:val="1"/>
    </w:lvl>
  </w:abstractNum>
  <w:abstractNum w:abstractNumId="238">
    <w:nsid w:val="13BAE843"/>
    <w:multiLevelType w:val="hybridMultilevel"/>
    <w:lvl w:ilvl="0">
      <w:lvlJc w:val="left"/>
      <w:lvlText w:val="(%1)"/>
      <w:numFmt w:val="lowerLetter"/>
      <w:start w:val="1"/>
    </w:lvl>
  </w:abstractNum>
  <w:abstractNum w:abstractNumId="239">
    <w:nsid w:val="B895EBF"/>
    <w:multiLevelType w:val="hybridMultilevel"/>
    <w:lvl w:ilvl="0">
      <w:lvlJc w:val="left"/>
      <w:lvlText w:val="(%1)"/>
      <w:numFmt w:val="lowerLetter"/>
      <w:start w:val="6"/>
    </w:lvl>
  </w:abstractNum>
  <w:abstractNum w:abstractNumId="240">
    <w:nsid w:val="646A232A"/>
    <w:multiLevelType w:val="hybridMultilevel"/>
    <w:lvl w:ilvl="0">
      <w:lvlJc w:val="left"/>
      <w:lvlText w:val="(%1)"/>
      <w:numFmt w:val="lowerLetter"/>
      <w:start w:val="1"/>
    </w:lvl>
  </w:abstractNum>
  <w:abstractNum w:abstractNumId="241">
    <w:nsid w:val="6E022D01"/>
    <w:multiLevelType w:val="hybridMultilevel"/>
    <w:lvl w:ilvl="0">
      <w:lvlJc w:val="left"/>
      <w:lvlText w:val="(%1)"/>
      <w:numFmt w:val="lowerLetter"/>
      <w:start w:val="1"/>
    </w:lvl>
  </w:abstractNum>
  <w:abstractNum w:abstractNumId="242">
    <w:nsid w:val="294E0FD0"/>
    <w:multiLevelType w:val="hybridMultilevel"/>
    <w:lvl w:ilvl="0">
      <w:lvlJc w:val="left"/>
      <w:lvlText w:val="(%1)"/>
      <w:numFmt w:val="lowerLetter"/>
      <w:start w:val="1"/>
    </w:lvl>
  </w:abstractNum>
  <w:abstractNum w:abstractNumId="243">
    <w:nsid w:val="30D85A55"/>
    <w:multiLevelType w:val="hybridMultilevel"/>
    <w:lvl w:ilvl="0">
      <w:lvlJc w:val="left"/>
      <w:lvlText w:val="(%1)"/>
      <w:numFmt w:val="lowerLetter"/>
      <w:start w:val="19"/>
    </w:lvl>
  </w:abstractNum>
  <w:abstractNum w:abstractNumId="244">
    <w:nsid w:val="6F0463F1"/>
    <w:multiLevelType w:val="hybridMultilevel"/>
    <w:lvl w:ilvl="0">
      <w:lvlJc w:val="left"/>
      <w:lvlText w:val="(%1)"/>
      <w:numFmt w:val="lowerLetter"/>
      <w:start w:val="1"/>
    </w:lvl>
  </w:abstractNum>
  <w:abstractNum w:abstractNumId="245">
    <w:nsid w:val="1226623C"/>
    <w:multiLevelType w:val="hybridMultilevel"/>
    <w:lvl w:ilvl="0">
      <w:lvlJc w:val="left"/>
      <w:lvlText w:val="(%1)"/>
      <w:numFmt w:val="lowerLetter"/>
      <w:start w:val="1"/>
    </w:lvl>
  </w:abstractNum>
  <w:abstractNum w:abstractNumId="246">
    <w:nsid w:val="6D651B8D"/>
    <w:multiLevelType w:val="hybridMultilevel"/>
    <w:lvl w:ilvl="0">
      <w:lvlJc w:val="left"/>
      <w:lvlText w:val="(%1)"/>
      <w:numFmt w:val="lowerLetter"/>
      <w:start w:val="1"/>
    </w:lvl>
  </w:abstractNum>
  <w:abstractNum w:abstractNumId="247">
    <w:nsid w:val="31ED2BAF"/>
    <w:multiLevelType w:val="hybridMultilevel"/>
    <w:lvl w:ilvl="0">
      <w:lvlJc w:val="left"/>
      <w:lvlText w:val="(%1)"/>
      <w:numFmt w:val="lowerLetter"/>
      <w:start w:val="1"/>
    </w:lvl>
  </w:abstractNum>
  <w:abstractNum w:abstractNumId="248">
    <w:nsid w:val="77633E5E"/>
    <w:multiLevelType w:val="hybridMultilevel"/>
    <w:lvl w:ilvl="0">
      <w:lvlJc w:val="left"/>
      <w:lvlText w:val="(%1)"/>
      <w:numFmt w:val="lowerLetter"/>
      <w:start w:val="1"/>
    </w:lvl>
  </w:abstractNum>
  <w:abstractNum w:abstractNumId="249">
    <w:nsid w:val="7DA042A3"/>
    <w:multiLevelType w:val="hybridMultilevel"/>
    <w:lvl w:ilvl="0">
      <w:lvlJc w:val="left"/>
      <w:lvlText w:val="(%1)"/>
      <w:numFmt w:val="lowerLetter"/>
      <w:start w:val="1"/>
    </w:lvl>
  </w:abstractNum>
  <w:abstractNum w:abstractNumId="250">
    <w:nsid w:val="475553AB"/>
    <w:multiLevelType w:val="hybridMultilevel"/>
    <w:lvl w:ilvl="0">
      <w:lvlJc w:val="left"/>
      <w:lvlText w:val="(%1)"/>
      <w:numFmt w:val="lowerLetter"/>
      <w:start w:val="2"/>
    </w:lvl>
  </w:abstractNum>
  <w:abstractNum w:abstractNumId="251">
    <w:nsid w:val="5AB3EA93"/>
    <w:multiLevelType w:val="hybridMultilevel"/>
    <w:lvl w:ilvl="0">
      <w:lvlJc w:val="left"/>
      <w:lvlText w:val="(%1)"/>
      <w:numFmt w:val="lowerLetter"/>
      <w:start w:val="1"/>
    </w:lvl>
  </w:abstractNum>
  <w:abstractNum w:abstractNumId="252">
    <w:nsid w:val="7417684F"/>
    <w:multiLevelType w:val="hybridMultilevel"/>
    <w:lvl w:ilvl="0">
      <w:lvlJc w:val="left"/>
      <w:lvlText w:val="(%1)"/>
      <w:numFmt w:val="lowerLetter"/>
      <w:start w:val="1"/>
    </w:lvl>
  </w:abstractNum>
  <w:abstractNum w:abstractNumId="253">
    <w:nsid w:val="E9E1415"/>
    <w:multiLevelType w:val="hybridMultilevel"/>
    <w:lvl w:ilvl="0">
      <w:lvlJc w:val="left"/>
      <w:lvlText w:val="(%1)"/>
      <w:numFmt w:val="lowerRoman"/>
      <w:start w:val="2"/>
    </w:lvl>
  </w:abstractNum>
  <w:abstractNum w:abstractNumId="254">
    <w:nsid w:val="1893D"/>
    <w:multiLevelType w:val="hybridMultilevel"/>
    <w:lvl w:ilvl="0">
      <w:lvlJc w:val="left"/>
      <w:lvlText w:val="(%1)"/>
      <w:numFmt w:val="lowerLetter"/>
      <w:start w:val="1"/>
    </w:lvl>
  </w:abstractNum>
  <w:abstractNum w:abstractNumId="255">
    <w:nsid w:val="13D4A2F2"/>
    <w:multiLevelType w:val="hybridMultilevel"/>
    <w:lvl w:ilvl="0">
      <w:lvlJc w:val="left"/>
      <w:lvlText w:val="(%1)"/>
      <w:numFmt w:val="lowerLetter"/>
      <w:start w:val="1"/>
    </w:lvl>
  </w:abstractNum>
  <w:abstractNum w:abstractNumId="256">
    <w:nsid w:val="2764C907"/>
    <w:multiLevelType w:val="hybridMultilevel"/>
    <w:lvl w:ilvl="0">
      <w:lvlJc w:val="left"/>
      <w:lvlText w:val="(%1)"/>
      <w:numFmt w:val="lowerLetter"/>
      <w:start w:val="1"/>
    </w:lvl>
  </w:abstractNum>
  <w:abstractNum w:abstractNumId="257">
    <w:nsid w:val="40D3692"/>
    <w:multiLevelType w:val="hybridMultilevel"/>
    <w:lvl w:ilvl="0">
      <w:lvlJc w:val="left"/>
      <w:lvlText w:val="(%1)"/>
      <w:numFmt w:val="lowerLetter"/>
      <w:start w:val="1"/>
    </w:lvl>
  </w:abstractNum>
  <w:abstractNum w:abstractNumId="258">
    <w:nsid w:val="222FC865"/>
    <w:multiLevelType w:val="hybridMultilevel"/>
    <w:lvl w:ilvl="0">
      <w:lvlJc w:val="left"/>
      <w:lvlText w:val="(%1)"/>
      <w:numFmt w:val="lowerLetter"/>
      <w:start w:val="1"/>
    </w:lvl>
  </w:abstractNum>
  <w:abstractNum w:abstractNumId="259">
    <w:nsid w:val="47C27FA"/>
    <w:multiLevelType w:val="hybridMultilevel"/>
    <w:lvl w:ilvl="0">
      <w:lvlJc w:val="left"/>
      <w:lvlText w:val="(%1)"/>
      <w:numFmt w:val="lowerLetter"/>
      <w:start w:val="2"/>
    </w:lvl>
  </w:abstractNum>
  <w:abstractNum w:abstractNumId="260">
    <w:nsid w:val="52E2D7C9"/>
    <w:multiLevelType w:val="hybridMultilevel"/>
    <w:lvl w:ilvl="0">
      <w:lvlJc w:val="left"/>
      <w:lvlText w:val="(%1)"/>
      <w:numFmt w:val="lowerLetter"/>
      <w:start w:val="1"/>
    </w:lvl>
    <w:lvl w:ilvl="1">
      <w:lvlJc w:val="left"/>
      <w:lvlText w:val="(%2)"/>
      <w:numFmt w:val="lowerRoman"/>
      <w:start w:val="1"/>
    </w:lvl>
  </w:abstractNum>
  <w:abstractNum w:abstractNumId="261">
    <w:nsid w:val="3D4B955A"/>
    <w:multiLevelType w:val="hybridMultilevel"/>
    <w:lvl w:ilvl="0">
      <w:lvlJc w:val="left"/>
      <w:lvlText w:val="(%1)"/>
      <w:numFmt w:val="lowerLetter"/>
      <w:start w:val="1"/>
    </w:lvl>
    <w:lvl w:ilvl="1">
      <w:lvlJc w:val="left"/>
      <w:lvlText w:val="(%2)"/>
      <w:numFmt w:val="lowerRoman"/>
      <w:start w:val="1"/>
    </w:lvl>
  </w:abstractNum>
  <w:abstractNum w:abstractNumId="262">
    <w:nsid w:val="5B4A22B5"/>
    <w:multiLevelType w:val="hybridMultilevel"/>
    <w:lvl w:ilvl="0">
      <w:lvlJc w:val="left"/>
      <w:lvlText w:val="(%1)"/>
      <w:numFmt w:val="lowerRoman"/>
      <w:start w:val="1"/>
    </w:lvl>
  </w:abstractNum>
  <w:abstractNum w:abstractNumId="263">
    <w:nsid w:val="4B294578"/>
    <w:multiLevelType w:val="hybridMultilevel"/>
    <w:lvl w:ilvl="0">
      <w:lvlJc w:val="left"/>
      <w:lvlText w:val="(%1)"/>
      <w:numFmt w:val="lowerLetter"/>
      <w:start w:val="1"/>
    </w:lvl>
  </w:abstractNum>
  <w:abstractNum w:abstractNumId="264">
    <w:nsid w:val="22317590"/>
    <w:multiLevelType w:val="hybridMultilevel"/>
    <w:lvl w:ilvl="0">
      <w:lvlJc w:val="left"/>
      <w:lvlText w:val="(%1)"/>
      <w:numFmt w:val="lowerLetter"/>
      <w:start w:val="1"/>
    </w:lvl>
  </w:abstractNum>
  <w:abstractNum w:abstractNumId="265">
    <w:nsid w:val="37A58EEF"/>
    <w:multiLevelType w:val="hybridMultilevel"/>
    <w:lvl w:ilvl="0">
      <w:lvlJc w:val="left"/>
      <w:lvlText w:val="(%1)"/>
      <w:numFmt w:val="lowerLetter"/>
      <w:start w:val="3"/>
    </w:lvl>
  </w:abstractNum>
  <w:abstractNum w:abstractNumId="266">
    <w:nsid w:val="283290FD"/>
    <w:multiLevelType w:val="hybridMultilevel"/>
    <w:lvl w:ilvl="0">
      <w:lvlJc w:val="left"/>
      <w:lvlText w:val="(%1)"/>
      <w:numFmt w:val="lowerLetter"/>
      <w:start w:val="1"/>
    </w:lvl>
  </w:abstractNum>
  <w:abstractNum w:abstractNumId="267">
    <w:nsid w:val="495C0EA5"/>
    <w:multiLevelType w:val="hybridMultilevel"/>
    <w:lvl w:ilvl="0">
      <w:lvlJc w:val="left"/>
      <w:lvlText w:val="(%1)"/>
      <w:numFmt w:val="lowerLetter"/>
      <w:start w:val="1"/>
    </w:lvl>
  </w:abstractNum>
  <w:abstractNum w:abstractNumId="268">
    <w:nsid w:val="A4A062B"/>
    <w:multiLevelType w:val="hybridMultilevel"/>
    <w:lvl w:ilvl="0">
      <w:lvlJc w:val="left"/>
      <w:lvlText w:val="(%1)"/>
      <w:numFmt w:val="lowerLetter"/>
      <w:start w:val="1"/>
    </w:lvl>
  </w:abstractNum>
  <w:abstractNum w:abstractNumId="269">
    <w:nsid w:val="3BED7940"/>
    <w:multiLevelType w:val="hybridMultilevel"/>
    <w:lvl w:ilvl="0">
      <w:lvlJc w:val="left"/>
      <w:lvlText w:val="(%1)"/>
      <w:numFmt w:val="lowerLetter"/>
      <w:start w:val="1"/>
    </w:lvl>
  </w:abstractNum>
  <w:abstractNum w:abstractNumId="270">
    <w:nsid w:val="54E56D64"/>
    <w:multiLevelType w:val="hybridMultilevel"/>
    <w:lvl w:ilvl="0">
      <w:lvlJc w:val="left"/>
      <w:lvlText w:val="(%1)"/>
      <w:numFmt w:val="lowerLetter"/>
      <w:start w:val="1"/>
    </w:lvl>
  </w:abstractNum>
  <w:abstractNum w:abstractNumId="271">
    <w:nsid w:val="6EB42955"/>
    <w:multiLevelType w:val="hybridMultilevel"/>
    <w:lvl w:ilvl="0">
      <w:lvlJc w:val="left"/>
      <w:lvlText w:val="(%1)"/>
      <w:numFmt w:val="lowerLetter"/>
      <w:start w:val="1"/>
    </w:lvl>
    <w:lvl w:ilvl="1">
      <w:lvlJc w:val="left"/>
      <w:lvlText w:val="(%2)"/>
      <w:numFmt w:val="lowerRoman"/>
      <w:start w:val="1"/>
    </w:lvl>
  </w:abstractNum>
  <w:abstractNum w:abstractNumId="272">
    <w:nsid w:val="29EFA642"/>
    <w:multiLevelType w:val="hybridMultilevel"/>
    <w:lvl w:ilvl="0">
      <w:lvlJc w:val="left"/>
      <w:lvlText w:val="(%1)"/>
      <w:numFmt w:val="lowerLetter"/>
      <w:start w:val="1"/>
    </w:lvl>
    <w:lvl w:ilvl="1">
      <w:lvlJc w:val="left"/>
      <w:lvlText w:val="(%2)"/>
      <w:numFmt w:val="lowerRoman"/>
      <w:start w:val="1"/>
    </w:lvl>
  </w:abstractNum>
  <w:abstractNum w:abstractNumId="273">
    <w:nsid w:val="7E337D35"/>
    <w:multiLevelType w:val="hybridMultilevel"/>
    <w:lvl w:ilvl="0">
      <w:lvlJc w:val="left"/>
      <w:lvlText w:val="(%1)"/>
      <w:numFmt w:val="lowerLetter"/>
      <w:start w:val="3"/>
    </w:lvl>
    <w:lvl w:ilvl="1">
      <w:lvlJc w:val="left"/>
      <w:lvlText w:val="(%2)"/>
      <w:numFmt w:val="lowerRoman"/>
      <w:start w:val="1"/>
    </w:lvl>
  </w:abstractNum>
  <w:abstractNum w:abstractNumId="274">
    <w:nsid w:val="1F8C83A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75">
    <w:nsid w:val="18F40A33"/>
    <w:multiLevelType w:val="hybridMultilevel"/>
    <w:lvl w:ilvl="0">
      <w:lvlJc w:val="left"/>
      <w:lvlText w:val="%1"/>
      <w:numFmt w:val="decimal"/>
      <w:start w:val="1"/>
    </w:lvl>
    <w:lvl w:ilvl="1">
      <w:lvlJc w:val="left"/>
      <w:lvlText w:val="(%2)"/>
      <w:numFmt w:val="lowerLetter"/>
      <w:start w:val="13"/>
    </w:lvl>
  </w:abstractNum>
  <w:abstractNum w:abstractNumId="276">
    <w:nsid w:val="1059DF71"/>
    <w:multiLevelType w:val="hybridMultilevel"/>
    <w:lvl w:ilvl="0">
      <w:lvlJc w:val="left"/>
      <w:lvlText w:val="%1."/>
      <w:numFmt w:val="decimal"/>
      <w:start w:val="2"/>
    </w:lvl>
    <w:lvl w:ilvl="1">
      <w:lvlJc w:val="left"/>
      <w:lvlText w:val="%2"/>
      <w:numFmt w:val="lowerLetter"/>
      <w:start w:val="1"/>
    </w:lvl>
  </w:abstractNum>
  <w:abstractNum w:abstractNumId="277">
    <w:nsid w:val="CF19F38"/>
    <w:multiLevelType w:val="hybridMultilevel"/>
    <w:lvl w:ilvl="0">
      <w:lvlJc w:val="left"/>
      <w:lvlText w:val="(%1)"/>
      <w:numFmt w:val="lowerLetter"/>
      <w:start w:val="1"/>
    </w:lvl>
  </w:abstractNum>
  <w:abstractNum w:abstractNumId="278">
    <w:nsid w:val="4AE135E2"/>
    <w:multiLevelType w:val="hybridMultilevel"/>
    <w:lvl w:ilvl="0">
      <w:lvlJc w:val="left"/>
      <w:lvlText w:val="(%1)"/>
      <w:numFmt w:val="lowerLetter"/>
      <w:start w:val="1"/>
    </w:lvl>
    <w:lvl w:ilvl="1">
      <w:lvlJc w:val="left"/>
      <w:lvlText w:val="(%2)"/>
      <w:numFmt w:val="lowerRoman"/>
      <w:start w:val="1"/>
    </w:lvl>
  </w:abstractNum>
  <w:abstractNum w:abstractNumId="279">
    <w:nsid w:val="7BD1DCF"/>
    <w:multiLevelType w:val="hybridMultilevel"/>
    <w:lvl w:ilvl="0">
      <w:lvlJc w:val="left"/>
      <w:lvlText w:val="(%1)"/>
      <w:numFmt w:val="lowerLetter"/>
      <w:start w:val="4"/>
    </w:lvl>
    <w:lvl w:ilvl="1">
      <w:lvlJc w:val="left"/>
      <w:lvlText w:val="(%2)"/>
      <w:numFmt w:val="lowerRoman"/>
      <w:start w:val="1"/>
    </w:lvl>
  </w:abstractNum>
  <w:abstractNum w:abstractNumId="280">
    <w:nsid w:val="A91E1DC"/>
    <w:multiLevelType w:val="hybridMultilevel"/>
    <w:lvl w:ilvl="0">
      <w:lvlJc w:val="left"/>
      <w:lvlText w:val="(%1)"/>
      <w:numFmt w:val="lowerLetter"/>
      <w:start w:val="1"/>
    </w:lvl>
  </w:abstractNum>
  <w:abstractNum w:abstractNumId="281">
    <w:nsid w:val="1236898D"/>
    <w:multiLevelType w:val="hybridMultilevel"/>
    <w:lvl w:ilvl="0">
      <w:lvlJc w:val="left"/>
      <w:lvlText w:val="(%1)"/>
      <w:numFmt w:val="lowerLetter"/>
      <w:start w:val="5"/>
    </w:lvl>
  </w:abstractNum>
  <w:abstractNum w:abstractNumId="282">
    <w:nsid w:val="62710862"/>
    <w:multiLevelType w:val="hybridMultilevel"/>
    <w:lvl w:ilvl="0">
      <w:lvlJc w:val="left"/>
      <w:lvlText w:val="(%1)"/>
      <w:numFmt w:val="lowerLetter"/>
      <w:start w:val="1"/>
    </w:lvl>
  </w:abstractNum>
  <w:abstractNum w:abstractNumId="283">
    <w:nsid w:val="7EA94A2B"/>
    <w:multiLevelType w:val="hybridMultilevel"/>
    <w:lvl w:ilvl="0">
      <w:lvlJc w:val="left"/>
      <w:lvlText w:val="(%1)"/>
      <w:numFmt w:val="lowerLetter"/>
      <w:start w:val="1"/>
    </w:lvl>
    <w:lvl w:ilvl="1">
      <w:lvlJc w:val="left"/>
      <w:lvlText w:val="(%2)"/>
      <w:numFmt w:val="lowerRoman"/>
      <w:start w:val="1"/>
    </w:lvl>
  </w:abstractNum>
  <w:abstractNum w:abstractNumId="284">
    <w:nsid w:val="20D49DA3"/>
    <w:multiLevelType w:val="hybridMultilevel"/>
    <w:lvl w:ilvl="0">
      <w:lvlJc w:val="left"/>
      <w:lvlText w:val="(%1)"/>
      <w:numFmt w:val="lowerRoman"/>
      <w:start w:val="3"/>
    </w:lvl>
  </w:abstractNum>
  <w:abstractNum w:abstractNumId="285">
    <w:nsid w:val="6272919F"/>
    <w:multiLevelType w:val="hybridMultilevel"/>
    <w:lvl w:ilvl="0">
      <w:lvlJc w:val="left"/>
      <w:lvlText w:val="(%1)"/>
      <w:numFmt w:val="lowerLetter"/>
      <w:start w:val="1"/>
    </w:lvl>
  </w:abstractNum>
  <w:abstractNum w:abstractNumId="286">
    <w:nsid w:val="127DED1D"/>
    <w:multiLevelType w:val="hybridMultilevel"/>
    <w:lvl w:ilvl="0">
      <w:lvlJc w:val="left"/>
      <w:lvlText w:val="%1"/>
      <w:numFmt w:val="decimal"/>
      <w:start w:val="1"/>
    </w:lvl>
    <w:lvl w:ilvl="1">
      <w:lvlJc w:val="left"/>
      <w:lvlText w:val="(%2)"/>
      <w:numFmt w:val="lowerLetter"/>
      <w:start w:val="1"/>
    </w:lvl>
  </w:abstractNum>
  <w:abstractNum w:abstractNumId="287">
    <w:nsid w:val="483966AA"/>
    <w:multiLevelType w:val="hybridMultilevel"/>
    <w:lvl w:ilvl="0">
      <w:lvlJc w:val="left"/>
      <w:lvlText w:val="%1."/>
      <w:numFmt w:val="decimal"/>
      <w:start w:val="3"/>
    </w:lvl>
    <w:lvl w:ilvl="1">
      <w:lvlJc w:val="left"/>
      <w:lvlText w:val="%2"/>
      <w:numFmt w:val="lowerLetter"/>
      <w:start w:val="1"/>
    </w:lvl>
  </w:abstractNum>
  <w:abstractNum w:abstractNumId="288">
    <w:nsid w:val="667FC831"/>
    <w:multiLevelType w:val="hybridMultilevel"/>
    <w:lvl w:ilvl="0">
      <w:lvlJc w:val="left"/>
      <w:lvlText w:val="(%1)"/>
      <w:numFmt w:val="lowerLetter"/>
      <w:start w:val="1"/>
    </w:lvl>
  </w:abstractNum>
  <w:abstractNum w:abstractNumId="289">
    <w:nsid w:val="34ADB582"/>
    <w:multiLevelType w:val="hybridMultilevel"/>
    <w:lvl w:ilvl="0">
      <w:lvlJc w:val="left"/>
      <w:lvlText w:val="(%1)"/>
      <w:numFmt w:val="lowerLetter"/>
      <w:start w:val="1"/>
    </w:lvl>
    <w:lvl w:ilvl="1">
      <w:lvlJc w:val="left"/>
      <w:lvlText w:val="(%2)"/>
      <w:numFmt w:val="lowerRoman"/>
      <w:start w:val="1"/>
    </w:lvl>
  </w:abstractNum>
  <w:abstractNum w:abstractNumId="290">
    <w:nsid w:val="4CB58EA4"/>
    <w:multiLevelType w:val="hybridMultilevel"/>
    <w:lvl w:ilvl="0">
      <w:lvlJc w:val="left"/>
      <w:lvlText w:val="(%1)"/>
      <w:numFmt w:val="lowerLetter"/>
      <w:start w:val="1"/>
    </w:lvl>
  </w:abstractNum>
  <w:abstractNum w:abstractNumId="291">
    <w:nsid w:val="39629FFA"/>
    <w:multiLevelType w:val="hybridMultilevel"/>
    <w:lvl w:ilvl="0">
      <w:lvlJc w:val="left"/>
      <w:lvlText w:val="(%1)"/>
      <w:numFmt w:val="lowerLetter"/>
      <w:start w:val="1"/>
    </w:lvl>
    <w:lvl w:ilvl="1">
      <w:lvlJc w:val="left"/>
      <w:lvlText w:val="(%2)"/>
      <w:numFmt w:val="lowerRoman"/>
      <w:start w:val="1"/>
    </w:lvl>
  </w:abstractNum>
  <w:abstractNum w:abstractNumId="292">
    <w:nsid w:val="71F94ADC"/>
    <w:multiLevelType w:val="hybridMultilevel"/>
    <w:lvl w:ilvl="0">
      <w:lvlJc w:val="left"/>
      <w:lvlText w:val="(%1)"/>
      <w:numFmt w:val="lowerLetter"/>
      <w:start w:val="1"/>
    </w:lvl>
    <w:lvl w:ilvl="1">
      <w:lvlJc w:val="left"/>
      <w:lvlText w:val="(%2)"/>
      <w:numFmt w:val="lowerRoman"/>
      <w:start w:val="1"/>
    </w:lvl>
  </w:abstractNum>
  <w:abstractNum w:abstractNumId="293">
    <w:nsid w:val="27FFB15A"/>
    <w:multiLevelType w:val="hybridMultilevel"/>
    <w:lvl w:ilvl="0">
      <w:lvlJc w:val="left"/>
      <w:lvlText w:val="(%1)"/>
      <w:numFmt w:val="lowerLetter"/>
      <w:start w:val="1"/>
    </w:lvl>
  </w:abstractNum>
  <w:abstractNum w:abstractNumId="294">
    <w:nsid w:val="48BE573"/>
    <w:multiLevelType w:val="hybridMultilevel"/>
    <w:lvl w:ilvl="0">
      <w:lvlJc w:val="left"/>
      <w:lvlText w:val="%1"/>
      <w:numFmt w:val="lowerLetter"/>
      <w:start w:val="1"/>
    </w:lvl>
    <w:lvl w:ilvl="1">
      <w:lvlJc w:val="left"/>
      <w:lvlText w:val="(%2)"/>
      <w:numFmt w:val="lowerRoman"/>
      <w:start w:val="1"/>
    </w:lvl>
  </w:abstractNum>
  <w:abstractNum w:abstractNumId="295">
    <w:nsid w:val="142AC06C"/>
    <w:multiLevelType w:val="hybridMultilevel"/>
    <w:lvl w:ilvl="0">
      <w:lvlJc w:val="left"/>
      <w:lvlText w:val="(%1)"/>
      <w:numFmt w:val="lowerLetter"/>
      <w:start w:val="4"/>
    </w:lvl>
    <w:lvl w:ilvl="1">
      <w:lvlJc w:val="left"/>
      <w:lvlText w:val="(%2)"/>
      <w:numFmt w:val="lowerRoman"/>
      <w:start w:val="1"/>
    </w:lvl>
  </w:abstractNum>
  <w:abstractNum w:abstractNumId="296">
    <w:nsid w:val="5FA54049"/>
    <w:multiLevelType w:val="hybridMultilevel"/>
    <w:lvl w:ilvl="0">
      <w:lvlJc w:val="left"/>
      <w:lvlText w:val="(%1)"/>
      <w:numFmt w:val="lowerLetter"/>
      <w:start w:val="1"/>
    </w:lvl>
  </w:abstractNum>
  <w:abstractNum w:abstractNumId="297">
    <w:nsid w:val="2CBE7670"/>
    <w:multiLevelType w:val="hybridMultilevel"/>
    <w:lvl w:ilvl="0">
      <w:lvlJc w:val="left"/>
      <w:lvlText w:val="%1."/>
      <w:numFmt w:val="decimal"/>
      <w:start w:val="4"/>
    </w:lvl>
  </w:abstractNum>
  <w:abstractNum w:abstractNumId="298">
    <w:nsid w:val="5D86CF11"/>
    <w:multiLevelType w:val="hybridMultilevel"/>
    <w:lvl w:ilvl="0">
      <w:lvlJc w:val="left"/>
      <w:lvlText w:val="(%1)"/>
      <w:numFmt w:val="lowerLetter"/>
      <w:start w:val="1"/>
    </w:lvl>
  </w:abstractNum>
  <w:abstractNum w:abstractNumId="299">
    <w:nsid w:val="69EF4674"/>
    <w:multiLevelType w:val="hybridMultilevel"/>
    <w:lvl w:ilvl="0">
      <w:lvlJc w:val="left"/>
      <w:lvlText w:val="(%1)"/>
      <w:numFmt w:val="lowerLetter"/>
      <w:start w:val="1"/>
    </w:lvl>
    <w:lvl w:ilvl="1">
      <w:lvlJc w:val="left"/>
      <w:lvlText w:val="(%2)"/>
      <w:numFmt w:val="lowerRoman"/>
      <w:start w:val="1"/>
    </w:lvl>
  </w:abstractNum>
  <w:abstractNum w:abstractNumId="300">
    <w:nsid w:val="68ABEFB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01">
    <w:nsid w:val="326C3C7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2">
    <w:nsid w:val="58A36FC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03">
    <w:nsid w:val="129B95F2"/>
    <w:multiLevelType w:val="hybridMultilevel"/>
    <w:lvl w:ilvl="0">
      <w:lvlJc w:val="left"/>
      <w:lvlText w:val="(%1)"/>
      <w:numFmt w:val="lowerRoman"/>
      <w:start w:val="2"/>
    </w:lvl>
  </w:abstractNum>
  <w:abstractNum w:abstractNumId="304">
    <w:nsid w:val="309FB9AB"/>
    <w:multiLevelType w:val="hybridMultilevel"/>
    <w:lvl w:ilvl="0">
      <w:lvlJc w:val="left"/>
      <w:lvlText w:val="(%1)"/>
      <w:numFmt w:val="lowerLetter"/>
      <w:start w:val="1"/>
    </w:lvl>
    <w:lvl w:ilvl="1">
      <w:lvlJc w:val="left"/>
      <w:lvlText w:val="(%2)"/>
      <w:numFmt w:val="lowerRoman"/>
      <w:start w:val="1"/>
    </w:lvl>
  </w:abstractNum>
  <w:abstractNum w:abstractNumId="305">
    <w:nsid w:val="782FF375"/>
    <w:multiLevelType w:val="hybridMultilevel"/>
    <w:lvl w:ilvl="0">
      <w:lvlJc w:val="left"/>
      <w:lvlText w:val="6"/>
      <w:numFmt w:val="bullet"/>
      <w:start w:val="1"/>
    </w:lvl>
    <w:lvl w:ilvl="1">
      <w:lvlJc w:val="left"/>
      <w:lvlText w:val="%2"/>
      <w:numFmt w:val="decimal"/>
      <w:start w:val="1"/>
    </w:lvl>
    <w:lvl w:ilvl="2">
      <w:lvlJc w:val="left"/>
      <w:lvlText w:val="(%3)"/>
      <w:numFmt w:val="lowerLetter"/>
      <w:start w:val="1"/>
    </w:lvl>
  </w:abstractNum>
  <w:abstractNum w:abstractNumId="306">
    <w:nsid w:val="2B8FA025"/>
    <w:multiLevelType w:val="hybridMultilevel"/>
    <w:lvl w:ilvl="0">
      <w:lvlJc w:val="left"/>
      <w:lvlText w:val="6"/>
      <w:numFmt w:val="bullet"/>
      <w:start w:val="1"/>
    </w:lvl>
    <w:lvl w:ilvl="1">
      <w:lvlJc w:val="left"/>
      <w:lvlText w:val="%2."/>
      <w:numFmt w:val="decimal"/>
      <w:start w:val="5"/>
    </w:lvl>
    <w:lvl w:ilvl="2">
      <w:lvlJc w:val="left"/>
      <w:lvlText w:val="%3"/>
      <w:numFmt w:val="lowerLetter"/>
      <w:start w:val="1"/>
    </w:lvl>
  </w:abstractNum>
  <w:abstractNum w:abstractNumId="307">
    <w:nsid w:val="40F999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8">
    <w:nsid w:val="52192AD"/>
    <w:multiLevelType w:val="hybridMultilevel"/>
    <w:lvl w:ilvl="0">
      <w:lvlJc w:val="left"/>
      <w:lvlText w:val="(%1)"/>
      <w:numFmt w:val="lowerRoman"/>
      <w:start w:val="2"/>
    </w:lvl>
    <w:lvl w:ilvl="1">
      <w:lvlJc w:val="left"/>
      <w:lvlText w:val="(%2)"/>
      <w:numFmt w:val="upperLetter"/>
      <w:start w:val="1"/>
    </w:lvl>
  </w:abstractNum>
  <w:abstractNum w:abstractNumId="309">
    <w:nsid w:val="7670D608"/>
    <w:multiLevelType w:val="hybridMultilevel"/>
    <w:lvl w:ilvl="0">
      <w:lvlJc w:val="left"/>
      <w:lvlText w:val="(%1)"/>
      <w:numFmt w:val="lowerLetter"/>
      <w:start w:val="2"/>
    </w:lvl>
  </w:abstractNum>
  <w:abstractNum w:abstractNumId="310">
    <w:nsid w:val="48B6B6EB"/>
    <w:multiLevelType w:val="hybridMultilevel"/>
    <w:lvl w:ilvl="0">
      <w:lvlJc w:val="left"/>
      <w:lvlText w:val="(%1)"/>
      <w:numFmt w:val="lowerLetter"/>
      <w:start w:val="1"/>
    </w:lvl>
  </w:abstractNum>
  <w:abstractNum w:abstractNumId="311">
    <w:nsid w:val="FB37489"/>
    <w:multiLevelType w:val="hybridMultilevel"/>
    <w:lvl w:ilvl="0">
      <w:lvlJc w:val="left"/>
      <w:lvlText w:val="%1."/>
      <w:numFmt w:val="decimal"/>
      <w:start w:val="6"/>
    </w:lvl>
  </w:abstractNum>
  <w:abstractNum w:abstractNumId="312">
    <w:nsid w:val="8A75F95"/>
    <w:multiLevelType w:val="hybridMultilevel"/>
    <w:lvl w:ilvl="0">
      <w:lvlJc w:val="left"/>
      <w:lvlText w:val="(%1)"/>
      <w:numFmt w:val="lowerLetter"/>
      <w:start w:val="1"/>
    </w:lvl>
  </w:abstractNum>
  <w:abstractNum w:abstractNumId="313">
    <w:nsid w:val="2B27BF4D"/>
    <w:multiLevelType w:val="hybridMultilevel"/>
    <w:lvl w:ilvl="0">
      <w:lvlJc w:val="left"/>
      <w:lvlText w:val="(%1)"/>
      <w:numFmt w:val="lowerLetter"/>
      <w:start w:val="1"/>
    </w:lvl>
  </w:abstractNum>
  <w:abstractNum w:abstractNumId="314">
    <w:nsid w:val="E5CBEB4"/>
    <w:multiLevelType w:val="hybridMultilevel"/>
    <w:lvl w:ilvl="0">
      <w:lvlJc w:val="left"/>
      <w:lvlText w:val="%1."/>
      <w:numFmt w:val="decimal"/>
      <w:start w:val="7"/>
    </w:lvl>
  </w:abstractNum>
  <w:abstractNum w:abstractNumId="315">
    <w:nsid w:val="297BFD38"/>
    <w:multiLevelType w:val="hybridMultilevel"/>
    <w:lvl w:ilvl="0">
      <w:lvlJc w:val="left"/>
      <w:lvlText w:val="(%1)"/>
      <w:numFmt w:val="lowerLetter"/>
      <w:start w:val="1"/>
    </w:lvl>
  </w:abstractNum>
  <w:abstractNum w:abstractNumId="316">
    <w:nsid w:val="D9A50ED"/>
    <w:multiLevelType w:val="hybridMultilevel"/>
    <w:lvl w:ilvl="0">
      <w:lvlJc w:val="left"/>
      <w:lvlText w:val="(%1)"/>
      <w:numFmt w:val="lowerLetter"/>
      <w:start w:val="1"/>
    </w:lvl>
    <w:lvl w:ilvl="1">
      <w:lvlJc w:val="left"/>
      <w:lvlText w:val="(%2)"/>
      <w:numFmt w:val="lowerRoman"/>
      <w:start w:val="1"/>
    </w:lvl>
  </w:abstractNum>
  <w:abstractNum w:abstractNumId="317">
    <w:nsid w:val="20DAABD1"/>
    <w:multiLevelType w:val="hybridMultilevel"/>
    <w:lvl w:ilvl="0">
      <w:lvlJc w:val="left"/>
      <w:lvlText w:val="(%1)"/>
      <w:numFmt w:val="lowerLetter"/>
      <w:start w:val="4"/>
    </w:lvl>
    <w:lvl w:ilvl="1">
      <w:lvlJc w:val="left"/>
      <w:lvlText w:val="(%2)"/>
      <w:numFmt w:val="lowerRoman"/>
      <w:start w:val="1"/>
    </w:lvl>
  </w:abstractNum>
  <w:abstractNum w:abstractNumId="318">
    <w:nsid w:val="71B563E3"/>
    <w:multiLevelType w:val="hybridMultilevel"/>
    <w:lvl w:ilvl="0">
      <w:lvlJc w:val="left"/>
      <w:lvlText w:val="(%1)"/>
      <w:numFmt w:val="lowerLetter"/>
      <w:start w:val="1"/>
    </w:lvl>
  </w:abstractNum>
  <w:abstractNum w:abstractNumId="319">
    <w:nsid w:val="741A191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0">
    <w:nsid w:val="55886153"/>
    <w:multiLevelType w:val="hybridMultilevel"/>
    <w:lvl w:ilvl="0">
      <w:lvlJc w:val="left"/>
      <w:lvlText w:val="%1"/>
      <w:numFmt w:val="decimal"/>
      <w:start w:val="1"/>
    </w:lvl>
    <w:lvl w:ilvl="1">
      <w:lvlJc w:val="left"/>
      <w:lvlText w:val="(%2)"/>
      <w:numFmt w:val="lowerLetter"/>
      <w:start w:val="1"/>
    </w:lvl>
  </w:abstractNum>
  <w:abstractNum w:abstractNumId="321">
    <w:nsid w:val="3E6AF287"/>
    <w:multiLevelType w:val="hybridMultilevel"/>
    <w:lvl w:ilvl="0">
      <w:lvlJc w:val="left"/>
      <w:lvlText w:val="%1."/>
      <w:numFmt w:val="decimal"/>
      <w:start w:val="8"/>
    </w:lvl>
    <w:lvl w:ilvl="1">
      <w:lvlJc w:val="left"/>
      <w:lvlText w:val="%2"/>
      <w:numFmt w:val="lowerLetter"/>
      <w:start w:val="1"/>
    </w:lvl>
  </w:abstractNum>
  <w:abstractNum w:abstractNumId="322">
    <w:nsid w:val="2D7CB919"/>
    <w:multiLevelType w:val="hybridMultilevel"/>
    <w:lvl w:ilvl="0">
      <w:lvlJc w:val="left"/>
      <w:lvlText w:val="(%1)"/>
      <w:numFmt w:val="lowerLetter"/>
      <w:start w:val="1"/>
    </w:lvl>
  </w:abstractNum>
  <w:abstractNum w:abstractNumId="323">
    <w:nsid w:val="4781AC2F"/>
    <w:multiLevelType w:val="hybridMultilevel"/>
    <w:lvl w:ilvl="0">
      <w:lvlJc w:val="left"/>
      <w:lvlText w:val="(%1)"/>
      <w:numFmt w:val="lowerLetter"/>
      <w:start w:val="1"/>
    </w:lvl>
  </w:abstractNum>
  <w:abstractNum w:abstractNumId="324">
    <w:nsid w:val="666AA3E1"/>
    <w:multiLevelType w:val="hybridMultilevel"/>
    <w:lvl w:ilvl="0">
      <w:lvlJc w:val="left"/>
      <w:lvlText w:val="%1"/>
      <w:numFmt w:val="decimal"/>
      <w:start w:val="1"/>
    </w:lvl>
    <w:lvl w:ilvl="1">
      <w:lvlJc w:val="left"/>
      <w:lvlText w:val="(%2)"/>
      <w:numFmt w:val="lowerLetter"/>
      <w:start w:val="1"/>
    </w:lvl>
  </w:abstractNum>
  <w:abstractNum w:abstractNumId="325">
    <w:nsid w:val="32089E8C"/>
    <w:multiLevelType w:val="hybridMultilevel"/>
    <w:lvl w:ilvl="0">
      <w:lvlJc w:val="left"/>
      <w:lvlText w:val="%1."/>
      <w:numFmt w:val="decimal"/>
      <w:start w:val="9"/>
    </w:lvl>
    <w:lvl w:ilvl="1">
      <w:lvlJc w:val="left"/>
      <w:lvlText w:val="%2"/>
      <w:numFmt w:val="lowerLetter"/>
      <w:start w:val="1"/>
    </w:lvl>
  </w:abstractNum>
  <w:abstractNum w:abstractNumId="326">
    <w:nsid w:val="5BAC6C9C"/>
    <w:multiLevelType w:val="hybridMultilevel"/>
    <w:lvl w:ilvl="0">
      <w:lvlJc w:val="left"/>
      <w:lvlText w:val="(%1)"/>
      <w:numFmt w:val="lowerLetter"/>
      <w:start w:val="1"/>
    </w:lvl>
  </w:abstractNum>
  <w:abstractNum w:abstractNumId="327">
    <w:nsid w:val="460FE42B"/>
    <w:multiLevelType w:val="hybridMultilevel"/>
    <w:lvl w:ilvl="0">
      <w:lvlJc w:val="left"/>
      <w:lvlText w:val="%1."/>
      <w:numFmt w:val="decimal"/>
      <w:start w:val="10"/>
    </w:lvl>
  </w:abstractNum>
  <w:abstractNum w:abstractNumId="328">
    <w:nsid w:val="5EC714FC"/>
    <w:multiLevelType w:val="hybridMultilevel"/>
    <w:lvl w:ilvl="0">
      <w:lvlJc w:val="left"/>
      <w:lvlText w:val="%1."/>
      <w:numFmt w:val="decimal"/>
      <w:start w:val="11"/>
    </w:lvl>
  </w:abstractNum>
  <w:abstractNum w:abstractNumId="329">
    <w:nsid w:val="39333BAD"/>
    <w:multiLevelType w:val="hybridMultilevel"/>
    <w:lvl w:ilvl="0">
      <w:lvlJc w:val="left"/>
      <w:lvlText w:val="%1."/>
      <w:numFmt w:val="decimal"/>
      <w:start w:val="12"/>
    </w:lvl>
  </w:abstractNum>
  <w:abstractNum w:abstractNumId="330">
    <w:nsid w:val="2FFF2A9F"/>
    <w:multiLevelType w:val="hybridMultilevel"/>
    <w:lvl w:ilvl="0">
      <w:lvlJc w:val="left"/>
      <w:lvlText w:val="%1"/>
      <w:numFmt w:val="decimal"/>
      <w:start w:val="1"/>
    </w:lvl>
    <w:lvl w:ilvl="1">
      <w:lvlJc w:val="left"/>
      <w:lvlText w:val="(%2)"/>
      <w:numFmt w:val="lowerLetter"/>
      <w:start w:val="1"/>
    </w:lvl>
  </w:abstractNum>
  <w:abstractNum w:abstractNumId="331">
    <w:nsid w:val="477304AC"/>
    <w:multiLevelType w:val="hybridMultilevel"/>
    <w:lvl w:ilvl="0">
      <w:lvlJc w:val="left"/>
      <w:lvlText w:val="%1."/>
      <w:numFmt w:val="decimal"/>
      <w:start w:val="14"/>
    </w:lvl>
    <w:lvl w:ilvl="1">
      <w:lvlJc w:val="left"/>
      <w:lvlText w:val="%2"/>
      <w:numFmt w:val="lowerLetter"/>
      <w:start w:val="1"/>
    </w:lvl>
  </w:abstractNum>
  <w:abstractNum w:abstractNumId="332">
    <w:nsid w:val="6B9F7823"/>
    <w:multiLevelType w:val="hybridMultilevel"/>
    <w:lvl w:ilvl="0">
      <w:lvlJc w:val="left"/>
      <w:lvlText w:val="(%1)"/>
      <w:numFmt w:val="lowerLetter"/>
      <w:start w:val="1"/>
    </w:lvl>
  </w:abstractNum>
  <w:abstractNum w:abstractNumId="333">
    <w:nsid w:val="8A29A69"/>
    <w:multiLevelType w:val="hybridMultilevel"/>
    <w:lvl w:ilvl="0">
      <w:lvlJc w:val="left"/>
      <w:lvlText w:val="(%1)"/>
      <w:numFmt w:val="lowerLetter"/>
      <w:start w:val="1"/>
    </w:lvl>
  </w:abstractNum>
  <w:abstractNum w:abstractNumId="334">
    <w:nsid w:val="5A0E9A9F"/>
    <w:multiLevelType w:val="hybridMultilevel"/>
    <w:lvl w:ilvl="0">
      <w:lvlJc w:val="left"/>
      <w:lvlText w:val="(%1)"/>
      <w:numFmt w:val="lowerLetter"/>
      <w:start w:val="4"/>
    </w:lvl>
  </w:abstractNum>
  <w:abstractNum w:abstractNumId="335">
    <w:nsid w:val="1C3F31CE"/>
    <w:multiLevelType w:val="hybridMultilevel"/>
    <w:lvl w:ilvl="0">
      <w:lvlJc w:val="left"/>
      <w:lvlText w:val="%1."/>
      <w:numFmt w:val="decimal"/>
      <w:start w:val="15"/>
    </w:lvl>
  </w:abstractNum>
  <w:abstractNum w:abstractNumId="336">
    <w:nsid w:val="D28DDE"/>
    <w:multiLevelType w:val="hybridMultilevel"/>
    <w:lvl w:ilvl="0">
      <w:lvlJc w:val="left"/>
      <w:lvlText w:val="(%1)"/>
      <w:numFmt w:val="lowerLetter"/>
      <w:start w:val="1"/>
    </w:lvl>
  </w:abstractNum>
  <w:abstractNum w:abstractNumId="337">
    <w:nsid w:val="59E3AC4"/>
    <w:multiLevelType w:val="hybridMultilevel"/>
    <w:lvl w:ilvl="0">
      <w:lvlJc w:val="left"/>
      <w:lvlText w:val="(%1)"/>
      <w:numFmt w:val="lowerLetter"/>
      <w:start w:val="1"/>
    </w:lvl>
  </w:abstractNum>
  <w:abstractNum w:abstractNumId="338">
    <w:nsid w:val="5D38CAEA"/>
    <w:multiLevelType w:val="hybridMultilevel"/>
    <w:lvl w:ilvl="0">
      <w:lvlJc w:val="left"/>
      <w:lvlText w:val="(%1)"/>
      <w:numFmt w:val="lowerLetter"/>
      <w:start w:val="1"/>
    </w:lvl>
  </w:abstractNum>
  <w:abstractNum w:abstractNumId="339">
    <w:nsid w:val="5F4208C"/>
    <w:multiLevelType w:val="hybridMultilevel"/>
    <w:lvl w:ilvl="0">
      <w:lvlJc w:val="left"/>
      <w:lvlText w:val="%1."/>
      <w:numFmt w:val="decimal"/>
      <w:start w:val="16"/>
    </w:lvl>
  </w:abstractNum>
  <w:abstractNum w:abstractNumId="340">
    <w:nsid w:val="7C0F10CC"/>
    <w:multiLevelType w:val="hybridMultilevel"/>
    <w:lvl w:ilvl="0">
      <w:lvlJc w:val="left"/>
      <w:lvlText w:val="%1."/>
      <w:numFmt w:val="decimal"/>
      <w:start w:val="17"/>
    </w:lvl>
  </w:abstractNum>
  <w:abstractNum w:abstractNumId="341">
    <w:nsid w:val="25EF81D5"/>
    <w:multiLevelType w:val="hybridMultilevel"/>
    <w:lvl w:ilvl="0">
      <w:lvlJc w:val="left"/>
      <w:lvlText w:val="(%1)"/>
      <w:numFmt w:val="lowerLetter"/>
      <w:start w:val="1"/>
    </w:lvl>
  </w:abstractNum>
  <w:abstractNum w:abstractNumId="342">
    <w:nsid w:val="15A79515"/>
    <w:multiLevelType w:val="hybridMultilevel"/>
    <w:lvl w:ilvl="0">
      <w:lvlJc w:val="left"/>
      <w:lvlText w:val="%1."/>
      <w:numFmt w:val="decimal"/>
      <w:start w:val="18"/>
    </w:lvl>
  </w:abstractNum>
  <w:abstractNum w:abstractNumId="343">
    <w:nsid w:val="4B67062"/>
    <w:multiLevelType w:val="hybridMultilevel"/>
    <w:lvl w:ilvl="0">
      <w:lvlJc w:val="left"/>
      <w:lvlText w:val="(%1)"/>
      <w:numFmt w:val="lowerLetter"/>
      <w:start w:val="1"/>
    </w:lvl>
  </w:abstractNum>
  <w:abstractNum w:abstractNumId="344">
    <w:nsid w:val="51174123"/>
    <w:multiLevelType w:val="hybridMultilevel"/>
    <w:lvl w:ilvl="0">
      <w:lvlJc w:val="left"/>
      <w:lvlText w:val="(%1)"/>
      <w:numFmt w:val="lowerLetter"/>
      <w:start w:val="1"/>
    </w:lvl>
  </w:abstractNum>
  <w:abstractNum w:abstractNumId="345">
    <w:nsid w:val="240453CA"/>
    <w:multiLevelType w:val="hybridMultilevel"/>
    <w:lvl w:ilvl="0">
      <w:lvlJc w:val="left"/>
      <w:lvlText w:val="(%1)"/>
      <w:numFmt w:val="lowerLetter"/>
      <w:start w:val="1"/>
    </w:lvl>
  </w:abstractNum>
  <w:abstractNum w:abstractNumId="346">
    <w:nsid w:val="2E326D9A"/>
    <w:multiLevelType w:val="hybridMultilevel"/>
    <w:lvl w:ilvl="0">
      <w:lvlJc w:val="left"/>
      <w:lvlText w:val="%1."/>
      <w:numFmt w:val="decimal"/>
      <w:start w:val="19"/>
    </w:lvl>
  </w:abstractNum>
  <w:abstractNum w:abstractNumId="347">
    <w:nsid w:val="5EB19210"/>
    <w:multiLevelType w:val="hybridMultilevel"/>
    <w:lvl w:ilvl="0">
      <w:lvlJc w:val="left"/>
      <w:lvlText w:val="(%1)"/>
      <w:numFmt w:val="lowerLetter"/>
      <w:start w:val="1"/>
    </w:lvl>
  </w:abstractNum>
  <w:abstractNum w:abstractNumId="348">
    <w:nsid w:val="44DEFF9B"/>
    <w:multiLevelType w:val="hybridMultilevel"/>
    <w:lvl w:ilvl="0">
      <w:lvlJc w:val="left"/>
      <w:lvlText w:val="(%1)"/>
      <w:numFmt w:val="lowerLetter"/>
      <w:start w:val="1"/>
    </w:lvl>
    <w:lvl w:ilvl="1">
      <w:lvlJc w:val="left"/>
      <w:lvlText w:val="(%2)"/>
      <w:numFmt w:val="lowerRoman"/>
      <w:start w:val="1"/>
    </w:lvl>
  </w:abstractNum>
  <w:abstractNum w:abstractNumId="349">
    <w:nsid w:val="1FE7D17D"/>
    <w:multiLevelType w:val="hybridMultilevel"/>
    <w:lvl w:ilvl="0">
      <w:lvlJc w:val="left"/>
      <w:lvlText w:val="(%1)"/>
      <w:numFmt w:val="lowerLetter"/>
      <w:start w:val="1"/>
    </w:lvl>
    <w:lvl w:ilvl="1">
      <w:lvlJc w:val="left"/>
      <w:lvlText w:val="(%2)"/>
      <w:numFmt w:val="lowerRoman"/>
      <w:start w:val="1"/>
    </w:lvl>
  </w:abstractNum>
  <w:abstractNum w:abstractNumId="350">
    <w:nsid w:val="52CBAB2E"/>
    <w:multiLevelType w:val="hybridMultilevel"/>
    <w:lvl w:ilvl="0">
      <w:lvlJc w:val="left"/>
      <w:lvlText w:val="(%1)"/>
      <w:numFmt w:val="lowerLetter"/>
      <w:start w:val="1"/>
    </w:lvl>
    <w:lvl w:ilvl="1">
      <w:lvlJc w:val="left"/>
      <w:lvlText w:val="(%2)"/>
      <w:numFmt w:val="lowerRoman"/>
      <w:start w:val="1"/>
    </w:lvl>
  </w:abstractNum>
  <w:abstractNum w:abstractNumId="351">
    <w:nsid w:val="1A6760EF"/>
    <w:multiLevelType w:val="hybridMultilevel"/>
    <w:lvl w:ilvl="0">
      <w:lvlJc w:val="left"/>
      <w:lvlText w:val="(%1)"/>
      <w:numFmt w:val="lowerLetter"/>
      <w:start w:val="1"/>
    </w:lvl>
  </w:abstractNum>
  <w:abstractNum w:abstractNumId="352">
    <w:nsid w:val="5E52C405"/>
    <w:multiLevelType w:val="hybridMultilevel"/>
    <w:lvl w:ilvl="0">
      <w:lvlJc w:val="left"/>
      <w:lvlText w:val="(%1)"/>
      <w:numFmt w:val="lowerLetter"/>
      <w:start w:val="1"/>
    </w:lvl>
  </w:abstractNum>
  <w:abstractNum w:abstractNumId="353">
    <w:nsid w:val="486447"/>
    <w:multiLevelType w:val="hybridMultilevel"/>
    <w:lvl w:ilvl="0">
      <w:lvlJc w:val="left"/>
      <w:lvlText w:val="(%1)"/>
      <w:numFmt w:val="lowerLetter"/>
      <w:start w:val="1"/>
    </w:lvl>
  </w:abstractNum>
  <w:abstractNum w:abstractNumId="354">
    <w:nsid w:val="61E90D1E"/>
    <w:multiLevelType w:val="hybridMultilevel"/>
    <w:lvl w:ilvl="0">
      <w:lvlJc w:val="left"/>
      <w:lvlText w:val="(%1)"/>
      <w:numFmt w:val="lowerLetter"/>
      <w:start w:val="1"/>
    </w:lvl>
    <w:lvl w:ilvl="1">
      <w:lvlJc w:val="left"/>
      <w:lvlText w:val="(%2)"/>
      <w:numFmt w:val="lowerRoman"/>
      <w:start w:val="1"/>
    </w:lvl>
  </w:abstractNum>
  <w:abstractNum w:abstractNumId="355">
    <w:nsid w:val="44BD67E6"/>
    <w:multiLevelType w:val="hybridMultilevel"/>
    <w:lvl w:ilvl="0">
      <w:lvlJc w:val="left"/>
      <w:lvlText w:val="(%1)"/>
      <w:numFmt w:val="lowerLetter"/>
      <w:start w:val="1"/>
    </w:lvl>
  </w:abstractNum>
  <w:abstractNum w:abstractNumId="356">
    <w:nsid w:val="325102D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57">
    <w:nsid w:val="3D9579BA"/>
    <w:multiLevelType w:val="hybridMultilevel"/>
    <w:lvl w:ilvl="0">
      <w:lvlJc w:val="left"/>
      <w:lvlText w:val="%1"/>
      <w:numFmt w:val="lowerLetter"/>
      <w:start w:val="1"/>
    </w:lvl>
    <w:lvl w:ilvl="1">
      <w:lvlJc w:val="left"/>
      <w:lvlText w:val="(%2)"/>
      <w:numFmt w:val="lowerLetter"/>
      <w:start w:val="61"/>
    </w:lvl>
  </w:abstractNum>
  <w:abstractNum w:abstractNumId="358">
    <w:nsid w:val="ACD4C11"/>
    <w:multiLevelType w:val="hybridMultilevel"/>
    <w:lvl w:ilvl="0">
      <w:lvlJc w:val="left"/>
      <w:lvlText w:val="(%1)"/>
      <w:numFmt w:val="lowerLetter"/>
      <w:start w:val="9"/>
    </w:lvl>
    <w:lvl w:ilvl="1">
      <w:lvlJc w:val="left"/>
      <w:lvlText w:val="%2"/>
      <w:numFmt w:val="lowerLetter"/>
      <w:start w:val="1"/>
    </w:lvl>
  </w:abstractNum>
  <w:abstractNum w:abstractNumId="359">
    <w:nsid w:val="111817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0">
    <w:nsid w:val="76C8B56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61">
    <w:nsid w:val="3ACC76B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2">
    <w:nsid w:val="588B1C7C"/>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363">
    <w:nsid w:val="62682D8B"/>
    <w:multiLevelType w:val="hybridMultilevel"/>
    <w:lvl w:ilvl="0">
      <w:lvlJc w:val="left"/>
      <w:lvlText w:val="(%1)"/>
      <w:numFmt w:val="lowerLetter"/>
      <w:start w:val="1"/>
    </w:lvl>
  </w:abstractNum>
  <w:abstractNum w:abstractNumId="364">
    <w:nsid w:val="436F111A"/>
    <w:multiLevelType w:val="hybridMultilevel"/>
    <w:lvl w:ilvl="0">
      <w:lvlJc w:val="left"/>
      <w:lvlText w:val="%1."/>
      <w:numFmt w:val="decimal"/>
      <w:start w:val="21"/>
    </w:lvl>
  </w:abstractNum>
  <w:abstractNum w:abstractNumId="365">
    <w:nsid w:val="3299B71B"/>
    <w:multiLevelType w:val="hybridMultilevel"/>
    <w:lvl w:ilvl="0">
      <w:lvlJc w:val="left"/>
      <w:lvlText w:val="%1."/>
      <w:numFmt w:val="decimal"/>
      <w:start w:val="22"/>
    </w:lvl>
  </w:abstractNum>
  <w:abstractNum w:abstractNumId="366">
    <w:nsid w:val="7EA75F5A"/>
    <w:multiLevelType w:val="hybridMultilevel"/>
    <w:lvl w:ilvl="0">
      <w:lvlJc w:val="left"/>
      <w:lvlText w:val="%1"/>
      <w:numFmt w:val="decimal"/>
      <w:start w:val="1"/>
    </w:lvl>
    <w:lvl w:ilvl="1">
      <w:lvlJc w:val="left"/>
      <w:lvlText w:val="(%2)"/>
      <w:numFmt w:val="lowerLetter"/>
      <w:start w:val="1"/>
    </w:lvl>
  </w:abstractNum>
  <w:abstractNum w:abstractNumId="367">
    <w:nsid w:val="44419EF9"/>
    <w:multiLevelType w:val="hybridMultilevel"/>
    <w:lvl w:ilvl="0">
      <w:lvlJc w:val="left"/>
      <w:lvlText w:val="%1."/>
      <w:numFmt w:val="decimal"/>
      <w:start w:val="24"/>
    </w:lvl>
    <w:lvl w:ilvl="1">
      <w:lvlJc w:val="left"/>
      <w:lvlText w:val="%2"/>
      <w:numFmt w:val="lowerLetter"/>
      <w:start w:val="1"/>
    </w:lvl>
  </w:abstractNum>
  <w:abstractNum w:abstractNumId="368">
    <w:nsid w:val="3837F1DF"/>
    <w:multiLevelType w:val="hybridMultilevel"/>
    <w:lvl w:ilvl="0">
      <w:lvlJc w:val="left"/>
      <w:lvlText w:val="(%1)"/>
      <w:numFmt w:val="lowerLetter"/>
      <w:start w:val="1"/>
    </w:lvl>
  </w:abstractNum>
  <w:abstractNum w:abstractNumId="369">
    <w:nsid w:val="5BE02A44"/>
    <w:multiLevelType w:val="hybridMultilevel"/>
    <w:lvl w:ilvl="0">
      <w:lvlJc w:val="left"/>
      <w:lvlText w:val="%1"/>
      <w:numFmt w:val="decimal"/>
      <w:start w:val="25"/>
    </w:lvl>
  </w:abstractNum>
  <w:abstractNum w:abstractNumId="370">
    <w:nsid w:val="4A35BF85"/>
    <w:multiLevelType w:val="hybridMultilevel"/>
    <w:lvl w:ilvl="0">
      <w:lvlJc w:val="left"/>
      <w:lvlText w:val="(%1)"/>
      <w:numFmt w:val="lowerLetter"/>
      <w:start w:val="1"/>
    </w:lvl>
  </w:abstractNum>
  <w:abstractNum w:abstractNumId="371">
    <w:nsid w:val="344702AC"/>
    <w:multiLevelType w:val="hybridMultilevel"/>
    <w:lvl w:ilvl="0">
      <w:lvlJc w:val="left"/>
      <w:lvlText w:val="(%1)"/>
      <w:numFmt w:val="lowerLetter"/>
      <w:start w:val="2"/>
    </w:lvl>
    <w:lvl w:ilvl="1">
      <w:lvlJc w:val="left"/>
      <w:lvlText w:val="(%2)"/>
      <w:numFmt w:val="lowerRoman"/>
      <w:start w:val="1"/>
    </w:lvl>
  </w:abstractNum>
  <w:abstractNum w:abstractNumId="372">
    <w:nsid w:val="1CFAC1A"/>
    <w:multiLevelType w:val="hybridMultilevel"/>
    <w:lvl w:ilvl="0">
      <w:lvlJc w:val="left"/>
      <w:lvlText w:val="%1."/>
      <w:numFmt w:val="decimal"/>
      <w:start w:val="26"/>
    </w:lvl>
  </w:abstractNum>
  <w:abstractNum w:abstractNumId="373">
    <w:nsid w:val="5FDD549A"/>
    <w:multiLevelType w:val="hybridMultilevel"/>
    <w:lvl w:ilvl="0">
      <w:lvlJc w:val="left"/>
      <w:lvlText w:val="(%1)"/>
      <w:numFmt w:val="lowerLetter"/>
      <w:start w:val="1"/>
    </w:lvl>
    <w:lvl w:ilvl="1">
      <w:lvlJc w:val="left"/>
      <w:lvlText w:val="(%2)"/>
      <w:numFmt w:val="lowerRoman"/>
      <w:start w:val="1"/>
    </w:lvl>
  </w:abstractNum>
  <w:abstractNum w:abstractNumId="374">
    <w:nsid w:val="38FD730E"/>
    <w:multiLevelType w:val="hybridMultilevel"/>
    <w:lvl w:ilvl="0">
      <w:lvlJc w:val="left"/>
      <w:lvlText w:val="(%1)"/>
      <w:numFmt w:val="lowerRoman"/>
      <w:start w:val="2"/>
    </w:lvl>
  </w:abstractNum>
  <w:abstractNum w:abstractNumId="375">
    <w:nsid w:val="52E6ED3D"/>
    <w:multiLevelType w:val="hybridMultilevel"/>
    <w:lvl w:ilvl="0">
      <w:lvlJc w:val="left"/>
      <w:lvlText w:val="(%1)"/>
      <w:numFmt w:val="lowerLetter"/>
      <w:start w:val="3"/>
    </w:lvl>
  </w:abstractNum>
  <w:abstractNum w:abstractNumId="376">
    <w:nsid w:val="3E1A864"/>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377">
    <w:nsid w:val="672FE0A8"/>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378">
    <w:nsid w:val="31987F4D"/>
    <w:multiLevelType w:val="hybridMultilevel"/>
    <w:lvl w:ilvl="0">
      <w:lvlJc w:val="left"/>
      <w:lvlText w:val="%1"/>
      <w:numFmt w:val="lowerLetter"/>
      <w:start w:val="1"/>
    </w:lvl>
    <w:lvl w:ilvl="1">
      <w:lvlJc w:val="left"/>
      <w:lvlText w:val="(%2)"/>
      <w:numFmt w:val="lowerRoman"/>
      <w:start w:val="3"/>
    </w:lvl>
  </w:abstractNum>
  <w:abstractNum w:abstractNumId="379">
    <w:nsid w:val="48C0A800"/>
    <w:multiLevelType w:val="hybridMultilevel"/>
    <w:lvl w:ilvl="0">
      <w:lvlJc w:val="left"/>
      <w:lvlText w:val="(%1)"/>
      <w:numFmt w:val="lowerLetter"/>
      <w:start w:val="2"/>
    </w:lvl>
    <w:lvl w:ilvl="1">
      <w:lvlJc w:val="left"/>
      <w:lvlText w:val="%2"/>
      <w:numFmt w:val="lowerRoman"/>
      <w:start w:val="1"/>
    </w:lvl>
  </w:abstractNum>
  <w:abstractNum w:abstractNumId="380">
    <w:nsid w:val="717B226"/>
    <w:multiLevelType w:val="hybridMultilevel"/>
    <w:lvl w:ilvl="0">
      <w:lvlJc w:val="left"/>
      <w:lvlText w:val="(%1)"/>
      <w:numFmt w:val="lowerLetter"/>
      <w:start w:val="1"/>
    </w:lvl>
    <w:lvl w:ilvl="1">
      <w:lvlJc w:val="left"/>
      <w:lvlText w:val="(%2)"/>
      <w:numFmt w:val="lowerRoman"/>
      <w:start w:val="1"/>
    </w:lvl>
  </w:abstractNum>
  <w:abstractNum w:abstractNumId="381">
    <w:nsid w:val="4642A7B"/>
    <w:multiLevelType w:val="hybridMultilevel"/>
    <w:lvl w:ilvl="0">
      <w:lvlJc w:val="left"/>
      <w:lvlText w:val="%1"/>
      <w:numFmt w:val="decimal"/>
      <w:start w:val="1"/>
    </w:lvl>
    <w:lvl w:ilvl="1">
      <w:lvlJc w:val="left"/>
      <w:lvlText w:val="(%2)"/>
      <w:numFmt w:val="lowerRoman"/>
      <w:start w:val="3"/>
    </w:lvl>
  </w:abstractNum>
  <w:abstractNum w:abstractNumId="382">
    <w:nsid w:val="632808EF"/>
    <w:multiLevelType w:val="hybridMultilevel"/>
    <w:lvl w:ilvl="0">
      <w:lvlJc w:val="left"/>
      <w:lvlText w:val="%1."/>
      <w:numFmt w:val="decimal"/>
      <w:start w:val="28"/>
    </w:lvl>
    <w:lvl w:ilvl="1">
      <w:lvlJc w:val="left"/>
      <w:lvlText w:val="%2"/>
      <w:numFmt w:val="lowerRoman"/>
      <w:start w:val="1"/>
    </w:lvl>
  </w:abstractNum>
  <w:abstractNum w:abstractNumId="383">
    <w:nsid w:val="656A762B"/>
    <w:multiLevelType w:val="hybridMultilevel"/>
    <w:lvl w:ilvl="0">
      <w:lvlJc w:val="left"/>
      <w:lvlText w:val="%1"/>
      <w:numFmt w:val="decimal"/>
      <w:start w:val="31"/>
    </w:lvl>
  </w:abstractNum>
  <w:abstractNum w:abstractNumId="384">
    <w:nsid w:val="4AC8EC3"/>
    <w:multiLevelType w:val="hybridMultilevel"/>
    <w:lvl w:ilvl="0">
      <w:lvlJc w:val="left"/>
      <w:lvlText w:val="%1."/>
      <w:numFmt w:val="decimal"/>
      <w:start w:val="1"/>
    </w:lvl>
  </w:abstractNum>
  <w:abstractNum w:abstractNumId="385">
    <w:nsid w:val="4511160D"/>
    <w:multiLevelType w:val="hybridMultilevel"/>
    <w:lvl w:ilvl="0">
      <w:lvlJc w:val="left"/>
      <w:lvlText w:val="%1."/>
      <w:numFmt w:val="decimal"/>
      <w:start w:val="6"/>
    </w:lvl>
  </w:abstractNum>
  <w:abstractNum w:abstractNumId="386">
    <w:nsid w:val="2A27DE11"/>
    <w:multiLevelType w:val="hybridMultilevel"/>
    <w:lvl w:ilvl="0">
      <w:lvlJc w:val="left"/>
      <w:lvlText w:val="%1."/>
      <w:numFmt w:val="decimal"/>
      <w:start w:val="7"/>
    </w:lvl>
  </w:abstractNum>
  <w:abstractNum w:abstractNumId="387">
    <w:nsid w:val="36FD9196"/>
    <w:multiLevelType w:val="hybridMultilevel"/>
    <w:lvl w:ilvl="0">
      <w:lvlJc w:val="left"/>
      <w:lvlText w:val="%1."/>
      <w:numFmt w:val="decimal"/>
      <w:start w:val="8"/>
    </w:lvl>
  </w:abstractNum>
  <w:abstractNum w:abstractNumId="388">
    <w:nsid w:val="2A68FC8"/>
    <w:multiLevelType w:val="hybridMultilevel"/>
    <w:lvl w:ilvl="0">
      <w:lvlJc w:val="left"/>
      <w:lvlText w:val="%1."/>
      <w:numFmt w:val="decimal"/>
      <w:start w:val="9"/>
    </w:lvl>
    <w:lvl w:ilvl="1">
      <w:lvlJc w:val="left"/>
      <w:lvlText w:val="%2"/>
      <w:numFmt w:val="lowerLetter"/>
      <w:start w:val="1"/>
    </w:lvl>
  </w:abstractNum>
  <w:abstractNum w:abstractNumId="389">
    <w:nsid w:val="34F52A23"/>
    <w:multiLevelType w:val="hybridMultilevel"/>
    <w:lvl w:ilvl="0">
      <w:lvlJc w:val="left"/>
      <w:lvlText w:val="%1."/>
      <w:numFmt w:val="decimal"/>
      <w:start w:val="9"/>
    </w:lvl>
    <w:lvl w:ilvl="1">
      <w:lvlJc w:val="left"/>
      <w:lvlText w:val="(%2)"/>
      <w:numFmt w:val="lowerLetter"/>
      <w:start w:val="1"/>
    </w:lvl>
  </w:abstractNum>
  <w:abstractNum w:abstractNumId="390">
    <w:nsid w:val="4815A966"/>
    <w:multiLevelType w:val="hybridMultilevel"/>
    <w:lvl w:ilvl="0">
      <w:lvlJc w:val="left"/>
      <w:lvlText w:val="(%1)"/>
      <w:numFmt w:val="lowerLetter"/>
      <w:start w:val="1"/>
    </w:lvl>
  </w:abstractNum>
  <w:abstractNum w:abstractNumId="391">
    <w:nsid w:val="796F4530"/>
    <w:multiLevelType w:val="hybridMultilevel"/>
    <w:lvl w:ilvl="0">
      <w:lvlJc w:val="left"/>
      <w:lvlText w:val="%1"/>
      <w:numFmt w:val="decimal"/>
      <w:start w:val="1"/>
    </w:lvl>
    <w:lvl w:ilvl="1">
      <w:lvlJc w:val="left"/>
      <w:lvlText w:val="(%2)"/>
      <w:numFmt w:val="lowerLetter"/>
      <w:start w:val="1"/>
    </w:lvl>
  </w:abstractNum>
  <w:abstractNum w:abstractNumId="392">
    <w:nsid w:val="6FC1A0D4"/>
    <w:multiLevelType w:val="hybridMultilevel"/>
    <w:lvl w:ilvl="0">
      <w:lvlJc w:val="left"/>
      <w:lvlText w:val="%1."/>
      <w:numFmt w:val="decimal"/>
      <w:start w:val="10"/>
    </w:lvl>
    <w:lvl w:ilvl="1">
      <w:lvlJc w:val="left"/>
      <w:lvlText w:val="%2"/>
      <w:numFmt w:val="lowerLetter"/>
      <w:start w:val="1"/>
    </w:lvl>
  </w:abstractNum>
  <w:abstractNum w:abstractNumId="393">
    <w:nsid w:val="20A0C5E2"/>
    <w:multiLevelType w:val="hybridMultilevel"/>
    <w:lvl w:ilvl="0">
      <w:lvlJc w:val="left"/>
      <w:lvlText w:val="%1."/>
      <w:numFmt w:val="decimal"/>
      <w:start w:val="11"/>
    </w:lvl>
  </w:abstractNum>
  <w:abstractNum w:abstractNumId="394">
    <w:nsid w:val="5BD772BB"/>
    <w:multiLevelType w:val="hybridMultilevel"/>
    <w:lvl w:ilvl="0">
      <w:lvlJc w:val="left"/>
      <w:lvlText w:val="(%1)"/>
      <w:numFmt w:val="lowerLetter"/>
      <w:start w:val="1"/>
    </w:lvl>
  </w:abstractNum>
  <w:abstractNum w:abstractNumId="395">
    <w:nsid w:val="3330B1EE"/>
    <w:multiLevelType w:val="hybridMultilevel"/>
    <w:lvl w:ilvl="0">
      <w:lvlJc w:val="left"/>
      <w:lvlText w:val="(%1)"/>
      <w:numFmt w:val="lowerLetter"/>
      <w:start w:val="1"/>
    </w:lvl>
    <w:lvl w:ilvl="1">
      <w:lvlJc w:val="left"/>
      <w:lvlText w:val="(%2)"/>
      <w:numFmt w:val="lowerRoman"/>
      <w:start w:val="1"/>
    </w:lvl>
  </w:abstractNum>
  <w:abstractNum w:abstractNumId="396">
    <w:nsid w:val="533A7CFD"/>
    <w:multiLevelType w:val="hybridMultilevel"/>
    <w:lvl w:ilvl="0">
      <w:lvlJc w:val="left"/>
      <w:lvlText w:val="%1."/>
      <w:numFmt w:val="decimal"/>
      <w:start w:val="13"/>
    </w:lvl>
    <w:lvl w:ilvl="1">
      <w:lvlJc w:val="left"/>
      <w:lvlText w:val="(%2)"/>
      <w:numFmt w:val="lowerLetter"/>
      <w:start w:val="1"/>
    </w:lvl>
  </w:abstractNum>
  <w:abstractNum w:abstractNumId="397">
    <w:nsid w:val="5A7ED215"/>
    <w:multiLevelType w:val="hybridMultilevel"/>
    <w:lvl w:ilvl="0">
      <w:lvlJc w:val="left"/>
      <w:lvlText w:val="%1."/>
      <w:numFmt w:val="decimal"/>
      <w:start w:val="15"/>
    </w:lvl>
  </w:abstractNum>
  <w:abstractNum w:abstractNumId="398">
    <w:nsid w:val="777250E7"/>
    <w:multiLevelType w:val="hybridMultilevel"/>
    <w:lvl w:ilvl="0">
      <w:lvlJc w:val="left"/>
      <w:lvlText w:val="%1."/>
      <w:numFmt w:val="decimal"/>
      <w:start w:val="16"/>
    </w:lvl>
  </w:abstractNum>
  <w:abstractNum w:abstractNumId="399">
    <w:nsid w:val="B726EDC"/>
    <w:multiLevelType w:val="hybridMultilevel"/>
    <w:lvl w:ilvl="0">
      <w:lvlJc w:val="left"/>
      <w:lvlText w:val="%1."/>
      <w:numFmt w:val="decimal"/>
      <w:start w:val="17"/>
    </w:lvl>
  </w:abstractNum>
  <w:abstractNum w:abstractNumId="400">
    <w:nsid w:val="365EFC5A"/>
    <w:multiLevelType w:val="hybridMultilevel"/>
    <w:lvl w:ilvl="0">
      <w:lvlJc w:val="left"/>
      <w:lvlText w:val="%1."/>
      <w:numFmt w:val="decimal"/>
      <w:start w:val="18"/>
    </w:lvl>
  </w:abstractNum>
  <w:abstractNum w:abstractNumId="401">
    <w:nsid w:val="41A8106C"/>
    <w:multiLevelType w:val="hybridMultilevel"/>
    <w:lvl w:ilvl="0">
      <w:lvlJc w:val="left"/>
      <w:lvlText w:val="(%1)"/>
      <w:numFmt w:val="lowerLetter"/>
      <w:start w:val="1"/>
    </w:lvl>
  </w:abstractNum>
  <w:abstractNum w:abstractNumId="402">
    <w:nsid w:val="3FB97188"/>
    <w:multiLevelType w:val="hybridMultilevel"/>
    <w:lvl w:ilvl="0">
      <w:lvlJc w:val="left"/>
      <w:lvlText w:val="(%1)"/>
      <w:numFmt w:val="lowerLetter"/>
      <w:start w:val="1"/>
    </w:lvl>
  </w:abstractNum>
  <w:abstractNum w:abstractNumId="403">
    <w:nsid w:val="382EA874"/>
    <w:multiLevelType w:val="hybridMultilevel"/>
    <w:lvl w:ilvl="0">
      <w:lvlJc w:val="left"/>
      <w:lvlText w:val="(%1)"/>
      <w:numFmt w:val="lowerLetter"/>
      <w:start w:val="1"/>
    </w:lvl>
  </w:abstractNum>
  <w:abstractNum w:abstractNumId="404">
    <w:nsid w:val="21856507"/>
    <w:multiLevelType w:val="hybridMultilevel"/>
    <w:lvl w:ilvl="0">
      <w:lvlJc w:val="left"/>
      <w:lvlText w:val="%1."/>
      <w:numFmt w:val="decimal"/>
      <w:start w:val="19"/>
    </w:lvl>
  </w:abstractNum>
  <w:abstractNum w:abstractNumId="405">
    <w:nsid w:val="78B6E496"/>
    <w:multiLevelType w:val="hybridMultilevel"/>
    <w:lvl w:ilvl="0">
      <w:lvlJc w:val="left"/>
      <w:lvlText w:val="%1."/>
      <w:numFmt w:val="decimal"/>
      <w:start w:val="20"/>
    </w:lvl>
  </w:abstractNum>
  <w:abstractNum w:abstractNumId="406">
    <w:nsid w:val="B1595B1"/>
    <w:multiLevelType w:val="hybridMultilevel"/>
    <w:lvl w:ilvl="0">
      <w:lvlJc w:val="left"/>
      <w:lvlText w:val="%1."/>
      <w:numFmt w:val="decimal"/>
      <w:start w:val="21"/>
    </w:lvl>
  </w:abstractNum>
  <w:abstractNum w:abstractNumId="407">
    <w:nsid w:val="25670D6B"/>
    <w:multiLevelType w:val="hybridMultilevel"/>
    <w:lvl w:ilvl="0">
      <w:lvlJc w:val="left"/>
      <w:lvlText w:val="(%1)"/>
      <w:numFmt w:val="lowerLetter"/>
      <w:start w:val="1"/>
    </w:lvl>
  </w:abstractNum>
  <w:abstractNum w:abstractNumId="408">
    <w:nsid w:val="5FE6C53F"/>
    <w:multiLevelType w:val="hybridMultilevel"/>
    <w:lvl w:ilvl="0">
      <w:lvlJc w:val="left"/>
      <w:lvlText w:val="%1."/>
      <w:numFmt w:val="decimal"/>
      <w:start w:val="22"/>
    </w:lvl>
  </w:abstractNum>
  <w:abstractNum w:abstractNumId="409">
    <w:nsid w:val="3CAE14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0">
    <w:nsid w:val="6E27B56B"/>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1"/>
    </w:lvl>
  </w:abstractNum>
  <w:abstractNum w:abstractNumId="411">
    <w:nsid w:val="66FE7765"/>
    <w:multiLevelType w:val="hybridMultilevel"/>
    <w:lvl w:ilvl="0">
      <w:lvlJc w:val="left"/>
      <w:lvlText w:val="(%1)"/>
      <w:numFmt w:val="lowerLetter"/>
      <w:start w:val="1"/>
    </w:lvl>
  </w:abstractNum>
  <w:abstractNum w:abstractNumId="412">
    <w:nsid w:val="41123F79"/>
    <w:multiLevelType w:val="hybridMultilevel"/>
    <w:lvl w:ilvl="0">
      <w:lvlJc w:val="left"/>
      <w:lvlText w:val="%1."/>
      <w:numFmt w:val="decimal"/>
      <w:start w:val="24"/>
    </w:lvl>
  </w:abstractNum>
  <w:abstractNum w:abstractNumId="413">
    <w:nsid w:val="514FBE5A"/>
    <w:multiLevelType w:val="hybridMultilevel"/>
    <w:lvl w:ilvl="0">
      <w:lvlJc w:val="left"/>
      <w:lvlText w:val="(%1)"/>
      <w:numFmt w:val="lowerLetter"/>
      <w:start w:val="1"/>
    </w:lvl>
  </w:abstractNum>
  <w:abstractNum w:abstractNumId="414">
    <w:nsid w:val="4C68ED90"/>
    <w:multiLevelType w:val="hybridMultilevel"/>
    <w:lvl w:ilvl="0">
      <w:lvlJc w:val="left"/>
      <w:lvlText w:val="%1."/>
      <w:numFmt w:val="decimal"/>
      <w:start w:val="25"/>
    </w:lvl>
  </w:abstractNum>
  <w:abstractNum w:abstractNumId="415">
    <w:nsid w:val="45BECE3C"/>
    <w:multiLevelType w:val="hybridMultilevel"/>
    <w:lvl w:ilvl="0">
      <w:lvlJc w:val="left"/>
      <w:lvlText w:val="%1."/>
      <w:numFmt w:val="decimal"/>
      <w:start w:val="26"/>
    </w:lvl>
  </w:abstractNum>
  <w:abstractNum w:abstractNumId="416">
    <w:nsid w:val="1660D468"/>
    <w:multiLevelType w:val="hybridMultilevel"/>
    <w:lvl w:ilvl="0">
      <w:lvlJc w:val="left"/>
      <w:lvlText w:val="(%1)"/>
      <w:numFmt w:val="lowerLetter"/>
      <w:start w:val="1"/>
    </w:lvl>
  </w:abstractNum>
  <w:abstractNum w:abstractNumId="417">
    <w:nsid w:val="7690CBA1"/>
    <w:multiLevelType w:val="hybridMultilevel"/>
    <w:lvl w:ilvl="0">
      <w:lvlJc w:val="left"/>
      <w:lvlText w:val="%1."/>
      <w:numFmt w:val="decimal"/>
      <w:start w:val="27"/>
    </w:lvl>
  </w:abstractNum>
  <w:abstractNum w:abstractNumId="418">
    <w:nsid w:val="7CBC5FD3"/>
    <w:multiLevelType w:val="hybridMultilevel"/>
    <w:lvl w:ilvl="0">
      <w:lvlJc w:val="left"/>
      <w:lvlText w:val="%1"/>
      <w:numFmt w:val="decimal"/>
      <w:start w:val="1"/>
    </w:lvl>
    <w:lvl w:ilvl="1">
      <w:lvlJc w:val="left"/>
      <w:lvlText w:val="(%2)"/>
      <w:numFmt w:val="lowerLetter"/>
      <w:start w:val="1"/>
    </w:lvl>
  </w:abstractNum>
  <w:abstractNum w:abstractNumId="419">
    <w:nsid w:val="19076430"/>
    <w:multiLevelType w:val="hybridMultilevel"/>
    <w:lvl w:ilvl="0">
      <w:lvlJc w:val="left"/>
      <w:lvlText w:val="%1."/>
      <w:numFmt w:val="decimal"/>
      <w:start w:val="28"/>
    </w:lvl>
    <w:lvl w:ilvl="1">
      <w:lvlJc w:val="left"/>
      <w:lvlText w:val="%2"/>
      <w:numFmt w:val="lowerLetter"/>
      <w:start w:val="1"/>
    </w:lvl>
  </w:abstractNum>
  <w:abstractNum w:abstractNumId="420">
    <w:nsid w:val="2B85F5C4"/>
    <w:multiLevelType w:val="hybridMultilevel"/>
    <w:lvl w:ilvl="0">
      <w:lvlJc w:val="left"/>
      <w:lvlText w:val="%1."/>
      <w:numFmt w:val="decimal"/>
      <w:start w:val="29"/>
    </w:lvl>
  </w:abstractNum>
  <w:abstractNum w:abstractNumId="421">
    <w:nsid w:val="44D20939"/>
    <w:multiLevelType w:val="hybridMultilevel"/>
    <w:lvl w:ilvl="0">
      <w:lvlJc w:val="left"/>
      <w:lvlText w:val="%1."/>
      <w:numFmt w:val="decimal"/>
      <w:start w:val="30"/>
    </w:lvl>
  </w:abstractNum>
  <w:abstractNum w:abstractNumId="422">
    <w:nsid w:val="1276A960"/>
    <w:multiLevelType w:val="hybridMultilevel"/>
    <w:lvl w:ilvl="0">
      <w:lvlJc w:val="left"/>
      <w:lvlText w:val="%1"/>
      <w:numFmt w:val="decimal"/>
      <w:start w:val="1"/>
    </w:lvl>
    <w:lvl w:ilvl="1">
      <w:lvlJc w:val="left"/>
      <w:lvlText w:val="(%2)"/>
      <w:numFmt w:val="lowerLetter"/>
      <w:start w:val="1"/>
    </w:lvl>
  </w:abstractNum>
  <w:abstractNum w:abstractNumId="423">
    <w:nsid w:val="1B479698"/>
    <w:multiLevelType w:val="hybridMultilevel"/>
    <w:lvl w:ilvl="0">
      <w:lvlJc w:val="left"/>
      <w:lvlText w:val="%1."/>
      <w:numFmt w:val="decimal"/>
      <w:start w:val="31"/>
    </w:lvl>
    <w:lvl w:ilvl="1">
      <w:lvlJc w:val="left"/>
      <w:lvlText w:val="%2"/>
      <w:numFmt w:val="lowerLetter"/>
      <w:start w:val="1"/>
    </w:lvl>
  </w:abstractNum>
  <w:abstractNum w:abstractNumId="424">
    <w:nsid w:val="6572CF1B"/>
    <w:multiLevelType w:val="hybridMultilevel"/>
    <w:lvl w:ilvl="0">
      <w:lvlJc w:val="left"/>
      <w:lvlText w:val="%1."/>
      <w:numFmt w:val="decimal"/>
      <w:start w:val="33"/>
    </w:lvl>
  </w:abstractNum>
  <w:abstractNum w:abstractNumId="425">
    <w:nsid w:val="6E4E1C1B"/>
    <w:multiLevelType w:val="hybridMultilevel"/>
    <w:lvl w:ilvl="0">
      <w:lvlJc w:val="left"/>
      <w:lvlText w:val="(%1)"/>
      <w:numFmt w:val="lowerLetter"/>
      <w:start w:val="1"/>
    </w:lvl>
  </w:abstractNum>
  <w:abstractNum w:abstractNumId="426">
    <w:nsid w:val="4E784887"/>
    <w:multiLevelType w:val="hybridMultilevel"/>
    <w:lvl w:ilvl="0">
      <w:lvlJc w:val="left"/>
      <w:lvlText w:val="%1."/>
      <w:numFmt w:val="decimal"/>
      <w:start w:val="34"/>
    </w:lvl>
  </w:abstractNum>
  <w:abstractNum w:abstractNumId="427">
    <w:nsid w:val="38AD4C18"/>
    <w:multiLevelType w:val="hybridMultilevel"/>
    <w:lvl w:ilvl="0">
      <w:lvlJc w:val="left"/>
      <w:lvlText w:val="(%1)"/>
      <w:numFmt w:val="lowerLetter"/>
      <w:start w:val="1"/>
    </w:lvl>
  </w:abstractNum>
  <w:abstractNum w:abstractNumId="428">
    <w:nsid w:val="48CCEE31"/>
    <w:multiLevelType w:val="hybridMultilevel"/>
    <w:lvl w:ilvl="0">
      <w:lvlJc w:val="left"/>
      <w:lvlText w:val="(%1)"/>
      <w:numFmt w:val="lowerLetter"/>
      <w:start w:val="1"/>
    </w:lvl>
  </w:abstractNum>
  <w:abstractNum w:abstractNumId="429">
    <w:nsid w:val="45EA996E"/>
    <w:multiLevelType w:val="hybridMultilevel"/>
    <w:lvl w:ilvl="0">
      <w:lvlJc w:val="left"/>
      <w:lvlText w:val="%1."/>
      <w:numFmt w:val="decimal"/>
      <w:start w:val="35"/>
    </w:lvl>
  </w:abstractNum>
  <w:abstractNum w:abstractNumId="430">
    <w:nsid w:val="441FBAF4"/>
    <w:multiLevelType w:val="hybridMultilevel"/>
    <w:lvl w:ilvl="0">
      <w:lvlJc w:val="left"/>
      <w:lvlText w:val="(%1)"/>
      <w:numFmt w:val="lowerLetter"/>
      <w:start w:val="1"/>
    </w:lvl>
  </w:abstractNum>
  <w:abstractNum w:abstractNumId="431">
    <w:nsid w:val="7F2BEA8B"/>
    <w:multiLevelType w:val="hybridMultilevel"/>
    <w:lvl w:ilvl="0">
      <w:lvlJc w:val="left"/>
      <w:lvlText w:val="%1."/>
      <w:numFmt w:val="decimal"/>
      <w:start w:val="36"/>
    </w:lvl>
  </w:abstractNum>
  <w:abstractNum w:abstractNumId="432">
    <w:nsid w:val="792A9DB"/>
    <w:multiLevelType w:val="hybridMultilevel"/>
    <w:lvl w:ilvl="0">
      <w:lvlJc w:val="left"/>
      <w:lvlText w:val="(%1)"/>
      <w:numFmt w:val="lowerLetter"/>
      <w:start w:val="1"/>
    </w:lvl>
  </w:abstractNum>
  <w:abstractNum w:abstractNumId="433">
    <w:nsid w:val="3D92C7D"/>
    <w:multiLevelType w:val="hybridMultilevel"/>
    <w:lvl w:ilvl="0">
      <w:lvlJc w:val="left"/>
      <w:lvlText w:val="(%1)"/>
      <w:numFmt w:val="lowerLetter"/>
      <w:start w:val="1"/>
    </w:lvl>
  </w:abstractNum>
  <w:abstractNum w:abstractNumId="434">
    <w:nsid w:val="375A92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5">
    <w:nsid w:val="29180EE2"/>
    <w:multiLevelType w:val="hybridMultilevel"/>
    <w:lvl w:ilvl="0">
      <w:lvlJc w:val="left"/>
      <w:lvlText w:val="(%1)"/>
      <w:numFmt w:val="lowerLetter"/>
      <w:start w:val="2"/>
    </w:lvl>
  </w:abstractNum>
  <w:abstractNum w:abstractNumId="436">
    <w:nsid w:val="7C901113"/>
    <w:multiLevelType w:val="hybridMultilevel"/>
    <w:lvl w:ilvl="0">
      <w:lvlJc w:val="left"/>
      <w:lvlText w:val="%1."/>
      <w:numFmt w:val="decimal"/>
      <w:start w:val="37"/>
    </w:lvl>
  </w:abstractNum>
  <w:abstractNum w:abstractNumId="437">
    <w:nsid w:val="427028B0"/>
    <w:multiLevelType w:val="hybridMultilevel"/>
    <w:lvl w:ilvl="0">
      <w:lvlJc w:val="left"/>
      <w:lvlText w:val="(%1)"/>
      <w:numFmt w:val="lowerLetter"/>
      <w:start w:val="1"/>
    </w:lvl>
  </w:abstractNum>
  <w:abstractNum w:abstractNumId="438">
    <w:nsid w:val="4E7F1C4D"/>
    <w:multiLevelType w:val="hybridMultilevel"/>
    <w:lvl w:ilvl="0">
      <w:lvlJc w:val="left"/>
      <w:lvlText w:val="(%1)"/>
      <w:numFmt w:val="lowerLetter"/>
      <w:start w:val="1"/>
    </w:lvl>
  </w:abstractNum>
  <w:abstractNum w:abstractNumId="439">
    <w:nsid w:val="5C76D652"/>
    <w:multiLevelType w:val="hybridMultilevel"/>
    <w:lvl w:ilvl="0">
      <w:lvlJc w:val="left"/>
      <w:lvlText w:val="%1."/>
      <w:numFmt w:val="decimal"/>
      <w:start w:val="38"/>
    </w:lvl>
  </w:abstractNum>
  <w:abstractNum w:abstractNumId="440">
    <w:nsid w:val="7F1E3DAE"/>
    <w:multiLevelType w:val="hybridMultilevel"/>
    <w:lvl w:ilvl="0">
      <w:lvlJc w:val="left"/>
      <w:lvlText w:val="%1."/>
      <w:numFmt w:val="decimal"/>
      <w:start w:val="39"/>
    </w:lvl>
  </w:abstractNum>
  <w:abstractNum w:abstractNumId="441">
    <w:nsid w:val="3CA6D1B9"/>
    <w:multiLevelType w:val="hybridMultilevel"/>
    <w:lvl w:ilvl="0">
      <w:lvlJc w:val="left"/>
      <w:lvlText w:val="%1."/>
      <w:numFmt w:val="decimal"/>
      <w:start w:val="40"/>
    </w:lvl>
  </w:abstractNum>
  <w:abstractNum w:abstractNumId="442">
    <w:nsid w:val="43754DB7"/>
    <w:multiLevelType w:val="hybridMultilevel"/>
    <w:lvl w:ilvl="0">
      <w:lvlJc w:val="left"/>
      <w:lvlText w:val="[***]"/>
      <w:numFmt w:val="bullet"/>
      <w:start w:val="1"/>
    </w:lvl>
  </w:abstractNum>
  <w:abstractNum w:abstractNumId="443">
    <w:nsid w:val="40307D27"/>
    <w:multiLevelType w:val="hybridMultilevel"/>
    <w:lvl w:ilvl="0">
      <w:lvlJc w:val="left"/>
      <w:lvlText w:val="%1."/>
      <w:numFmt w:val="decimal"/>
      <w:start w:val="41"/>
    </w:lvl>
  </w:abstractNum>
  <w:abstractNum w:abstractNumId="444">
    <w:nsid w:val="DF69013"/>
    <w:multiLevelType w:val="hybridMultilevel"/>
    <w:lvl w:ilvl="0">
      <w:lvlJc w:val="left"/>
      <w:lvlText w:val="%1"/>
      <w:numFmt w:val="decimal"/>
      <w:start w:val="1"/>
    </w:lvl>
    <w:lvl w:ilvl="1">
      <w:lvlJc w:val="left"/>
      <w:lvlText w:val="(%2)"/>
      <w:numFmt w:val="lowerLetter"/>
      <w:start w:val="1"/>
    </w:lvl>
  </w:abstractNum>
  <w:abstractNum w:abstractNumId="445">
    <w:nsid w:val="FDE3B47"/>
    <w:multiLevelType w:val="hybridMultilevel"/>
    <w:lvl w:ilvl="0">
      <w:lvlJc w:val="left"/>
      <w:lvlText w:val="%1."/>
      <w:numFmt w:val="decimal"/>
      <w:start w:val="42"/>
    </w:lvl>
    <w:lvl w:ilvl="1">
      <w:lvlJc w:val="left"/>
      <w:lvlText w:val="%2"/>
      <w:numFmt w:val="lowerLetter"/>
      <w:start w:val="1"/>
    </w:lvl>
  </w:abstractNum>
  <w:abstractNum w:abstractNumId="446">
    <w:nsid w:val="5EF4B64"/>
    <w:multiLevelType w:val="hybridMultilevel"/>
    <w:lvl w:ilvl="0">
      <w:lvlJc w:val="left"/>
      <w:lvlText w:val="%1."/>
      <w:numFmt w:val="decimal"/>
      <w:start w:val="44"/>
    </w:lvl>
  </w:abstractNum>
  <w:abstractNum w:abstractNumId="447">
    <w:nsid w:val="2457647B"/>
    <w:multiLevelType w:val="hybridMultilevel"/>
    <w:lvl w:ilvl="0">
      <w:lvlJc w:val="left"/>
      <w:lvlText w:val="%1."/>
      <w:numFmt w:val="decimal"/>
      <w:start w:val="45"/>
    </w:lvl>
  </w:abstractNum>
  <w:abstractNum w:abstractNumId="448">
    <w:nsid w:val="66F06E9"/>
    <w:multiLevelType w:val="hybridMultilevel"/>
    <w:lvl w:ilvl="0">
      <w:lvlJc w:val="left"/>
      <w:lvlText w:val="%1."/>
      <w:numFmt w:val="decimal"/>
      <w:start w:val="46"/>
    </w:lvl>
  </w:abstractNum>
  <w:abstractNum w:abstractNumId="449">
    <w:nsid w:val="2ABAB37"/>
    <w:multiLevelType w:val="hybridMultilevel"/>
    <w:lvl w:ilvl="0">
      <w:lvlJc w:val="left"/>
      <w:lvlText w:val="%1."/>
      <w:numFmt w:val="decimal"/>
      <w:start w:val="47"/>
    </w:lvl>
  </w:abstractNum>
  <w:abstractNum w:abstractNumId="450">
    <w:nsid w:val="3D5EC8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1">
    <w:nsid w:val="31F4FCA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2">
    <w:nsid w:val="477DB4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53">
    <w:nsid w:val="4FD572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4">
    <w:nsid w:val="4D3C934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55">
    <w:nsid w:val="2CF0838B"/>
    <w:multiLevelType w:val="hybridMultilevel"/>
    <w:lvl w:ilvl="0">
      <w:lvlJc w:val="left"/>
      <w:lvlText w:val="%1."/>
      <w:numFmt w:val="decimal"/>
      <w:start w:val="10"/>
    </w:lvl>
    <w:lvl w:ilvl="1">
      <w:lvlJc w:val="left"/>
      <w:lvlText w:val="(%2)"/>
      <w:numFmt w:val="lowerLetter"/>
      <w:start w:val="1"/>
    </w:lvl>
  </w:abstractNum>
  <w:abstractNum w:abstractNumId="456">
    <w:nsid w:val="3E238E27"/>
    <w:multiLevelType w:val="hybridMultilevel"/>
    <w:lvl w:ilvl="0">
      <w:lvlJc w:val="left"/>
      <w:lvlText w:val="%1."/>
      <w:numFmt w:val="decimal"/>
      <w:start w:val="11"/>
    </w:lvl>
  </w:abstractNum>
  <w:abstractNum w:abstractNumId="457">
    <w:nsid w:val="1BB4DBCD"/>
    <w:multiLevelType w:val="hybridMultilevel"/>
    <w:lvl w:ilvl="0">
      <w:lvlJc w:val="left"/>
      <w:lvlText w:val="%1."/>
      <w:numFmt w:val="decimal"/>
      <w:start w:val="13"/>
    </w:lvl>
  </w:abstractNum>
  <w:abstractNum w:abstractNumId="458">
    <w:nsid w:val="659DCFA3"/>
    <w:multiLevelType w:val="hybridMultilevel"/>
    <w:lvl w:ilvl="0">
      <w:lvlJc w:val="left"/>
      <w:lvlText w:val="1"/>
      <w:numFmt w:val="bullet"/>
      <w:start w:val="1"/>
    </w:lvl>
  </w:abstractNum>
  <w:abstractNum w:abstractNumId="459">
    <w:nsid w:val="6F07C58"/>
    <w:multiLevelType w:val="hybridMultilevel"/>
    <w:lvl w:ilvl="0">
      <w:lvlJc w:val="left"/>
      <w:lvlText w:val="(%1)"/>
      <w:numFmt w:val="lowerLetter"/>
      <w:start w:val="1"/>
    </w:lvl>
  </w:abstractNum>
  <w:abstractNum w:abstractNumId="460">
    <w:nsid w:val="619F753B"/>
    <w:multiLevelType w:val="hybridMultilevel"/>
    <w:lvl w:ilvl="0">
      <w:lvlJc w:val="left"/>
      <w:lvlText w:val="(%1)"/>
      <w:numFmt w:val="lowerLetter"/>
      <w:start w:val="1"/>
    </w:lvl>
  </w:abstractNum>
  <w:abstractNum w:abstractNumId="461">
    <w:nsid w:val="29BD8A97"/>
    <w:multiLevelType w:val="hybridMultilevel"/>
    <w:lvl w:ilvl="0">
      <w:lvlJc w:val="left"/>
      <w:lvlText w:val="(%1)"/>
      <w:numFmt w:val="lowerLetter"/>
      <w:start w:val="1"/>
    </w:lvl>
  </w:abstractNum>
  <w:abstractNum w:abstractNumId="462">
    <w:nsid w:val="61C66E3"/>
    <w:multiLevelType w:val="hybridMultilevel"/>
    <w:lvl w:ilvl="0">
      <w:lvlJc w:val="left"/>
      <w:lvlText w:val="(%1)"/>
      <w:numFmt w:val="lowerLetter"/>
      <w:start w:val="2"/>
    </w:lvl>
  </w:abstractNum>
  <w:abstractNum w:abstractNumId="463">
    <w:nsid w:val="69321F16"/>
    <w:multiLevelType w:val="hybridMultilevel"/>
    <w:lvl w:ilvl="0">
      <w:lvlJc w:val="left"/>
      <w:lvlText w:val="(%1)"/>
      <w:numFmt w:val="lowerLetter"/>
      <w:start w:val="1"/>
    </w:lvl>
  </w:abstractNum>
  <w:abstractNum w:abstractNumId="464">
    <w:nsid w:val="2D96B714"/>
    <w:multiLevelType w:val="hybridMultilevel"/>
    <w:lvl w:ilvl="0">
      <w:lvlJc w:val="left"/>
      <w:lvlText w:val="(%1)"/>
      <w:numFmt w:val="lowerLetter"/>
      <w:start w:val="8"/>
    </w:lvl>
  </w:abstractNum>
  <w:abstractNum w:abstractNumId="465">
    <w:nsid w:val="3D76F9E2"/>
    <w:multiLevelType w:val="hybridMultilevel"/>
    <w:lvl w:ilvl="0">
      <w:lvlJc w:val="left"/>
      <w:lvlText w:val="%1."/>
      <w:numFmt w:val="decimal"/>
      <w:start w:val="1"/>
    </w:lvl>
  </w:abstractNum>
  <w:abstractNum w:abstractNumId="466">
    <w:nsid w:val="124A2DF8"/>
    <w:multiLevelType w:val="hybridMultilevel"/>
    <w:lvl w:ilvl="0">
      <w:lvlJc w:val="left"/>
      <w:lvlText w:val="(%1)"/>
      <w:numFmt w:val="lowerLetter"/>
      <w:start w:val="1"/>
    </w:lvl>
  </w:abstractNum>
  <w:abstractNum w:abstractNumId="467">
    <w:nsid w:val="2A26C828"/>
    <w:multiLevelType w:val="hybridMultilevel"/>
    <w:lvl w:ilvl="0">
      <w:lvlJc w:val="left"/>
      <w:lvlText w:val="(%1)"/>
      <w:numFmt w:val="lowerLetter"/>
      <w:start w:val="1"/>
    </w:lvl>
  </w:abstractNum>
  <w:abstractNum w:abstractNumId="468">
    <w:nsid w:val="7FE72292"/>
    <w:multiLevelType w:val="hybridMultilevel"/>
    <w:lvl w:ilvl="0">
      <w:lvlJc w:val="left"/>
      <w:lvlText w:val="(%1)"/>
      <w:numFmt w:val="lowerLetter"/>
      <w:start w:val="1"/>
    </w:lvl>
  </w:abstractNum>
  <w:abstractNum w:abstractNumId="469">
    <w:nsid w:val="60C94A46"/>
    <w:multiLevelType w:val="hybridMultilevel"/>
    <w:lvl w:ilvl="0">
      <w:lvlJc w:val="left"/>
      <w:lvlText w:val="(%1)"/>
      <w:numFmt w:val="lowerLetter"/>
      <w:start w:val="1"/>
    </w:lvl>
  </w:abstractNum>
  <w:abstractNum w:abstractNumId="470">
    <w:nsid w:val="69D9E7A"/>
    <w:multiLevelType w:val="hybridMultilevel"/>
    <w:lvl w:ilvl="0">
      <w:lvlJc w:val="left"/>
      <w:lvlText w:val="%1."/>
      <w:numFmt w:val="decimal"/>
      <w:start w:val="1"/>
    </w:lvl>
  </w:abstractNum>
  <w:abstractNum w:abstractNumId="471">
    <w:nsid w:val="7F056040"/>
    <w:multiLevelType w:val="hybridMultilevel"/>
    <w:lvl w:ilvl="0">
      <w:lvlJc w:val="left"/>
      <w:lvlText w:val="(%1)"/>
      <w:numFmt w:val="lowerLetter"/>
      <w:start w:val="1"/>
    </w:lvl>
    <w:lvl w:ilvl="1">
      <w:lvlJc w:val="left"/>
      <w:lvlText w:val="(%2)"/>
      <w:numFmt w:val="lowerRoman"/>
      <w:start w:val="1"/>
    </w:lvl>
  </w:abstractNum>
  <w:abstractNum w:abstractNumId="472">
    <w:nsid w:val="1D701BFF"/>
    <w:multiLevelType w:val="hybridMultilevel"/>
    <w:lvl w:ilvl="0">
      <w:lvlJc w:val="left"/>
      <w:lvlText w:val="(%1)"/>
      <w:numFmt w:val="lowerLetter"/>
      <w:start w:val="9"/>
    </w:lvl>
  </w:abstractNum>
  <w:abstractNum w:abstractNumId="473">
    <w:nsid w:val="4A12EC32"/>
    <w:multiLevelType w:val="hybridMultilevel"/>
    <w:lvl w:ilvl="0">
      <w:lvlJc w:val="left"/>
      <w:lvlText w:val="(%1)"/>
      <w:numFmt w:val="lowerLetter"/>
      <w:start w:val="1"/>
    </w:lvl>
    <w:lvl w:ilvl="1">
      <w:lvlJc w:val="left"/>
      <w:lvlText w:val="[***]"/>
      <w:numFmt w:val="bullet"/>
      <w:start w:val="1"/>
    </w:lvl>
  </w:abstractNum>
  <w:abstractNum w:abstractNumId="474">
    <w:nsid w:val="3F35DD67"/>
    <w:multiLevelType w:val="hybridMultilevel"/>
    <w:lvl w:ilvl="0">
      <w:lvlJc w:val="left"/>
      <w:lvlText w:val="(%1)"/>
      <w:numFmt w:val="lowerLetter"/>
      <w:start w:val="1"/>
    </w:lvl>
    <w:lvl w:ilvl="1">
      <w:lvlJc w:val="left"/>
      <w:lvlText w:val="(%2)"/>
      <w:numFmt w:val="lowerRoman"/>
      <w:start w:val="1"/>
    </w:lvl>
  </w:abstractNum>
  <w:abstractNum w:abstractNumId="475">
    <w:nsid w:val="2B66AC12"/>
    <w:multiLevelType w:val="hybridMultilevel"/>
    <w:lvl w:ilvl="0">
      <w:lvlJc w:val="left"/>
      <w:lvlText w:val="(%1)"/>
      <w:numFmt w:val="lowerLetter"/>
      <w:start w:val="3"/>
    </w:lvl>
  </w:abstractNum>
  <w:abstractNum w:abstractNumId="476">
    <w:nsid w:val="59F12779"/>
    <w:multiLevelType w:val="hybridMultilevel"/>
    <w:lvl w:ilvl="0">
      <w:lvlJc w:val="left"/>
      <w:lvlText w:val="(%1)"/>
      <w:numFmt w:val="lowerLetter"/>
      <w:start w:val="1"/>
    </w:lvl>
  </w:abstractNum>
  <w:abstractNum w:abstractNumId="477">
    <w:nsid w:val="452528CB"/>
    <w:multiLevelType w:val="hybridMultilevel"/>
    <w:lvl w:ilvl="0">
      <w:lvlJc w:val="left"/>
      <w:lvlText w:val="%1."/>
      <w:numFmt w:val="decimal"/>
      <w:start w:val="1"/>
    </w:lvl>
  </w:abstractNum>
  <w:abstractNum w:abstractNumId="478">
    <w:nsid w:val="4FBE108E"/>
    <w:multiLevelType w:val="hybridMultilevel"/>
    <w:lvl w:ilvl="0">
      <w:lvlJc w:val="left"/>
      <w:lvlText w:val="(%1)"/>
      <w:numFmt w:val="lowerLetter"/>
      <w:start w:val="1"/>
    </w:lvl>
    <w:lvl w:ilvl="1">
      <w:lvlJc w:val="left"/>
      <w:lvlText w:val="(%2)"/>
      <w:numFmt w:val="lowerRoman"/>
      <w:start w:val="1"/>
    </w:lvl>
  </w:abstractNum>
  <w:abstractNum w:abstractNumId="479">
    <w:nsid w:val="60602E6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0">
    <w:nsid w:val="47D0D4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1">
    <w:nsid w:val="D1CD939"/>
    <w:multiLevelType w:val="hybridMultilevel"/>
    <w:lvl w:ilvl="0">
      <w:lvlJc w:val="left"/>
      <w:lvlText w:val="%1."/>
      <w:numFmt w:val="decimal"/>
      <w:start w:val="3"/>
    </w:lvl>
  </w:abstractNum>
  <w:abstractNum w:abstractNumId="482">
    <w:nsid w:val="12552B10"/>
    <w:multiLevelType w:val="hybridMultilevel"/>
    <w:lvl w:ilvl="0">
      <w:lvlJc w:val="left"/>
      <w:lvlText w:val="(%1)"/>
      <w:numFmt w:val="lowerLetter"/>
      <w:start w:val="1"/>
    </w:lvl>
  </w:abstractNum>
  <w:abstractNum w:abstractNumId="483">
    <w:nsid w:val="F4E8872"/>
    <w:multiLevelType w:val="hybridMultilevel"/>
    <w:lvl w:ilvl="0">
      <w:lvlJc w:val="left"/>
      <w:lvlText w:val="%1."/>
      <w:numFmt w:val="decimal"/>
      <w:start w:val="4"/>
    </w:lvl>
  </w:abstractNum>
  <w:abstractNum w:abstractNumId="484">
    <w:nsid w:val="5CF24B45"/>
    <w:multiLevelType w:val="hybridMultilevel"/>
    <w:lvl w:ilvl="0">
      <w:lvlJc w:val="left"/>
      <w:lvlText w:val="%1."/>
      <w:numFmt w:val="decimal"/>
      <w:start w:val="1"/>
    </w:lvl>
  </w:abstractNum>
  <w:abstractNum w:abstractNumId="485">
    <w:nsid w:val="5F91BE56"/>
    <w:multiLevelType w:val="hybridMultilevel"/>
    <w:lvl w:ilvl="0">
      <w:lvlJc w:val="left"/>
      <w:lvlText w:val="(%1)"/>
      <w:numFmt w:val="lowerLetter"/>
      <w:start w:val="1"/>
    </w:lvl>
  </w:abstractNum>
  <w:abstractNum w:abstractNumId="486">
    <w:nsid w:val="3C3F0BFD"/>
    <w:multiLevelType w:val="hybridMultilevel"/>
    <w:lvl w:ilvl="0">
      <w:lvlJc w:val="left"/>
      <w:lvlText w:val="(%1)"/>
      <w:numFmt w:val="lowerLetter"/>
      <w:start w:val="1"/>
    </w:lvl>
  </w:abstractNum>
  <w:abstractNum w:abstractNumId="487">
    <w:nsid w:val="1B15D96C"/>
    <w:multiLevelType w:val="hybridMultilevel"/>
    <w:lvl w:ilvl="0">
      <w:lvlJc w:val="left"/>
      <w:lvlText w:val="(%1)"/>
      <w:numFmt w:val="lowerLetter"/>
      <w:start w:val="11"/>
    </w:lvl>
  </w:abstractNum>
  <w:abstractNum w:abstractNumId="488">
    <w:nsid w:val="7B469A23"/>
    <w:multiLevelType w:val="hybridMultilevel"/>
    <w:lvl w:ilvl="0">
      <w:lvlJc w:val="left"/>
      <w:lvlText w:val="(%1)"/>
      <w:numFmt w:val="lowerLetter"/>
      <w:start w:val="1"/>
    </w:lvl>
  </w:abstractNum>
  <w:abstractNum w:abstractNumId="489">
    <w:nsid w:val="21DCDBA0"/>
    <w:multiLevelType w:val="hybridMultilevel"/>
    <w:lvl w:ilvl="0">
      <w:lvlJc w:val="left"/>
      <w:lvlText w:val="(%1)"/>
      <w:numFmt w:val="lowerLetter"/>
      <w:start w:val="1"/>
    </w:lvl>
  </w:abstractNum>
  <w:abstractNum w:abstractNumId="490">
    <w:nsid w:val="220655C4"/>
    <w:multiLevelType w:val="hybridMultilevel"/>
    <w:lvl w:ilvl="0">
      <w:lvlJc w:val="left"/>
      <w:lvlText w:val="(%1)"/>
      <w:numFmt w:val="lowerLetter"/>
      <w:start w:val="1"/>
    </w:lvl>
  </w:abstractNum>
  <w:abstractNum w:abstractNumId="491">
    <w:nsid w:val="5CE60F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2">
    <w:nsid w:val="4B9A66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abstractNum>
  <w:abstractNum w:abstractNumId="493">
    <w:nsid w:val="2822BCA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94">
    <w:nsid w:val="46182E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95">
    <w:nsid w:val="79311D4C"/>
    <w:multiLevelType w:val="hybridMultilevel"/>
    <w:lvl w:ilvl="0">
      <w:lvlJc w:val="left"/>
      <w:lvlText w:val="%1."/>
      <w:numFmt w:val="decimal"/>
      <w:start w:val="1"/>
    </w:lvl>
    <w:lvl w:ilvl="1">
      <w:lvlJc w:val="left"/>
      <w:lvlText w:val="(%2)"/>
      <w:numFmt w:val="lowerLetter"/>
      <w:start w:val="1"/>
    </w:lvl>
  </w:abstractNum>
  <w:abstractNum w:abstractNumId="496">
    <w:nsid w:val="6599B689"/>
    <w:multiLevelType w:val="hybridMultilevel"/>
    <w:lvl w:ilvl="0">
      <w:lvlJc w:val="left"/>
      <w:lvlText w:val="%1"/>
      <w:numFmt w:val="decimal"/>
      <w:start w:val="1"/>
    </w:lvl>
    <w:lvl w:ilvl="1">
      <w:lvlJc w:val="left"/>
      <w:lvlText w:val="(%2)"/>
      <w:numFmt w:val="lowerLetter"/>
      <w:start w:val="3"/>
    </w:lvl>
  </w:abstractNum>
  <w:abstractNum w:abstractNumId="497">
    <w:nsid w:val="58625C6D"/>
    <w:multiLevelType w:val="hybridMultilevel"/>
    <w:lvl w:ilvl="0">
      <w:lvlJc w:val="left"/>
      <w:lvlText w:val="%1."/>
      <w:numFmt w:val="decimal"/>
      <w:start w:val="3"/>
    </w:lvl>
    <w:lvl w:ilvl="1">
      <w:lvlJc w:val="left"/>
      <w:lvlText w:val="(%2)"/>
      <w:numFmt w:val="lowerLetter"/>
      <w:start w:val="1"/>
    </w:lvl>
  </w:abstractNum>
  <w:abstractNum w:abstractNumId="498">
    <w:nsid w:val="2357E574"/>
    <w:multiLevelType w:val="hybridMultilevel"/>
    <w:lvl w:ilvl="0">
      <w:lvlJc w:val="left"/>
      <w:lvlText w:val="%1."/>
      <w:numFmt w:val="decimal"/>
      <w:start w:val="9"/>
    </w:lvl>
  </w:abstractNum>
  <w:abstractNum w:abstractNumId="499">
    <w:nsid w:val="6580D91B"/>
    <w:multiLevelType w:val="hybridMultilevel"/>
    <w:lvl w:ilvl="0">
      <w:lvlJc w:val="left"/>
      <w:lvlText w:val="%1."/>
      <w:numFmt w:val="decimal"/>
      <w:start w:val="1"/>
    </w:lvl>
    <w:lvl w:ilvl="1">
      <w:lvlJc w:val="left"/>
      <w:lvlText w:val="(%2)"/>
      <w:numFmt w:val="lowerLetter"/>
      <w:start w:val="1"/>
    </w:lvl>
  </w:abstractNum>
  <w:abstractNum w:abstractNumId="500">
    <w:nsid w:val="392BA6B3"/>
    <w:multiLevelType w:val="hybridMultilevel"/>
    <w:lvl w:ilvl="0">
      <w:lvlJc w:val="left"/>
      <w:lvlText w:val="(%1)"/>
      <w:numFmt w:val="lowerLetter"/>
      <w:start w:val="1"/>
    </w:lvl>
    <w:lvl w:ilvl="1">
      <w:lvlJc w:val="left"/>
      <w:lvlText w:val="(%2)"/>
      <w:numFmt w:val="lowerRoman"/>
      <w:start w:val="1"/>
    </w:lvl>
  </w:abstractNum>
  <w:abstractNum w:abstractNumId="501">
    <w:nsid w:val="29F583EF"/>
    <w:multiLevelType w:val="hybridMultilevel"/>
    <w:lvl w:ilvl="0">
      <w:lvlJc w:val="left"/>
      <w:lvlText w:val="(%1)"/>
      <w:numFmt w:val="lowerLetter"/>
      <w:start w:val="1"/>
    </w:lvl>
  </w:abstractNum>
  <w:abstractNum w:abstractNumId="502">
    <w:nsid w:val="6486395B"/>
    <w:multiLevelType w:val="hybridMultilevel"/>
    <w:lvl w:ilvl="0">
      <w:lvlJc w:val="left"/>
      <w:lvlText w:val="(%1)"/>
      <w:numFmt w:val="lowerLetter"/>
      <w:start w:val="2"/>
    </w:lvl>
  </w:abstractNum>
  <w:abstractNum w:abstractNumId="503">
    <w:nsid w:val="569BC2B2"/>
    <w:multiLevelType w:val="hybridMultilevel"/>
    <w:lvl w:ilvl="0">
      <w:lvlJc w:val="left"/>
      <w:lvlText w:val="(%1)"/>
      <w:numFmt w:val="lowerLetter"/>
      <w:start w:val="1"/>
    </w:lvl>
  </w:abstractNum>
  <w:abstractNum w:abstractNumId="504">
    <w:nsid w:val="74087021"/>
    <w:multiLevelType w:val="hybridMultilevel"/>
    <w:lvl w:ilvl="0">
      <w:lvlJc w:val="left"/>
      <w:lvlText w:val="(%1)"/>
      <w:numFmt w:val="lowerLetter"/>
      <w:start w:val="1"/>
    </w:lvl>
  </w:abstractNum>
  <w:abstractNum w:abstractNumId="505">
    <w:nsid w:val="23BC16C2"/>
    <w:multiLevelType w:val="hybridMultilevel"/>
    <w:lvl w:ilvl="0">
      <w:lvlJc w:val="left"/>
      <w:lvlText w:val="%1."/>
      <w:numFmt w:val="decimal"/>
      <w:start w:val="2"/>
    </w:lvl>
  </w:abstractNum>
  <w:abstractNum w:abstractNumId="506">
    <w:nsid w:val="2026EC5"/>
    <w:multiLevelType w:val="hybridMultilevel"/>
    <w:lvl w:ilvl="0">
      <w:lvlJc w:val="left"/>
      <w:lvlText w:val="%1."/>
      <w:numFmt w:val="decimal"/>
      <w:start w:val="5"/>
    </w:lvl>
  </w:abstractNum>
  <w:abstractNum w:abstractNumId="507">
    <w:nsid w:val="4DF9979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08">
    <w:nsid w:val="68E13F8E"/>
    <w:multiLevelType w:val="hybridMultilevel"/>
    <w:lvl w:ilvl="0">
      <w:lvlJc w:val="left"/>
      <w:lvlText w:val="[***]"/>
      <w:numFmt w:val="bullet"/>
      <w:start w:val="1"/>
    </w:lvl>
  </w:abstractNum>
  <w:abstractNum w:abstractNumId="509">
    <w:nsid w:val="51C07F53"/>
    <w:multiLevelType w:val="hybridMultilevel"/>
    <w:lvl w:ilvl="0">
      <w:lvlJc w:val="left"/>
      <w:lvlText w:val="(%1)"/>
      <w:numFmt w:val="lowerLetter"/>
      <w:start w:val="1"/>
    </w:lvl>
  </w:abstractNum>
  <w:abstractNum w:abstractNumId="510">
    <w:nsid w:val="2E59C5FD"/>
    <w:multiLevelType w:val="hybridMultilevel"/>
    <w:lvl w:ilvl="0">
      <w:lvlJc w:val="left"/>
      <w:lvlText w:val="(%1)"/>
      <w:numFmt w:val="lowerLetter"/>
      <w:start w:val="1"/>
    </w:lvl>
  </w:abstractNum>
  <w:abstractNum w:abstractNumId="511">
    <w:nsid w:val="30B21390"/>
    <w:multiLevelType w:val="hybridMultilevel"/>
    <w:lvl w:ilvl="0">
      <w:lvlJc w:val="left"/>
      <w:lvlText w:val="(%1)"/>
      <w:numFmt w:val="lowerRoman"/>
      <w:start w:val="1"/>
    </w:lvl>
  </w:abstractNum>
  <w:abstractNum w:abstractNumId="512">
    <w:nsid w:val="5EDD588C"/>
    <w:multiLevelType w:val="hybridMultilevel"/>
    <w:lvl w:ilvl="0">
      <w:lvlJc w:val="left"/>
      <w:lvlText w:val="%1"/>
      <w:numFmt w:val="decimal"/>
      <w:start w:val="1"/>
    </w:lvl>
    <w:lvl w:ilvl="1">
      <w:lvlJc w:val="left"/>
      <w:lvlText w:val="(%2)"/>
      <w:numFmt w:val="lowerLetter"/>
      <w:start w:val="1"/>
    </w:lvl>
  </w:abstractNum>
  <w:abstractNum w:abstractNumId="513">
    <w:nsid w:val="40AEF10D"/>
    <w:multiLevelType w:val="hybridMultilevel"/>
    <w:lvl w:ilvl="0">
      <w:lvlJc w:val="left"/>
      <w:lvlText w:val="(%1)"/>
      <w:numFmt w:val="decimal"/>
      <w:start w:val="2"/>
    </w:lvl>
    <w:lvl w:ilvl="1">
      <w:lvlJc w:val="left"/>
      <w:lvlText w:val="%2"/>
      <w:numFmt w:val="lowerLetter"/>
      <w:start w:val="1"/>
    </w:lvl>
  </w:abstractNum>
  <w:abstractNum w:abstractNumId="514">
    <w:nsid w:val="40009C03"/>
    <w:multiLevelType w:val="hybridMultilevel"/>
    <w:lvl w:ilvl="0">
      <w:lvlJc w:val="left"/>
      <w:lvlText w:val="(%1)"/>
      <w:numFmt w:val="lowerLetter"/>
      <w:start w:val="2"/>
    </w:lvl>
  </w:abstractNum>
  <w:abstractNum w:abstractNumId="515">
    <w:nsid w:val="3BCFA3D1"/>
    <w:multiLevelType w:val="hybridMultilevel"/>
    <w:lvl w:ilvl="0">
      <w:lvlJc w:val="left"/>
      <w:lvlText w:val="(%1)"/>
      <w:numFmt w:val="lowerLetter"/>
      <w:start w:val="1"/>
    </w:lvl>
  </w:abstractNum>
  <w:abstractNum w:abstractNumId="516">
    <w:nsid w:val="2040AF63"/>
    <w:multiLevelType w:val="hybridMultilevel"/>
    <w:lvl w:ilvl="0">
      <w:lvlJc w:val="left"/>
      <w:lvlText w:val="(%1)"/>
      <w:numFmt w:val="lowerLetter"/>
      <w:start w:val="1"/>
    </w:lvl>
  </w:abstractNum>
  <w:abstractNum w:abstractNumId="517">
    <w:nsid w:val="7C3FA800"/>
    <w:multiLevelType w:val="hybridMultilevel"/>
    <w:lvl w:ilvl="0">
      <w:lvlJc w:val="left"/>
      <w:lvlText w:val="(%1)"/>
      <w:numFmt w:val="lowerLetter"/>
      <w:start w:val="1"/>
    </w:lvl>
  </w:abstractNum>
  <w:abstractNum w:abstractNumId="518">
    <w:nsid w:val="56E57D3D"/>
    <w:multiLevelType w:val="hybridMultilevel"/>
    <w:lvl w:ilvl="0">
      <w:lvlJc w:val="left"/>
      <w:lvlText w:val="(%1)"/>
      <w:numFmt w:val="lowerLetter"/>
      <w:start w:val="2"/>
    </w:lvl>
    <w:lvl w:ilvl="1">
      <w:lvlJc w:val="left"/>
      <w:lvlText w:val="(%2)"/>
      <w:numFmt w:val="lowerLetter"/>
      <w:start w:val="9"/>
    </w:lvl>
  </w:abstractNum>
  <w:abstractNum w:abstractNumId="519">
    <w:nsid w:val="1B874986"/>
    <w:multiLevelType w:val="hybridMultilevel"/>
    <w:lvl w:ilvl="0">
      <w:lvlJc w:val="left"/>
      <w:lvlText w:val="%1"/>
      <w:numFmt w:val="lowerLetter"/>
      <w:start w:val="1"/>
    </w:lvl>
    <w:lvl w:ilvl="1">
      <w:lvlJc w:val="left"/>
      <w:lvlText w:val="(%2)"/>
      <w:numFmt w:val="lowerLetter"/>
      <w:start w:val="35"/>
    </w:lvl>
  </w:abstractNum>
  <w:abstractNum w:abstractNumId="520">
    <w:nsid w:val="1E1C83A1"/>
    <w:multiLevelType w:val="hybridMultilevel"/>
    <w:lvl w:ilvl="0">
      <w:lvlJc w:val="left"/>
      <w:lvlText w:val="(%1)"/>
      <w:numFmt w:val="lowerLetter"/>
      <w:start w:val="3"/>
    </w:lvl>
    <w:lvl w:ilvl="1">
      <w:lvlJc w:val="left"/>
      <w:lvlText w:val="%2"/>
      <w:numFmt w:val="lowerLetter"/>
      <w:start w:val="1"/>
    </w:lvl>
  </w:abstractNum>
  <w:abstractNum w:abstractNumId="521">
    <w:nsid w:val="78EBD301"/>
    <w:multiLevelType w:val="hybridMultilevel"/>
    <w:lvl w:ilvl="0">
      <w:lvlJc w:val="left"/>
      <w:lvlText w:val="(%1)"/>
      <w:numFmt w:val="lowerLetter"/>
      <w:start w:val="1"/>
    </w:lvl>
    <w:lvl w:ilvl="1">
      <w:lvlJc w:val="left"/>
      <w:lvlText w:val="(%2)"/>
      <w:numFmt w:val="lowerRoman"/>
      <w:start w:val="1"/>
    </w:lvl>
  </w:abstractNum>
  <w:abstractNum w:abstractNumId="522">
    <w:nsid w:val="786D58E4"/>
    <w:multiLevelType w:val="hybridMultilevel"/>
    <w:lvl w:ilvl="0">
      <w:lvlJc w:val="left"/>
      <w:lvlText w:val="[***]"/>
      <w:numFmt w:val="bullet"/>
      <w:start w:val="1"/>
    </w:lvl>
    <w:lvl w:ilvl="1">
      <w:lvlJc w:val="left"/>
      <w:lvlText w:val="(%2)"/>
      <w:numFmt w:val="lowerLetter"/>
      <w:start w:val="2"/>
    </w:lvl>
  </w:abstractNum>
  <w:abstractNum w:abstractNumId="523">
    <w:nsid w:val="69B6E9D9"/>
    <w:multiLevelType w:val="hybridMultilevel"/>
    <w:lvl w:ilvl="0">
      <w:lvlJc w:val="left"/>
      <w:lvlText w:val="(%1)"/>
      <w:numFmt w:val="lowerLetter"/>
      <w:start w:val="3"/>
    </w:lvl>
  </w:abstractNum>
  <w:abstractNum w:abstractNumId="524">
    <w:nsid w:val="210E8FA8"/>
    <w:multiLevelType w:val="hybridMultilevel"/>
    <w:lvl w:ilvl="0">
      <w:lvlJc w:val="left"/>
      <w:lvlText w:val="(%1)"/>
      <w:numFmt w:val="lowerLetter"/>
      <w:start w:val="1"/>
    </w:lvl>
  </w:abstractNum>
  <w:abstractNum w:abstractNumId="525">
    <w:nsid w:val="3E858759"/>
    <w:multiLevelType w:val="hybridMultilevel"/>
    <w:lvl w:ilvl="0">
      <w:lvlJc w:val="left"/>
      <w:lvlText w:val="(%1)"/>
      <w:numFmt w:val="lowerLetter"/>
      <w:start w:val="5"/>
    </w:lvl>
  </w:abstractNum>
  <w:abstractNum w:abstractNumId="526">
    <w:nsid w:val="62E80725"/>
    <w:multiLevelType w:val="hybridMultilevel"/>
    <w:lvl w:ilvl="0">
      <w:lvlJc w:val="left"/>
      <w:lvlText w:val="(%1)"/>
      <w:numFmt w:val="lowerLetter"/>
      <w:start w:val="1"/>
    </w:lvl>
  </w:abstractNum>
  <w:abstractNum w:abstractNumId="527">
    <w:nsid w:val="6A84631"/>
    <w:multiLevelType w:val="hybridMultilevel"/>
    <w:lvl w:ilvl="0">
      <w:lvlJc w:val="left"/>
      <w:lvlText w:val="(%1)"/>
      <w:numFmt w:val="lowerLetter"/>
      <w:start w:val="2"/>
    </w:lvl>
  </w:abstractNum>
  <w:abstractNum w:abstractNumId="528">
    <w:nsid w:val="16E7E3C7"/>
    <w:multiLevelType w:val="hybridMultilevel"/>
    <w:lvl w:ilvl="0">
      <w:lvlJc w:val="left"/>
      <w:lvlText w:val="(%1)"/>
      <w:numFmt w:val="lowerLetter"/>
      <w:start w:val="1"/>
    </w:lvl>
  </w:abstractNum>
  <w:abstractNum w:abstractNumId="529">
    <w:nsid w:val="63FEC9A"/>
    <w:multiLevelType w:val="hybridMultilevel"/>
    <w:lvl w:ilvl="0">
      <w:lvlJc w:val="left"/>
      <w:lvlText w:val="(%1)"/>
      <w:numFmt w:val="lowerLetter"/>
      <w:start w:val="2"/>
    </w:lvl>
  </w:abstractNum>
  <w:abstractNum w:abstractNumId="530">
    <w:nsid w:val="6C291F4C"/>
    <w:multiLevelType w:val="hybridMultilevel"/>
    <w:lvl w:ilvl="0">
      <w:lvlJc w:val="left"/>
      <w:lvlText w:val="(%1)"/>
      <w:numFmt w:val="lowerLetter"/>
      <w:start w:val="5"/>
    </w:lvl>
    <w:lvl w:ilvl="1">
      <w:lvlJc w:val="left"/>
      <w:lvlText w:val="(%2)"/>
      <w:numFmt w:val="lowerRoman"/>
      <w:start w:val="1"/>
    </w:lvl>
  </w:abstractNum>
  <w:abstractNum w:abstractNumId="531">
    <w:nsid w:val="50138A7A"/>
    <w:multiLevelType w:val="hybridMultilevel"/>
    <w:lvl w:ilvl="0">
      <w:lvlJc w:val="left"/>
      <w:lvlText w:val="(%1)"/>
      <w:numFmt w:val="lowerLetter"/>
      <w:start w:val="6"/>
    </w:lvl>
  </w:abstractNum>
  <w:abstractNum w:abstractNumId="532">
    <w:nsid w:val="30357089"/>
    <w:multiLevelType w:val="hybridMultilevel"/>
    <w:lvl w:ilvl="0">
      <w:lvlJc w:val="left"/>
      <w:lvlText w:val="(%1)"/>
      <w:numFmt w:val="lowerLetter"/>
      <w:start w:val="1"/>
    </w:lvl>
  </w:abstractNum>
  <w:abstractNum w:abstractNumId="533">
    <w:nsid w:val="50AF58A7"/>
    <w:multiLevelType w:val="hybridMultilevel"/>
    <w:lvl w:ilvl="0">
      <w:lvlJc w:val="left"/>
      <w:lvlText w:val="(%1)"/>
      <w:numFmt w:val="lowerLetter"/>
      <w:start w:val="1"/>
    </w:lvl>
  </w:abstractNum>
  <w:abstractNum w:abstractNumId="534">
    <w:nsid w:val="26AF4D2D"/>
    <w:multiLevelType w:val="hybridMultilevel"/>
    <w:lvl w:ilvl="0">
      <w:lvlJc w:val="left"/>
      <w:lvlText w:val="(%1)"/>
      <w:numFmt w:val="lowerLetter"/>
      <w:start w:val="1"/>
    </w:lvl>
  </w:abstractNum>
  <w:abstractNum w:abstractNumId="535">
    <w:nsid w:val="243DE0AA"/>
    <w:multiLevelType w:val="hybridMultilevel"/>
    <w:lvl w:ilvl="0">
      <w:lvlJc w:val="left"/>
      <w:lvlText w:val="%1."/>
      <w:numFmt w:val="decimal"/>
      <w:start w:val="6"/>
    </w:lvl>
  </w:abstractNum>
  <w:abstractNum w:abstractNumId="536">
    <w:nsid w:val="746B6F6A"/>
    <w:multiLevelType w:val="hybridMultilevel"/>
    <w:lvl w:ilvl="0">
      <w:lvlJc w:val="left"/>
      <w:lvlText w:val="(%1)"/>
      <w:numFmt w:val="lowerLetter"/>
      <w:start w:val="1"/>
    </w:lvl>
  </w:abstractNum>
  <w:abstractNum w:abstractNumId="537">
    <w:nsid w:val="28B1BBF2"/>
    <w:multiLevelType w:val="hybridMultilevel"/>
    <w:lvl w:ilvl="0">
      <w:lvlJc w:val="left"/>
      <w:lvlText w:val="(%1)"/>
      <w:numFmt w:val="lowerLetter"/>
      <w:start w:val="3"/>
    </w:lvl>
  </w:abstractNum>
  <w:abstractNum w:abstractNumId="538">
    <w:nsid w:val="72377844"/>
    <w:multiLevelType w:val="hybridMultilevel"/>
    <w:lvl w:ilvl="0">
      <w:lvlJc w:val="left"/>
      <w:lvlText w:val="[***]"/>
      <w:numFmt w:val="bullet"/>
      <w:start w:val="1"/>
    </w:lvl>
  </w:abstractNum>
  <w:abstractNum w:abstractNumId="539">
    <w:nsid w:val="5D4CAEF8"/>
    <w:multiLevelType w:val="hybridMultilevel"/>
    <w:lvl w:ilvl="0">
      <w:lvlJc w:val="left"/>
      <w:lvlText w:val="(%1)"/>
      <w:numFmt w:val="lowerLetter"/>
      <w:start w:val="1"/>
    </w:lvl>
    <w:lvl w:ilvl="1">
      <w:lvlJc w:val="left"/>
      <w:lvlText w:val="(%2)"/>
      <w:numFmt w:val="lowerRoman"/>
      <w:start w:val="1"/>
    </w:lvl>
  </w:abstractNum>
  <w:abstractNum w:abstractNumId="540">
    <w:nsid w:val="7A723B45"/>
    <w:multiLevelType w:val="hybridMultilevel"/>
    <w:lvl w:ilvl="0">
      <w:lvlJc w:val="left"/>
      <w:lvlText w:val="%1"/>
      <w:numFmt w:val="decimal"/>
      <w:start w:val="1"/>
    </w:lvl>
    <w:lvl w:ilvl="1">
      <w:lvlJc w:val="left"/>
      <w:lvlText w:val="(%2)"/>
      <w:numFmt w:val="lowerLetter"/>
      <w:start w:val="2"/>
    </w:lvl>
  </w:abstractNum>
  <w:abstractNum w:abstractNumId="541">
    <w:nsid w:val="20913E41"/>
    <w:multiLevelType w:val="hybridMultilevel"/>
    <w:lvl w:ilvl="0">
      <w:lvlJc w:val="left"/>
      <w:lvlText w:val="%1."/>
      <w:numFmt w:val="decimal"/>
      <w:start w:val="6"/>
    </w:lvl>
    <w:lvl w:ilvl="1">
      <w:lvlJc w:val="left"/>
      <w:lvlText w:val="%2"/>
      <w:numFmt w:val="lowerLetter"/>
      <w:start w:val="1"/>
    </w:lvl>
  </w:abstractNum>
  <w:abstractNum w:abstractNumId="542">
    <w:nsid w:val="DFEC288"/>
    <w:multiLevelType w:val="hybridMultilevel"/>
    <w:lvl w:ilvl="0">
      <w:lvlJc w:val="left"/>
      <w:lvlText w:val="(%1)"/>
      <w:numFmt w:val="lowerLetter"/>
      <w:start w:val="1"/>
    </w:lvl>
    <w:lvl w:ilvl="1">
      <w:lvlJc w:val="left"/>
      <w:lvlText w:val="(%2)"/>
      <w:numFmt w:val="lowerRoman"/>
      <w:start w:val="1"/>
    </w:lvl>
  </w:abstractNum>
  <w:abstractNum w:abstractNumId="543">
    <w:nsid w:val="594F93D1"/>
    <w:multiLevelType w:val="hybridMultilevel"/>
    <w:lvl w:ilvl="0">
      <w:lvlJc w:val="left"/>
      <w:lvlText w:val="(%1)"/>
      <w:numFmt w:val="lowerRoman"/>
      <w:start w:val="3"/>
    </w:lvl>
  </w:abstractNum>
  <w:abstractNum w:abstractNumId="544">
    <w:nsid w:val="61402F4E"/>
    <w:multiLevelType w:val="hybridMultilevel"/>
    <w:lvl w:ilvl="0">
      <w:lvlJc w:val="left"/>
      <w:lvlText w:val="(%1)"/>
      <w:numFmt w:val="lowerLetter"/>
      <w:start w:val="1"/>
    </w:lvl>
  </w:abstractNum>
  <w:abstractNum w:abstractNumId="545">
    <w:nsid w:val="4DFF5E8B"/>
    <w:multiLevelType w:val="hybridMultilevel"/>
    <w:lvl w:ilvl="0">
      <w:lvlJc w:val="left"/>
      <w:lvlText w:val="(%1)"/>
      <w:numFmt w:val="lowerLetter"/>
      <w:start w:val="1"/>
    </w:lvl>
    <w:lvl w:ilvl="1">
      <w:lvlJc w:val="left"/>
      <w:lvlText w:val="(%2)"/>
      <w:numFmt w:val="lowerLetter"/>
      <w:start w:val="9"/>
    </w:lvl>
  </w:abstractNum>
  <w:abstractNum w:abstractNumId="546">
    <w:nsid w:val="151F37A3"/>
    <w:multiLevelType w:val="hybridMultilevel"/>
    <w:lvl w:ilvl="0">
      <w:lvlJc w:val="left"/>
      <w:lvlText w:val="(%1)"/>
      <w:numFmt w:val="lowerLetter"/>
      <w:start w:val="2"/>
    </w:lvl>
  </w:abstractNum>
  <w:abstractNum w:abstractNumId="547">
    <w:nsid w:val="180DEB1"/>
    <w:multiLevelType w:val="hybridMultilevel"/>
    <w:lvl w:ilvl="0">
      <w:lvlJc w:val="left"/>
      <w:lvlText w:val="(%1)"/>
      <w:numFmt w:val="lowerLetter"/>
      <w:start w:val="1"/>
    </w:lvl>
  </w:abstractNum>
  <w:abstractNum w:abstractNumId="548">
    <w:nsid w:val="4A3F068C"/>
    <w:multiLevelType w:val="hybridMultilevel"/>
    <w:lvl w:ilvl="0">
      <w:lvlJc w:val="left"/>
      <w:lvlText w:val="(%1)"/>
      <w:numFmt w:val="lowerLetter"/>
      <w:start w:val="2"/>
    </w:lvl>
  </w:abstractNum>
  <w:abstractNum w:abstractNumId="549">
    <w:nsid w:val="6C04B4E0"/>
    <w:multiLevelType w:val="hybridMultilevel"/>
    <w:lvl w:ilvl="0">
      <w:lvlJc w:val="left"/>
      <w:lvlText w:val="[***]"/>
      <w:numFmt w:val="bullet"/>
      <w:start w:val="1"/>
    </w:lvl>
    <w:lvl w:ilvl="1">
      <w:lvlJc w:val="left"/>
      <w:lvlText w:val="(%2)"/>
      <w:numFmt w:val="lowerLetter"/>
      <w:start w:val="1"/>
    </w:lvl>
  </w:abstractNum>
  <w:abstractNum w:abstractNumId="550">
    <w:nsid w:val="1D082837"/>
    <w:multiLevelType w:val="hybridMultilevel"/>
    <w:lvl w:ilvl="0">
      <w:lvlJc w:val="left"/>
      <w:lvlText w:val="[***]"/>
      <w:numFmt w:val="bullet"/>
      <w:start w:val="1"/>
    </w:lvl>
    <w:lvl w:ilvl="1">
      <w:lvlJc w:val="left"/>
      <w:lvlText w:val="(%2)"/>
      <w:numFmt w:val="lowerLetter"/>
      <w:start w:val="2"/>
    </w:lvl>
  </w:abstractNum>
  <w:abstractNum w:abstractNumId="551">
    <w:nsid w:val="685B8A2D"/>
    <w:multiLevelType w:val="hybridMultilevel"/>
    <w:lvl w:ilvl="0">
      <w:lvlJc w:val="left"/>
      <w:lvlText w:val="(%1)"/>
      <w:numFmt w:val="lowerLetter"/>
      <w:start w:val="3"/>
    </w:lvl>
  </w:abstractNum>
  <w:abstractNum w:abstractNumId="552">
    <w:nsid w:val="64F087E2"/>
    <w:multiLevelType w:val="hybridMultilevel"/>
    <w:lvl w:ilvl="0">
      <w:lvlJc w:val="left"/>
      <w:lvlText w:val="(%1)"/>
      <w:numFmt w:val="lowerLetter"/>
      <w:start w:val="5"/>
    </w:lvl>
  </w:abstractNum>
  <w:abstractNum w:abstractNumId="553">
    <w:nsid w:val="1575811C"/>
    <w:multiLevelType w:val="hybridMultilevel"/>
    <w:lvl w:ilvl="0">
      <w:lvlJc w:val="left"/>
      <w:lvlText w:val="(%1)"/>
      <w:numFmt w:val="lowerLetter"/>
      <w:start w:val="1"/>
    </w:lvl>
  </w:abstractNum>
  <w:abstractNum w:abstractNumId="554">
    <w:nsid w:val="52127406"/>
    <w:multiLevelType w:val="hybridMultilevel"/>
    <w:lvl w:ilvl="0">
      <w:lvlJc w:val="left"/>
      <w:lvlText w:val="(%1)"/>
      <w:numFmt w:val="lowerLetter"/>
      <w:start w:val="2"/>
    </w:lvl>
  </w:abstractNum>
  <w:abstractNum w:abstractNumId="555">
    <w:nsid w:val="5FF178A"/>
    <w:multiLevelType w:val="hybridMultilevel"/>
    <w:lvl w:ilvl="0">
      <w:lvlJc w:val="left"/>
      <w:lvlText w:val="(%1)"/>
      <w:numFmt w:val="lowerLetter"/>
      <w:start w:val="1"/>
    </w:lvl>
  </w:abstractNum>
  <w:abstractNum w:abstractNumId="556">
    <w:nsid w:val="53FB0875"/>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557">
    <w:nsid w:val="34FA7B2B"/>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558">
    <w:nsid w:val="CA75DBC"/>
    <w:multiLevelType w:val="hybridMultilevel"/>
    <w:lvl w:ilvl="0">
      <w:lvlJc w:val="left"/>
      <w:lvlText w:val="(%1)"/>
      <w:numFmt w:val="lowerLetter"/>
      <w:start w:val="1"/>
    </w:lvl>
    <w:lvl w:ilvl="1">
      <w:lvlJc w:val="left"/>
      <w:lvlText w:val="(%2)"/>
      <w:numFmt w:val="lowerLetter"/>
      <w:start w:val="9"/>
    </w:lvl>
  </w:abstractNum>
  <w:abstractNum w:abstractNumId="559">
    <w:nsid w:val="6AE2EC3C"/>
    <w:multiLevelType w:val="hybridMultilevel"/>
    <w:lvl w:ilvl="0">
      <w:lvlJc w:val="left"/>
      <w:lvlText w:val="%1"/>
      <w:numFmt w:val="lowerLetter"/>
      <w:start w:val="1"/>
    </w:lvl>
    <w:lvl w:ilvl="1">
      <w:lvlJc w:val="left"/>
      <w:lvlText w:val="(%2)"/>
      <w:numFmt w:val="lowerLetter"/>
      <w:start w:val="35"/>
    </w:lvl>
  </w:abstractNum>
  <w:abstractNum w:abstractNumId="560">
    <w:nsid w:val="3B3A67C5"/>
    <w:multiLevelType w:val="hybridMultilevel"/>
    <w:lvl w:ilvl="0">
      <w:lvlJc w:val="left"/>
      <w:lvlText w:val="(%1)"/>
      <w:numFmt w:val="lowerLetter"/>
      <w:start w:val="3"/>
    </w:lvl>
    <w:lvl w:ilvl="1">
      <w:lvlJc w:val="left"/>
      <w:lvlText w:val="(%2)"/>
      <w:numFmt w:val="lowerLetter"/>
      <w:start w:val="9"/>
    </w:lvl>
  </w:abstractNum>
  <w:abstractNum w:abstractNumId="561">
    <w:nsid w:val="78D07D0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62">
    <w:nsid w:val="3AF676B7"/>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563">
    <w:nsid w:val="6B6FD84E"/>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1"/>
    </w:lvl>
  </w:abstractNum>
  <w:abstractNum w:abstractNumId="564">
    <w:nsid w:val="497FD5B0"/>
    <w:multiLevelType w:val="hybridMultilevel"/>
    <w:lvl w:ilvl="0">
      <w:lvlJc w:val="left"/>
      <w:lvlText w:val="(%1)"/>
      <w:numFmt w:val="lowerLetter"/>
      <w:start w:val="1"/>
    </w:lvl>
  </w:abstractNum>
  <w:abstractNum w:abstractNumId="565">
    <w:nsid w:val="61A5C3E4"/>
    <w:multiLevelType w:val="hybridMultilevel"/>
    <w:lvl w:ilvl="0">
      <w:lvlJc w:val="left"/>
      <w:lvlText w:val="(%1)"/>
      <w:numFmt w:val="lowerLetter"/>
      <w:start w:val="5"/>
    </w:lvl>
  </w:abstractNum>
  <w:abstractNum w:abstractNumId="566">
    <w:nsid w:val="FADB8F8"/>
    <w:multiLevelType w:val="hybridMultilevel"/>
    <w:lvl w:ilvl="0">
      <w:lvlJc w:val="left"/>
      <w:lvlText w:val="(%1)"/>
      <w:numFmt w:val="lowerLetter"/>
      <w:start w:val="1"/>
    </w:lvl>
  </w:abstractNum>
  <w:abstractNum w:abstractNumId="567">
    <w:nsid w:val="3DEB451A"/>
    <w:multiLevelType w:val="hybridMultilevel"/>
    <w:lvl w:ilvl="0">
      <w:lvlJc w:val="left"/>
      <w:lvlText w:val="(%1)"/>
      <w:numFmt w:val="lowerLetter"/>
      <w:start w:val="6"/>
    </w:lvl>
    <w:lvl w:ilvl="1">
      <w:lvlJc w:val="left"/>
      <w:lvlText w:val="(%2)"/>
      <w:numFmt w:val="lowerRoman"/>
      <w:start w:val="1"/>
    </w:lvl>
  </w:abstractNum>
  <w:abstractNum w:abstractNumId="568">
    <w:nsid w:val="A577FD6"/>
    <w:multiLevelType w:val="hybridMultilevel"/>
    <w:lvl w:ilvl="0">
      <w:lvlJc w:val="left"/>
      <w:lvlText w:val="(%1)"/>
      <w:numFmt w:val="lowerLetter"/>
      <w:start w:val="1"/>
    </w:lvl>
  </w:abstractNum>
  <w:abstractNum w:abstractNumId="569">
    <w:nsid w:val="1E5313D"/>
    <w:multiLevelType w:val="hybridMultilevel"/>
    <w:lvl w:ilvl="0">
      <w:lvlJc w:val="left"/>
      <w:lvlText w:val="(%1)"/>
      <w:numFmt w:val="lowerLetter"/>
      <w:start w:val="4"/>
    </w:lvl>
  </w:abstractNum>
  <w:abstractNum w:abstractNumId="570">
    <w:nsid w:val="1B37F412"/>
    <w:multiLevelType w:val="hybridMultilevel"/>
    <w:lvl w:ilvl="0">
      <w:lvlJc w:val="left"/>
      <w:lvlText w:val="(%1)"/>
      <w:numFmt w:val="lowerLetter"/>
      <w:start w:val="1"/>
    </w:lvl>
  </w:abstractNum>
  <w:abstractNum w:abstractNumId="571">
    <w:nsid w:val="4C9BB1B"/>
    <w:multiLevelType w:val="hybridMultilevel"/>
    <w:lvl w:ilvl="0">
      <w:lvlJc w:val="left"/>
      <w:lvlText w:val="(%1)"/>
      <w:numFmt w:val="lowerLetter"/>
      <w:start w:val="2"/>
    </w:lvl>
  </w:abstractNum>
  <w:abstractNum w:abstractNumId="572">
    <w:nsid w:val="22766F7E"/>
    <w:multiLevelType w:val="hybridMultilevel"/>
    <w:lvl w:ilvl="0">
      <w:lvlJc w:val="left"/>
      <w:lvlText w:val="(%1)"/>
      <w:numFmt w:val="lowerLetter"/>
      <w:start w:val="4"/>
    </w:lvl>
  </w:abstractNum>
  <w:abstractNum w:abstractNumId="573">
    <w:nsid w:val="2936B69A"/>
    <w:multiLevelType w:val="hybridMultilevel"/>
    <w:lvl w:ilvl="0">
      <w:lvlJc w:val="left"/>
      <w:lvlText w:val="(%1)"/>
      <w:numFmt w:val="lowerLetter"/>
      <w:start w:val="1"/>
    </w:lvl>
  </w:abstractNum>
  <w:abstractNum w:abstractNumId="574">
    <w:nsid w:val="5E194EEC"/>
    <w:multiLevelType w:val="hybridMultilevel"/>
    <w:lvl w:ilvl="0">
      <w:lvlJc w:val="left"/>
      <w:lvlText w:val="(%1)"/>
      <w:numFmt w:val="lowerLetter"/>
      <w:start w:val="1"/>
    </w:lvl>
  </w:abstractNum>
  <w:abstractNum w:abstractNumId="575">
    <w:nsid w:val="3B69ECD"/>
    <w:multiLevelType w:val="hybridMultilevel"/>
    <w:lvl w:ilvl="0">
      <w:lvlJc w:val="left"/>
      <w:lvlText w:val="(%1)"/>
      <w:numFmt w:val="lowerLetter"/>
      <w:start w:val="6"/>
    </w:lvl>
  </w:abstractNum>
  <w:abstractNum w:abstractNumId="576">
    <w:nsid w:val="77361526"/>
    <w:multiLevelType w:val="hybridMultilevel"/>
    <w:lvl w:ilvl="0">
      <w:lvlJc w:val="left"/>
      <w:lvlText w:val="(%1)"/>
      <w:numFmt w:val="lowerLetter"/>
      <w:start w:val="11"/>
    </w:lvl>
    <w:lvl w:ilvl="1">
      <w:lvlJc w:val="left"/>
      <w:lvlText w:val="(%2)"/>
      <w:numFmt w:val="lowerRoman"/>
      <w:start w:val="1"/>
    </w:lvl>
  </w:abstractNum>
  <w:abstractNum w:abstractNumId="577">
    <w:nsid w:val="7338868F"/>
    <w:multiLevelType w:val="hybridMultilevel"/>
    <w:lvl w:ilvl="0">
      <w:lvlJc w:val="left"/>
      <w:lvlText w:val="%1"/>
      <w:numFmt w:val="lowerLetter"/>
      <w:start w:val="1"/>
    </w:lvl>
    <w:lvl w:ilvl="1">
      <w:lvlJc w:val="left"/>
      <w:lvlText w:val="(%2)"/>
      <w:numFmt w:val="lowerLetter"/>
      <w:start w:val="61"/>
    </w:lvl>
  </w:abstractNum>
  <w:abstractNum w:abstractNumId="578">
    <w:nsid w:val="5377D7E"/>
    <w:multiLevelType w:val="hybridMultilevel"/>
    <w:lvl w:ilvl="0">
      <w:lvlJc w:val="left"/>
      <w:lvlText w:val="(%1)"/>
      <w:numFmt w:val="lowerLetter"/>
      <w:start w:val="13"/>
    </w:lvl>
    <w:lvl w:ilvl="1">
      <w:lvlJc w:val="left"/>
      <w:lvlText w:val="%2"/>
      <w:numFmt w:val="lowerLetter"/>
      <w:start w:val="1"/>
    </w:lvl>
  </w:abstractNum>
  <w:abstractNum w:abstractNumId="579">
    <w:nsid w:val="41751BB2"/>
    <w:multiLevelType w:val="hybridMultilevel"/>
    <w:lvl w:ilvl="0">
      <w:lvlJc w:val="left"/>
      <w:lvlText w:val="%1"/>
      <w:numFmt w:val="decimal"/>
      <w:start w:val="1"/>
    </w:lvl>
    <w:lvl w:ilvl="1">
      <w:lvlJc w:val="left"/>
      <w:lvlText w:val="(%2)"/>
      <w:numFmt w:val="lowerLetter"/>
      <w:start w:val="1"/>
    </w:lvl>
  </w:abstractNum>
  <w:abstractNum w:abstractNumId="580">
    <w:nsid w:val="5F3D3B70"/>
    <w:multiLevelType w:val="hybridMultilevel"/>
    <w:lvl w:ilvl="0">
      <w:lvlJc w:val="left"/>
      <w:lvlText w:val="%1."/>
      <w:numFmt w:val="decimal"/>
      <w:start w:val="10"/>
    </w:lvl>
    <w:lvl w:ilvl="1">
      <w:lvlJc w:val="left"/>
      <w:lvlText w:val="%2"/>
      <w:numFmt w:val="lowerLetter"/>
      <w:start w:val="1"/>
    </w:lvl>
  </w:abstractNum>
  <w:abstractNum w:abstractNumId="581">
    <w:nsid w:val="223FA5B6"/>
    <w:multiLevelType w:val="hybridMultilevel"/>
    <w:lvl w:ilvl="0">
      <w:lvlJc w:val="left"/>
      <w:lvlText w:val="%1."/>
      <w:numFmt w:val="decimal"/>
      <w:start w:val="10"/>
    </w:lvl>
  </w:abstractNum>
  <w:abstractNum w:abstractNumId="582">
    <w:nsid w:val="29D0A5DF"/>
    <w:multiLevelType w:val="hybridMultilevel"/>
    <w:lvl w:ilvl="0">
      <w:lvlJc w:val="left"/>
      <w:lvlText w:val="(%1)"/>
      <w:numFmt w:val="lowerLetter"/>
      <w:start w:val="1"/>
    </w:lvl>
  </w:abstractNum>
  <w:abstractNum w:abstractNumId="583">
    <w:nsid w:val="442DC352"/>
    <w:multiLevelType w:val="hybridMultilevel"/>
    <w:lvl w:ilvl="0">
      <w:lvlJc w:val="left"/>
      <w:lvlText w:val="(%1)"/>
      <w:numFmt w:val="lowerLetter"/>
      <w:start w:val="5"/>
    </w:lvl>
  </w:abstractNum>
  <w:abstractNum w:abstractNumId="584">
    <w:nsid w:val="37B526D2"/>
    <w:multiLevelType w:val="hybridMultilevel"/>
    <w:lvl w:ilvl="0">
      <w:lvlJc w:val="left"/>
      <w:lvlText w:val="(%1)"/>
      <w:numFmt w:val="lowerLetter"/>
      <w:start w:val="1"/>
    </w:lvl>
  </w:abstractNum>
  <w:abstractNum w:abstractNumId="585">
    <w:nsid w:val="7BE319E5"/>
    <w:multiLevelType w:val="hybridMultilevel"/>
    <w:lvl w:ilvl="0">
      <w:lvlJc w:val="left"/>
      <w:lvlText w:val="(%1)"/>
      <w:numFmt w:val="lowerLetter"/>
      <w:start w:val="3"/>
    </w:lvl>
  </w:abstractNum>
  <w:abstractNum w:abstractNumId="586">
    <w:nsid w:val="4A2CDADC"/>
    <w:multiLevelType w:val="hybridMultilevel"/>
    <w:lvl w:ilvl="0">
      <w:lvlJc w:val="left"/>
      <w:lvlText w:val="(%1)"/>
      <w:numFmt w:val="lowerLetter"/>
      <w:start w:val="1"/>
    </w:lvl>
  </w:abstractNum>
  <w:abstractNum w:abstractNumId="587">
    <w:nsid w:val="BB02F47"/>
    <w:multiLevelType w:val="hybridMultilevel"/>
    <w:lvl w:ilvl="0">
      <w:lvlJc w:val="left"/>
      <w:lvlText w:val="(%1)"/>
      <w:numFmt w:val="lowerLetter"/>
      <w:start w:val="35"/>
    </w:lvl>
    <w:lvl w:ilvl="1">
      <w:lvlJc w:val="left"/>
      <w:lvlText w:val="(%2)"/>
      <w:numFmt w:val="lowerLetter"/>
      <w:start w:val="8"/>
    </w:lvl>
  </w:abstractNum>
  <w:abstractNum w:abstractNumId="588">
    <w:nsid w:val="30DD9510"/>
    <w:multiLevelType w:val="hybridMultilevel"/>
    <w:lvl w:ilvl="0">
      <w:lvlJc w:val="left"/>
      <w:lvlText w:val="(%1)"/>
      <w:numFmt w:val="lowerLetter"/>
      <w:start w:val="1"/>
    </w:lvl>
  </w:abstractNum>
  <w:abstractNum w:abstractNumId="589">
    <w:nsid w:val="56D43898"/>
    <w:multiLevelType w:val="hybridMultilevel"/>
    <w:lvl w:ilvl="0">
      <w:lvlJc w:val="left"/>
      <w:lvlText w:val="[***]"/>
      <w:numFmt w:val="bullet"/>
      <w:start w:val="1"/>
    </w:lvl>
    <w:lvl w:ilvl="1">
      <w:lvlJc w:val="left"/>
      <w:lvlText w:val="(%2)"/>
      <w:numFmt w:val="lowerLetter"/>
      <w:start w:val="2"/>
    </w:lvl>
  </w:abstractNum>
  <w:abstractNum w:abstractNumId="590">
    <w:nsid w:val="76931B84"/>
    <w:multiLevelType w:val="hybridMultilevel"/>
    <w:lvl w:ilvl="0">
      <w:lvlJc w:val="left"/>
      <w:lvlText w:val="[***]"/>
      <w:numFmt w:val="bullet"/>
      <w:start w:val="1"/>
    </w:lvl>
    <w:lvl w:ilvl="1">
      <w:lvlJc w:val="left"/>
      <w:lvlText w:val="(%2)"/>
      <w:numFmt w:val="lowerLetter"/>
      <w:start w:val="5"/>
    </w:lvl>
  </w:abstractNum>
  <w:abstractNum w:abstractNumId="591">
    <w:nsid w:val="6C17FCD6"/>
    <w:multiLevelType w:val="hybridMultilevel"/>
    <w:lvl w:ilvl="0">
      <w:lvlJc w:val="left"/>
      <w:lvlText w:val="(%1)"/>
      <w:numFmt w:val="lowerLetter"/>
      <w:start w:val="8"/>
    </w:lvl>
  </w:abstractNum>
  <w:abstractNum w:abstractNumId="592">
    <w:nsid w:val="4FA4B5A1"/>
    <w:multiLevelType w:val="hybridMultilevel"/>
    <w:lvl w:ilvl="0">
      <w:lvlJc w:val="left"/>
      <w:lvlText w:val="(%1)"/>
      <w:numFmt w:val="lowerLetter"/>
      <w:start w:val="1"/>
    </w:lvl>
    <w:lvl w:ilvl="1">
      <w:lvlJc w:val="left"/>
      <w:lvlText w:val="(%2)"/>
      <w:numFmt w:val="lowerLetter"/>
      <w:start w:val="9"/>
    </w:lvl>
  </w:abstractNum>
  <w:abstractNum w:abstractNumId="593">
    <w:nsid w:val="318992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94">
    <w:nsid w:val="5787D52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595">
    <w:nsid w:val="19248B5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596">
    <w:nsid w:val="132F561F"/>
    <w:multiLevelType w:val="hybridMultilevel"/>
    <w:lvl w:ilvl="0">
      <w:lvlJc w:val="left"/>
      <w:lvlText w:val="%1"/>
      <w:numFmt w:val="lowerLetter"/>
      <w:start w:val="1"/>
    </w:lvl>
    <w:lvl w:ilvl="1">
      <w:lvlJc w:val="left"/>
      <w:lvlText w:val="(%2)"/>
      <w:numFmt w:val="lowerLetter"/>
      <w:start w:val="4"/>
    </w:lvl>
  </w:abstractNum>
  <w:abstractNum w:abstractNumId="597">
    <w:nsid w:val="67358E1D"/>
    <w:multiLevelType w:val="hybridMultilevel"/>
    <w:lvl w:ilvl="0">
      <w:lvlJc w:val="left"/>
      <w:lvlText w:val="(%1)"/>
      <w:numFmt w:val="lowerLetter"/>
      <w:start w:val="35"/>
    </w:lvl>
    <w:lvl w:ilvl="1">
      <w:lvlJc w:val="left"/>
      <w:lvlText w:val="%2"/>
      <w:numFmt w:val="lowerLetter"/>
      <w:start w:val="1"/>
    </w:lvl>
  </w:abstractNum>
  <w:abstractNum w:abstractNumId="598">
    <w:nsid w:val="570FD06B"/>
    <w:multiLevelType w:val="hybridMultilevel"/>
    <w:lvl w:ilvl="0">
      <w:lvlJc w:val="left"/>
      <w:lvlText w:val="%1."/>
      <w:numFmt w:val="decimal"/>
      <w:start w:val="15"/>
    </w:lvl>
  </w:abstractNum>
  <w:abstractNum w:abstractNumId="599">
    <w:nsid w:val="1D86D5F5"/>
    <w:multiLevelType w:val="hybridMultilevel"/>
    <w:lvl w:ilvl="0">
      <w:lvlJc w:val="left"/>
      <w:lvlText w:val="%1"/>
      <w:numFmt w:val="lowerLetter"/>
      <w:start w:val="1"/>
    </w:lvl>
    <w:lvl w:ilvl="1">
      <w:lvlJc w:val="left"/>
      <w:lvlText w:val="%2."/>
      <w:numFmt w:val="decimal"/>
      <w:start w:val="15"/>
    </w:lvl>
  </w:abstractNum>
  <w:abstractNum w:abstractNumId="600">
    <w:nsid w:val="691ABF5A"/>
    <w:multiLevelType w:val="hybridMultilevel"/>
    <w:lvl w:ilvl="0">
      <w:lvlJc w:val="left"/>
      <w:lvlText w:val="(%1)"/>
      <w:numFmt w:val="lowerLetter"/>
      <w:start w:val="11"/>
    </w:lvl>
    <w:lvl w:ilvl="1">
      <w:lvlJc w:val="left"/>
      <w:lvlText w:val="%2"/>
      <w:numFmt w:val="decimal"/>
      <w:start w:val="1"/>
    </w:lvl>
  </w:abstractNum>
  <w:abstractNum w:abstractNumId="601">
    <w:nsid w:val="7247C47D"/>
    <w:multiLevelType w:val="hybridMultilevel"/>
    <w:lvl w:ilvl="0">
      <w:lvlJc w:val="left"/>
      <w:lvlText w:val="(%1)"/>
      <w:numFmt w:val="lowerLetter"/>
      <w:start w:val="1"/>
    </w:lvl>
  </w:abstractNum>
  <w:abstractNum w:abstractNumId="602">
    <w:nsid w:val="22509110"/>
    <w:multiLevelType w:val="hybridMultilevel"/>
    <w:lvl w:ilvl="0">
      <w:lvlJc w:val="left"/>
      <w:lvlText w:val="%1"/>
      <w:numFmt w:val="lowerLetter"/>
      <w:start w:val="1"/>
    </w:lvl>
    <w:lvl w:ilvl="1">
      <w:lvlJc w:val="left"/>
      <w:lvlText w:val="(%2)"/>
      <w:numFmt w:val="lowerLetter"/>
      <w:start w:val="2"/>
    </w:lvl>
  </w:abstractNum>
  <w:abstractNum w:abstractNumId="603">
    <w:nsid w:val="B912ED8"/>
    <w:multiLevelType w:val="hybridMultilevel"/>
    <w:lvl w:ilvl="0">
      <w:lvlJc w:val="left"/>
      <w:lvlText w:val="(%1)"/>
      <w:numFmt w:val="lowerLetter"/>
      <w:start w:val="61"/>
    </w:lvl>
    <w:lvl w:ilvl="1">
      <w:lvlJc w:val="left"/>
      <w:lvlText w:val="(%2)"/>
      <w:numFmt w:val="lowerLetter"/>
      <w:start w:val="4"/>
    </w:lvl>
  </w:abstractNum>
  <w:abstractNum w:abstractNumId="604">
    <w:nsid w:val="1B7E7B17"/>
    <w:multiLevelType w:val="hybridMultilevel"/>
    <w:lvl w:ilvl="0">
      <w:lvlJc w:val="left"/>
      <w:lvlText w:val="(%1)"/>
      <w:numFmt w:val="lowerLetter"/>
      <w:start w:val="1"/>
    </w:lvl>
  </w:abstractNum>
  <w:abstractNum w:abstractNumId="605">
    <w:nsid w:val="69DFFC"/>
    <w:multiLevelType w:val="hybridMultilevel"/>
    <w:lvl w:ilvl="0">
      <w:lvlJc w:val="left"/>
      <w:lvlText w:val="(%1)"/>
      <w:numFmt w:val="lowerRoman"/>
      <w:start w:val="1"/>
    </w:lvl>
  </w:abstractNum>
  <w:abstractNum w:abstractNumId="606">
    <w:nsid w:val="F47CDA5"/>
    <w:multiLevelType w:val="hybridMultilevel"/>
    <w:lvl w:ilvl="0">
      <w:lvlJc w:val="left"/>
      <w:lvlText w:val="[***]"/>
      <w:numFmt w:val="bullet"/>
      <w:start w:val="1"/>
    </w:lvl>
  </w:abstractNum>
  <w:abstractNum w:abstractNumId="607">
    <w:nsid w:val="12B4903D"/>
    <w:multiLevelType w:val="hybridMultilevel"/>
    <w:lvl w:ilvl="0">
      <w:lvlJc w:val="left"/>
      <w:lvlText w:val="%1."/>
      <w:numFmt w:val="decimal"/>
      <w:start w:val="1"/>
    </w:lvl>
  </w:abstractNum>
  <w:abstractNum w:abstractNumId="608">
    <w:nsid w:val="73A2668C"/>
    <w:multiLevelType w:val="hybridMultilevel"/>
    <w:lvl w:ilvl="0">
      <w:lvlJc w:val="left"/>
      <w:lvlText w:val="a"/>
      <w:numFmt w:val="bullet"/>
      <w:start w:val="1"/>
    </w:lvl>
  </w:abstractNum>
  <w:abstractNum w:abstractNumId="609">
    <w:nsid w:val="147F4B24"/>
    <w:multiLevelType w:val="hybridMultilevel"/>
    <w:lvl w:ilvl="0">
      <w:lvlJc w:val="left"/>
      <w:lvlText w:val="%1."/>
      <w:numFmt w:val="decimal"/>
      <w:start w:val="3"/>
    </w:lvl>
  </w:abstractNum>
  <w:abstractNum w:abstractNumId="610">
    <w:nsid w:val="5429ABEF"/>
    <w:multiLevelType w:val="hybridMultilevel"/>
    <w:lvl w:ilvl="0">
      <w:lvlJc w:val="left"/>
      <w:lvlText w:val="[***]"/>
      <w:numFmt w:val="bullet"/>
      <w:start w:val="1"/>
    </w:lvl>
  </w:abstractNum>
  <w:abstractNum w:abstractNumId="611">
    <w:nsid w:val="52DFA1FC"/>
    <w:multiLevelType w:val="hybridMultilevel"/>
    <w:lvl w:ilvl="0">
      <w:lvlJc w:val="left"/>
      <w:lvlText w:val="(%1)"/>
      <w:numFmt w:val="lowerLetter"/>
      <w:start w:val="1"/>
    </w:lvl>
  </w:abstractNum>
  <w:abstractNum w:abstractNumId="612">
    <w:nsid w:val="36BEF0DA"/>
    <w:multiLevelType w:val="hybridMultilevel"/>
    <w:lvl w:ilvl="0">
      <w:lvlJc w:val="left"/>
      <w:lvlText w:val="(%1)"/>
      <w:numFmt w:val="lowerLetter"/>
      <w:start w:val="1"/>
    </w:lvl>
  </w:abstractNum>
  <w:abstractNum w:abstractNumId="613">
    <w:nsid w:val="7DFA51CE"/>
    <w:multiLevelType w:val="hybridMultilevel"/>
    <w:lvl w:ilvl="0">
      <w:lvlJc w:val="left"/>
      <w:lvlText w:val="(%1)"/>
      <w:numFmt w:val="lowerRoman"/>
      <w:start w:val="1"/>
    </w:lvl>
  </w:abstractNum>
  <w:abstractNum w:abstractNumId="614">
    <w:nsid w:val="170D654E"/>
    <w:multiLevelType w:val="hybridMultilevel"/>
    <w:lvl w:ilvl="0">
      <w:lvlJc w:val="left"/>
      <w:lvlText w:val="(%1)"/>
      <w:numFmt w:val="lowerLetter"/>
      <w:start w:val="1"/>
    </w:lvl>
  </w:abstractNum>
  <w:abstractNum w:abstractNumId="615">
    <w:nsid w:val="6E7417AC"/>
    <w:multiLevelType w:val="hybridMultilevel"/>
    <w:lvl w:ilvl="0">
      <w:lvlJc w:val="left"/>
      <w:lvlText w:val="(%1)"/>
      <w:numFmt w:val="lowerLetter"/>
      <w:start w:val="3"/>
    </w:lvl>
  </w:abstractNum>
  <w:abstractNum w:abstractNumId="616">
    <w:nsid w:val="79DD6BB3"/>
    <w:multiLevelType w:val="hybridMultilevel"/>
    <w:lvl w:ilvl="0">
      <w:lvlJc w:val="left"/>
      <w:lvlText w:val="(%1)"/>
      <w:numFmt w:val="lowerLetter"/>
      <w:start w:val="1"/>
    </w:lvl>
  </w:abstractNum>
  <w:abstractNum w:abstractNumId="617">
    <w:nsid w:val="613A402A"/>
    <w:multiLevelType w:val="hybridMultilevel"/>
    <w:lvl w:ilvl="0">
      <w:lvlJc w:val="left"/>
      <w:lvlText w:val="(%1)"/>
      <w:numFmt w:val="lowerLetter"/>
      <w:start w:val="1"/>
    </w:lvl>
  </w:abstractNum>
  <w:abstractNum w:abstractNumId="618">
    <w:nsid w:val="7A2446F3"/>
    <w:multiLevelType w:val="hybridMultilevel"/>
    <w:lvl w:ilvl="0">
      <w:lvlJc w:val="left"/>
      <w:lvlText w:val="(%1)"/>
      <w:numFmt w:val="lowerRoman"/>
      <w:start w:val="1"/>
    </w:lvl>
  </w:abstractNum>
  <w:abstractNum w:abstractNumId="619">
    <w:nsid w:val="2ABB00C4"/>
    <w:multiLevelType w:val="hybridMultilevel"/>
    <w:lvl w:ilvl="0">
      <w:lvlJc w:val="left"/>
      <w:lvlText w:val="(%1)"/>
      <w:numFmt w:val="lowerLetter"/>
      <w:start w:val="61"/>
    </w:lvl>
    <w:lvl w:ilvl="1">
      <w:lvlJc w:val="left"/>
      <w:lvlText w:val="(%2)"/>
      <w:numFmt w:val="lowerLetter"/>
      <w:start w:val="1"/>
    </w:lvl>
    <w:lvl w:ilvl="2">
      <w:lvlJc w:val="left"/>
      <w:lvlText w:val="(%3)"/>
      <w:numFmt w:val="upperLetter"/>
      <w:start w:val="1"/>
    </w:lvl>
  </w:abstractNum>
  <w:abstractNum w:abstractNumId="620">
    <w:nsid w:val="380E78C3"/>
    <w:multiLevelType w:val="hybridMultilevel"/>
    <w:lvl w:ilvl="0">
      <w:lvlJc w:val="left"/>
      <w:lvlText w:val="(%1)"/>
      <w:numFmt w:val="lowerLetter"/>
      <w:start w:val="3"/>
    </w:lvl>
  </w:abstractNum>
  <w:abstractNum w:abstractNumId="621">
    <w:nsid w:val="70B76277"/>
    <w:multiLevelType w:val="hybridMultilevel"/>
    <w:lvl w:ilvl="0">
      <w:lvlJc w:val="left"/>
      <w:lvlText w:val="[***]"/>
      <w:numFmt w:val="bullet"/>
      <w:start w:val="1"/>
    </w:lvl>
  </w:abstractNum>
  <w:abstractNum w:abstractNumId="622">
    <w:nsid w:val="16D2FD9A"/>
    <w:multiLevelType w:val="hybridMultilevel"/>
    <w:lvl w:ilvl="0">
      <w:lvlJc w:val="left"/>
      <w:lvlText w:val="(%1)"/>
      <w:numFmt w:val="lowerLetter"/>
      <w:start w:val="1"/>
    </w:lvl>
  </w:abstractNum>
  <w:abstractNum w:abstractNumId="623">
    <w:nsid w:val="7B32E64"/>
    <w:multiLevelType w:val="hybridMultilevel"/>
    <w:lvl w:ilvl="0">
      <w:lvlJc w:val="left"/>
      <w:lvlText w:val="(%1)"/>
      <w:numFmt w:val="lowerLetter"/>
      <w:start w:val="2"/>
    </w:lvl>
  </w:abstractNum>
  <w:abstractNum w:abstractNumId="624">
    <w:nsid w:val="2240F4B2"/>
    <w:multiLevelType w:val="hybridMultilevel"/>
    <w:lvl w:ilvl="0">
      <w:lvlJc w:val="left"/>
      <w:lvlText w:val="(%1)"/>
      <w:numFmt w:val="lowerLetter"/>
      <w:start w:val="1"/>
    </w:lvl>
  </w:abstractNum>
  <w:abstractNum w:abstractNumId="625">
    <w:nsid w:val="6E5AD2BE"/>
    <w:multiLevelType w:val="hybridMultilevel"/>
    <w:lvl w:ilvl="0">
      <w:lvlJc w:val="left"/>
      <w:lvlText w:val="(%1)"/>
      <w:numFmt w:val="lowerLetter"/>
      <w:start w:val="2"/>
    </w:lvl>
  </w:abstractNum>
  <w:abstractNum w:abstractNumId="626">
    <w:nsid w:val="20D7B9B5"/>
    <w:multiLevelType w:val="hybridMultilevel"/>
    <w:lvl w:ilvl="0">
      <w:lvlJc w:val="left"/>
      <w:lvlText w:val="(%1)"/>
      <w:numFmt w:val="lowerLetter"/>
      <w:start w:val="1"/>
    </w:lvl>
  </w:abstractNum>
  <w:abstractNum w:abstractNumId="627">
    <w:nsid w:val="35704AD1"/>
    <w:multiLevelType w:val="hybridMultilevel"/>
    <w:lvl w:ilvl="0">
      <w:lvlJc w:val="left"/>
      <w:lvlText w:val="(%1)"/>
      <w:numFmt w:val="lowerLetter"/>
      <w:start w:val="3"/>
    </w:lvl>
  </w:abstractNum>
  <w:abstractNum w:abstractNumId="628">
    <w:nsid w:val="559060DB"/>
    <w:multiLevelType w:val="hybridMultilevel"/>
    <w:lvl w:ilvl="0">
      <w:lvlJc w:val="left"/>
      <w:lvlText w:val="(%1)"/>
      <w:numFmt w:val="lowerLetter"/>
      <w:start w:val="1"/>
    </w:lvl>
  </w:abstractNum>
  <w:abstractNum w:abstractNumId="629">
    <w:nsid w:val="77E78A20"/>
    <w:multiLevelType w:val="hybridMultilevel"/>
    <w:lvl w:ilvl="0">
      <w:lvlJc w:val="left"/>
      <w:lvlText w:val="(%1)"/>
      <w:numFmt w:val="lowerLetter"/>
      <w:start w:val="3"/>
    </w:lvl>
  </w:abstractNum>
  <w:abstractNum w:abstractNumId="630">
    <w:nsid w:val="52F720C6"/>
    <w:multiLevelType w:val="hybridMultilevel"/>
    <w:lvl w:ilvl="0">
      <w:lvlJc w:val="left"/>
      <w:lvlText w:val="[***]"/>
      <w:numFmt w:val="bullet"/>
      <w:start w:val="1"/>
    </w:lvl>
  </w:abstractNum>
  <w:abstractNum w:abstractNumId="631">
    <w:nsid w:val="3EAB2035"/>
    <w:multiLevelType w:val="hybridMultilevel"/>
    <w:lvl w:ilvl="0">
      <w:lvlJc w:val="left"/>
      <w:lvlText w:val="(%1)"/>
      <w:numFmt w:val="lowerLetter"/>
      <w:start w:val="1"/>
    </w:lvl>
  </w:abstractNum>
  <w:abstractNum w:abstractNumId="632">
    <w:nsid w:val="6A2F4E9D"/>
    <w:multiLevelType w:val="hybridMultilevel"/>
    <w:lvl w:ilvl="0">
      <w:lvlJc w:val="left"/>
      <w:lvlText w:val="(%1)"/>
      <w:numFmt w:val="lowerLetter"/>
      <w:start w:val="1"/>
    </w:lvl>
  </w:abstractNum>
  <w:abstractNum w:abstractNumId="633">
    <w:nsid w:val="7547B1D6"/>
    <w:multiLevelType w:val="hybridMultilevel"/>
    <w:lvl w:ilvl="0">
      <w:lvlJc w:val="left"/>
      <w:lvlText w:val="(%1)"/>
      <w:numFmt w:val="lowerLetter"/>
      <w:start w:val="8"/>
    </w:lvl>
  </w:abstractNum>
  <w:abstractNum w:abstractNumId="634">
    <w:nsid w:val="4A3C4F0E"/>
    <w:multiLevelType w:val="hybridMultilevel"/>
    <w:lvl w:ilvl="0">
      <w:lvlJc w:val="left"/>
      <w:lvlText w:val="%1"/>
      <w:numFmt w:val="lowerRoman"/>
      <w:start w:val="1"/>
    </w:lvl>
    <w:lvl w:ilvl="1">
      <w:lvlJc w:val="left"/>
      <w:lvlText w:val="(%2)"/>
      <w:numFmt w:val="lowerLetter"/>
      <w:start w:val="1"/>
    </w:lvl>
  </w:abstractNum>
  <w:abstractNum w:abstractNumId="635">
    <w:nsid w:val="5ADC9B4"/>
    <w:multiLevelType w:val="hybridMultilevel"/>
    <w:lvl w:ilvl="0">
      <w:lvlJc w:val="left"/>
      <w:lvlText w:val="(%1)"/>
      <w:numFmt w:val="lowerRoman"/>
      <w:start w:val="1"/>
    </w:lvl>
    <w:lvl w:ilvl="1">
      <w:lvlJc w:val="left"/>
      <w:lvlText w:val="%2"/>
      <w:numFmt w:val="lowerLetter"/>
      <w:start w:val="1"/>
    </w:lvl>
  </w:abstractNum>
  <w:abstractNum w:abstractNumId="636">
    <w:nsid w:val="75B191D3"/>
    <w:multiLevelType w:val="hybridMultilevel"/>
    <w:lvl w:ilvl="0">
      <w:lvlJc w:val="left"/>
      <w:lvlText w:val="(%1)"/>
      <w:numFmt w:val="lowerLetter"/>
      <w:start w:val="61"/>
    </w:lvl>
    <w:lvl w:ilvl="1">
      <w:lvlJc w:val="left"/>
      <w:lvlText w:val="(%2)"/>
      <w:numFmt w:val="lowerLetter"/>
      <w:start w:val="2"/>
    </w:lvl>
  </w:abstractNum>
  <w:abstractNum w:abstractNumId="637">
    <w:nsid w:val="59841CB3"/>
    <w:multiLevelType w:val="hybridMultilevel"/>
    <w:lvl w:ilvl="0">
      <w:lvlJc w:val="left"/>
      <w:lvlText w:val="(%1)"/>
      <w:numFmt w:val="lowerLetter"/>
      <w:start w:val="1"/>
    </w:lvl>
  </w:abstractNum>
  <w:abstractNum w:abstractNumId="638">
    <w:nsid w:val="186259F2"/>
    <w:multiLevelType w:val="hybridMultilevel"/>
    <w:lvl w:ilvl="0">
      <w:lvlJc w:val="left"/>
      <w:lvlText w:val="(%1)"/>
      <w:numFmt w:val="lowerLetter"/>
      <w:start w:val="4"/>
    </w:lvl>
  </w:abstractNum>
  <w:abstractNum w:abstractNumId="639">
    <w:nsid w:val="6953F85F"/>
    <w:multiLevelType w:val="hybridMultilevel"/>
    <w:lvl w:ilvl="0">
      <w:lvlJc w:val="left"/>
      <w:lvlText w:val="(%1)"/>
      <w:numFmt w:val="lowerLetter"/>
      <w:start w:val="1"/>
    </w:lvl>
  </w:abstractNum>
  <w:abstractNum w:abstractNumId="640">
    <w:nsid w:val="6E0367D7"/>
    <w:multiLevelType w:val="hybridMultilevel"/>
    <w:lvl w:ilvl="0">
      <w:lvlJc w:val="left"/>
      <w:lvlText w:val="(%1)"/>
      <w:numFmt w:val="lowerLetter"/>
      <w:start w:val="3"/>
    </w:lvl>
  </w:abstractNum>
  <w:abstractNum w:abstractNumId="641">
    <w:nsid w:val="6C8C05E1"/>
    <w:multiLevelType w:val="hybridMultilevel"/>
    <w:lvl w:ilvl="0">
      <w:lvlJc w:val="left"/>
      <w:lvlText w:val="(%1)"/>
      <w:numFmt w:val="lowerLetter"/>
      <w:start w:val="1"/>
    </w:lvl>
  </w:abstractNum>
  <w:abstractNum w:abstractNumId="642">
    <w:nsid w:val="3C339A5B"/>
    <w:multiLevelType w:val="hybridMultilevel"/>
    <w:lvl w:ilvl="0">
      <w:lvlJc w:val="left"/>
      <w:lvlText w:val="(%1)"/>
      <w:numFmt w:val="lowerLetter"/>
      <w:start w:val="3"/>
    </w:lvl>
  </w:abstractNum>
  <w:abstractNum w:abstractNumId="643">
    <w:nsid w:val="24C258B1"/>
    <w:multiLevelType w:val="hybridMultilevel"/>
    <w:lvl w:ilvl="0">
      <w:lvlJc w:val="left"/>
      <w:lvlText w:val="(%1)"/>
      <w:numFmt w:val="lowerLetter"/>
      <w:start w:val="10"/>
    </w:lvl>
  </w:abstractNum>
  <w:abstractNum w:abstractNumId="644">
    <w:nsid w:val="6A8657B0"/>
    <w:multiLevelType w:val="hybridMultilevel"/>
    <w:lvl w:ilvl="0">
      <w:lvlJc w:val="left"/>
      <w:lvlText w:val="(%1)"/>
      <w:numFmt w:val="lowerLetter"/>
      <w:start w:val="1"/>
    </w:lvl>
  </w:abstractNum>
  <w:abstractNum w:abstractNumId="645">
    <w:nsid w:val="5340FFA9"/>
    <w:multiLevelType w:val="hybridMultilevel"/>
    <w:lvl w:ilvl="0">
      <w:lvlJc w:val="left"/>
      <w:lvlText w:val="(%1)"/>
      <w:numFmt w:val="lowerLetter"/>
      <w:start w:val="1"/>
    </w:lvl>
  </w:abstractNum>
  <w:abstractNum w:abstractNumId="646">
    <w:nsid w:val="1336705D"/>
    <w:multiLevelType w:val="hybridMultilevel"/>
    <w:lvl w:ilvl="0">
      <w:lvlJc w:val="left"/>
      <w:lvlText w:val="(%1)"/>
      <w:numFmt w:val="lowerLetter"/>
      <w:start w:val="1"/>
    </w:lvl>
  </w:abstractNum>
  <w:abstractNum w:abstractNumId="647">
    <w:nsid w:val="6463C363"/>
    <w:multiLevelType w:val="hybridMultilevel"/>
    <w:lvl w:ilvl="0">
      <w:lvlJc w:val="left"/>
      <w:lvlText w:val="(%1)"/>
      <w:numFmt w:val="lowerLetter"/>
      <w:start w:val="1"/>
    </w:lvl>
  </w:abstractNum>
  <w:abstractNum w:abstractNumId="648">
    <w:nsid w:val="347B3FD3"/>
    <w:multiLevelType w:val="hybridMultilevel"/>
    <w:lvl w:ilvl="0">
      <w:lvlJc w:val="left"/>
      <w:lvlText w:val="(%1)"/>
      <w:numFmt w:val="lowerLetter"/>
      <w:start w:val="2"/>
    </w:lvl>
  </w:abstractNum>
  <w:abstractNum w:abstractNumId="649">
    <w:nsid w:val="D5AB751"/>
    <w:multiLevelType w:val="hybridMultilevel"/>
    <w:lvl w:ilvl="0">
      <w:lvlJc w:val="left"/>
      <w:lvlText w:val="%1"/>
      <w:numFmt w:val="lowerLetter"/>
      <w:start w:val="1"/>
    </w:lvl>
    <w:lvl w:ilvl="1">
      <w:lvlJc w:val="left"/>
      <w:lvlText w:val="(%2)"/>
      <w:numFmt w:val="lowerLetter"/>
      <w:start w:val="1"/>
    </w:lvl>
  </w:abstractNum>
  <w:abstractNum w:abstractNumId="650">
    <w:nsid w:val="F1EC427"/>
    <w:multiLevelType w:val="hybridMultilevel"/>
    <w:lvl w:ilvl="0">
      <w:lvlJc w:val="left"/>
      <w:lvlText w:val="(%1)"/>
      <w:numFmt w:val="lowerLetter"/>
      <w:start w:val="3"/>
    </w:lvl>
    <w:lvl w:ilvl="1">
      <w:lvlJc w:val="left"/>
      <w:lvlText w:val="%2"/>
      <w:numFmt w:val="lowerLetter"/>
      <w:start w:val="1"/>
    </w:lvl>
  </w:abstractNum>
  <w:abstractNum w:abstractNumId="651">
    <w:nsid w:val="6C89B896"/>
    <w:multiLevelType w:val="hybridMultilevel"/>
    <w:lvl w:ilvl="0">
      <w:lvlJc w:val="left"/>
      <w:lvlText w:val="%1"/>
      <w:numFmt w:val="lowerRoman"/>
      <w:start w:val="1"/>
    </w:lvl>
    <w:lvl w:ilvl="1">
      <w:lvlJc w:val="left"/>
      <w:lvlText w:val="(%2)"/>
      <w:numFmt w:val="lowerLetter"/>
      <w:start w:val="1"/>
    </w:lvl>
  </w:abstractNum>
  <w:abstractNum w:abstractNumId="652">
    <w:nsid w:val="7E1219C8"/>
    <w:multiLevelType w:val="hybridMultilevel"/>
    <w:lvl w:ilvl="0">
      <w:lvlJc w:val="left"/>
      <w:lvlText w:val="(%1)"/>
      <w:numFmt w:val="lowerRoman"/>
      <w:start w:val="1"/>
    </w:lvl>
    <w:lvl w:ilvl="1">
      <w:lvlJc w:val="left"/>
      <w:lvlText w:val="%2"/>
      <w:numFmt w:val="lowerLetter"/>
      <w:start w:val="1"/>
    </w:lvl>
  </w:abstractNum>
  <w:abstractNum w:abstractNumId="653">
    <w:nsid w:val="25F1C1C1"/>
    <w:multiLevelType w:val="hybridMultilevel"/>
    <w:lvl w:ilvl="0">
      <w:lvlJc w:val="left"/>
      <w:lvlText w:val="%1"/>
      <w:numFmt w:val="upperLetter"/>
      <w:start w:val="1"/>
    </w:lvl>
    <w:lvl w:ilvl="1">
      <w:lvlJc w:val="left"/>
      <w:lvlText w:val="(%2)"/>
      <w:numFmt w:val="lowerRoman"/>
      <w:start w:val="4"/>
    </w:lvl>
  </w:abstractNum>
  <w:abstractNum w:abstractNumId="654">
    <w:nsid w:val="743CE6FA"/>
    <w:multiLevelType w:val="hybridMultilevel"/>
    <w:lvl w:ilvl="0">
      <w:lvlJc w:val="left"/>
      <w:lvlText w:val="(%1)"/>
      <w:numFmt w:val="upperLetter"/>
      <w:start w:val="1"/>
    </w:lvl>
    <w:lvl w:ilvl="1">
      <w:lvlJc w:val="left"/>
      <w:lvlText w:val="%2"/>
      <w:numFmt w:val="lowerRoman"/>
      <w:start w:val="1"/>
    </w:lvl>
  </w:abstractNum>
  <w:abstractNum w:abstractNumId="655">
    <w:nsid w:val="20530E7B"/>
    <w:multiLevelType w:val="hybridMultilevel"/>
    <w:lvl w:ilvl="0">
      <w:lvlJc w:val="left"/>
      <w:lvlText w:val="(%1)"/>
      <w:numFmt w:val="lowerLetter"/>
      <w:start w:val="1"/>
    </w:lvl>
  </w:abstractNum>
  <w:abstractNum w:abstractNumId="656">
    <w:nsid w:val="144C9480"/>
    <w:multiLevelType w:val="hybridMultilevel"/>
    <w:lvl w:ilvl="0">
      <w:lvlJc w:val="left"/>
      <w:lvlText w:val="(%1)"/>
      <w:numFmt w:val="lowerLetter"/>
      <w:start w:val="3"/>
    </w:lvl>
  </w:abstractNum>
  <w:abstractNum w:abstractNumId="657">
    <w:nsid w:val="1514A0AF"/>
    <w:multiLevelType w:val="hybridMultilevel"/>
    <w:lvl w:ilvl="0">
      <w:lvlJc w:val="left"/>
      <w:lvlText w:val="%1."/>
      <w:numFmt w:val="decimal"/>
      <w:start w:val="1"/>
    </w:lvl>
  </w:abstractNum>
  <w:abstractNum w:abstractNumId="658">
    <w:nsid w:val="55C3594C"/>
    <w:multiLevelType w:val="hybridMultilevel"/>
    <w:lvl w:ilvl="0">
      <w:lvlJc w:val="left"/>
      <w:lvlText w:val="%1."/>
      <w:numFmt w:val="decimal"/>
      <w:start w:val="6"/>
    </w:lvl>
  </w:abstractNum>
  <w:abstractNum w:abstractNumId="659">
    <w:nsid w:val="69DCF55B"/>
    <w:multiLevelType w:val="hybridMultilevel"/>
    <w:lvl w:ilvl="0">
      <w:lvlJc w:val="left"/>
      <w:lvlText w:val="[***]"/>
      <w:numFmt w:val="bullet"/>
      <w:start w:val="1"/>
    </w:lvl>
  </w:abstractNum>
  <w:abstractNum w:abstractNumId="660">
    <w:nsid w:val="CFC2ACF"/>
    <w:multiLevelType w:val="hybridMultilevel"/>
    <w:lvl w:ilvl="0">
      <w:lvlJc w:val="left"/>
      <w:lvlText w:val="(%1)"/>
      <w:numFmt w:val="lowerLetter"/>
      <w:start w:val="1"/>
    </w:lvl>
  </w:abstractNum>
  <w:abstractNum w:abstractNumId="661">
    <w:nsid w:val="28BA7A13"/>
    <w:multiLevelType w:val="hybridMultilevel"/>
    <w:lvl w:ilvl="0">
      <w:lvlJc w:val="left"/>
      <w:lvlText w:val="(%1)"/>
      <w:numFmt w:val="lowerLetter"/>
      <w:start w:val="1"/>
    </w:lvl>
  </w:abstractNum>
  <w:abstractNum w:abstractNumId="662">
    <w:nsid w:val="28881591"/>
    <w:multiLevelType w:val="hybridMultilevel"/>
    <w:lvl w:ilvl="0">
      <w:lvlJc w:val="left"/>
      <w:lvlText w:val="(%1)"/>
      <w:numFmt w:val="lowerLetter"/>
      <w:start w:val="1"/>
    </w:lvl>
  </w:abstractNum>
  <w:abstractNum w:abstractNumId="663">
    <w:nsid w:val="772B796C"/>
    <w:multiLevelType w:val="hybridMultilevel"/>
    <w:lvl w:ilvl="0">
      <w:lvlJc w:val="left"/>
      <w:lvlText w:val="(%1)"/>
      <w:numFmt w:val="lowerLetter"/>
      <w:start w:val="3"/>
    </w:lvl>
  </w:abstractNum>
  <w:abstractNum w:abstractNumId="664">
    <w:nsid w:val="1E022BE9"/>
    <w:multiLevelType w:val="hybridMultilevel"/>
    <w:lvl w:ilvl="0">
      <w:lvlJc w:val="left"/>
      <w:lvlText w:val="(%1)"/>
      <w:numFmt w:val="lowerLetter"/>
      <w:start w:val="1"/>
    </w:lvl>
  </w:abstractNum>
  <w:abstractNum w:abstractNumId="665">
    <w:nsid w:val="72C4649F"/>
    <w:multiLevelType w:val="hybridMultilevel"/>
    <w:lvl w:ilvl="0">
      <w:lvlJc w:val="left"/>
      <w:lvlText w:val="(%1)"/>
      <w:numFmt w:val="lowerLetter"/>
      <w:start w:val="1"/>
    </w:lvl>
  </w:abstractNum>
  <w:abstractNum w:abstractNumId="666">
    <w:nsid w:val="7CD94321"/>
    <w:multiLevelType w:val="hybridMultilevel"/>
    <w:lvl w:ilvl="0">
      <w:lvlJc w:val="left"/>
      <w:lvlText w:val="[***]"/>
      <w:numFmt w:val="bullet"/>
      <w:start w:val="1"/>
    </w:lvl>
    <w:lvl w:ilvl="1">
      <w:lvlJc w:val="left"/>
      <w:lvlText w:val="(%2)"/>
      <w:numFmt w:val="lowerLetter"/>
      <w:start w:val="1"/>
    </w:lvl>
  </w:abstractNum>
  <w:abstractNum w:abstractNumId="667">
    <w:nsid w:val="13B3BDBC"/>
    <w:multiLevelType w:val="hybridMultilevel"/>
    <w:lvl w:ilvl="0">
      <w:lvlJc w:val="left"/>
      <w:lvlText w:val="(%1)"/>
      <w:numFmt w:val="lowerLetter"/>
      <w:start w:val="1"/>
    </w:lvl>
  </w:abstractNum>
  <w:abstractNum w:abstractNumId="668">
    <w:nsid w:val="4C488152"/>
    <w:multiLevelType w:val="hybridMultilevel"/>
    <w:lvl w:ilvl="0">
      <w:lvlJc w:val="left"/>
      <w:lvlText w:val="(%1)"/>
      <w:numFmt w:val="lowerRoman"/>
      <w:start w:val="1"/>
    </w:lvl>
    <w:lvl w:ilvl="1">
      <w:lvlJc w:val="left"/>
      <w:lvlText w:val="(%2)"/>
      <w:numFmt w:val="lowerLetter"/>
      <w:start w:val="2"/>
    </w:lvl>
  </w:abstractNum>
  <w:abstractNum w:abstractNumId="669">
    <w:nsid w:val="153B9D13"/>
    <w:multiLevelType w:val="hybridMultilevel"/>
    <w:lvl w:ilvl="0">
      <w:lvlJc w:val="left"/>
      <w:lvlText w:val="(%1)"/>
      <w:numFmt w:val="lowerLetter"/>
      <w:start w:val="1"/>
    </w:lvl>
  </w:abstractNum>
  <w:abstractNum w:abstractNumId="670">
    <w:nsid w:val="7D07B61B"/>
    <w:multiLevelType w:val="hybridMultilevel"/>
    <w:lvl w:ilvl="0">
      <w:lvlJc w:val="left"/>
      <w:lvlText w:val="(%1)"/>
      <w:numFmt w:val="lowerLetter"/>
      <w:start w:val="2"/>
    </w:lvl>
  </w:abstractNum>
  <w:abstractNum w:abstractNumId="671">
    <w:nsid w:val="3A4BE92A"/>
    <w:multiLevelType w:val="hybridMultilevel"/>
    <w:lvl w:ilvl="0">
      <w:lvlJc w:val="left"/>
      <w:lvlText w:val="(%1)"/>
      <w:numFmt w:val="lowerLetter"/>
      <w:start w:val="1"/>
    </w:lvl>
  </w:abstractNum>
  <w:abstractNum w:abstractNumId="672">
    <w:nsid w:val="1C7A2F4"/>
    <w:multiLevelType w:val="hybridMultilevel"/>
    <w:lvl w:ilvl="0">
      <w:lvlJc w:val="left"/>
      <w:lvlText w:val="(%1)"/>
      <w:numFmt w:val="lowerLetter"/>
      <w:start w:val="1"/>
    </w:lvl>
  </w:abstractNum>
  <w:abstractNum w:abstractNumId="673">
    <w:nsid w:val="393B5076"/>
    <w:multiLevelType w:val="hybridMultilevel"/>
    <w:lvl w:ilvl="0">
      <w:lvlJc w:val="left"/>
      <w:lvlText w:val="(%1)"/>
      <w:numFmt w:val="lowerLetter"/>
      <w:start w:val="2"/>
    </w:lvl>
  </w:abstractNum>
  <w:abstractNum w:abstractNumId="674">
    <w:nsid w:val="5F0E41DB"/>
    <w:multiLevelType w:val="hybridMultilevel"/>
    <w:lvl w:ilvl="0">
      <w:lvlJc w:val="left"/>
      <w:lvlText w:val="(%1)"/>
      <w:numFmt w:val="lowerLetter"/>
      <w:start w:val="1"/>
    </w:lvl>
  </w:abstractNum>
  <w:abstractNum w:abstractNumId="675">
    <w:nsid w:val="6C4DFAA4"/>
    <w:multiLevelType w:val="hybridMultilevel"/>
    <w:lvl w:ilvl="0">
      <w:lvlJc w:val="left"/>
      <w:lvlText w:val="[***]"/>
      <w:numFmt w:val="bullet"/>
      <w:start w:val="1"/>
    </w:lvl>
  </w:abstractNum>
  <w:abstractNum w:abstractNumId="676">
    <w:nsid w:val="C7C501F"/>
    <w:multiLevelType w:val="hybridMultilevel"/>
    <w:lvl w:ilvl="0">
      <w:lvlJc w:val="left"/>
      <w:lvlText w:val="(%1)"/>
      <w:numFmt w:val="lowerLetter"/>
      <w:start w:val="1"/>
    </w:lvl>
  </w:abstractNum>
  <w:abstractNum w:abstractNumId="677">
    <w:nsid w:val="7244B239"/>
    <w:multiLevelType w:val="hybridMultilevel"/>
    <w:lvl w:ilvl="0">
      <w:lvlJc w:val="left"/>
      <w:lvlText w:val="(%1)"/>
      <w:numFmt w:val="lowerRoman"/>
      <w:start w:val="2"/>
    </w:lvl>
  </w:abstractNum>
  <w:abstractNum w:abstractNumId="678">
    <w:nsid w:val="50B1BE08"/>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9"/>
    </w:lvl>
  </w:abstractNum>
  <w:abstractNum w:abstractNumId="679">
    <w:nsid w:val="40F78FF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80">
    <w:nsid w:val="7F9F698A"/>
    <w:multiLevelType w:val="hybridMultilevel"/>
    <w:lvl w:ilvl="0">
      <w:lvlJc w:val="left"/>
      <w:lvlText w:val="(%1)"/>
      <w:numFmt w:val="lowerLetter"/>
      <w:start w:val="3"/>
    </w:lvl>
    <w:lvl w:ilvl="1">
      <w:lvlJc w:val="left"/>
      <w:lvlText w:val="(%2)"/>
      <w:numFmt w:val="lowerLetter"/>
      <w:start w:val="6"/>
    </w:lvl>
    <w:lvl w:ilvl="2">
      <w:lvlJc w:val="left"/>
      <w:lvlText w:val="%3"/>
      <w:numFmt w:val="lowerLetter"/>
      <w:start w:val="1"/>
    </w:lvl>
  </w:abstractNum>
  <w:abstractNum w:abstractNumId="681">
    <w:nsid w:val="5FD0822F"/>
    <w:multiLevelType w:val="hybridMultilevel"/>
    <w:lvl w:ilvl="0">
      <w:lvlJc w:val="left"/>
      <w:lvlText w:val="(%1)"/>
      <w:numFmt w:val="lowerLetter"/>
      <w:start w:val="1"/>
    </w:lvl>
  </w:abstractNum>
  <w:abstractNum w:abstractNumId="682">
    <w:nsid w:val="2D814889"/>
    <w:multiLevelType w:val="hybridMultilevel"/>
    <w:lvl w:ilvl="0">
      <w:lvlJc w:val="left"/>
      <w:lvlText w:val="[***]"/>
      <w:numFmt w:val="bullet"/>
      <w:start w:val="1"/>
    </w:lvl>
  </w:abstractNum>
  <w:abstractNum w:abstractNumId="683">
    <w:nsid w:val="7DB18352"/>
    <w:multiLevelType w:val="hybridMultilevel"/>
    <w:lvl w:ilvl="0">
      <w:lvlJc w:val="left"/>
      <w:lvlText w:val="[***]"/>
      <w:numFmt w:val="bullet"/>
      <w:start w:val="1"/>
    </w:lvl>
  </w:abstractNum>
  <w:abstractNum w:abstractNumId="684">
    <w:nsid w:val="5C243F1"/>
    <w:multiLevelType w:val="hybridMultilevel"/>
    <w:lvl w:ilvl="0">
      <w:lvlJc w:val="left"/>
      <w:lvlText w:val="(%1)"/>
      <w:numFmt w:val="lowerLetter"/>
      <w:start w:val="1"/>
    </w:lvl>
  </w:abstractNum>
  <w:abstractNum w:abstractNumId="685">
    <w:nsid w:val="21BE2F84"/>
    <w:multiLevelType w:val="hybridMultilevel"/>
    <w:lvl w:ilvl="0">
      <w:lvlJc w:val="left"/>
      <w:lvlText w:val="(%1)"/>
      <w:numFmt w:val="lowerLetter"/>
      <w:start w:val="1"/>
    </w:lvl>
  </w:abstractNum>
  <w:abstractNum w:abstractNumId="686">
    <w:nsid w:val="1E0491CD"/>
    <w:multiLevelType w:val="hybridMultilevel"/>
    <w:lvl w:ilvl="0">
      <w:lvlJc w:val="left"/>
      <w:lvlText w:val="(%1)"/>
      <w:numFmt w:val="lowerLetter"/>
      <w:start w:val="6"/>
    </w:lvl>
  </w:abstractNum>
  <w:abstractNum w:abstractNumId="687">
    <w:nsid w:val="1A0ED871"/>
    <w:multiLevelType w:val="hybridMultilevel"/>
    <w:lvl w:ilvl="0">
      <w:lvlJc w:val="left"/>
      <w:lvlText w:val="(%1)"/>
      <w:numFmt w:val="lowerLetter"/>
      <w:start w:val="1"/>
    </w:lvl>
  </w:abstractNum>
  <w:abstractNum w:abstractNumId="688">
    <w:nsid w:val="36D2D033"/>
    <w:multiLevelType w:val="hybridMultilevel"/>
    <w:lvl w:ilvl="0">
      <w:lvlJc w:val="left"/>
      <w:lvlText w:val="(%1)"/>
      <w:numFmt w:val="lowerLetter"/>
      <w:start w:val="3"/>
    </w:lvl>
  </w:abstractNum>
  <w:abstractNum w:abstractNumId="689">
    <w:nsid w:val="73C7EB1A"/>
    <w:multiLevelType w:val="hybridMultilevel"/>
    <w:lvl w:ilvl="0">
      <w:lvlJc w:val="left"/>
      <w:lvlText w:val="(%1)"/>
      <w:numFmt w:val="lowerLetter"/>
      <w:start w:val="1"/>
    </w:lvl>
  </w:abstractNum>
  <w:abstractNum w:abstractNumId="690">
    <w:nsid w:val="3EBCDCC"/>
    <w:multiLevelType w:val="hybridMultilevel"/>
    <w:lvl w:ilvl="0">
      <w:lvlJc w:val="left"/>
      <w:lvlText w:val="(%1)"/>
      <w:numFmt w:val="lowerLetter"/>
      <w:start w:val="5"/>
    </w:lvl>
  </w:abstractNum>
  <w:abstractNum w:abstractNumId="691">
    <w:nsid w:val="43CEFB03"/>
    <w:multiLevelType w:val="hybridMultilevel"/>
    <w:lvl w:ilvl="0">
      <w:lvlJc w:val="left"/>
      <w:lvlText w:val="(%1)"/>
      <w:numFmt w:val="lowerLetter"/>
      <w:start w:val="1"/>
    </w:lvl>
    <w:lvl w:ilvl="1">
      <w:lvlJc w:val="left"/>
      <w:lvlText w:val="(%2)"/>
      <w:numFmt w:val="lowerLetter"/>
      <w:start w:val="9"/>
    </w:lvl>
  </w:abstractNum>
  <w:abstractNum w:abstractNumId="692">
    <w:nsid w:val="1C82652D"/>
    <w:multiLevelType w:val="hybridMultilevel"/>
    <w:lvl w:ilvl="0">
      <w:lvlJc w:val="left"/>
      <w:lvlText w:val="%1"/>
      <w:numFmt w:val="lowerLetter"/>
      <w:start w:val="1"/>
    </w:lvl>
    <w:lvl w:ilvl="1">
      <w:lvlJc w:val="left"/>
      <w:lvlText w:val="(%2)"/>
      <w:numFmt w:val="lowerRoman"/>
      <w:start w:val="2"/>
    </w:lvl>
  </w:abstractNum>
  <w:abstractNum w:abstractNumId="693">
    <w:nsid w:val="2C73E35D"/>
    <w:multiLevelType w:val="hybridMultilevel"/>
    <w:lvl w:ilvl="0">
      <w:lvlJc w:val="left"/>
      <w:lvlText w:val="(%1)"/>
      <w:numFmt w:val="lowerLetter"/>
      <w:start w:val="2"/>
    </w:lvl>
    <w:lvl w:ilvl="1">
      <w:lvlJc w:val="left"/>
      <w:lvlText w:val="%2"/>
      <w:numFmt w:val="lowerRoman"/>
      <w:start w:val="1"/>
    </w:lvl>
  </w:abstractNum>
  <w:abstractNum w:abstractNumId="694">
    <w:nsid w:val="3AFA746F"/>
    <w:multiLevelType w:val="hybridMultilevel"/>
    <w:lvl w:ilvl="0">
      <w:lvlJc w:val="left"/>
      <w:lvlText w:val="(%1)"/>
      <w:numFmt w:val="lowerLetter"/>
      <w:start w:val="1"/>
    </w:lvl>
  </w:abstractNum>
  <w:abstractNum w:abstractNumId="695">
    <w:nsid w:val="3A849116"/>
    <w:multiLevelType w:val="hybridMultilevel"/>
    <w:lvl w:ilvl="0">
      <w:lvlJc w:val="left"/>
      <w:lvlText w:val="(%1)"/>
      <w:numFmt w:val="lowerLetter"/>
      <w:start w:val="1"/>
    </w:lvl>
  </w:abstractNum>
  <w:abstractNum w:abstractNumId="696">
    <w:nsid w:val="1F3847FC"/>
    <w:multiLevelType w:val="hybridMultilevel"/>
    <w:lvl w:ilvl="0">
      <w:lvlJc w:val="left"/>
      <w:lvlText w:val="(%1)"/>
      <w:numFmt w:val="lowerLetter"/>
      <w:start w:val="1"/>
    </w:lvl>
  </w:abstractNum>
  <w:abstractNum w:abstractNumId="697">
    <w:nsid w:val="37D3B790"/>
    <w:multiLevelType w:val="hybridMultilevel"/>
    <w:lvl w:ilvl="0">
      <w:lvlJc w:val="left"/>
      <w:lvlText w:val="(%1)"/>
      <w:numFmt w:val="lowerLetter"/>
      <w:start w:val="2"/>
    </w:lvl>
  </w:abstractNum>
  <w:abstractNum w:abstractNumId="698">
    <w:nsid w:val="4E384ED3"/>
    <w:multiLevelType w:val="hybridMultilevel"/>
    <w:lvl w:ilvl="0">
      <w:lvlJc w:val="left"/>
      <w:lvlText w:val="(%1)"/>
      <w:numFmt w:val="lowerLetter"/>
      <w:start w:val="1"/>
    </w:lvl>
  </w:abstractNum>
  <w:abstractNum w:abstractNumId="699">
    <w:nsid w:val="6B80C94F"/>
    <w:multiLevelType w:val="hybridMultilevel"/>
    <w:lvl w:ilvl="0">
      <w:lvlJc w:val="left"/>
      <w:lvlText w:val="(%1)"/>
      <w:numFmt w:val="lowerLetter"/>
      <w:start w:val="1"/>
    </w:lvl>
    <w:lvl w:ilvl="1">
      <w:lvlJc w:val="left"/>
      <w:lvlText w:val="(%2)"/>
      <w:numFmt w:val="lowerLetter"/>
      <w:start w:val="9"/>
    </w:lvl>
  </w:abstractNum>
  <w:abstractNum w:abstractNumId="700">
    <w:nsid w:val="4D0F54A3"/>
    <w:multiLevelType w:val="hybridMultilevel"/>
    <w:lvl w:ilvl="0">
      <w:lvlJc w:val="left"/>
      <w:lvlText w:val="%1"/>
      <w:numFmt w:val="lowerLetter"/>
      <w:start w:val="1"/>
    </w:lvl>
    <w:lvl w:ilvl="1">
      <w:lvlJc w:val="left"/>
      <w:lvlText w:val="(%2)"/>
      <w:numFmt w:val="lowerLetter"/>
      <w:start w:val="35"/>
    </w:lvl>
  </w:abstractNum>
  <w:abstractNum w:abstractNumId="701">
    <w:nsid w:val="4B4004EE"/>
    <w:multiLevelType w:val="hybridMultilevel"/>
    <w:lvl w:ilvl="0">
      <w:lvlJc w:val="left"/>
      <w:lvlText w:val="(%1)"/>
      <w:numFmt w:val="lowerLetter"/>
      <w:start w:val="3"/>
    </w:lvl>
    <w:lvl w:ilvl="1">
      <w:lvlJc w:val="left"/>
      <w:lvlText w:val="%2"/>
      <w:numFmt w:val="lowerLetter"/>
      <w:start w:val="1"/>
    </w:lvl>
  </w:abstractNum>
  <w:abstractNum w:abstractNumId="702">
    <w:nsid w:val="25CCB279"/>
    <w:multiLevelType w:val="hybridMultilevel"/>
    <w:lvl w:ilvl="0">
      <w:lvlJc w:val="left"/>
      <w:lvlText w:val="(%1)"/>
      <w:numFmt w:val="lowerLetter"/>
      <w:start w:val="8"/>
    </w:lvl>
  </w:abstractNum>
  <w:abstractNum w:abstractNumId="703">
    <w:nsid w:val="4ED6F798"/>
    <w:multiLevelType w:val="hybridMultilevel"/>
    <w:lvl w:ilvl="0">
      <w:lvlJc w:val="left"/>
      <w:lvlText w:val="%1"/>
      <w:numFmt w:val="lowerLetter"/>
      <w:start w:val="1"/>
    </w:lvl>
    <w:lvl w:ilvl="1">
      <w:lvlJc w:val="left"/>
      <w:lvlText w:val="(%2)"/>
      <w:numFmt w:val="lowerLetter"/>
      <w:start w:val="9"/>
    </w:lvl>
  </w:abstractNum>
  <w:abstractNum w:abstractNumId="704">
    <w:nsid w:val="47B5565"/>
    <w:multiLevelType w:val="hybridMultilevel"/>
    <w:lvl w:ilvl="0">
      <w:lvlJc w:val="left"/>
      <w:lvlText w:val="(%1)"/>
      <w:numFmt w:val="lowerLetter"/>
      <w:start w:val="11"/>
    </w:lvl>
    <w:lvl w:ilvl="1">
      <w:lvlJc w:val="left"/>
      <w:lvlText w:val="%2"/>
      <w:numFmt w:val="lowerLetter"/>
      <w:start w:val="1"/>
    </w:lvl>
  </w:abstractNum>
  <w:abstractNum w:abstractNumId="705">
    <w:nsid w:val="4DAF454"/>
    <w:multiLevelType w:val="hybridMultilevel"/>
    <w:lvl w:ilvl="0">
      <w:lvlJc w:val="left"/>
      <w:lvlText w:val="(%1)"/>
      <w:numFmt w:val="lowerLetter"/>
      <w:start w:val="1"/>
    </w:lvl>
  </w:abstractNum>
  <w:abstractNum w:abstractNumId="706">
    <w:nsid w:val="3B24F23C"/>
    <w:multiLevelType w:val="hybridMultilevel"/>
    <w:lvl w:ilvl="0">
      <w:lvlJc w:val="left"/>
      <w:lvlText w:val="(%1)"/>
      <w:numFmt w:val="lowerLetter"/>
      <w:start w:val="1"/>
    </w:lvl>
  </w:abstractNum>
  <w:abstractNum w:abstractNumId="707">
    <w:nsid w:val="10F7A584"/>
    <w:multiLevelType w:val="hybridMultilevel"/>
    <w:lvl w:ilvl="0">
      <w:lvlJc w:val="left"/>
      <w:lvlText w:val="(%1)"/>
      <w:numFmt w:val="lowerLetter"/>
      <w:start w:val="2"/>
    </w:lvl>
  </w:abstractNum>
  <w:abstractNum w:abstractNumId="708">
    <w:nsid w:val="771FA68D"/>
    <w:multiLevelType w:val="hybridMultilevel"/>
    <w:lvl w:ilvl="0">
      <w:lvlJc w:val="left"/>
      <w:lvlText w:val="(%1)"/>
      <w:numFmt w:val="lowerLetter"/>
      <w:start w:val="1"/>
    </w:lvl>
  </w:abstractNum>
  <w:abstractNum w:abstractNumId="709">
    <w:nsid w:val="BD6B044"/>
    <w:multiLevelType w:val="hybridMultilevel"/>
    <w:lvl w:ilvl="0">
      <w:lvlJc w:val="left"/>
      <w:lvlText w:val="(%1)"/>
      <w:numFmt w:val="lowerLetter"/>
      <w:start w:val="1"/>
    </w:lvl>
  </w:abstractNum>
  <w:abstractNum w:abstractNumId="710">
    <w:nsid w:val="51EF3577"/>
    <w:multiLevelType w:val="hybridMultilevel"/>
    <w:lvl w:ilvl="0">
      <w:lvlJc w:val="left"/>
      <w:lvlText w:val="(%1)"/>
      <w:numFmt w:val="lowerLetter"/>
      <w:start w:val="1"/>
    </w:lvl>
  </w:abstractNum>
  <w:abstractNum w:abstractNumId="711">
    <w:nsid w:val="76BF1017"/>
    <w:multiLevelType w:val="hybridMultilevel"/>
    <w:lvl w:ilvl="0">
      <w:lvlJc w:val="left"/>
      <w:lvlText w:val="(%1)"/>
      <w:numFmt w:val="lowerLetter"/>
      <w:start w:val="2"/>
    </w:lvl>
  </w:abstractNum>
  <w:abstractNum w:abstractNumId="712">
    <w:nsid w:val="6BA73274"/>
    <w:multiLevelType w:val="hybridMultilevel"/>
    <w:lvl w:ilvl="0">
      <w:lvlJc w:val="left"/>
      <w:lvlText w:val="(%1)"/>
      <w:numFmt w:val="lowerLetter"/>
      <w:start w:val="1"/>
    </w:lvl>
  </w:abstractNum>
  <w:abstractNum w:abstractNumId="713">
    <w:nsid w:val="7F707E01"/>
    <w:multiLevelType w:val="hybridMultilevel"/>
    <w:lvl w:ilvl="0">
      <w:lvlJc w:val="left"/>
      <w:lvlText w:val="(%1)"/>
      <w:numFmt w:val="lowerLetter"/>
      <w:start w:val="1"/>
    </w:lvl>
  </w:abstractNum>
  <w:abstractNum w:abstractNumId="714">
    <w:nsid w:val="7470936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5">
    <w:nsid w:val="7169766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6">
    <w:nsid w:val="212EAD85"/>
    <w:multiLevelType w:val="hybridMultilevel"/>
    <w:lvl w:ilvl="0">
      <w:lvlJc w:val="left"/>
      <w:lvlText w:val="(%1)"/>
      <w:numFmt w:val="lowerLetter"/>
      <w:start w:val="1"/>
    </w:lvl>
  </w:abstractNum>
  <w:abstractNum w:abstractNumId="717">
    <w:nsid w:val="12752537"/>
    <w:multiLevelType w:val="hybridMultilevel"/>
    <w:lvl w:ilvl="0">
      <w:lvlJc w:val="left"/>
      <w:lvlText w:val="(%1)"/>
      <w:numFmt w:val="lowerLetter"/>
      <w:start w:val="4"/>
    </w:lvl>
  </w:abstractNum>
  <w:abstractNum w:abstractNumId="718">
    <w:nsid w:val="B784ED6"/>
    <w:multiLevelType w:val="hybridMultilevel"/>
    <w:lvl w:ilvl="0">
      <w:lvlJc w:val="left"/>
      <w:lvlText w:val="[***]"/>
      <w:numFmt w:val="bullet"/>
      <w:start w:val="1"/>
    </w:lvl>
  </w:abstractNum>
  <w:abstractNum w:abstractNumId="719">
    <w:nsid w:val="58017DB8"/>
    <w:multiLevelType w:val="hybridMultilevel"/>
    <w:lvl w:ilvl="0">
      <w:lvlJc w:val="left"/>
      <w:lvlText w:val="(%1)"/>
      <w:numFmt w:val="lowerLetter"/>
      <w:start w:val="1"/>
    </w:lvl>
  </w:abstractNum>
  <w:abstractNum w:abstractNumId="720">
    <w:nsid w:val="63D1051"/>
    <w:multiLevelType w:val="hybridMultilevel"/>
    <w:lvl w:ilvl="0">
      <w:lvlJc w:val="left"/>
      <w:lvlText w:val="(%1)"/>
      <w:numFmt w:val="lowerLetter"/>
      <w:start w:val="1"/>
    </w:lvl>
  </w:abstractNum>
  <w:abstractNum w:abstractNumId="721">
    <w:nsid w:val="F641CA2"/>
    <w:multiLevelType w:val="hybridMultilevel"/>
    <w:lvl w:ilvl="0">
      <w:lvlJc w:val="left"/>
      <w:lvlText w:val="(%1)"/>
      <w:numFmt w:val="lowerLetter"/>
      <w:start w:val="2"/>
    </w:lvl>
  </w:abstractNum>
  <w:abstractNum w:abstractNumId="722">
    <w:nsid w:val="1BD078BB"/>
    <w:multiLevelType w:val="hybridMultilevel"/>
    <w:lvl w:ilvl="0">
      <w:lvlJc w:val="left"/>
      <w:lvlText w:val="(%1)"/>
      <w:numFmt w:val="lowerLetter"/>
      <w:start w:val="2"/>
    </w:lvl>
  </w:abstractNum>
  <w:abstractNum w:abstractNumId="723">
    <w:nsid w:val="22BF757E"/>
    <w:multiLevelType w:val="hybridMultilevel"/>
    <w:lvl w:ilvl="0">
      <w:lvlJc w:val="left"/>
      <w:lvlText w:val="%1."/>
      <w:numFmt w:val="decimal"/>
      <w:start w:val="1"/>
    </w:lvl>
  </w:abstractNum>
  <w:abstractNum w:abstractNumId="724">
    <w:nsid w:val="3BD80000"/>
    <w:multiLevelType w:val="hybridMultilevel"/>
    <w:lvl w:ilvl="0">
      <w:lvlJc w:val="left"/>
      <w:lvlText w:val="%1."/>
      <w:numFmt w:val="decimal"/>
      <w:start w:val="7"/>
    </w:lvl>
  </w:abstractNum>
  <w:abstractNum w:abstractNumId="725">
    <w:nsid w:val="56CAED2B"/>
    <w:multiLevelType w:val="hybridMultilevel"/>
    <w:lvl w:ilvl="0">
      <w:lvlJc w:val="left"/>
      <w:lvlText w:val="[***]"/>
      <w:numFmt w:val="bullet"/>
      <w:start w:val="1"/>
    </w:lvl>
  </w:abstractNum>
  <w:abstractNum w:abstractNumId="726">
    <w:nsid w:val="5D440695"/>
    <w:multiLevelType w:val="hybridMultilevel"/>
    <w:lvl w:ilvl="0">
      <w:lvlJc w:val="left"/>
      <w:lvlText w:val="[***]"/>
      <w:numFmt w:val="bullet"/>
      <w:start w:val="1"/>
    </w:lvl>
  </w:abstractNum>
  <w:abstractNum w:abstractNumId="727">
    <w:nsid w:val="5B1047FC"/>
    <w:multiLevelType w:val="hybridMultilevel"/>
    <w:lvl w:ilvl="0">
      <w:lvlJc w:val="left"/>
      <w:lvlText w:val="(%1)"/>
      <w:numFmt w:val="lowerLetter"/>
      <w:start w:val="1"/>
    </w:lvl>
  </w:abstractNum>
  <w:abstractNum w:abstractNumId="728">
    <w:nsid w:val="E9EA4BB"/>
    <w:multiLevelType w:val="hybridMultilevel"/>
    <w:lvl w:ilvl="0">
      <w:lvlJc w:val="left"/>
      <w:lvlText w:val="(%1)"/>
      <w:numFmt w:val="lowerLetter"/>
      <w:start w:val="4"/>
    </w:lvl>
  </w:abstractNum>
  <w:abstractNum w:abstractNumId="729">
    <w:nsid w:val="2B7C5568"/>
    <w:multiLevelType w:val="hybridMultilevel"/>
    <w:lvl w:ilvl="0">
      <w:lvlJc w:val="left"/>
      <w:lvlText w:val="(%1)"/>
      <w:numFmt w:val="lowerLetter"/>
      <w:start w:val="1"/>
    </w:lvl>
  </w:abstractNum>
  <w:abstractNum w:abstractNumId="730">
    <w:nsid w:val="4691114B"/>
    <w:multiLevelType w:val="hybridMultilevel"/>
    <w:lvl w:ilvl="0">
      <w:lvlJc w:val="left"/>
      <w:lvlText w:val="(%1)"/>
      <w:numFmt w:val="lowerLetter"/>
      <w:start w:val="2"/>
    </w:lvl>
  </w:abstractNum>
  <w:abstractNum w:abstractNumId="731">
    <w:nsid w:val="5BADF95F"/>
    <w:multiLevelType w:val="hybridMultilevel"/>
    <w:lvl w:ilvl="0">
      <w:lvlJc w:val="left"/>
      <w:lvlText w:val="(%1)"/>
      <w:numFmt w:val="lowerLetter"/>
      <w:start w:val="1"/>
    </w:lvl>
  </w:abstractNum>
  <w:abstractNum w:abstractNumId="732">
    <w:nsid w:val="76BC5A56"/>
    <w:multiLevelType w:val="hybridMultilevel"/>
    <w:lvl w:ilvl="0">
      <w:lvlJc w:val="left"/>
      <w:lvlText w:val="(%1)"/>
      <w:numFmt w:val="lowerRoman"/>
      <w:start w:val="1"/>
    </w:lvl>
  </w:abstractNum>
  <w:abstractNum w:abstractNumId="733">
    <w:nsid w:val="6C5DC3C4"/>
    <w:multiLevelType w:val="hybridMultilevel"/>
    <w:lvl w:ilvl="0">
      <w:lvlJc w:val="left"/>
      <w:lvlText w:val="(%1)"/>
      <w:numFmt w:val="lowerLetter"/>
      <w:start w:val="1"/>
    </w:lvl>
  </w:abstractNum>
  <w:abstractNum w:abstractNumId="734">
    <w:nsid w:val="2A84F0F7"/>
    <w:multiLevelType w:val="hybridMultilevel"/>
    <w:lvl w:ilvl="0">
      <w:lvlJc w:val="left"/>
      <w:lvlText w:val="(%1)"/>
      <w:numFmt w:val="lowerLetter"/>
      <w:start w:val="1"/>
    </w:lvl>
  </w:abstractNum>
  <w:abstractNum w:abstractNumId="735">
    <w:nsid w:val="7B37AFBB"/>
    <w:multiLevelType w:val="hybridMultilevel"/>
    <w:lvl w:ilvl="0">
      <w:lvlJc w:val="left"/>
      <w:lvlText w:val="(%1)"/>
      <w:numFmt w:val="lowerLetter"/>
      <w:start w:val="10"/>
    </w:lvl>
  </w:abstractNum>
  <w:abstractNum w:abstractNumId="736">
    <w:nsid w:val="7138B819"/>
    <w:multiLevelType w:val="hybridMultilevel"/>
    <w:lvl w:ilvl="0">
      <w:lvlJc w:val="left"/>
      <w:lvlText w:val="[***]"/>
      <w:numFmt w:val="bullet"/>
      <w:start w:val="1"/>
    </w:lvl>
    <w:lvl w:ilvl="1">
      <w:lvlJc w:val="left"/>
      <w:lvlText w:val="(%2)"/>
      <w:numFmt w:val="lowerLetter"/>
      <w:start w:val="1"/>
    </w:lvl>
  </w:abstractNum>
  <w:abstractNum w:abstractNumId="737">
    <w:nsid w:val="65A9E333"/>
    <w:multiLevelType w:val="hybridMultilevel"/>
    <w:lvl w:ilvl="0">
      <w:lvlJc w:val="left"/>
      <w:lvlText w:val="(%1)"/>
      <w:numFmt w:val="lowerLetter"/>
      <w:start w:val="1"/>
    </w:lvl>
  </w:abstractNum>
  <w:abstractNum w:abstractNumId="738">
    <w:nsid w:val="C2F5540"/>
    <w:multiLevelType w:val="hybridMultilevel"/>
    <w:lvl w:ilvl="0">
      <w:lvlJc w:val="left"/>
      <w:lvlText w:val="(%1)"/>
      <w:numFmt w:val="lowerRoman"/>
      <w:start w:val="1"/>
    </w:lvl>
    <w:lvl w:ilvl="1">
      <w:lvlJc w:val="left"/>
      <w:lvlText w:val="(%2)"/>
      <w:numFmt w:val="upperLetter"/>
      <w:start w:val="1"/>
    </w:lvl>
  </w:abstractNum>
  <w:abstractNum w:abstractNumId="739">
    <w:nsid w:val="68585EA6"/>
    <w:multiLevelType w:val="hybridMultilevel"/>
    <w:lvl w:ilvl="0">
      <w:lvlJc w:val="left"/>
      <w:lvlText w:val="(%1)"/>
      <w:numFmt w:val="lowerLetter"/>
      <w:start w:val="2"/>
    </w:lvl>
  </w:abstractNum>
  <w:abstractNum w:abstractNumId="740">
    <w:nsid w:val="71809378"/>
    <w:multiLevelType w:val="hybridMultilevel"/>
    <w:lvl w:ilvl="0">
      <w:lvlJc w:val="left"/>
      <w:lvlText w:val="(%1)"/>
      <w:numFmt w:val="lowerLetter"/>
      <w:start w:val="3"/>
    </w:lvl>
  </w:abstractNum>
  <w:abstractNum w:abstractNumId="741">
    <w:nsid w:val="5E1E8AB7"/>
    <w:multiLevelType w:val="hybridMultilevel"/>
    <w:lvl w:ilvl="0">
      <w:lvlJc w:val="left"/>
      <w:lvlText w:val="[***]"/>
      <w:numFmt w:val="bullet"/>
      <w:start w:val="1"/>
    </w:lvl>
  </w:abstractNum>
  <w:abstractNum w:abstractNumId="742">
    <w:nsid w:val="5F176EBE"/>
    <w:multiLevelType w:val="hybridMultilevel"/>
    <w:lvl w:ilvl="0">
      <w:lvlJc w:val="left"/>
      <w:lvlText w:val="(%1)"/>
      <w:numFmt w:val="lowerLetter"/>
      <w:start w:val="1"/>
    </w:lvl>
  </w:abstractNum>
  <w:abstractNum w:abstractNumId="743">
    <w:nsid w:val="5D27C5EC"/>
    <w:multiLevelType w:val="hybridMultilevel"/>
    <w:lvl w:ilvl="0">
      <w:lvlJc w:val="left"/>
      <w:lvlText w:val="(%1)"/>
      <w:numFmt w:val="lowerLetter"/>
      <w:start w:val="1"/>
    </w:lvl>
  </w:abstractNum>
  <w:abstractNum w:abstractNumId="744">
    <w:nsid w:val="5D8F08B8"/>
    <w:multiLevelType w:val="hybridMultilevel"/>
    <w:lvl w:ilvl="0">
      <w:lvlJc w:val="left"/>
      <w:lvlText w:val="(%1)"/>
      <w:numFmt w:val="lowerLetter"/>
      <w:start w:val="2"/>
    </w:lvl>
  </w:abstractNum>
  <w:abstractNum w:abstractNumId="745">
    <w:nsid w:val="53880228"/>
    <w:multiLevelType w:val="hybridMultilevel"/>
    <w:lvl w:ilvl="0">
      <w:lvlJc w:val="left"/>
      <w:lvlText w:val="(%1)"/>
      <w:numFmt w:val="lowerLetter"/>
      <w:start w:val="4"/>
    </w:lvl>
  </w:abstractNum>
  <w:abstractNum w:abstractNumId="746">
    <w:nsid w:val="4E913C51"/>
    <w:multiLevelType w:val="hybridMultilevel"/>
    <w:lvl w:ilvl="0">
      <w:lvlJc w:val="left"/>
      <w:lvlText w:val="(%1)"/>
      <w:numFmt w:val="lowerLetter"/>
      <w:start w:val="1"/>
    </w:lvl>
  </w:abstractNum>
  <w:abstractNum w:abstractNumId="747">
    <w:nsid w:val="7EBDB63D"/>
    <w:multiLevelType w:val="hybridMultilevel"/>
    <w:lvl w:ilvl="0">
      <w:lvlJc w:val="left"/>
      <w:lvlText w:val="(%1)"/>
      <w:numFmt w:val="lowerLetter"/>
      <w:start w:val="1"/>
    </w:lvl>
  </w:abstractNum>
  <w:abstractNum w:abstractNumId="748">
    <w:nsid w:val="65FD275F"/>
    <w:multiLevelType w:val="hybridMultilevel"/>
    <w:lvl w:ilvl="0">
      <w:lvlJc w:val="left"/>
      <w:lvlText w:val="(%1)"/>
      <w:numFmt w:val="lowerLetter"/>
      <w:start w:val="1"/>
    </w:lvl>
  </w:abstractNum>
  <w:abstractNum w:abstractNumId="749">
    <w:nsid w:val="5A098B27"/>
    <w:multiLevelType w:val="hybridMultilevel"/>
    <w:lvl w:ilvl="0">
      <w:lvlJc w:val="left"/>
      <w:lvlText w:val="(%1)"/>
      <w:numFmt w:val="lowerLetter"/>
      <w:start w:val="1"/>
    </w:lvl>
  </w:abstractNum>
  <w:abstractNum w:abstractNumId="750">
    <w:nsid w:val="56BF33F6"/>
    <w:multiLevelType w:val="hybridMultilevel"/>
    <w:lvl w:ilvl="0">
      <w:lvlJc w:val="left"/>
      <w:lvlText w:val="(%1)"/>
      <w:numFmt w:val="lowerLetter"/>
      <w:start w:val="3"/>
    </w:lvl>
  </w:abstractNum>
  <w:abstractNum w:abstractNumId="751">
    <w:nsid w:val="6C3A37B1"/>
    <w:multiLevelType w:val="hybridMultilevel"/>
    <w:lvl w:ilvl="0">
      <w:lvlJc w:val="left"/>
      <w:lvlText w:val="(%1)"/>
      <w:numFmt w:val="lowerLetter"/>
      <w:start w:val="1"/>
    </w:lvl>
  </w:abstractNum>
  <w:abstractNum w:abstractNumId="752">
    <w:nsid w:val="696DA7C9"/>
    <w:multiLevelType w:val="hybridMultilevel"/>
    <w:lvl w:ilvl="0">
      <w:lvlJc w:val="left"/>
      <w:lvlText w:val="(%1)"/>
      <w:numFmt w:val="lowerRoman"/>
      <w:start w:val="8"/>
    </w:lvl>
  </w:abstractNum>
  <w:abstractNum w:abstractNumId="753">
    <w:nsid w:val="728FACB1"/>
    <w:multiLevelType w:val="hybridMultilevel"/>
    <w:lvl w:ilvl="0">
      <w:lvlJc w:val="left"/>
      <w:lvlText w:val="(%1)"/>
      <w:numFmt w:val="lowerLetter"/>
      <w:start w:val="1"/>
    </w:lvl>
  </w:abstractNum>
  <w:abstractNum w:abstractNumId="754">
    <w:nsid w:val="EF9AD2F"/>
    <w:multiLevelType w:val="hybridMultilevel"/>
    <w:lvl w:ilvl="0">
      <w:lvlJc w:val="left"/>
      <w:lvlText w:val="(%1)"/>
      <w:numFmt w:val="lowerLetter"/>
      <w:start w:val="1"/>
    </w:lvl>
  </w:abstractNum>
  <w:abstractNum w:abstractNumId="755">
    <w:nsid w:val="2545A7C9"/>
    <w:multiLevelType w:val="hybridMultilevel"/>
    <w:lvl w:ilvl="0">
      <w:lvlJc w:val="left"/>
      <w:lvlText w:val="(%1)"/>
      <w:numFmt w:val="lowerRoman"/>
      <w:start w:val="1"/>
    </w:lvl>
  </w:abstractNum>
  <w:abstractNum w:abstractNumId="756">
    <w:nsid w:val="495A99DC"/>
    <w:multiLevelType w:val="hybridMultilevel"/>
    <w:lvl w:ilvl="0">
      <w:lvlJc w:val="left"/>
      <w:lvlText w:val="(%1)"/>
      <w:numFmt w:val="lowerLetter"/>
      <w:start w:val="1"/>
    </w:lvl>
  </w:abstractNum>
  <w:abstractNum w:abstractNumId="757">
    <w:nsid w:val="6C3DB3C4"/>
    <w:multiLevelType w:val="hybridMultilevel"/>
    <w:lvl w:ilvl="0">
      <w:lvlJc w:val="left"/>
      <w:lvlText w:val="(%1)"/>
      <w:numFmt w:val="lowerLetter"/>
      <w:start w:val="1"/>
    </w:lvl>
  </w:abstractNum>
  <w:abstractNum w:abstractNumId="758">
    <w:nsid w:val="55EFC6"/>
    <w:multiLevelType w:val="hybridMultilevel"/>
    <w:lvl w:ilvl="0">
      <w:lvlJc w:val="left"/>
      <w:lvlText w:val="(%1)"/>
      <w:numFmt w:val="lowerLetter"/>
      <w:start w:val="3"/>
    </w:lvl>
  </w:abstractNum>
  <w:abstractNum w:abstractNumId="759">
    <w:nsid w:val="57F93E98"/>
    <w:multiLevelType w:val="hybridMultilevel"/>
    <w:lvl w:ilvl="0">
      <w:lvlJc w:val="left"/>
      <w:lvlText w:val="(%1)"/>
      <w:numFmt w:val="lowerLetter"/>
      <w:start w:val="1"/>
    </w:lvl>
  </w:abstractNum>
  <w:abstractNum w:abstractNumId="760">
    <w:nsid w:val="17BA092C"/>
    <w:multiLevelType w:val="hybridMultilevel"/>
    <w:lvl w:ilvl="0">
      <w:lvlJc w:val="left"/>
      <w:lvlText w:val="(%1)"/>
      <w:numFmt w:val="lowerLetter"/>
      <w:start w:val="5"/>
    </w:lvl>
  </w:abstractNum>
  <w:abstractNum w:abstractNumId="761">
    <w:nsid w:val="46E70111"/>
    <w:multiLevelType w:val="hybridMultilevel"/>
    <w:lvl w:ilvl="0">
      <w:lvlJc w:val="left"/>
      <w:lvlText w:val="(%1)"/>
      <w:numFmt w:val="lowerLetter"/>
      <w:start w:val="1"/>
    </w:lvl>
    <w:lvl w:ilvl="1">
      <w:lvlJc w:val="left"/>
      <w:lvlText w:val="(%2)"/>
      <w:numFmt w:val="lowerLetter"/>
      <w:start w:val="9"/>
    </w:lvl>
  </w:abstractNum>
  <w:abstractNum w:abstractNumId="762">
    <w:nsid w:val="33A737F7"/>
    <w:multiLevelType w:val="hybridMultilevel"/>
    <w:lvl w:ilvl="0">
      <w:lvlJc w:val="left"/>
      <w:lvlText w:val="%1"/>
      <w:numFmt w:val="lowerLetter"/>
      <w:start w:val="1"/>
    </w:lvl>
    <w:lvl w:ilvl="1">
      <w:lvlJc w:val="left"/>
      <w:lvlText w:val="(%2)"/>
      <w:numFmt w:val="lowerRoman"/>
      <w:start w:val="2"/>
    </w:lvl>
  </w:abstractNum>
  <w:abstractNum w:abstractNumId="763">
    <w:nsid w:val="E766383"/>
    <w:multiLevelType w:val="hybridMultilevel"/>
    <w:lvl w:ilvl="0">
      <w:lvlJc w:val="left"/>
      <w:lvlText w:val="(%1)"/>
      <w:numFmt w:val="lowerLetter"/>
      <w:start w:val="2"/>
    </w:lvl>
    <w:lvl w:ilvl="1">
      <w:lvlJc w:val="left"/>
      <w:lvlText w:val="%2"/>
      <w:numFmt w:val="lowerRoman"/>
      <w:start w:val="1"/>
    </w:lvl>
  </w:abstractNum>
  <w:abstractNum w:abstractNumId="764">
    <w:nsid w:val="3344C4D6"/>
    <w:multiLevelType w:val="hybridMultilevel"/>
    <w:lvl w:ilvl="0">
      <w:lvlJc w:val="left"/>
      <w:lvlText w:val="(%1)"/>
      <w:numFmt w:val="lowerLetter"/>
      <w:start w:val="1"/>
    </w:lvl>
  </w:abstractNum>
  <w:abstractNum w:abstractNumId="765">
    <w:nsid w:val="5E2C28EE"/>
    <w:multiLevelType w:val="hybridMultilevel"/>
    <w:lvl w:ilvl="0">
      <w:lvlJc w:val="left"/>
      <w:lvlText w:val="(%1)"/>
      <w:numFmt w:val="lowerLetter"/>
      <w:start w:val="1"/>
    </w:lvl>
  </w:abstractNum>
  <w:abstractNum w:abstractNumId="766">
    <w:nsid w:val="9AE133E"/>
    <w:multiLevelType w:val="hybridMultilevel"/>
    <w:lvl w:ilvl="0">
      <w:lvlJc w:val="left"/>
      <w:lvlText w:val="(%1)"/>
      <w:numFmt w:val="lowerLetter"/>
      <w:start w:val="2"/>
    </w:lvl>
  </w:abstractNum>
  <w:abstractNum w:abstractNumId="767">
    <w:nsid w:val="247D7CEF"/>
    <w:multiLevelType w:val="hybridMultilevel"/>
    <w:lvl w:ilvl="0">
      <w:lvlJc w:val="left"/>
      <w:lvlText w:val="(%1)"/>
      <w:numFmt w:val="lowerLetter"/>
      <w:start w:val="1"/>
    </w:lvl>
  </w:abstractNum>
  <w:abstractNum w:abstractNumId="768">
    <w:nsid w:val="43D60C21"/>
    <w:multiLevelType w:val="hybridMultilevel"/>
    <w:lvl w:ilvl="0">
      <w:lvlJc w:val="left"/>
      <w:lvlText w:val="(%1)"/>
      <w:numFmt w:val="lowerLetter"/>
      <w:start w:val="3"/>
    </w:lvl>
  </w:abstractNum>
  <w:abstractNum w:abstractNumId="769">
    <w:nsid w:val="15DD687E"/>
    <w:multiLevelType w:val="hybridMultilevel"/>
    <w:lvl w:ilvl="0">
      <w:lvlJc w:val="left"/>
      <w:lvlText w:val="(%1)"/>
      <w:numFmt w:val="lowerLetter"/>
      <w:start w:val="1"/>
    </w:lvl>
  </w:abstractNum>
  <w:abstractNum w:abstractNumId="770">
    <w:nsid w:val="CD5DB95"/>
    <w:multiLevelType w:val="hybridMultilevel"/>
    <w:lvl w:ilvl="0">
      <w:lvlJc w:val="left"/>
      <w:lvlText w:val="(%1)"/>
      <w:numFmt w:val="lowerLetter"/>
      <w:start w:val="1"/>
    </w:lvl>
  </w:abstractNum>
  <w:abstractNum w:abstractNumId="771">
    <w:nsid w:val="35569F99"/>
    <w:multiLevelType w:val="hybridMultilevel"/>
    <w:lvl w:ilvl="0">
      <w:lvlJc w:val="left"/>
      <w:lvlText w:val="(%1)"/>
      <w:numFmt w:val="lowerLetter"/>
      <w:start w:val="5"/>
    </w:lvl>
  </w:abstractNum>
  <w:abstractNum w:abstractNumId="772">
    <w:nsid w:val="73FBF336"/>
    <w:multiLevelType w:val="hybridMultilevel"/>
    <w:lvl w:ilvl="0">
      <w:lvlJc w:val="left"/>
      <w:lvlText w:val="(%1)"/>
      <w:numFmt w:val="lowerLetter"/>
      <w:start w:val="1"/>
    </w:lvl>
  </w:abstractNum>
  <w:abstractNum w:abstractNumId="773">
    <w:nsid w:val="6BED4A53"/>
    <w:multiLevelType w:val="hybridMultilevel"/>
    <w:lvl w:ilvl="0">
      <w:lvlJc w:val="left"/>
      <w:lvlText w:val="(%1)"/>
      <w:numFmt w:val="lowerLetter"/>
      <w:start w:val="1"/>
    </w:lvl>
  </w:abstractNum>
  <w:abstractNum w:abstractNumId="774">
    <w:nsid w:val="127E6585"/>
    <w:multiLevelType w:val="hybridMultilevel"/>
    <w:lvl w:ilvl="0">
      <w:lvlJc w:val="left"/>
      <w:lvlText w:val="(%1)"/>
      <w:numFmt w:val="lowerLetter"/>
      <w:start w:val="6"/>
    </w:lvl>
  </w:abstractNum>
  <w:abstractNum w:abstractNumId="775">
    <w:nsid w:val="518AFBEE"/>
    <w:multiLevelType w:val="hybridMultilevel"/>
    <w:lvl w:ilvl="0">
      <w:lvlJc w:val="left"/>
      <w:lvlText w:val="(%1)"/>
      <w:numFmt w:val="lowerLetter"/>
      <w:start w:val="1"/>
    </w:lvl>
  </w:abstractNum>
  <w:abstractNum w:abstractNumId="776">
    <w:nsid w:val="3F754C7B"/>
    <w:multiLevelType w:val="hybridMultilevel"/>
    <w:lvl w:ilvl="0">
      <w:lvlJc w:val="left"/>
      <w:lvlText w:val="(%1)"/>
      <w:numFmt w:val="lowerLetter"/>
      <w:start w:val="1"/>
    </w:lvl>
  </w:abstractNum>
  <w:abstractNum w:abstractNumId="777">
    <w:nsid w:val="610FA1D6"/>
    <w:multiLevelType w:val="hybridMultilevel"/>
    <w:lvl w:ilvl="0">
      <w:lvlJc w:val="left"/>
      <w:lvlText w:val="(%1)"/>
      <w:numFmt w:val="lowerLetter"/>
      <w:start w:val="1"/>
    </w:lvl>
  </w:abstractNum>
  <w:abstractNum w:abstractNumId="778">
    <w:nsid w:val="5048B22C"/>
    <w:multiLevelType w:val="hybridMultilevel"/>
    <w:lvl w:ilvl="0">
      <w:lvlJc w:val="left"/>
      <w:lvlText w:val="(%1)"/>
      <w:numFmt w:val="lowerLetter"/>
      <w:start w:val="3"/>
    </w:lvl>
  </w:abstractNum>
  <w:abstractNum w:abstractNumId="779">
    <w:nsid w:val="257273DB"/>
    <w:multiLevelType w:val="hybridMultilevel"/>
    <w:lvl w:ilvl="0">
      <w:lvlJc w:val="left"/>
      <w:lvlText w:val="(%1)"/>
      <w:numFmt w:val="lowerLetter"/>
      <w:start w:val="1"/>
    </w:lvl>
  </w:abstractNum>
  <w:abstractNum w:abstractNumId="780">
    <w:nsid w:val="3B192CFD"/>
    <w:multiLevelType w:val="hybridMultilevel"/>
    <w:lvl w:ilvl="0">
      <w:lvlJc w:val="left"/>
      <w:lvlText w:val="(%1)"/>
      <w:numFmt w:val="lowerLetter"/>
      <w:start w:val="1"/>
    </w:lvl>
    <w:lvl w:ilvl="1">
      <w:lvlJc w:val="left"/>
      <w:lvlText w:val="(%2)"/>
      <w:numFmt w:val="lowerRoman"/>
      <w:start w:val="1"/>
    </w:lvl>
  </w:abstractNum>
  <w:abstractNum w:abstractNumId="781">
    <w:nsid w:val="2707E622"/>
    <w:multiLevelType w:val="hybridMultilevel"/>
    <w:lvl w:ilvl="0">
      <w:lvlJc w:val="left"/>
      <w:lvlText w:val="%1"/>
      <w:numFmt w:val="upperLetter"/>
      <w:start w:val="1"/>
    </w:lvl>
    <w:lvl w:ilvl="1">
      <w:lvlJc w:val="left"/>
      <w:lvlText w:val="(%2)"/>
      <w:numFmt w:val="lowerRoman"/>
      <w:start w:val="4"/>
    </w:lvl>
  </w:abstractNum>
  <w:abstractNum w:abstractNumId="782">
    <w:nsid w:val="11ACAB8C"/>
    <w:multiLevelType w:val="hybridMultilevel"/>
    <w:lvl w:ilvl="0">
      <w:lvlJc w:val="left"/>
      <w:lvlText w:val="(%1)"/>
      <w:numFmt w:val="upperLetter"/>
      <w:start w:val="1"/>
    </w:lvl>
    <w:lvl w:ilvl="1">
      <w:lvlJc w:val="left"/>
      <w:lvlText w:val="%2"/>
      <w:numFmt w:val="lowerRoman"/>
      <w:start w:val="1"/>
    </w:lvl>
  </w:abstractNum>
  <w:abstractNum w:abstractNumId="783">
    <w:nsid w:val="2486D4C7"/>
    <w:multiLevelType w:val="hybridMultilevel"/>
    <w:lvl w:ilvl="0">
      <w:lvlJc w:val="left"/>
      <w:lvlText w:val="(%1)"/>
      <w:numFmt w:val="lowerLetter"/>
      <w:start w:val="1"/>
    </w:lvl>
  </w:abstractNum>
  <w:abstractNum w:abstractNumId="784">
    <w:nsid w:val="199792D3"/>
    <w:multiLevelType w:val="hybridMultilevel"/>
    <w:lvl w:ilvl="0">
      <w:lvlJc w:val="left"/>
      <w:lvlText w:val="(%1)"/>
      <w:numFmt w:val="lowerLetter"/>
      <w:start w:val="3"/>
    </w:lvl>
  </w:abstractNum>
  <w:abstractNum w:abstractNumId="785">
    <w:nsid w:val="20A658BB"/>
    <w:multiLevelType w:val="hybridMultilevel"/>
    <w:lvl w:ilvl="0">
      <w:lvlJc w:val="left"/>
      <w:lvlText w:val="(%1)"/>
      <w:numFmt w:val="lowerLetter"/>
      <w:start w:val="4"/>
    </w:lvl>
  </w:abstractNum>
  <w:abstractNum w:abstractNumId="786">
    <w:nsid w:val="49CC7C90"/>
    <w:multiLevelType w:val="hybridMultilevel"/>
    <w:lvl w:ilvl="0">
      <w:lvlJc w:val="left"/>
      <w:lvlText w:val="[***]"/>
      <w:numFmt w:val="bullet"/>
      <w:start w:val="1"/>
    </w:lvl>
  </w:abstractNum>
  <w:abstractNum w:abstractNumId="787">
    <w:nsid w:val="62F22CB0"/>
    <w:multiLevelType w:val="hybridMultilevel"/>
    <w:lvl w:ilvl="0">
      <w:lvlJc w:val="left"/>
      <w:lvlText w:val="(%1)"/>
      <w:numFmt w:val="lowerLetter"/>
      <w:start w:val="1"/>
    </w:lvl>
  </w:abstractNum>
  <w:abstractNum w:abstractNumId="788">
    <w:nsid w:val="CE40C80"/>
    <w:multiLevelType w:val="hybridMultilevel"/>
    <w:lvl w:ilvl="0">
      <w:lvlJc w:val="left"/>
      <w:lvlText w:val="(%1)"/>
      <w:numFmt w:val="lowerLetter"/>
      <w:start w:val="2"/>
    </w:lvl>
  </w:abstractNum>
  <w:abstractNum w:abstractNumId="789">
    <w:nsid w:val="4A226C56"/>
    <w:multiLevelType w:val="hybridMultilevel"/>
    <w:lvl w:ilvl="0">
      <w:lvlJc w:val="left"/>
      <w:lvlText w:val="(%1)"/>
      <w:numFmt w:val="lowerLetter"/>
      <w:start w:val="1"/>
    </w:lvl>
  </w:abstractNum>
  <w:abstractNum w:abstractNumId="790">
    <w:nsid w:val="3AEB6B48"/>
    <w:multiLevelType w:val="hybridMultilevel"/>
    <w:lvl w:ilvl="0">
      <w:lvlJc w:val="left"/>
      <w:lvlText w:val="(%1)"/>
      <w:numFmt w:val="lowerLetter"/>
      <w:start w:val="2"/>
    </w:lvl>
  </w:abstractNum>
  <w:abstractNum w:abstractNumId="791">
    <w:nsid w:val="249E15AC"/>
    <w:multiLevelType w:val="hybridMultilevel"/>
    <w:lvl w:ilvl="0">
      <w:lvlJc w:val="left"/>
      <w:lvlText w:val="(%1)"/>
      <w:numFmt w:val="lowerLetter"/>
      <w:start w:val="2"/>
    </w:lvl>
  </w:abstractNum>
  <w:abstractNum w:abstractNumId="792">
    <w:nsid w:val="11096D68"/>
    <w:multiLevelType w:val="hybridMultilevel"/>
    <w:lvl w:ilvl="0">
      <w:lvlJc w:val="left"/>
      <w:lvlText w:val="%1."/>
      <w:numFmt w:val="decimal"/>
      <w:start w:val="1"/>
    </w:lvl>
  </w:abstractNum>
  <w:abstractNum w:abstractNumId="793">
    <w:nsid w:val="6E92A33F"/>
    <w:multiLevelType w:val="hybridMultilevel"/>
    <w:lvl w:ilvl="0">
      <w:lvlJc w:val="left"/>
      <w:lvlText w:val="%1."/>
      <w:numFmt w:val="decimal"/>
      <w:start w:val="7"/>
    </w:lvl>
  </w:abstractNum>
  <w:abstractNum w:abstractNumId="794">
    <w:nsid w:val="3314792F"/>
    <w:multiLevelType w:val="hybridMultilevel"/>
    <w:lvl w:ilvl="0">
      <w:lvlJc w:val="left"/>
      <w:lvlText w:val="[***]"/>
      <w:numFmt w:val="bullet"/>
      <w:start w:val="1"/>
    </w:lvl>
  </w:abstractNum>
  <w:abstractNum w:abstractNumId="795">
    <w:nsid w:val="444E323E"/>
    <w:multiLevelType w:val="hybridMultilevel"/>
    <w:lvl w:ilvl="0">
      <w:lvlJc w:val="left"/>
      <w:lvlText w:val="(%1)"/>
      <w:numFmt w:val="decimal"/>
      <w:start w:val="1"/>
    </w:lvl>
  </w:abstractNum>
  <w:abstractNum w:abstractNumId="796">
    <w:nsid w:val="4CBECC2D"/>
    <w:multiLevelType w:val="hybridMultilevel"/>
    <w:lvl w:ilvl="0">
      <w:lvlJc w:val="left"/>
      <w:lvlText w:val="(%1)"/>
      <w:numFmt w:val="upperLetter"/>
      <w:start w:val="1"/>
    </w:lvl>
  </w:abstractNum>
  <w:abstractNum w:abstractNumId="797">
    <w:nsid w:val="3CC28C6E"/>
    <w:multiLevelType w:val="hybridMultilevel"/>
    <w:lvl w:ilvl="0">
      <w:lvlJc w:val="left"/>
      <w:lvlText w:val="1"/>
      <w:numFmt w:val="bullet"/>
      <w:start w:val="1"/>
    </w:lvl>
  </w:abstractNum>
  <w:abstractNum w:abstractNumId="798">
    <w:nsid w:val="68CBAF2D"/>
    <w:multiLevelType w:val="hybridMultilevel"/>
    <w:lvl w:ilvl="0">
      <w:lvlJc w:val="left"/>
      <w:lvlText w:val="(%1)"/>
      <w:numFmt w:val="lowerLetter"/>
      <w:start w:val="1"/>
    </w:lvl>
  </w:abstractNum>
  <w:abstractNum w:abstractNumId="799">
    <w:nsid w:val="1094D84E"/>
    <w:multiLevelType w:val="hybridMultilevel"/>
    <w:lvl w:ilvl="0">
      <w:lvlJc w:val="left"/>
      <w:lvlText w:val="(%1)"/>
      <w:numFmt w:val="lowerLetter"/>
      <w:start w:val="1"/>
    </w:lvl>
  </w:abstractNum>
  <w:abstractNum w:abstractNumId="800">
    <w:nsid w:val="529FF4EC"/>
    <w:multiLevelType w:val="hybridMultilevel"/>
    <w:lvl w:ilvl="0">
      <w:lvlJc w:val="left"/>
      <w:lvlText w:val="2"/>
      <w:numFmt w:val="bullet"/>
      <w:start w:val="1"/>
    </w:lvl>
  </w:abstractNum>
  <w:abstractNum w:abstractNumId="801">
    <w:nsid w:val="75A18AC2"/>
    <w:multiLevelType w:val="hybridMultilevel"/>
    <w:lvl w:ilvl="0">
      <w:lvlJc w:val="left"/>
      <w:lvlText w:val="(%1)"/>
      <w:numFmt w:val="lowerLetter"/>
      <w:start w:val="1"/>
    </w:lvl>
  </w:abstractNum>
  <w:abstractNum w:abstractNumId="802">
    <w:nsid w:val="45EB77E8"/>
    <w:multiLevelType w:val="hybridMultilevel"/>
    <w:lvl w:ilvl="0">
      <w:lvlJc w:val="left"/>
      <w:lvlText w:val="(%1)"/>
      <w:numFmt w:val="lowerLetter"/>
      <w:start w:val="2"/>
    </w:lvl>
  </w:abstractNum>
  <w:abstractNum w:abstractNumId="803">
    <w:nsid w:val="469BE822"/>
    <w:multiLevelType w:val="hybridMultilevel"/>
    <w:lvl w:ilvl="0">
      <w:lvlJc w:val="left"/>
      <w:lvlText w:val="(%1)"/>
      <w:numFmt w:val="lowerLetter"/>
      <w:start w:val="3"/>
    </w:lvl>
  </w:abstractNum>
  <w:abstractNum w:abstractNumId="804">
    <w:nsid w:val="618ED516"/>
    <w:multiLevelType w:val="hybridMultilevel"/>
    <w:lvl w:ilvl="0">
      <w:lvlJc w:val="left"/>
      <w:lvlText w:val="(%1)"/>
      <w:numFmt w:val="lowerLetter"/>
      <w:start w:val="4"/>
    </w:lvl>
    <w:lvl w:ilvl="1">
      <w:lvlJc w:val="left"/>
      <w:lvlText w:val="(%2)"/>
      <w:numFmt w:val="lowerRoman"/>
      <w:start w:val="1"/>
    </w:lvl>
  </w:abstractNum>
  <w:abstractNum w:abstractNumId="805">
    <w:nsid w:val="5869DD6D"/>
    <w:multiLevelType w:val="hybridMultilevel"/>
    <w:lvl w:ilvl="0">
      <w:lvlJc w:val="left"/>
      <w:lvlText w:val="3"/>
      <w:numFmt w:val="bullet"/>
      <w:start w:val="1"/>
    </w:lvl>
  </w:abstractNum>
  <w:abstractNum w:abstractNumId="806">
    <w:nsid w:val="1826E411"/>
    <w:multiLevelType w:val="hybridMultilevel"/>
    <w:lvl w:ilvl="0">
      <w:lvlJc w:val="left"/>
      <w:lvlText w:val="(%1)"/>
      <w:numFmt w:val="lowerLetter"/>
      <w:start w:val="1"/>
    </w:lvl>
  </w:abstractNum>
  <w:abstractNum w:abstractNumId="807">
    <w:nsid w:val="2104219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08">
    <w:nsid w:val="39797F44"/>
    <w:multiLevelType w:val="hybridMultilevel"/>
    <w:lvl w:ilvl="0">
      <w:lvlJc w:val="left"/>
      <w:lvlText w:val="(%1)"/>
      <w:numFmt w:val="upperLetter"/>
      <w:start w:val="3"/>
    </w:lvl>
  </w:abstractNum>
  <w:abstractNum w:abstractNumId="809">
    <w:nsid w:val="686F963D"/>
    <w:multiLevelType w:val="hybridMultilevel"/>
    <w:lvl w:ilvl="0">
      <w:lvlJc w:val="left"/>
      <w:lvlText w:val="(%1)"/>
      <w:numFmt w:val="lowerLetter"/>
      <w:start w:val="6"/>
    </w:lvl>
  </w:abstractNum>
  <w:abstractNum w:abstractNumId="810">
    <w:nsid w:val="4676956C"/>
    <w:multiLevelType w:val="hybridMultilevel"/>
    <w:lvl w:ilvl="0">
      <w:lvlJc w:val="left"/>
      <w:lvlText w:val="(%1)"/>
      <w:numFmt w:val="lowerLetter"/>
      <w:start w:val="1"/>
    </w:lvl>
  </w:abstractNum>
  <w:abstractNum w:abstractNumId="811">
    <w:nsid w:val="7492AC41"/>
    <w:multiLevelType w:val="hybridMultilevel"/>
    <w:lvl w:ilvl="0">
      <w:lvlJc w:val="left"/>
      <w:lvlText w:val="(%1)"/>
      <w:numFmt w:val="lowerLetter"/>
      <w:start w:val="2"/>
    </w:lvl>
  </w:abstractNum>
  <w:abstractNum w:abstractNumId="812">
    <w:nsid w:val="F777C5F"/>
    <w:multiLevelType w:val="hybridMultilevel"/>
    <w:lvl w:ilvl="0">
      <w:lvlJc w:val="left"/>
      <w:lvlText w:val="(%1)"/>
      <w:numFmt w:val="lowerLetter"/>
      <w:start w:val="1"/>
    </w:lvl>
  </w:abstractNum>
  <w:abstractNum w:abstractNumId="813">
    <w:nsid w:val="582340F8"/>
    <w:multiLevelType w:val="hybridMultilevel"/>
    <w:lvl w:ilvl="0">
      <w:lvlJc w:val="left"/>
      <w:lvlText w:val="(%1)"/>
      <w:numFmt w:val="lowerLetter"/>
      <w:start w:val="1"/>
    </w:lvl>
  </w:abstractNum>
  <w:abstractNum w:abstractNumId="814">
    <w:nsid w:val="19198108"/>
    <w:multiLevelType w:val="hybridMultilevel"/>
    <w:lvl w:ilvl="0">
      <w:lvlJc w:val="left"/>
      <w:lvlText w:val="(%1)"/>
      <w:numFmt w:val="lowerLetter"/>
      <w:start w:val="2"/>
    </w:lvl>
  </w:abstractNum>
  <w:abstractNum w:abstractNumId="815">
    <w:nsid w:val="290F0F32"/>
    <w:multiLevelType w:val="hybridMultilevel"/>
    <w:lvl w:ilvl="0">
      <w:lvlJc w:val="left"/>
      <w:lvlText w:val="(%1)"/>
      <w:numFmt w:val="decimal"/>
      <w:start w:val="2"/>
    </w:lvl>
  </w:abstractNum>
  <w:abstractNum w:abstractNumId="816">
    <w:nsid w:val="78C999B4"/>
    <w:multiLevelType w:val="hybridMultilevel"/>
    <w:lvl w:ilvl="0">
      <w:lvlJc w:val="left"/>
      <w:lvlText w:val="4"/>
      <w:numFmt w:val="bullet"/>
      <w:start w:val="1"/>
    </w:lvl>
  </w:abstractNum>
  <w:abstractNum w:abstractNumId="817">
    <w:nsid w:val="62E5FD99"/>
    <w:multiLevelType w:val="hybridMultilevel"/>
    <w:lvl w:ilvl="0">
      <w:lvlJc w:val="left"/>
      <w:lvlText w:val="(%1)"/>
      <w:numFmt w:val="lowerLetter"/>
      <w:start w:val="1"/>
    </w:lvl>
  </w:abstractNum>
  <w:abstractNum w:abstractNumId="818">
    <w:nsid w:val="C013BE2"/>
    <w:multiLevelType w:val="hybridMultilevel"/>
    <w:lvl w:ilvl="0">
      <w:lvlJc w:val="left"/>
      <w:lvlText w:val="(%1)"/>
      <w:numFmt w:val="lowerLetter"/>
      <w:start w:val="2"/>
    </w:lvl>
  </w:abstractNum>
  <w:abstractNum w:abstractNumId="819">
    <w:nsid w:val="5ADA634"/>
    <w:multiLevelType w:val="hybridMultilevel"/>
    <w:lvl w:ilvl="0">
      <w:lvlJc w:val="left"/>
      <w:lvlText w:val="(%1)"/>
      <w:numFmt w:val="lowerLetter"/>
      <w:start w:val="5"/>
    </w:lvl>
    <w:lvl w:ilvl="1">
      <w:lvlJc w:val="left"/>
      <w:lvlText w:val="(%2)"/>
      <w:numFmt w:val="lowerRoman"/>
      <w:start w:val="1"/>
    </w:lvl>
  </w:abstractNum>
  <w:abstractNum w:abstractNumId="820">
    <w:nsid w:val="2D0869EF"/>
    <w:multiLevelType w:val="hybridMultilevel"/>
    <w:lvl w:ilvl="0">
      <w:lvlJc w:val="left"/>
      <w:lvlText w:val="(%1)"/>
      <w:numFmt w:val="lowerLetter"/>
      <w:start w:val="1"/>
    </w:lvl>
  </w:abstractNum>
  <w:abstractNum w:abstractNumId="821">
    <w:nsid w:val="46ECA72A"/>
    <w:multiLevelType w:val="hybridMultilevel"/>
    <w:lvl w:ilvl="0">
      <w:lvlJc w:val="left"/>
      <w:lvlText w:val="%1"/>
      <w:numFmt w:val="lowerLetter"/>
      <w:start w:val="1"/>
    </w:lvl>
    <w:lvl w:ilvl="1">
      <w:lvlJc w:val="left"/>
      <w:lvlText w:val="(%2)"/>
      <w:numFmt w:val="lowerRoman"/>
      <w:start w:val="1"/>
    </w:lvl>
  </w:abstractNum>
  <w:abstractNum w:abstractNumId="822">
    <w:nsid w:val="2A4BBBE0"/>
    <w:multiLevelType w:val="hybridMultilevel"/>
    <w:lvl w:ilvl="0">
      <w:lvlJc w:val="left"/>
      <w:lvlText w:val="(%1)"/>
      <w:numFmt w:val="lowerLetter"/>
      <w:start w:val="3"/>
    </w:lvl>
    <w:lvl w:ilvl="1">
      <w:lvlJc w:val="left"/>
      <w:lvlText w:val="(%2)"/>
      <w:numFmt w:val="lowerRoman"/>
      <w:start w:val="1"/>
    </w:lvl>
  </w:abstractNum>
  <w:abstractNum w:abstractNumId="823">
    <w:nsid w:val="3E11D757"/>
    <w:multiLevelType w:val="hybridMultilevel"/>
    <w:lvl w:ilvl="0">
      <w:lvlJc w:val="left"/>
      <w:lvlText w:val="(%1)"/>
      <w:numFmt w:val="lowerRoman"/>
      <w:start w:val="2"/>
    </w:lvl>
  </w:abstractNum>
  <w:abstractNum w:abstractNumId="824">
    <w:nsid w:val="357F4A69"/>
    <w:multiLevelType w:val="hybridMultilevel"/>
    <w:lvl w:ilvl="0">
      <w:lvlJc w:val="left"/>
      <w:lvlText w:val="(%1)"/>
      <w:numFmt w:val="lowerLetter"/>
      <w:start w:val="1"/>
    </w:lvl>
  </w:abstractNum>
  <w:abstractNum w:abstractNumId="825">
    <w:nsid w:val="5D603510"/>
    <w:multiLevelType w:val="hybridMultilevel"/>
    <w:lvl w:ilvl="0">
      <w:lvlJc w:val="left"/>
      <w:lvlText w:val="(%1)"/>
      <w:numFmt w:val="lowerLetter"/>
      <w:start w:val="1"/>
    </w:lvl>
  </w:abstractNum>
  <w:abstractNum w:abstractNumId="826">
    <w:nsid w:val="2600995"/>
    <w:multiLevelType w:val="hybridMultilevel"/>
    <w:lvl w:ilvl="0">
      <w:lvlJc w:val="left"/>
      <w:lvlText w:val="(%1)"/>
      <w:numFmt w:val="lowerLetter"/>
      <w:start w:val="7"/>
    </w:lvl>
  </w:abstractNum>
  <w:abstractNum w:abstractNumId="827">
    <w:nsid w:val="23E1696"/>
    <w:multiLevelType w:val="hybridMultilevel"/>
    <w:lvl w:ilvl="0">
      <w:lvlJc w:val="left"/>
      <w:lvlText w:val="5"/>
      <w:numFmt w:val="bullet"/>
      <w:start w:val="1"/>
    </w:lvl>
  </w:abstractNum>
  <w:abstractNum w:abstractNumId="828">
    <w:nsid w:val="1A22C17E"/>
    <w:multiLevelType w:val="hybridMultilevel"/>
    <w:lvl w:ilvl="0">
      <w:lvlJc w:val="left"/>
      <w:lvlText w:val="(%1)"/>
      <w:numFmt w:val="lowerLetter"/>
      <w:start w:val="1"/>
    </w:lvl>
  </w:abstractNum>
  <w:abstractNum w:abstractNumId="829">
    <w:nsid w:val="6B2BB8C2"/>
    <w:multiLevelType w:val="hybridMultilevel"/>
    <w:lvl w:ilvl="0">
      <w:lvlJc w:val="left"/>
      <w:lvlText w:val="(%1)"/>
      <w:numFmt w:val="lowerLetter"/>
      <w:start w:val="3"/>
    </w:lvl>
  </w:abstractNum>
  <w:abstractNum w:abstractNumId="830">
    <w:nsid w:val="12D2EEE5"/>
    <w:multiLevelType w:val="hybridMultilevel"/>
    <w:lvl w:ilvl="0">
      <w:lvlJc w:val="left"/>
      <w:lvlText w:val="(%1)"/>
      <w:numFmt w:val="lowerLetter"/>
      <w:start w:val="1"/>
    </w:lvl>
  </w:abstractNum>
  <w:abstractNum w:abstractNumId="831">
    <w:nsid w:val="6CC2B66A"/>
    <w:multiLevelType w:val="hybridMultilevel"/>
    <w:lvl w:ilvl="0">
      <w:lvlJc w:val="left"/>
      <w:lvlText w:val="%1"/>
      <w:numFmt w:val="lowerLetter"/>
      <w:start w:val="1"/>
    </w:lvl>
    <w:lvl w:ilvl="1">
      <w:lvlJc w:val="left"/>
      <w:lvlText w:val="(%2)"/>
      <w:numFmt w:val="lowerLetter"/>
      <w:start w:val="3"/>
    </w:lvl>
  </w:abstractNum>
  <w:abstractNum w:abstractNumId="832">
    <w:nsid w:val="60CD4385"/>
    <w:multiLevelType w:val="hybridMultilevel"/>
    <w:lvl w:ilvl="0">
      <w:lvlJc w:val="left"/>
      <w:lvlText w:val="(%1)"/>
      <w:numFmt w:val="lowerLetter"/>
      <w:start w:val="3"/>
    </w:lvl>
    <w:lvl w:ilvl="1">
      <w:lvlJc w:val="left"/>
      <w:lvlText w:val="%2"/>
      <w:numFmt w:val="lowerLetter"/>
      <w:start w:val="1"/>
    </w:lvl>
  </w:abstractNum>
  <w:abstractNum w:abstractNumId="833">
    <w:nsid w:val="58BE66CD"/>
    <w:multiLevelType w:val="hybridMultilevel"/>
    <w:lvl w:ilvl="0">
      <w:lvlJc w:val="left"/>
      <w:lvlText w:val="(%1)"/>
      <w:numFmt w:val="lowerLetter"/>
      <w:start w:val="4"/>
    </w:lvl>
  </w:abstractNum>
  <w:abstractNum w:abstractNumId="834">
    <w:nsid w:val="335E9E8D"/>
    <w:multiLevelType w:val="hybridMultilevel"/>
    <w:lvl w:ilvl="0">
      <w:lvlJc w:val="left"/>
      <w:lvlText w:val="(%1)"/>
      <w:numFmt w:val="lowerLetter"/>
      <w:start w:val="1"/>
    </w:lvl>
  </w:abstractNum>
  <w:abstractNum w:abstractNumId="835">
    <w:nsid w:val="425C189B"/>
    <w:multiLevelType w:val="hybridMultilevel"/>
    <w:lvl w:ilvl="0">
      <w:lvlJc w:val="left"/>
      <w:lvlText w:val="(%1)"/>
      <w:numFmt w:val="lowerLetter"/>
      <w:start w:val="1"/>
    </w:lvl>
  </w:abstractNum>
  <w:abstractNum w:abstractNumId="836">
    <w:nsid w:val="3128443A"/>
    <w:multiLevelType w:val="hybridMultilevel"/>
    <w:lvl w:ilvl="0">
      <w:lvlJc w:val="left"/>
      <w:lvlText w:val="6"/>
      <w:numFmt w:val="bullet"/>
      <w:start w:val="1"/>
    </w:lvl>
  </w:abstractNum>
  <w:abstractNum w:abstractNumId="837">
    <w:nsid w:val="4B85829E"/>
    <w:multiLevelType w:val="hybridMultilevel"/>
    <w:lvl w:ilvl="0">
      <w:lvlJc w:val="left"/>
      <w:lvlText w:val="(%1)"/>
      <w:numFmt w:val="lowerLetter"/>
      <w:start w:val="1"/>
    </w:lvl>
  </w:abstractNum>
  <w:abstractNum w:abstractNumId="838">
    <w:nsid w:val="63603A2C"/>
    <w:multiLevelType w:val="hybridMultilevel"/>
    <w:lvl w:ilvl="0">
      <w:lvlJc w:val="left"/>
      <w:lvlText w:val="(%1)"/>
      <w:numFmt w:val="lowerLetter"/>
      <w:start w:val="2"/>
    </w:lvl>
  </w:abstractNum>
  <w:abstractNum w:abstractNumId="839">
    <w:nsid w:val="6AA1C37E"/>
    <w:multiLevelType w:val="hybridMultilevel"/>
    <w:lvl w:ilvl="0">
      <w:lvlJc w:val="left"/>
      <w:lvlText w:val="(%1)"/>
      <w:numFmt w:val="lowerLetter"/>
      <w:start w:val="3"/>
    </w:lvl>
  </w:abstractNum>
  <w:abstractNum w:abstractNumId="840">
    <w:nsid w:val="33F518DB"/>
    <w:multiLevelType w:val="hybridMultilevel"/>
    <w:lvl w:ilvl="0">
      <w:lvlJc w:val="left"/>
      <w:lvlText w:val="7"/>
      <w:numFmt w:val="bullet"/>
      <w:start w:val="1"/>
    </w:lvl>
  </w:abstractNum>
  <w:abstractNum w:abstractNumId="841">
    <w:nsid w:val="29D6CF99"/>
    <w:multiLevelType w:val="hybridMultilevel"/>
    <w:lvl w:ilvl="0">
      <w:lvlJc w:val="left"/>
      <w:lvlText w:val="(%1)"/>
      <w:numFmt w:val="lowerLetter"/>
      <w:start w:val="1"/>
    </w:lvl>
    <w:lvl w:ilvl="1">
      <w:lvlJc w:val="left"/>
      <w:lvlText w:val="(%2)"/>
      <w:numFmt w:val="lowerRoman"/>
      <w:start w:val="1"/>
    </w:lvl>
  </w:abstractNum>
  <w:abstractNum w:abstractNumId="842">
    <w:nsid w:val="5F346FC0"/>
    <w:multiLevelType w:val="hybridMultilevel"/>
    <w:lvl w:ilvl="0">
      <w:lvlJc w:val="left"/>
      <w:lvlText w:val="(%1)"/>
      <w:numFmt w:val="lowerRoman"/>
      <w:start w:val="3"/>
    </w:lvl>
  </w:abstractNum>
  <w:abstractNum w:abstractNumId="843">
    <w:nsid w:val="436C953A"/>
    <w:multiLevelType w:val="hybridMultilevel"/>
    <w:lvl w:ilvl="0">
      <w:lvlJc w:val="left"/>
      <w:lvlText w:val="(%1)"/>
      <w:numFmt w:val="lowerLetter"/>
      <w:start w:val="2"/>
    </w:lvl>
    <w:lvl w:ilvl="1">
      <w:lvlJc w:val="left"/>
      <w:lvlText w:val="(%2)"/>
      <w:numFmt w:val="lowerRoman"/>
      <w:start w:val="1"/>
    </w:lvl>
  </w:abstractNum>
  <w:abstractNum w:abstractNumId="844">
    <w:nsid w:val="1FA1091"/>
    <w:multiLevelType w:val="hybridMultilevel"/>
    <w:lvl w:ilvl="0">
      <w:lvlJc w:val="left"/>
      <w:lvlText w:val="(%1)"/>
      <w:numFmt w:val="lowerRoman"/>
      <w:start w:val="1"/>
    </w:lvl>
  </w:abstractNum>
  <w:abstractNum w:abstractNumId="845">
    <w:nsid w:val="784DF0C8"/>
    <w:multiLevelType w:val="hybridMultilevel"/>
    <w:lvl w:ilvl="0">
      <w:lvlJc w:val="left"/>
      <w:lvlText w:val="(%1)"/>
      <w:numFmt w:val="lowerRoman"/>
      <w:start w:val="2"/>
    </w:lvl>
  </w:abstractNum>
  <w:abstractNum w:abstractNumId="846">
    <w:nsid w:val="6C7BA46C"/>
    <w:multiLevelType w:val="hybridMultilevel"/>
    <w:lvl w:ilvl="0">
      <w:lvlJc w:val="left"/>
      <w:lvlText w:val="(%1)"/>
      <w:numFmt w:val="lowerRoman"/>
      <w:start w:val="3"/>
    </w:lvl>
  </w:abstractNum>
  <w:abstractNum w:abstractNumId="847">
    <w:nsid w:val="7AC3AA45"/>
    <w:multiLevelType w:val="hybridMultilevel"/>
    <w:lvl w:ilvl="0">
      <w:lvlJc w:val="left"/>
      <w:lvlText w:val="8"/>
      <w:numFmt w:val="bullet"/>
      <w:start w:val="1"/>
    </w:lvl>
  </w:abstractNum>
  <w:abstractNum w:abstractNumId="848">
    <w:nsid w:val="5B33EE61"/>
    <w:multiLevelType w:val="hybridMultilevel"/>
    <w:lvl w:ilvl="0">
      <w:lvlJc w:val="left"/>
      <w:lvlText w:val="(%1)"/>
      <w:numFmt w:val="lowerRoman"/>
      <w:start w:val="3"/>
    </w:lvl>
  </w:abstractNum>
  <w:abstractNum w:abstractNumId="849">
    <w:nsid w:val="787CE04F"/>
    <w:multiLevelType w:val="hybridMultilevel"/>
    <w:lvl w:ilvl="0">
      <w:lvlJc w:val="left"/>
      <w:lvlText w:val="(%1)"/>
      <w:numFmt w:val="lowerLetter"/>
      <w:start w:val="1"/>
    </w:lvl>
  </w:abstractNum>
  <w:abstractNum w:abstractNumId="850">
    <w:nsid w:val="715079"/>
    <w:multiLevelType w:val="hybridMultilevel"/>
    <w:lvl w:ilvl="0">
      <w:lvlJc w:val="left"/>
      <w:lvlText w:val="(%1)"/>
      <w:numFmt w:val="lowerLetter"/>
      <w:start w:val="1"/>
    </w:lvl>
    <w:lvl w:ilvl="1">
      <w:lvlJc w:val="left"/>
      <w:lvlText w:val="[***]"/>
      <w:numFmt w:val="bullet"/>
      <w:start w:val="1"/>
    </w:lvl>
  </w:abstractNum>
  <w:abstractNum w:abstractNumId="851">
    <w:nsid w:val="83C5851"/>
    <w:multiLevelType w:val="hybridMultilevel"/>
    <w:lvl w:ilvl="0">
      <w:lvlJc w:val="left"/>
      <w:lvlText w:val="(%1)"/>
      <w:numFmt w:val="lowerLetter"/>
      <w:start w:val="2"/>
    </w:lvl>
  </w:abstractNum>
  <w:abstractNum w:abstractNumId="852">
    <w:nsid w:val="3F698779"/>
    <w:multiLevelType w:val="hybridMultilevel"/>
    <w:lvl w:ilvl="0">
      <w:lvlJc w:val="left"/>
      <w:lvlText w:val="(%1)"/>
      <w:numFmt w:val="lowerRoman"/>
      <w:start w:val="1"/>
    </w:lvl>
  </w:abstractNum>
  <w:abstractNum w:abstractNumId="853">
    <w:nsid w:val="2ABD0C5A"/>
    <w:multiLevelType w:val="hybridMultilevel"/>
    <w:lvl w:ilvl="0">
      <w:lvlJc w:val="left"/>
      <w:lvlText w:val="(%1)"/>
      <w:numFmt w:val="lowerRoman"/>
      <w:start w:val="2"/>
    </w:lvl>
  </w:abstractNum>
  <w:abstractNum w:abstractNumId="854">
    <w:nsid w:val="464E2FA8"/>
    <w:multiLevelType w:val="hybridMultilevel"/>
    <w:lvl w:ilvl="0">
      <w:lvlJc w:val="left"/>
      <w:lvlText w:val="(%1)"/>
      <w:numFmt w:val="lowerRoman"/>
      <w:start w:val="3"/>
    </w:lvl>
    <w:lvl w:ilvl="1">
      <w:lvlJc w:val="left"/>
      <w:lvlText w:val="(%2)"/>
      <w:numFmt w:val="upperLetter"/>
      <w:start w:val="1"/>
    </w:lvl>
  </w:abstractNum>
  <w:abstractNum w:abstractNumId="855">
    <w:nsid w:val="74E8D1E3"/>
    <w:multiLevelType w:val="hybridMultilevel"/>
    <w:lvl w:ilvl="0">
      <w:lvlJc w:val="left"/>
      <w:lvlText w:val="%1"/>
      <w:numFmt w:val="lowerRoman"/>
      <w:start w:val="1"/>
    </w:lvl>
    <w:lvl w:ilvl="1">
      <w:lvlJc w:val="left"/>
      <w:lvlText w:val="(%2)"/>
      <w:numFmt w:val="upperLetter"/>
      <w:start w:val="2"/>
    </w:lvl>
  </w:abstractNum>
  <w:abstractNum w:abstractNumId="856">
    <w:nsid w:val="81D416A"/>
    <w:multiLevelType w:val="hybridMultilevel"/>
    <w:lvl w:ilvl="0">
      <w:lvlJc w:val="left"/>
      <w:lvlText w:val="(%1)"/>
      <w:numFmt w:val="lowerRoman"/>
      <w:start w:val="4"/>
    </w:lvl>
    <w:lvl w:ilvl="1">
      <w:lvlJc w:val="left"/>
      <w:lvlText w:val="%2"/>
      <w:numFmt w:val="upperLetter"/>
      <w:start w:val="1"/>
    </w:lvl>
  </w:abstractNum>
  <w:abstractNum w:abstractNumId="857">
    <w:nsid w:val="48AE393E"/>
    <w:multiLevelType w:val="hybridMultilevel"/>
    <w:lvl w:ilvl="0">
      <w:lvlJc w:val="left"/>
      <w:lvlText w:val="(%1)"/>
      <w:numFmt w:val="lowerLetter"/>
      <w:start w:val="3"/>
    </w:lvl>
  </w:abstractNum>
  <w:abstractNum w:abstractNumId="858">
    <w:nsid w:val="7726E879"/>
    <w:multiLevelType w:val="hybridMultilevel"/>
    <w:lvl w:ilvl="0">
      <w:lvlJc w:val="left"/>
      <w:lvlText w:val="[***]"/>
      <w:numFmt w:val="bullet"/>
      <w:start w:val="1"/>
    </w:lvl>
  </w:abstractNum>
  <w:abstractNum w:abstractNumId="859">
    <w:nsid w:val="224002E8"/>
    <w:multiLevelType w:val="hybridMultilevel"/>
    <w:lvl w:ilvl="0">
      <w:lvlJc w:val="left"/>
      <w:lvlText w:val="(%1)"/>
      <w:numFmt w:val="lowerLetter"/>
      <w:start w:val="1"/>
    </w:lvl>
    <w:lvl w:ilvl="1">
      <w:lvlJc w:val="left"/>
      <w:lvlText w:val="[***]"/>
      <w:numFmt w:val="bullet"/>
      <w:start w:val="1"/>
    </w:lvl>
  </w:abstractNum>
  <w:abstractNum w:abstractNumId="860">
    <w:nsid w:val="33D9F200"/>
    <w:multiLevelType w:val="hybridMultilevel"/>
    <w:lvl w:ilvl="0">
      <w:lvlJc w:val="left"/>
      <w:lvlText w:val="(%1)"/>
      <w:numFmt w:val="lowerLetter"/>
      <w:start w:val="2"/>
    </w:lvl>
  </w:abstractNum>
  <w:abstractNum w:abstractNumId="861">
    <w:nsid w:val="9F9D75E"/>
    <w:multiLevelType w:val="hybridMultilevel"/>
    <w:lvl w:ilvl="0">
      <w:lvlJc w:val="left"/>
      <w:lvlText w:val="9"/>
      <w:numFmt w:val="bullet"/>
      <w:start w:val="1"/>
    </w:lvl>
  </w:abstractNum>
  <w:abstractNum w:abstractNumId="862">
    <w:nsid w:val="F02B952"/>
    <w:multiLevelType w:val="hybridMultilevel"/>
    <w:lvl w:ilvl="0">
      <w:lvlJc w:val="left"/>
      <w:lvlText w:val="(%1)"/>
      <w:numFmt w:val="lowerLetter"/>
      <w:start w:val="1"/>
    </w:lvl>
    <w:lvl w:ilvl="1">
      <w:lvlJc w:val="left"/>
      <w:lvlText w:val="(%2)"/>
      <w:numFmt w:val="lowerLetter"/>
      <w:start w:val="9"/>
    </w:lvl>
  </w:abstractNum>
  <w:abstractNum w:abstractNumId="863">
    <w:nsid w:val="14A73585"/>
    <w:multiLevelType w:val="hybridMultilevel"/>
    <w:lvl w:ilvl="0">
      <w:lvlJc w:val="left"/>
      <w:lvlText w:val="(%1)"/>
      <w:numFmt w:val="lowerRoman"/>
      <w:start w:val="2"/>
    </w:lvl>
  </w:abstractNum>
  <w:abstractNum w:abstractNumId="864">
    <w:nsid w:val="62B83E2B"/>
    <w:multiLevelType w:val="hybridMultilevel"/>
    <w:lvl w:ilvl="0">
      <w:lvlJc w:val="left"/>
      <w:lvlText w:val="(%1)"/>
      <w:numFmt w:val="lowerLetter"/>
      <w:start w:val="2"/>
    </w:lvl>
  </w:abstractNum>
  <w:abstractNum w:abstractNumId="865">
    <w:nsid w:val="426157DF"/>
    <w:multiLevelType w:val="hybridMultilevel"/>
    <w:lvl w:ilvl="0">
      <w:lvlJc w:val="left"/>
      <w:lvlText w:val="(%1)"/>
      <w:numFmt w:val="lowerLetter"/>
      <w:start w:val="1"/>
    </w:lvl>
  </w:abstractNum>
  <w:abstractNum w:abstractNumId="866">
    <w:nsid w:val="57034E20"/>
    <w:multiLevelType w:val="hybridMultilevel"/>
    <w:lvl w:ilvl="0">
      <w:lvlJc w:val="left"/>
      <w:lvlText w:val="(%1)"/>
      <w:numFmt w:val="lowerLetter"/>
      <w:start w:val="3"/>
    </w:lvl>
  </w:abstractNum>
  <w:abstractNum w:abstractNumId="867">
    <w:nsid w:val="13E08266"/>
    <w:multiLevelType w:val="hybridMultilevel"/>
    <w:lvl w:ilvl="0">
      <w:lvlJc w:val="left"/>
      <w:lvlText w:val="(%1)"/>
      <w:numFmt w:val="lowerLetter"/>
      <w:start w:val="1"/>
    </w:lvl>
  </w:abstractNum>
  <w:abstractNum w:abstractNumId="868">
    <w:nsid w:val="DE6DA7D"/>
    <w:multiLevelType w:val="hybridMultilevel"/>
    <w:lvl w:ilvl="0">
      <w:lvlJc w:val="left"/>
      <w:lvlText w:val="(%1)"/>
      <w:numFmt w:val="lowerLetter"/>
      <w:start w:val="3"/>
    </w:lvl>
  </w:abstractNum>
  <w:abstractNum w:abstractNumId="869">
    <w:nsid w:val="3A63884D"/>
    <w:multiLevelType w:val="hybridMultilevel"/>
    <w:lvl w:ilvl="0">
      <w:lvlJc w:val="left"/>
      <w:lvlText w:val="(%1)"/>
      <w:numFmt w:val="lowerLetter"/>
      <w:start w:val="1"/>
    </w:lvl>
  </w:abstractNum>
  <w:abstractNum w:abstractNumId="870">
    <w:nsid w:val="7E8245E4"/>
    <w:multiLevelType w:val="hybridMultilevel"/>
    <w:lvl w:ilvl="0">
      <w:lvlJc w:val="left"/>
      <w:lvlText w:val="(%1)"/>
      <w:numFmt w:val="lowerLetter"/>
      <w:start w:val="2"/>
    </w:lvl>
    <w:lvl w:ilvl="1">
      <w:lvlJc w:val="left"/>
      <w:lvlText w:val="(%2)"/>
      <w:numFmt w:val="lowerLetter"/>
      <w:start w:val="4"/>
    </w:lvl>
  </w:abstractNum>
  <w:abstractNum w:abstractNumId="871">
    <w:nsid w:val="41DBF358"/>
    <w:multiLevelType w:val="hybridMultilevel"/>
    <w:lvl w:ilvl="0">
      <w:lvlJc w:val="left"/>
      <w:lvlText w:val="(%1)"/>
      <w:numFmt w:val="lowerRoman"/>
      <w:start w:val="1"/>
    </w:lvl>
  </w:abstractNum>
  <w:abstractNum w:abstractNumId="872">
    <w:nsid w:val="643A57E6"/>
    <w:multiLevelType w:val="hybridMultilevel"/>
    <w:lvl w:ilvl="0">
      <w:lvlJc w:val="left"/>
      <w:lvlText w:val="%1"/>
      <w:numFmt w:val="lowerRoman"/>
      <w:start w:val="1"/>
    </w:lvl>
    <w:lvl w:ilvl="1">
      <w:lvlJc w:val="left"/>
      <w:lvlText w:val="(%2)"/>
      <w:numFmt w:val="upperLetter"/>
      <w:start w:val="4"/>
    </w:lvl>
  </w:abstractNum>
  <w:abstractNum w:abstractNumId="873">
    <w:nsid w:val="5DB6B5A4"/>
    <w:multiLevelType w:val="hybridMultilevel"/>
    <w:lvl w:ilvl="0">
      <w:lvlJc w:val="left"/>
      <w:lvlText w:val="(%1)"/>
      <w:numFmt w:val="lowerRoman"/>
      <w:start w:val="2"/>
    </w:lvl>
    <w:lvl w:ilvl="1">
      <w:lvlJc w:val="left"/>
      <w:lvlText w:val="%2"/>
      <w:numFmt w:val="upperLetter"/>
      <w:start w:val="1"/>
    </w:lvl>
  </w:abstractNum>
  <w:abstractNum w:abstractNumId="874">
    <w:nsid w:val="5488892"/>
    <w:multiLevelType w:val="hybridMultilevel"/>
    <w:lvl w:ilvl="0">
      <w:lvlJc w:val="left"/>
      <w:lvlText w:val="(%1)"/>
      <w:numFmt w:val="lowerLetter"/>
      <w:start w:val="5"/>
    </w:lvl>
  </w:abstractNum>
  <w:abstractNum w:abstractNumId="875">
    <w:nsid w:val="66346877"/>
    <w:multiLevelType w:val="hybridMultilevel"/>
    <w:lvl w:ilvl="0">
      <w:lvlJc w:val="left"/>
      <w:lvlText w:val="(%1)"/>
      <w:numFmt w:val="lowerLetter"/>
      <w:start w:val="1"/>
    </w:lvl>
  </w:abstractNum>
  <w:abstractNum w:abstractNumId="876">
    <w:nsid w:val="5604A66D"/>
    <w:multiLevelType w:val="hybridMultilevel"/>
    <w:lvl w:ilvl="0">
      <w:lvlJc w:val="left"/>
      <w:lvlText w:val="(%1)"/>
      <w:numFmt w:val="lowerLetter"/>
      <w:start w:val="3"/>
    </w:lvl>
  </w:abstractNum>
  <w:abstractNum w:abstractNumId="877">
    <w:nsid w:val="71C42CFF"/>
    <w:multiLevelType w:val="hybridMultilevel"/>
    <w:lvl w:ilvl="0">
      <w:lvlJc w:val="left"/>
      <w:lvlText w:val="(%1)"/>
      <w:numFmt w:val="lowerLetter"/>
      <w:start w:val="1"/>
    </w:lvl>
  </w:abstractNum>
  <w:abstractNum w:abstractNumId="878">
    <w:nsid w:val="60F812BD"/>
    <w:multiLevelType w:val="hybridMultilevel"/>
    <w:lvl w:ilvl="0">
      <w:lvlJc w:val="left"/>
      <w:lvlText w:val="(%1)"/>
      <w:numFmt w:val="lowerLetter"/>
      <w:start w:val="4"/>
    </w:lvl>
  </w:abstractNum>
  <w:abstractNum w:abstractNumId="879">
    <w:nsid w:val="313894CE"/>
    <w:multiLevelType w:val="hybridMultilevel"/>
    <w:lvl w:ilvl="0">
      <w:lvlJc w:val="left"/>
      <w:lvlText w:val="(%1)"/>
      <w:numFmt w:val="lowerLetter"/>
      <w:start w:val="7"/>
    </w:lvl>
  </w:abstractNum>
  <w:abstractNum w:abstractNumId="880">
    <w:nsid w:val="6A410D4E"/>
    <w:multiLevelType w:val="hybridMultilevel"/>
    <w:lvl w:ilvl="0">
      <w:lvlJc w:val="left"/>
      <w:lvlText w:val="(%1)"/>
      <w:numFmt w:val="lowerLetter"/>
      <w:start w:val="12"/>
    </w:lvl>
  </w:abstractNum>
  <w:abstractNum w:abstractNumId="881">
    <w:nsid w:val="61696336"/>
    <w:multiLevelType w:val="hybridMultilevel"/>
    <w:lvl w:ilvl="0">
      <w:lvlJc w:val="left"/>
      <w:lvlText w:val="(%1)"/>
      <w:numFmt w:val="lowerLetter"/>
      <w:start w:val="1"/>
    </w:lvl>
  </w:abstractNum>
  <w:abstractNum w:abstractNumId="882">
    <w:nsid w:val="3974ED1F"/>
    <w:multiLevelType w:val="hybridMultilevel"/>
    <w:lvl w:ilvl="0">
      <w:lvlJc w:val="left"/>
      <w:lvlText w:val="(%1)"/>
      <w:numFmt w:val="lowerLetter"/>
      <w:start w:val="3"/>
    </w:lvl>
  </w:abstractNum>
  <w:abstractNum w:abstractNumId="883">
    <w:nsid w:val="29AA94C7"/>
    <w:multiLevelType w:val="hybridMultilevel"/>
    <w:lvl w:ilvl="0">
      <w:lvlJc w:val="left"/>
      <w:lvlText w:val="(%1)"/>
      <w:numFmt w:val="lowerLetter"/>
      <w:start w:val="4"/>
    </w:lvl>
  </w:abstractNum>
  <w:abstractNum w:abstractNumId="884">
    <w:nsid w:val="C266F90"/>
    <w:multiLevelType w:val="hybridMultilevel"/>
    <w:lvl w:ilvl="0">
      <w:lvlJc w:val="left"/>
      <w:lvlText w:val="(%1)"/>
      <w:numFmt w:val="lowerLetter"/>
      <w:start w:val="7"/>
    </w:lvl>
  </w:abstractNum>
  <w:abstractNum w:abstractNumId="885">
    <w:nsid w:val="7FC31CC8"/>
    <w:multiLevelType w:val="hybridMultilevel"/>
    <w:lvl w:ilvl="0">
      <w:lvlJc w:val="left"/>
      <w:lvlText w:val="(%1)"/>
      <w:numFmt w:val="lowerLetter"/>
      <w:start w:val="1"/>
    </w:lvl>
  </w:abstractNum>
  <w:abstractNum w:abstractNumId="886">
    <w:nsid w:val="1E9366AA"/>
    <w:multiLevelType w:val="hybridMultilevel"/>
    <w:lvl w:ilvl="0">
      <w:lvlJc w:val="left"/>
      <w:lvlText w:val="(%1)"/>
      <w:numFmt w:val="lowerLetter"/>
      <w:start w:val="2"/>
    </w:lvl>
  </w:abstractNum>
  <w:abstractNum w:abstractNumId="887">
    <w:nsid w:val="1443B0FA"/>
    <w:multiLevelType w:val="hybridMultilevel"/>
    <w:lvl w:ilvl="0">
      <w:lvlJc w:val="left"/>
      <w:lvlText w:val="(%1)"/>
      <w:numFmt w:val="lowerLetter"/>
      <w:start w:val="1"/>
    </w:lvl>
  </w:abstractNum>
  <w:abstractNum w:abstractNumId="888">
    <w:nsid w:val="48715606"/>
    <w:multiLevelType w:val="hybridMultilevel"/>
    <w:lvl w:ilvl="0">
      <w:lvlJc w:val="left"/>
      <w:lvlText w:val="(%1)"/>
      <w:numFmt w:val="lowerLetter"/>
      <w:start w:val="5"/>
    </w:lvl>
  </w:abstractNum>
  <w:abstractNum w:abstractNumId="889">
    <w:nsid w:val="15BA4F24"/>
    <w:multiLevelType w:val="hybridMultilevel"/>
    <w:lvl w:ilvl="0">
      <w:lvlJc w:val="left"/>
      <w:lvlText w:val="(%1)"/>
      <w:numFmt w:val="lowerLetter"/>
      <w:start w:val="1"/>
    </w:lvl>
  </w:abstractNum>
  <w:abstractNum w:abstractNumId="890">
    <w:nsid w:val="3683B3E2"/>
    <w:multiLevelType w:val="hybridMultilevel"/>
    <w:lvl w:ilvl="0">
      <w:lvlJc w:val="left"/>
      <w:lvlText w:val="(%1)"/>
      <w:numFmt w:val="lowerLetter"/>
      <w:start w:val="1"/>
    </w:lvl>
  </w:abstractNum>
  <w:abstractNum w:abstractNumId="891">
    <w:nsid w:val="7C4B4806"/>
    <w:multiLevelType w:val="hybridMultilevel"/>
    <w:lvl w:ilvl="0">
      <w:lvlJc w:val="left"/>
      <w:lvlText w:val="(%1)"/>
      <w:numFmt w:val="lowerLetter"/>
      <w:start w:val="2"/>
    </w:lvl>
  </w:abstractNum>
  <w:abstractNum w:abstractNumId="892">
    <w:nsid w:val="1FB42682"/>
    <w:multiLevelType w:val="hybridMultilevel"/>
    <w:lvl w:ilvl="0">
      <w:lvlJc w:val="left"/>
      <w:lvlText w:val="(%1)"/>
      <w:numFmt w:val="lowerLetter"/>
      <w:start w:val="1"/>
    </w:lvl>
  </w:abstractNum>
  <w:abstractNum w:abstractNumId="893">
    <w:nsid w:val="45866D35"/>
    <w:multiLevelType w:val="hybridMultilevel"/>
    <w:lvl w:ilvl="0">
      <w:lvlJc w:val="left"/>
      <w:lvlText w:val="[***]"/>
      <w:numFmt w:val="bullet"/>
      <w:start w:val="1"/>
    </w:lvl>
  </w:abstractNum>
  <w:abstractNum w:abstractNumId="894">
    <w:nsid w:val="10F27D8C"/>
    <w:multiLevelType w:val="hybridMultilevel"/>
    <w:lvl w:ilvl="0">
      <w:lvlJc w:val="left"/>
      <w:lvlText w:val="%1."/>
      <w:numFmt w:val="decimal"/>
      <w:start w:val="1"/>
    </w:lvl>
  </w:abstractNum>
  <w:abstractNum w:abstractNumId="895">
    <w:nsid w:val="26C64AE"/>
    <w:multiLevelType w:val="hybridMultilevel"/>
    <w:lvl w:ilvl="0">
      <w:lvlJc w:val="left"/>
      <w:lvlText w:val="[***]"/>
      <w:numFmt w:val="bullet"/>
      <w:start w:val="1"/>
    </w:lvl>
  </w:abstractNum>
  <w:abstractNum w:abstractNumId="896">
    <w:nsid w:val="7E7C514"/>
    <w:multiLevelType w:val="hybridMultilevel"/>
    <w:lvl w:ilvl="0">
      <w:lvlJc w:val="left"/>
      <w:lvlText w:val="(%1)"/>
      <w:numFmt w:val="lowerLetter"/>
      <w:start w:val="2"/>
    </w:lvl>
  </w:abstractNum>
  <w:abstractNum w:abstractNumId="897">
    <w:nsid w:val="67F5CBAC"/>
    <w:multiLevelType w:val="hybridMultilevel"/>
    <w:lvl w:ilvl="0">
      <w:lvlJc w:val="left"/>
      <w:lvlText w:val="(%1)"/>
      <w:numFmt w:val="decimal"/>
      <w:start w:val="2"/>
    </w:lvl>
  </w:abstractNum>
  <w:abstractNum w:abstractNumId="898">
    <w:nsid w:val="164CE714"/>
    <w:multiLevelType w:val="hybridMultilevel"/>
    <w:lvl w:ilvl="0">
      <w:lvlJc w:val="left"/>
      <w:lvlText w:val="(%1)"/>
      <w:numFmt w:val="lowerLetter"/>
      <w:start w:val="1"/>
    </w:lvl>
  </w:abstractNum>
  <w:abstractNum w:abstractNumId="899">
    <w:nsid w:val="15CE9F92"/>
    <w:multiLevelType w:val="hybridMultilevel"/>
    <w:lvl w:ilvl="0">
      <w:lvlJc w:val="left"/>
      <w:lvlText w:val="§"/>
      <w:numFmt w:val="bullet"/>
      <w:start w:val="1"/>
    </w:lvl>
  </w:abstractNum>
  <w:abstractNum w:abstractNumId="900">
    <w:nsid w:val="225953F9"/>
    <w:multiLevelType w:val="hybridMultilevel"/>
    <w:lvl w:ilvl="0">
      <w:lvlJc w:val="left"/>
      <w:lvlText w:val="[***]"/>
      <w:numFmt w:val="bullet"/>
      <w:start w:val="1"/>
    </w:lvl>
  </w:abstractNum>
  <w:abstractNum w:abstractNumId="901">
    <w:nsid w:val="14CF2CF8"/>
    <w:multiLevelType w:val="hybridMultilevel"/>
    <w:lvl w:ilvl="0">
      <w:lvlJc w:val="left"/>
      <w:lvlText w:val="[***]"/>
      <w:numFmt w:val="bullet"/>
      <w:start w:val="1"/>
    </w:lvl>
  </w:abstractNum>
  <w:abstractNum w:abstractNumId="902">
    <w:nsid w:val="57AA92EA"/>
    <w:multiLevelType w:val="hybridMultilevel"/>
    <w:lvl w:ilvl="0">
      <w:lvlJc w:val="left"/>
      <w:lvlText w:val="%1."/>
      <w:numFmt w:val="decimal"/>
      <w:start w:val="2"/>
    </w:lvl>
  </w:abstractNum>
  <w:abstractNum w:abstractNumId="903">
    <w:nsid w:val="693ABDF"/>
    <w:multiLevelType w:val="hybridMultilevel"/>
    <w:lvl w:ilvl="0">
      <w:lvlJc w:val="left"/>
      <w:lvlText w:val="(%1)"/>
      <w:numFmt w:val="lowerLetter"/>
      <w:start w:val="6"/>
    </w:lvl>
  </w:abstractNum>
  <w:abstractNum w:abstractNumId="904">
    <w:nsid w:val="7285E29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05">
    <w:nsid w:val="5CF31B7D"/>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906">
    <w:nsid w:val="6CC81457"/>
    <w:multiLevelType w:val="hybridMultilevel"/>
    <w:lvl w:ilvl="0">
      <w:lvlJc w:val="left"/>
      <w:lvlText w:val="%1"/>
      <w:numFmt w:val="lowerLetter"/>
      <w:start w:val="1"/>
    </w:lvl>
    <w:lvl w:ilvl="1">
      <w:lvlJc w:val="left"/>
      <w:lvlText w:val="(%2)"/>
      <w:numFmt w:val="lowerRoman"/>
      <w:start w:val="5"/>
    </w:lvl>
  </w:abstractNum>
  <w:abstractNum w:abstractNumId="907">
    <w:nsid w:val="488A890A"/>
    <w:multiLevelType w:val="hybridMultilevel"/>
    <w:lvl w:ilvl="0">
      <w:lvlJc w:val="left"/>
      <w:lvlText w:val="(%1)"/>
      <w:numFmt w:val="lowerLetter"/>
      <w:start w:val="5"/>
    </w:lvl>
    <w:lvl w:ilvl="1">
      <w:lvlJc w:val="left"/>
      <w:lvlText w:val="%2"/>
      <w:numFmt w:val="lowerRoman"/>
      <w:start w:val="1"/>
    </w:lvl>
  </w:abstractNum>
  <w:abstractNum w:abstractNumId="908">
    <w:nsid w:val="4EB7487C"/>
    <w:multiLevelType w:val="hybridMultilevel"/>
    <w:lvl w:ilvl="0">
      <w:lvlJc w:val="left"/>
      <w:lvlText w:val="%1."/>
      <w:numFmt w:val="decimal"/>
      <w:start w:val="3"/>
    </w:lvl>
  </w:abstractNum>
  <w:abstractNum w:abstractNumId="909">
    <w:nsid w:val="4DC02714"/>
    <w:multiLevelType w:val="hybridMultilevel"/>
    <w:lvl w:ilvl="0">
      <w:lvlJc w:val="left"/>
      <w:lvlText w:val="%1"/>
      <w:numFmt w:val="lowerLetter"/>
      <w:start w:val="1"/>
    </w:lvl>
    <w:lvl w:ilvl="1">
      <w:lvlJc w:val="left"/>
      <w:lvlText w:val="(%2)"/>
      <w:numFmt w:val="lowerLetter"/>
      <w:start w:val="1"/>
    </w:lvl>
  </w:abstractNum>
  <w:abstractNum w:abstractNumId="910">
    <w:nsid w:val="79C31DD8"/>
    <w:multiLevelType w:val="hybridMultilevel"/>
    <w:lvl w:ilvl="0">
      <w:lvlJc w:val="left"/>
      <w:lvlText w:val="(%1)"/>
      <w:numFmt w:val="lowerLetter"/>
      <w:start w:val="61"/>
    </w:lvl>
    <w:lvl w:ilvl="1">
      <w:lvlJc w:val="left"/>
      <w:lvlText w:val="%2"/>
      <w:numFmt w:val="lowerLetter"/>
      <w:start w:val="1"/>
    </w:lvl>
  </w:abstractNum>
  <w:abstractNum w:abstractNumId="911">
    <w:nsid w:val="38F855CA"/>
    <w:multiLevelType w:val="hybridMultilevel"/>
    <w:lvl w:ilvl="0">
      <w:lvlJc w:val="left"/>
      <w:lvlText w:val="(%1)"/>
      <w:numFmt w:val="lowerLetter"/>
      <w:start w:val="3"/>
    </w:lvl>
  </w:abstractNum>
  <w:abstractNum w:abstractNumId="912">
    <w:nsid w:val="2F298A4A"/>
    <w:multiLevelType w:val="hybridMultilevel"/>
    <w:lvl w:ilvl="0">
      <w:lvlJc w:val="left"/>
      <w:lvlText w:val="%1."/>
      <w:numFmt w:val="decimal"/>
      <w:start w:val="4"/>
    </w:lvl>
  </w:abstractNum>
  <w:abstractNum w:abstractNumId="913">
    <w:nsid w:val="33380AF8"/>
    <w:multiLevelType w:val="hybridMultilevel"/>
    <w:lvl w:ilvl="0">
      <w:lvlJc w:val="left"/>
      <w:lvlText w:val="(%1)"/>
      <w:numFmt w:val="lowerLetter"/>
      <w:start w:val="1"/>
    </w:lvl>
  </w:abstractNum>
  <w:abstractNum w:abstractNumId="914">
    <w:nsid w:val="62A2EA91"/>
    <w:multiLevelType w:val="hybridMultilevel"/>
    <w:lvl w:ilvl="0">
      <w:lvlJc w:val="left"/>
      <w:lvlText w:val="[***]"/>
      <w:numFmt w:val="bullet"/>
      <w:start w:val="1"/>
    </w:lvl>
    <w:lvl w:ilvl="1">
      <w:lvlJc w:val="left"/>
      <w:lvlText w:val="(%2)"/>
      <w:numFmt w:val="lowerLetter"/>
      <w:start w:val="2"/>
    </w:lvl>
  </w:abstractNum>
  <w:abstractNum w:abstractNumId="915">
    <w:nsid w:val="3B4FF9DB"/>
    <w:multiLevelType w:val="hybridMultilevel"/>
    <w:lvl w:ilvl="0">
      <w:lvlJc w:val="left"/>
      <w:lvlText w:val="[***]"/>
      <w:numFmt w:val="bullet"/>
      <w:start w:val="1"/>
    </w:lvl>
    <w:lvl w:ilvl="1">
      <w:lvlJc w:val="left"/>
      <w:lvlText w:val="(%2)"/>
      <w:numFmt w:val="lowerLetter"/>
      <w:start w:val="1"/>
    </w:lvl>
  </w:abstractNum>
  <w:abstractNum w:abstractNumId="916">
    <w:nsid w:val="32FB27C0"/>
    <w:multiLevelType w:val="hybridMultilevel"/>
    <w:lvl w:ilvl="0">
      <w:lvlJc w:val="left"/>
      <w:lvlText w:val="[***]"/>
      <w:numFmt w:val="bullet"/>
      <w:start w:val="1"/>
    </w:lvl>
    <w:lvl w:ilvl="1">
      <w:lvlJc w:val="left"/>
      <w:lvlText w:val="(%2)"/>
      <w:numFmt w:val="lowerLetter"/>
      <w:start w:val="2"/>
    </w:lvl>
  </w:abstractNum>
  <w:abstractNum w:abstractNumId="917">
    <w:nsid w:val="136513C"/>
    <w:multiLevelType w:val="hybridMultilevel"/>
    <w:lvl w:ilvl="0">
      <w:lvlJc w:val="left"/>
      <w:lvlText w:val="(%1)"/>
      <w:numFmt w:val="lowerLetter"/>
      <w:start w:val="3"/>
    </w:lvl>
  </w:abstractNum>
  <w:abstractNum w:abstractNumId="918">
    <w:nsid w:val="4F93AAD5"/>
    <w:multiLevelType w:val="hybridMultilevel"/>
    <w:lvl w:ilvl="0">
      <w:lvlJc w:val="left"/>
      <w:lvlText w:val="(%1)"/>
      <w:numFmt w:val="lowerLetter"/>
      <w:start w:val="1"/>
    </w:lvl>
  </w:abstractNum>
  <w:abstractNum w:abstractNumId="919">
    <w:nsid w:val="7B6C7DC6"/>
    <w:multiLevelType w:val="hybridMultilevel"/>
    <w:lvl w:ilvl="0">
      <w:lvlJc w:val="left"/>
      <w:lvlText w:val="(%1)"/>
      <w:numFmt w:val="lowerLetter"/>
      <w:start w:val="1"/>
    </w:lvl>
  </w:abstractNum>
  <w:abstractNum w:abstractNumId="920">
    <w:nsid w:val="16F0A060"/>
    <w:multiLevelType w:val="hybridMultilevel"/>
    <w:lvl w:ilvl="0">
      <w:lvlJc w:val="left"/>
      <w:lvlText w:val="(%1)"/>
      <w:numFmt w:val="lowerRoman"/>
      <w:start w:val="1"/>
    </w:lvl>
  </w:abstractNum>
  <w:abstractNum w:abstractNumId="921">
    <w:nsid w:val="6175EB8"/>
    <w:multiLevelType w:val="hybridMultilevel"/>
    <w:lvl w:ilvl="0">
      <w:lvlJc w:val="left"/>
      <w:lvlText w:val="(%1)"/>
      <w:numFmt w:val="lowerRoman"/>
      <w:start w:val="2"/>
    </w:lvl>
  </w:abstractNum>
  <w:abstractNum w:abstractNumId="922">
    <w:nsid w:val="77B7C5CC"/>
    <w:multiLevelType w:val="hybridMultilevel"/>
    <w:lvl w:ilvl="0">
      <w:lvlJc w:val="left"/>
      <w:lvlText w:val="(%1)"/>
      <w:numFmt w:val="lowerRoman"/>
      <w:start w:val="3"/>
    </w:lvl>
  </w:abstractNum>
  <w:abstractNum w:abstractNumId="923">
    <w:nsid w:val="36A4C6E2"/>
    <w:multiLevelType w:val="hybridMultilevel"/>
    <w:lvl w:ilvl="0">
      <w:lvlJc w:val="left"/>
      <w:lvlText w:val="[***]"/>
      <w:numFmt w:val="bullet"/>
      <w:start w:val="1"/>
    </w:lvl>
    <w:lvl w:ilvl="1">
      <w:lvlJc w:val="left"/>
      <w:lvlText w:val="(%2)"/>
      <w:numFmt w:val="lowerLetter"/>
      <w:start w:val="2"/>
    </w:lvl>
  </w:abstractNum>
  <w:abstractNum w:abstractNumId="924">
    <w:nsid w:val="4B9DCBED"/>
    <w:multiLevelType w:val="hybridMultilevel"/>
    <w:lvl w:ilvl="0">
      <w:lvlJc w:val="left"/>
      <w:lvlText w:val="(%1)"/>
      <w:numFmt w:val="lowerLetter"/>
      <w:start w:val="1"/>
    </w:lvl>
  </w:abstractNum>
  <w:abstractNum w:abstractNumId="925">
    <w:nsid w:val="8AA4358"/>
    <w:multiLevelType w:val="hybridMultilevel"/>
    <w:lvl w:ilvl="0">
      <w:lvlJc w:val="left"/>
      <w:lvlText w:val="(%1)"/>
      <w:numFmt w:val="lowerLetter"/>
      <w:start w:val="1"/>
    </w:lvl>
  </w:abstractNum>
  <w:abstractNum w:abstractNumId="926">
    <w:nsid w:val="39112B90"/>
    <w:multiLevelType w:val="hybridMultilevel"/>
    <w:lvl w:ilvl="0">
      <w:lvlJc w:val="left"/>
      <w:lvlText w:val="(%1)"/>
      <w:numFmt w:val="lowerLetter"/>
      <w:start w:val="1"/>
    </w:lvl>
  </w:abstractNum>
  <w:abstractNum w:abstractNumId="927">
    <w:nsid w:val="53859101"/>
    <w:multiLevelType w:val="hybridMultilevel"/>
    <w:lvl w:ilvl="0">
      <w:lvlJc w:val="left"/>
      <w:lvlText w:val="(%1)"/>
      <w:numFmt w:val="lowerLetter"/>
      <w:start w:val="2"/>
    </w:lvl>
  </w:abstractNum>
  <w:abstractNum w:abstractNumId="928">
    <w:nsid w:val="70A00F05"/>
    <w:multiLevelType w:val="hybridMultilevel"/>
    <w:lvl w:ilvl="0">
      <w:lvlJc w:val="left"/>
      <w:lvlText w:val="(%1)"/>
      <w:numFmt w:val="lowerLetter"/>
      <w:start w:val="3"/>
    </w:lvl>
  </w:abstractNum>
  <w:abstractNum w:abstractNumId="929">
    <w:nsid w:val="4F5E12A4"/>
    <w:multiLevelType w:val="hybridMultilevel"/>
    <w:lvl w:ilvl="0">
      <w:lvlJc w:val="left"/>
      <w:lvlText w:val="(%1)"/>
      <w:numFmt w:val="lowerLetter"/>
      <w:start w:val="1"/>
    </w:lvl>
  </w:abstractNum>
  <w:abstractNum w:abstractNumId="930">
    <w:nsid w:val="69543093"/>
    <w:multiLevelType w:val="hybridMultilevel"/>
    <w:lvl w:ilvl="0">
      <w:lvlJc w:val="left"/>
      <w:lvlText w:val="%1."/>
      <w:numFmt w:val="decimal"/>
      <w:start w:val="5"/>
    </w:lvl>
  </w:abstractNum>
  <w:abstractNum w:abstractNumId="931">
    <w:nsid w:val="12F962FE"/>
    <w:multiLevelType w:val="hybridMultilevel"/>
    <w:lvl w:ilvl="0">
      <w:lvlJc w:val="left"/>
      <w:lvlText w:val="(%1)"/>
      <w:numFmt w:val="lowerLetter"/>
      <w:start w:val="1"/>
    </w:lvl>
  </w:abstractNum>
  <w:abstractNum w:abstractNumId="932">
    <w:nsid w:val="642D3F9D"/>
    <w:multiLevelType w:val="hybridMultilevel"/>
    <w:lvl w:ilvl="0">
      <w:lvlJc w:val="left"/>
      <w:lvlText w:val="(%1)"/>
      <w:numFmt w:val="lowerLetter"/>
      <w:start w:val="2"/>
    </w:lvl>
  </w:abstractNum>
  <w:abstractNum w:abstractNumId="933">
    <w:nsid w:val="40FEC37E"/>
    <w:multiLevelType w:val="hybridMultilevel"/>
    <w:lvl w:ilvl="0">
      <w:lvlJc w:val="left"/>
      <w:lvlText w:val="(%1)"/>
      <w:numFmt w:val="lowerLetter"/>
      <w:start w:val="1"/>
    </w:lvl>
    <w:lvl w:ilvl="1">
      <w:lvlJc w:val="left"/>
      <w:lvlText w:val="(%2)"/>
      <w:numFmt w:val="lowerRoman"/>
      <w:start w:val="1"/>
    </w:lvl>
  </w:abstractNum>
  <w:abstractNum w:abstractNumId="934">
    <w:nsid w:val="198D0EDE"/>
    <w:multiLevelType w:val="hybridMultilevel"/>
    <w:lvl w:ilvl="0">
      <w:lvlJc w:val="left"/>
      <w:lvlText w:val="[***]"/>
      <w:numFmt w:val="bullet"/>
      <w:start w:val="1"/>
    </w:lvl>
  </w:abstractNum>
  <w:abstractNum w:abstractNumId="935">
    <w:nsid w:val="56B3223A"/>
    <w:multiLevelType w:val="hybridMultilevel"/>
    <w:lvl w:ilvl="0">
      <w:lvlJc w:val="left"/>
      <w:lvlText w:val="(%1)"/>
      <w:numFmt w:val="lowerLetter"/>
      <w:start w:val="1"/>
    </w:lvl>
  </w:abstractNum>
  <w:abstractNum w:abstractNumId="936">
    <w:nsid w:val="1DF1DEFB"/>
    <w:multiLevelType w:val="hybridMultilevel"/>
    <w:lvl w:ilvl="0">
      <w:lvlJc w:val="left"/>
      <w:lvlText w:val="%1"/>
      <w:numFmt w:val="decimal"/>
      <w:start w:val="1"/>
    </w:lvl>
    <w:lvl w:ilvl="1">
      <w:lvlJc w:val="left"/>
      <w:lvlText w:val="(%2)"/>
      <w:numFmt w:val="lowerLetter"/>
      <w:start w:val="3"/>
    </w:lvl>
  </w:abstractNum>
  <w:abstractNum w:abstractNumId="937">
    <w:nsid w:val="6552335"/>
    <w:multiLevelType w:val="hybridMultilevel"/>
    <w:lvl w:ilvl="0">
      <w:lvlJc w:val="left"/>
      <w:lvlText w:val="%1."/>
      <w:numFmt w:val="decimal"/>
      <w:start w:val="6"/>
    </w:lvl>
    <w:lvl w:ilvl="1">
      <w:lvlJc w:val="left"/>
      <w:lvlText w:val="%2"/>
      <w:numFmt w:val="lowerLetter"/>
      <w:start w:val="1"/>
    </w:lvl>
  </w:abstractNum>
  <w:abstractNum w:abstractNumId="938">
    <w:nsid w:val="1F3DAB44"/>
    <w:multiLevelType w:val="hybridMultilevel"/>
    <w:lvl w:ilvl="0">
      <w:lvlJc w:val="left"/>
      <w:lvlText w:val="(%1)"/>
      <w:numFmt w:val="lowerLetter"/>
      <w:start w:val="1"/>
    </w:lvl>
  </w:abstractNum>
  <w:abstractNum w:abstractNumId="939">
    <w:nsid w:val="6CA92777"/>
    <w:multiLevelType w:val="hybridMultilevel"/>
    <w:lvl w:ilvl="0">
      <w:lvlJc w:val="left"/>
      <w:lvlText w:val="[***]"/>
      <w:numFmt w:val="bullet"/>
      <w:start w:val="1"/>
    </w:lvl>
    <w:lvl w:ilvl="1">
      <w:lvlJc w:val="left"/>
      <w:lvlText w:val="(%2)"/>
      <w:numFmt w:val="lowerLetter"/>
      <w:start w:val="1"/>
    </w:lvl>
  </w:abstractNum>
  <w:abstractNum w:abstractNumId="940">
    <w:nsid w:val="54154A49"/>
    <w:multiLevelType w:val="hybridMultilevel"/>
    <w:lvl w:ilvl="0">
      <w:lvlJc w:val="left"/>
      <w:lvlText w:val="[***]"/>
      <w:numFmt w:val="bullet"/>
      <w:start w:val="1"/>
    </w:lvl>
    <w:lvl w:ilvl="1">
      <w:lvlJc w:val="left"/>
      <w:lvlText w:val="(%2)"/>
      <w:numFmt w:val="lowerLetter"/>
      <w:start w:val="2"/>
    </w:lvl>
  </w:abstractNum>
  <w:abstractNum w:abstractNumId="941">
    <w:nsid w:val="1900C91C"/>
    <w:multiLevelType w:val="hybridMultilevel"/>
    <w:lvl w:ilvl="0">
      <w:lvlJc w:val="left"/>
      <w:lvlText w:val="[***]"/>
      <w:numFmt w:val="bullet"/>
      <w:start w:val="1"/>
    </w:lvl>
  </w:abstractNum>
  <w:abstractNum w:abstractNumId="942">
    <w:nsid w:val="25A17D41"/>
    <w:multiLevelType w:val="hybridMultilevel"/>
    <w:lvl w:ilvl="0">
      <w:lvlJc w:val="left"/>
      <w:lvlText w:val="[***]"/>
      <w:numFmt w:val="bullet"/>
      <w:start w:val="1"/>
    </w:lvl>
  </w:abstractNum>
  <w:abstractNum w:abstractNumId="943">
    <w:nsid w:val="33ED493"/>
    <w:multiLevelType w:val="hybridMultilevel"/>
    <w:lvl w:ilvl="0">
      <w:lvlJc w:val="left"/>
      <w:lvlText w:val="(%1)"/>
      <w:numFmt w:val="lowerLetter"/>
      <w:start w:val="1"/>
    </w:lvl>
  </w:abstractNum>
  <w:abstractNum w:abstractNumId="944">
    <w:nsid w:val="4C38D414"/>
    <w:multiLevelType w:val="hybridMultilevel"/>
    <w:lvl w:ilvl="0">
      <w:lvlJc w:val="left"/>
      <w:lvlText w:val="%1."/>
      <w:numFmt w:val="decimal"/>
      <w:start w:val="6"/>
    </w:lvl>
  </w:abstractNum>
  <w:abstractNum w:abstractNumId="945">
    <w:nsid w:val="84467D2"/>
    <w:multiLevelType w:val="hybridMultilevel"/>
    <w:lvl w:ilvl="0">
      <w:lvlJc w:val="left"/>
      <w:lvlText w:val="(%1)"/>
      <w:numFmt w:val="lowerLetter"/>
      <w:start w:val="1"/>
    </w:lvl>
  </w:abstractNum>
  <w:abstractNum w:abstractNumId="946">
    <w:nsid w:val="3E8ECE6E"/>
    <w:multiLevelType w:val="hybridMultilevel"/>
    <w:lvl w:ilvl="0">
      <w:lvlJc w:val="left"/>
      <w:lvlText w:val="(%1)"/>
      <w:numFmt w:val="lowerLetter"/>
      <w:start w:val="2"/>
    </w:lvl>
  </w:abstractNum>
  <w:abstractNum w:abstractNumId="947">
    <w:nsid w:val="7F33FBD4"/>
    <w:multiLevelType w:val="hybridMultilevel"/>
    <w:lvl w:ilvl="0">
      <w:lvlJc w:val="left"/>
      <w:lvlText w:val="%1."/>
      <w:numFmt w:val="decimal"/>
      <w:start w:val="7"/>
    </w:lvl>
  </w:abstractNum>
  <w:abstractNum w:abstractNumId="948">
    <w:nsid w:val="97AB90E"/>
    <w:multiLevelType w:val="hybridMultilevel"/>
    <w:lvl w:ilvl="0">
      <w:lvlJc w:val="left"/>
      <w:lvlText w:val="(%1)"/>
      <w:numFmt w:val="lowerLetter"/>
      <w:start w:val="1"/>
    </w:lvl>
  </w:abstractNum>
  <w:abstractNum w:abstractNumId="949">
    <w:nsid w:val="E227944"/>
    <w:multiLevelType w:val="hybridMultilevel"/>
    <w:lvl w:ilvl="0">
      <w:lvlJc w:val="left"/>
      <w:lvlText w:val="(%1)"/>
      <w:numFmt w:val="lowerLetter"/>
      <w:start w:val="1"/>
    </w:lvl>
  </w:abstractNum>
  <w:abstractNum w:abstractNumId="950">
    <w:nsid w:val="7AA0799A"/>
    <w:multiLevelType w:val="hybridMultilevel"/>
    <w:lvl w:ilvl="0">
      <w:lvlJc w:val="left"/>
      <w:lvlText w:val="(%1)"/>
      <w:numFmt w:val="lowerLetter"/>
      <w:start w:val="2"/>
    </w:lvl>
  </w:abstractNum>
  <w:abstractNum w:abstractNumId="951">
    <w:nsid w:val="206B596E"/>
    <w:multiLevelType w:val="hybridMultilevel"/>
    <w:lvl w:ilvl="0">
      <w:lvlJc w:val="left"/>
      <w:lvlText w:val="[***]"/>
      <w:numFmt w:val="bullet"/>
      <w:start w:val="1"/>
    </w:lvl>
  </w:abstractNum>
  <w:abstractNum w:abstractNumId="952">
    <w:nsid w:val="1439D7FC"/>
    <w:multiLevelType w:val="hybridMultilevel"/>
    <w:lvl w:ilvl="0">
      <w:lvlJc w:val="left"/>
      <w:lvlText w:val="%1."/>
      <w:numFmt w:val="decimal"/>
      <w:start w:val="8"/>
    </w:lvl>
  </w:abstractNum>
  <w:abstractNum w:abstractNumId="953">
    <w:nsid w:val="72583F67"/>
    <w:multiLevelType w:val="hybridMultilevel"/>
    <w:lvl w:ilvl="0">
      <w:lvlJc w:val="left"/>
      <w:lvlText w:val="[***]"/>
      <w:numFmt w:val="bullet"/>
      <w:start w:val="1"/>
    </w:lvl>
  </w:abstractNum>
  <w:abstractNum w:abstractNumId="954">
    <w:nsid w:val="57102051"/>
    <w:multiLevelType w:val="hybridMultilevel"/>
    <w:lvl w:ilvl="0">
      <w:lvlJc w:val="left"/>
      <w:lvlText w:val="%1."/>
      <w:numFmt w:val="decimal"/>
      <w:start w:val="9"/>
    </w:lvl>
  </w:abstractNum>
  <w:abstractNum w:abstractNumId="955">
    <w:nsid w:val="5FD7A3E9"/>
    <w:multiLevelType w:val="hybridMultilevel"/>
    <w:lvl w:ilvl="0">
      <w:lvlJc w:val="left"/>
      <w:lvlText w:val="(%1)"/>
      <w:numFmt w:val="lowerLetter"/>
      <w:start w:val="1"/>
    </w:lvl>
    <w:lvl w:ilvl="1">
      <w:lvlJc w:val="left"/>
      <w:lvlText w:val="(%2)"/>
      <w:numFmt w:val="lowerRoman"/>
      <w:start w:val="1"/>
    </w:lvl>
  </w:abstractNum>
  <w:abstractNum w:abstractNumId="956">
    <w:nsid w:val="7B0282B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957">
    <w:nsid w:val="10214BE1"/>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58">
    <w:nsid w:val="335D34EA"/>
    <w:multiLevelType w:val="hybridMultilevel"/>
    <w:lvl w:ilvl="0">
      <w:lvlJc w:val="left"/>
      <w:lvlText w:val="(%1)"/>
      <w:numFmt w:val="lowerLetter"/>
      <w:start w:val="1"/>
    </w:lvl>
  </w:abstractNum>
  <w:abstractNum w:abstractNumId="959">
    <w:nsid w:val="6BA291C4"/>
    <w:multiLevelType w:val="hybridMultilevel"/>
    <w:lvl w:ilvl="0">
      <w:lvlJc w:val="left"/>
      <w:lvlText w:val="[***]"/>
      <w:numFmt w:val="bullet"/>
      <w:start w:val="1"/>
    </w:lvl>
    <w:lvl w:ilvl="1">
      <w:lvlJc w:val="left"/>
      <w:lvlText w:val="(%2)"/>
      <w:numFmt w:val="lowerLetter"/>
      <w:start w:val="2"/>
    </w:lvl>
  </w:abstractNum>
  <w:abstractNum w:abstractNumId="960">
    <w:nsid w:val="5F7F5E86"/>
    <w:multiLevelType w:val="hybridMultilevel"/>
    <w:lvl w:ilvl="0">
      <w:lvlJc w:val="left"/>
      <w:lvlText w:val="%1."/>
      <w:numFmt w:val="decimal"/>
      <w:start w:val="10"/>
    </w:lvl>
  </w:abstractNum>
  <w:abstractNum w:abstractNumId="961">
    <w:nsid w:val="1CB1657E"/>
    <w:multiLevelType w:val="hybridMultilevel"/>
    <w:lvl w:ilvl="0">
      <w:lvlJc w:val="left"/>
      <w:lvlText w:val="(%1)"/>
      <w:numFmt w:val="lowerLetter"/>
      <w:start w:val="1"/>
    </w:lvl>
  </w:abstractNum>
  <w:abstractNum w:abstractNumId="962">
    <w:nsid w:val="7E9BF4C3"/>
    <w:multiLevelType w:val="hybridMultilevel"/>
    <w:lvl w:ilvl="0">
      <w:lvlJc w:val="left"/>
      <w:lvlText w:val="%1."/>
      <w:numFmt w:val="decimal"/>
      <w:start w:val="10"/>
    </w:lvl>
  </w:abstractNum>
  <w:abstractNum w:abstractNumId="963">
    <w:nsid w:val="43AC9E23"/>
    <w:multiLevelType w:val="hybridMultilevel"/>
    <w:lvl w:ilvl="0">
      <w:lvlJc w:val="left"/>
      <w:lvlText w:val="[***]"/>
      <w:numFmt w:val="bullet"/>
      <w:start w:val="1"/>
    </w:lvl>
    <w:lvl w:ilvl="1">
      <w:lvlJc w:val="left"/>
      <w:lvlText w:val="(%2)"/>
      <w:numFmt w:val="lowerLetter"/>
      <w:start w:val="1"/>
    </w:lvl>
  </w:abstractNum>
  <w:abstractNum w:abstractNumId="964">
    <w:nsid w:val="5DB028FC"/>
    <w:multiLevelType w:val="hybridMultilevel"/>
    <w:lvl w:ilvl="0">
      <w:lvlJc w:val="left"/>
      <w:lvlText w:val="[***]"/>
      <w:numFmt w:val="bullet"/>
      <w:start w:val="1"/>
    </w:lvl>
    <w:lvl w:ilvl="1">
      <w:lvlJc w:val="left"/>
      <w:lvlText w:val="(%2)"/>
      <w:numFmt w:val="lowerLetter"/>
      <w:start w:val="2"/>
    </w:lvl>
  </w:abstractNum>
  <w:abstractNum w:abstractNumId="965">
    <w:nsid w:val="182903A1"/>
    <w:multiLevelType w:val="hybridMultilevel"/>
    <w:lvl w:ilvl="0">
      <w:lvlJc w:val="left"/>
      <w:lvlText w:val="(%1)"/>
      <w:numFmt w:val="lowerLetter"/>
      <w:start w:val="1"/>
    </w:lvl>
    <w:lvl w:ilvl="1">
      <w:lvlJc w:val="left"/>
      <w:lvlText w:val="(%2)"/>
      <w:numFmt w:val="lowerRoman"/>
      <w:start w:val="1"/>
    </w:lvl>
  </w:abstractNum>
  <w:abstractNum w:abstractNumId="966">
    <w:nsid w:val="1A5FC0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967">
    <w:nsid w:val="7BA207F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68">
    <w:nsid w:val="1E7E26D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69">
    <w:nsid w:val="399D6BA1"/>
    <w:multiLevelType w:val="hybridMultilevel"/>
    <w:lvl w:ilvl="0">
      <w:lvlJc w:val="left"/>
      <w:lvlText w:val="(%1)"/>
      <w:numFmt w:val="lowerLetter"/>
      <w:start w:val="1"/>
    </w:lvl>
  </w:abstractNum>
  <w:abstractNum w:abstractNumId="970">
    <w:nsid w:val="684B2F6E"/>
    <w:multiLevelType w:val="hybridMultilevel"/>
    <w:lvl w:ilvl="0">
      <w:lvlJc w:val="left"/>
      <w:lvlText w:val="[***]"/>
      <w:numFmt w:val="bullet"/>
      <w:start w:val="1"/>
    </w:lvl>
    <w:lvl w:ilvl="1">
      <w:lvlJc w:val="left"/>
      <w:lvlText w:val="(%2)"/>
      <w:numFmt w:val="lowerLetter"/>
      <w:start w:val="1"/>
    </w:lvl>
  </w:abstractNum>
  <w:abstractNum w:abstractNumId="971">
    <w:nsid w:val="7293711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72">
    <w:nsid w:val="529E34B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973">
    <w:nsid w:val="DECACAF"/>
    <w:multiLevelType w:val="hybridMultilevel"/>
    <w:lvl w:ilvl="0">
      <w:lvlJc w:val="left"/>
      <w:lvlText w:val="(%1)"/>
      <w:numFmt w:val="lowerLetter"/>
      <w:start w:val="1"/>
    </w:lvl>
  </w:abstractNum>
  <w:abstractNum w:abstractNumId="974">
    <w:nsid w:val="75D245B2"/>
    <w:multiLevelType w:val="hybridMultilevel"/>
    <w:lvl w:ilvl="0">
      <w:lvlJc w:val="left"/>
      <w:lvlText w:val="[***]"/>
      <w:numFmt w:val="bullet"/>
      <w:start w:val="1"/>
    </w:lvl>
  </w:abstractNum>
  <w:abstractNum w:abstractNumId="975">
    <w:nsid w:val="1ED708D2"/>
    <w:multiLevelType w:val="hybridMultilevel"/>
    <w:lvl w:ilvl="0">
      <w:lvlJc w:val="left"/>
      <w:lvlText w:val="%1."/>
      <w:numFmt w:val="decimal"/>
      <w:start w:val="12"/>
    </w:lvl>
  </w:abstractNum>
  <w:abstractNum w:abstractNumId="976">
    <w:nsid w:val="16311481"/>
    <w:multiLevelType w:val="hybridMultilevel"/>
    <w:lvl w:ilvl="0">
      <w:lvlJc w:val="left"/>
      <w:lvlText w:val="[***]"/>
      <w:numFmt w:val="bullet"/>
      <w:start w:val="1"/>
    </w:lvl>
  </w:abstractNum>
  <w:abstractNum w:abstractNumId="977">
    <w:nsid w:val="34611421"/>
    <w:multiLevelType w:val="hybridMultilevel"/>
    <w:lvl w:ilvl="0">
      <w:lvlJc w:val="left"/>
      <w:lvlText w:val="(%1)"/>
      <w:numFmt w:val="lowerLetter"/>
      <w:start w:val="1"/>
    </w:lvl>
  </w:abstractNum>
  <w:abstractNum w:abstractNumId="978">
    <w:nsid w:val="1E0B04A6"/>
    <w:multiLevelType w:val="hybridMultilevel"/>
    <w:lvl w:ilvl="0">
      <w:lvlJc w:val="left"/>
      <w:lvlText w:val="(%1)"/>
      <w:numFmt w:val="lowerLetter"/>
      <w:start w:val="2"/>
    </w:lvl>
  </w:abstractNum>
  <w:abstractNum w:abstractNumId="979">
    <w:nsid w:val="1FABCD90"/>
    <w:multiLevelType w:val="hybridMultilevel"/>
    <w:lvl w:ilvl="0">
      <w:lvlJc w:val="left"/>
      <w:lvlText w:val="(%1)"/>
      <w:numFmt w:val="lowerLetter"/>
      <w:start w:val="3"/>
    </w:lvl>
  </w:abstractNum>
  <w:abstractNum w:abstractNumId="980">
    <w:nsid w:val="42838D65"/>
    <w:multiLevelType w:val="hybridMultilevel"/>
    <w:lvl w:ilvl="0">
      <w:lvlJc w:val="left"/>
      <w:lvlText w:val="(%1)"/>
      <w:numFmt w:val="lowerLetter"/>
      <w:start w:val="1"/>
    </w:lvl>
  </w:abstractNum>
  <w:abstractNum w:abstractNumId="981">
    <w:nsid w:val="18AB7E41"/>
    <w:multiLevelType w:val="hybridMultilevel"/>
    <w:lvl w:ilvl="0">
      <w:lvlJc w:val="left"/>
      <w:lvlText w:val="(%1)"/>
      <w:numFmt w:val="lowerRoman"/>
      <w:start w:val="1"/>
    </w:lvl>
  </w:abstractNum>
  <w:abstractNum w:abstractNumId="982">
    <w:nsid w:val="401726FE"/>
    <w:multiLevelType w:val="hybridMultilevel"/>
    <w:lvl w:ilvl="0">
      <w:lvlJc w:val="left"/>
      <w:lvlText w:val="[***]"/>
      <w:numFmt w:val="bullet"/>
      <w:start w:val="1"/>
    </w:lvl>
  </w:abstractNum>
  <w:abstractNum w:abstractNumId="983">
    <w:nsid w:val="56BD6561"/>
    <w:multiLevelType w:val="hybridMultilevel"/>
    <w:lvl w:ilvl="0">
      <w:lvlJc w:val="left"/>
      <w:lvlText w:val="%1"/>
      <w:numFmt w:val="lowerLetter"/>
      <w:start w:val="1"/>
    </w:lvl>
    <w:lvl w:ilvl="1">
      <w:lvlJc w:val="left"/>
      <w:lvlText w:val="(%2)"/>
      <w:numFmt w:val="lowerLetter"/>
      <w:start w:val="1"/>
    </w:lvl>
  </w:abstractNum>
  <w:abstractNum w:abstractNumId="984">
    <w:nsid w:val="B03BDA8"/>
    <w:multiLevelType w:val="hybridMultilevel"/>
    <w:lvl w:ilvl="0">
      <w:lvlJc w:val="left"/>
      <w:lvlText w:val="(%1)"/>
      <w:numFmt w:val="lowerLetter"/>
      <w:start w:val="35"/>
    </w:lvl>
    <w:lvl w:ilvl="1">
      <w:lvlJc w:val="left"/>
      <w:lvlText w:val="(%2)"/>
      <w:numFmt w:val="lowerLetter"/>
      <w:start w:val="2"/>
    </w:lvl>
  </w:abstractNum>
  <w:abstractNum w:abstractNumId="985">
    <w:nsid w:val="1727474F"/>
    <w:multiLevelType w:val="hybridMultilevel"/>
    <w:lvl w:ilvl="0">
      <w:lvlJc w:val="left"/>
      <w:lvlText w:val="%1."/>
      <w:numFmt w:val="decimal"/>
      <w:start w:val="13"/>
    </w:lvl>
  </w:abstractNum>
  <w:abstractNum w:abstractNumId="986">
    <w:nsid w:val="3695094A"/>
    <w:multiLevelType w:val="hybridMultilevel"/>
    <w:lvl w:ilvl="0">
      <w:lvlJc w:val="left"/>
      <w:lvlText w:val="[***]"/>
      <w:numFmt w:val="bullet"/>
      <w:start w:val="1"/>
    </w:lvl>
    <w:lvl w:ilvl="1">
      <w:lvlJc w:val="left"/>
      <w:lvlText w:val="(%2)"/>
      <w:numFmt w:val="lowerLetter"/>
      <w:start w:val="1"/>
    </w:lvl>
  </w:abstractNum>
  <w:abstractNum w:abstractNumId="987">
    <w:nsid w:val="6064067"/>
    <w:multiLevelType w:val="hybridMultilevel"/>
    <w:lvl w:ilvl="0">
      <w:lvlJc w:val="left"/>
      <w:lvlText w:val="[***]"/>
      <w:numFmt w:val="bullet"/>
      <w:start w:val="1"/>
    </w:lvl>
    <w:lvl w:ilvl="1">
      <w:lvlJc w:val="left"/>
      <w:lvlText w:val="(%2)"/>
      <w:numFmt w:val="lowerLetter"/>
      <w:start w:val="3"/>
    </w:lvl>
  </w:abstractNum>
  <w:abstractNum w:abstractNumId="988">
    <w:nsid w:val="27489331"/>
    <w:multiLevelType w:val="hybridMultilevel"/>
    <w:lvl w:ilvl="0">
      <w:lvlJc w:val="left"/>
      <w:lvlText w:val="(%1)"/>
      <w:numFmt w:val="lowerLetter"/>
      <w:start w:val="1"/>
    </w:lvl>
  </w:abstractNum>
  <w:abstractNum w:abstractNumId="989">
    <w:nsid w:val="69F23E34"/>
    <w:multiLevelType w:val="hybridMultilevel"/>
    <w:lvl w:ilvl="0">
      <w:lvlJc w:val="left"/>
      <w:lvlText w:val="%1."/>
      <w:numFmt w:val="decimal"/>
      <w:start w:val="14"/>
    </w:lvl>
  </w:abstractNum>
  <w:abstractNum w:abstractNumId="990">
    <w:nsid w:val="71A8D22C"/>
    <w:multiLevelType w:val="hybridMultilevel"/>
    <w:lvl w:ilvl="0">
      <w:lvlJc w:val="left"/>
      <w:lvlText w:val="%1"/>
      <w:numFmt w:val="decimal"/>
      <w:start w:val="1"/>
    </w:lvl>
    <w:lvl w:ilvl="1">
      <w:lvlJc w:val="left"/>
      <w:lvlText w:val="(%2)"/>
      <w:numFmt w:val="lowerLetter"/>
      <w:start w:val="1"/>
    </w:lvl>
  </w:abstractNum>
  <w:abstractNum w:abstractNumId="991">
    <w:nsid w:val="6C7F1B7"/>
    <w:multiLevelType w:val="hybridMultilevel"/>
    <w:lvl w:ilvl="0">
      <w:lvlJc w:val="left"/>
      <w:lvlText w:val="%1."/>
      <w:numFmt w:val="decimal"/>
      <w:start w:val="14"/>
    </w:lvl>
    <w:lvl w:ilvl="1">
      <w:lvlJc w:val="left"/>
      <w:lvlText w:val="%2"/>
      <w:numFmt w:val="lowerLetter"/>
      <w:start w:val="1"/>
    </w:lvl>
  </w:abstractNum>
  <w:abstractNum w:abstractNumId="992">
    <w:nsid w:val="6A3A3B2"/>
    <w:multiLevelType w:val="hybridMultilevel"/>
    <w:lvl w:ilvl="0">
      <w:lvlJc w:val="left"/>
      <w:lvlText w:val="%1."/>
      <w:numFmt w:val="decimal"/>
      <w:start w:val="15"/>
    </w:lvl>
  </w:abstractNum>
  <w:abstractNum w:abstractNumId="993">
    <w:nsid w:val="7044C6EF"/>
    <w:multiLevelType w:val="hybridMultilevel"/>
    <w:lvl w:ilvl="0">
      <w:lvlJc w:val="left"/>
      <w:lvlText w:val="(%1)"/>
      <w:numFmt w:val="lowerLetter"/>
      <w:start w:val="1"/>
    </w:lvl>
  </w:abstractNum>
  <w:abstractNum w:abstractNumId="994">
    <w:nsid w:val="4A748FDA"/>
    <w:multiLevelType w:val="hybridMultilevel"/>
    <w:lvl w:ilvl="0">
      <w:lvlJc w:val="left"/>
      <w:lvlText w:val="(%1)"/>
      <w:numFmt w:val="lowerLetter"/>
      <w:start w:val="5"/>
    </w:lvl>
  </w:abstractNum>
  <w:abstractNum w:abstractNumId="995">
    <w:nsid w:val="6453CCAE"/>
    <w:multiLevelType w:val="hybridMultilevel"/>
    <w:lvl w:ilvl="0">
      <w:lvlJc w:val="left"/>
      <w:lvlText w:val="(%1)"/>
      <w:numFmt w:val="lowerLetter"/>
      <w:start w:val="1"/>
    </w:lvl>
  </w:abstractNum>
  <w:abstractNum w:abstractNumId="996">
    <w:nsid w:val="86DCA90"/>
    <w:multiLevelType w:val="hybridMultilevel"/>
    <w:lvl w:ilvl="0">
      <w:lvlJc w:val="left"/>
      <w:lvlText w:val="%1"/>
      <w:numFmt w:val="lowerLetter"/>
      <w:start w:val="1"/>
    </w:lvl>
    <w:lvl w:ilvl="1">
      <w:lvlJc w:val="left"/>
      <w:lvlText w:val="(%2)"/>
      <w:numFmt w:val="lowerLetter"/>
      <w:start w:val="9"/>
    </w:lvl>
  </w:abstractNum>
  <w:abstractNum w:abstractNumId="997">
    <w:nsid w:val="64D45037"/>
    <w:multiLevelType w:val="hybridMultilevel"/>
    <w:lvl w:ilvl="0">
      <w:lvlJc w:val="left"/>
      <w:lvlText w:val="(%1)"/>
      <w:numFmt w:val="lowerLetter"/>
      <w:start w:val="61"/>
    </w:lvl>
    <w:lvl w:ilvl="1">
      <w:lvlJc w:val="left"/>
      <w:lvlText w:val="(%2)"/>
      <w:numFmt w:val="lowerLetter"/>
      <w:start w:val="11"/>
    </w:lvl>
  </w:abstractNum>
  <w:abstractNum w:abstractNumId="998">
    <w:nsid w:val="5FF5D4A5"/>
    <w:multiLevelType w:val="hybridMultilevel"/>
    <w:lvl w:ilvl="0">
      <w:lvlJc w:val="left"/>
      <w:lvlText w:val="(%1)"/>
      <w:numFmt w:val="lowerLetter"/>
      <w:start w:val="20"/>
    </w:lvl>
  </w:abstractNum>
  <w:abstractNum w:abstractNumId="999">
    <w:nsid w:val="26EBF166"/>
    <w:multiLevelType w:val="hybridMultilevel"/>
    <w:lvl w:ilvl="0">
      <w:lvlJc w:val="left"/>
      <w:lvlText w:val="(%1)"/>
      <w:numFmt w:val="lowerLetter"/>
      <w:start w:val="1"/>
    </w:lvl>
    <w:lvl w:ilvl="1">
      <w:lvlJc w:val="left"/>
      <w:lvlText w:val="(%2)"/>
      <w:numFmt w:val="lowerRoman"/>
      <w:start w:val="1"/>
    </w:lvl>
  </w:abstractNum>
  <w:abstractNum w:abstractNumId="1000">
    <w:nsid w:val="1E71BBD8"/>
    <w:multiLevelType w:val="hybridMultilevel"/>
    <w:lvl w:ilvl="0">
      <w:lvlJc w:val="left"/>
      <w:lvlText w:val="%1"/>
      <w:numFmt w:val="lowerLetter"/>
      <w:start w:val="1"/>
    </w:lvl>
    <w:lvl w:ilvl="1">
      <w:lvlJc w:val="left"/>
      <w:lvlText w:val="(%2)"/>
      <w:numFmt w:val="lowerRoman"/>
      <w:start w:val="4"/>
    </w:lvl>
  </w:abstractNum>
  <w:abstractNum w:abstractNumId="1001">
    <w:nsid w:val="48410413"/>
    <w:multiLevelType w:val="hybridMultilevel"/>
    <w:lvl w:ilvl="0">
      <w:lvlJc w:val="left"/>
      <w:lvlText w:val="(%1)"/>
      <w:numFmt w:val="lowerLetter"/>
      <w:start w:val="3"/>
    </w:lvl>
    <w:lvl w:ilvl="1">
      <w:lvlJc w:val="left"/>
      <w:lvlText w:val="%2"/>
      <w:numFmt w:val="lowerRoman"/>
      <w:start w:val="1"/>
    </w:lvl>
  </w:abstractNum>
  <w:abstractNum w:abstractNumId="1002">
    <w:nsid w:val="197F6285"/>
    <w:multiLevelType w:val="hybridMultilevel"/>
    <w:lvl w:ilvl="0">
      <w:lvlJc w:val="left"/>
      <w:lvlText w:val="(%1)"/>
      <w:numFmt w:val="lowerLetter"/>
      <w:start w:val="1"/>
    </w:lvl>
  </w:abstractNum>
  <w:abstractNum w:abstractNumId="1003">
    <w:nsid w:val="710FF095"/>
    <w:multiLevelType w:val="hybridMultilevel"/>
    <w:lvl w:ilvl="0">
      <w:lvlJc w:val="left"/>
      <w:lvlText w:val="%1"/>
      <w:numFmt w:val="decimal"/>
      <w:start w:val="1"/>
    </w:lvl>
    <w:lvl w:ilvl="1">
      <w:lvlJc w:val="left"/>
      <w:lvlText w:val="(%2)"/>
      <w:numFmt w:val="lowerLetter"/>
      <w:start w:val="3"/>
    </w:lvl>
  </w:abstractNum>
  <w:abstractNum w:abstractNumId="1004">
    <w:nsid w:val="562DB0C2"/>
    <w:multiLevelType w:val="hybridMultilevel"/>
    <w:lvl w:ilvl="0">
      <w:lvlJc w:val="left"/>
      <w:lvlText w:val="%1"/>
      <w:numFmt w:val="decimal"/>
      <w:start w:val="1"/>
    </w:lvl>
    <w:lvl w:ilvl="1">
      <w:lvlJc w:val="left"/>
      <w:lvlText w:val="(%2)"/>
      <w:numFmt w:val="lowerLetter"/>
      <w:start w:val="1"/>
    </w:lvl>
  </w:abstractNum>
  <w:abstractNum w:abstractNumId="1005">
    <w:nsid w:val="F51A837"/>
    <w:multiLevelType w:val="hybridMultilevel"/>
    <w:lvl w:ilvl="0">
      <w:lvlJc w:val="left"/>
      <w:lvlText w:val="(%1)"/>
      <w:numFmt w:val="decimal"/>
      <w:start w:val="1"/>
    </w:lvl>
    <w:lvl w:ilvl="1">
      <w:lvlJc w:val="left"/>
      <w:lvlText w:val="(%2)"/>
      <w:numFmt w:val="lowerLetter"/>
      <w:start w:val="2"/>
    </w:lvl>
  </w:abstractNum>
  <w:abstractNum w:abstractNumId="1006">
    <w:nsid w:val="FE6F967"/>
    <w:multiLevelType w:val="hybridMultilevel"/>
    <w:lvl w:ilvl="0">
      <w:lvlJc w:val="left"/>
      <w:lvlText w:val="%1."/>
      <w:numFmt w:val="decimal"/>
      <w:start w:val="16"/>
    </w:lvl>
    <w:lvl w:ilvl="1">
      <w:lvlJc w:val="left"/>
      <w:lvlText w:val="%2"/>
      <w:numFmt w:val="decimal"/>
      <w:start w:val="1"/>
    </w:lvl>
  </w:abstractNum>
  <w:abstractNum w:abstractNumId="1007">
    <w:nsid w:val="6C5EC544"/>
    <w:multiLevelType w:val="hybridMultilevel"/>
    <w:lvl w:ilvl="0">
      <w:lvlJc w:val="left"/>
      <w:lvlText w:val="(%1)"/>
      <w:numFmt w:val="lowerLetter"/>
      <w:start w:val="1"/>
    </w:lvl>
  </w:abstractNum>
  <w:abstractNum w:abstractNumId="1008">
    <w:nsid w:val="43B2BC58"/>
    <w:multiLevelType w:val="hybridMultilevel"/>
    <w:lvl w:ilvl="0">
      <w:lvlJc w:val="left"/>
      <w:lvlText w:val="%1."/>
      <w:numFmt w:val="decimal"/>
      <w:start w:val="17"/>
    </w:lvl>
  </w:abstractNum>
  <w:abstractNum w:abstractNumId="1009">
    <w:nsid w:val="2DF1FE0E"/>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1010">
    <w:nsid w:val="C0A92D4"/>
    <w:multiLevelType w:val="hybridMultilevel"/>
    <w:lvl w:ilvl="0">
      <w:lvlJc w:val="left"/>
      <w:lvlText w:val="(%1)"/>
      <w:numFmt w:val="lowerLetter"/>
      <w:start w:val="4"/>
    </w:lvl>
    <w:lvl w:ilvl="1">
      <w:lvlJc w:val="left"/>
      <w:lvlText w:val="%2"/>
      <w:numFmt w:val="decimal"/>
      <w:start w:val="1"/>
    </w:lvl>
  </w:abstractNum>
  <w:abstractNum w:abstractNumId="1011">
    <w:nsid w:val="63649BD"/>
    <w:multiLevelType w:val="hybridMultilevel"/>
    <w:lvl w:ilvl="0">
      <w:lvlJc w:val="left"/>
      <w:lvlText w:val="%1."/>
      <w:numFmt w:val="decimal"/>
      <w:start w:val="1"/>
    </w:lvl>
    <w:lvl w:ilvl="1">
      <w:lvlJc w:val="left"/>
      <w:lvlText w:val="(%2)"/>
      <w:numFmt w:val="lowerLetter"/>
      <w:start w:val="1"/>
    </w:lvl>
  </w:abstractNum>
  <w:abstractNum w:abstractNumId="1012">
    <w:nsid w:val="469D7C4F"/>
    <w:multiLevelType w:val="hybridMultilevel"/>
    <w:lvl w:ilvl="0">
      <w:lvlJc w:val="left"/>
      <w:lvlText w:val="%1."/>
      <w:numFmt w:val="decimal"/>
      <w:start w:val="1"/>
    </w:lvl>
    <w:lvl w:ilvl="1">
      <w:lvlJc w:val="left"/>
      <w:lvlText w:val="(%2)"/>
      <w:numFmt w:val="lowerLetter"/>
      <w:start w:val="1"/>
    </w:lvl>
  </w:abstractNum>
  <w:abstractNum w:abstractNumId="1013">
    <w:nsid w:val="4C21B9D2"/>
    <w:multiLevelType w:val="hybridMultilevel"/>
    <w:lvl w:ilvl="0">
      <w:lvlJc w:val="left"/>
      <w:lvlText w:val="%1."/>
      <w:numFmt w:val="decimal"/>
      <w:start w:val="1"/>
    </w:lvl>
  </w:abstractNum>
  <w:abstractNum w:abstractNumId="1014">
    <w:nsid w:val="5CF3AF1E"/>
    <w:multiLevelType w:val="hybridMultilevel"/>
    <w:lvl w:ilvl="0">
      <w:lvlJc w:val="left"/>
      <w:lvlText w:val="%1."/>
      <w:numFmt w:val="decimal"/>
      <w:start w:val="1"/>
    </w:lvl>
  </w:abstractNum>
  <w:abstractNum w:abstractNumId="1015">
    <w:nsid w:val="51A139F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9" Type="http://schemas.openxmlformats.org/officeDocument/2006/relationships/image" Target="media/image244.png"/><Relationship Id="rId272" Type="http://schemas.openxmlformats.org/officeDocument/2006/relationships/image" Target="media/image245.png"/><Relationship Id="rId288" Type="http://schemas.openxmlformats.org/officeDocument/2006/relationships/image" Target="media/image246.png"/><Relationship Id="rId302"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jpeg"/><Relationship Id="rId384" Type="http://schemas.openxmlformats.org/officeDocument/2006/relationships/image" Target="media/image328.jpe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251" Type="http://schemas.openxmlformats.org/officeDocument/2006/relationships/hyperlink" Target="https://www.sec.gov/Archives/edgar/data/1776985/000177698524000012/exhibit41biontechsearticle.htm" TargetMode="External"/><Relationship Id="rId252" Type="http://schemas.openxmlformats.org/officeDocument/2006/relationships/hyperlink" Target="http://www.sec.gov/Archives/edgar/data/1201935/000101915519000234/biontechdep.htm" TargetMode="External"/><Relationship Id="rId253" Type="http://schemas.openxmlformats.org/officeDocument/2006/relationships/hyperlink" Target="http://www.sec.gov/Archives/edgar/data/0001776985/000119312519241112/d635330dex42.htm" TargetMode="External"/><Relationship Id="rId254" Type="http://schemas.openxmlformats.org/officeDocument/2006/relationships/hyperlink" Target="http://www.sec.gov/Archives/edgar/data/0001776985/000119312519241112/d635330dex101.htm" TargetMode="External"/><Relationship Id="rId255" Type="http://schemas.openxmlformats.org/officeDocument/2006/relationships/hyperlink" Target="http://www.sec.gov/Archives/edgar/data/0001776985/000119312519241112/d635330dex102.htm" TargetMode="External"/><Relationship Id="rId256" Type="http://schemas.openxmlformats.org/officeDocument/2006/relationships/hyperlink" Target="http://www.sec.gov/Archives/edgar/data/0001776985/000119312519241112/d635330dex103.htm" TargetMode="External"/><Relationship Id="rId257" Type="http://schemas.openxmlformats.org/officeDocument/2006/relationships/hyperlink" Target="http://www.sec.gov/Archives/edgar/data/0001776985/000119312519241112/d635330dex104.htm" TargetMode="External"/><Relationship Id="rId258" Type="http://schemas.openxmlformats.org/officeDocument/2006/relationships/hyperlink" Target="http://www.sec.gov/Archives/edgar/data/0001776985/000119312519241112/d635330dex105.htm" TargetMode="External"/><Relationship Id="rId260" Type="http://schemas.openxmlformats.org/officeDocument/2006/relationships/hyperlink" Target="http://www.sec.gov/Archives/edgar/data/0001776985/000119312519241112/d635330dex106.htm" TargetMode="External"/><Relationship Id="rId261" Type="http://schemas.openxmlformats.org/officeDocument/2006/relationships/hyperlink" Target="http://www.sec.gov/Archives/edgar/data/0001776985/000119312519241112/d635330dex1014.htm" TargetMode="External"/><Relationship Id="rId262" Type="http://schemas.openxmlformats.org/officeDocument/2006/relationships/hyperlink" Target="http://www.sec.gov/Archives/edgar/data/1776985/000156459020014536/bntx-ex415_128.htm" TargetMode="External"/><Relationship Id="rId263" Type="http://schemas.openxmlformats.org/officeDocument/2006/relationships/hyperlink" Target="http://www.sec.gov/Archives/edgar/data/1776985/000156459020014536/bntx-ex416_126.htm" TargetMode="External"/><Relationship Id="rId264" Type="http://schemas.openxmlformats.org/officeDocument/2006/relationships/hyperlink" Target="http://www.sec.gov/Archives/edgar/data/0001776985/000156459021016723/bntx-ex417_789.htm" TargetMode="External"/><Relationship Id="rId265" Type="http://schemas.openxmlformats.org/officeDocument/2006/relationships/hyperlink" Target="http://www.sec.gov/Archives/edgar/data/0001776985/000156459021016723/bntx-ex418_411.htm" TargetMode="External"/><Relationship Id="rId266" Type="http://schemas.openxmlformats.org/officeDocument/2006/relationships/hyperlink" Target="http://www.sec.gov/Archives/edgar/data/1776985/000119312519241112/d635330dex1015.htm" TargetMode="External"/><Relationship Id="rId267" Type="http://schemas.openxmlformats.org/officeDocument/2006/relationships/hyperlink" Target="http://www.sec.gov/Archives/edgar/data/0001776985/000156459021016723/bntx-ex420_412.htm" TargetMode="External"/><Relationship Id="rId268" Type="http://schemas.openxmlformats.org/officeDocument/2006/relationships/hyperlink" Target="http://www.sec.gov/Archives/edgar/data/1776985/000119312519241112/d635330dex1016.htm" TargetMode="External"/><Relationship Id="rId269" Type="http://schemas.openxmlformats.org/officeDocument/2006/relationships/hyperlink" Target="http://www.sec.gov/Archives/edgar/data/1776985/000156459021016723/bntx-ex422_413.htm" TargetMode="External"/><Relationship Id="rId270" Type="http://schemas.openxmlformats.org/officeDocument/2006/relationships/hyperlink" Target="http://www.sec.gov/Archives/edgar/data/1776985/000119312519241112/d635330dex1018.htm" TargetMode="External"/><Relationship Id="rId271" Type="http://schemas.openxmlformats.org/officeDocument/2006/relationships/hyperlink" Target="http://www.sec.gov/Archives/edgar/data/1776985/000119312519241112/d635330dex1019.htm" TargetMode="External"/><Relationship Id="rId273" Type="http://schemas.openxmlformats.org/officeDocument/2006/relationships/hyperlink" Target="http://www.sec.gov/Archives/edgar/data/1776985/000119312519241112/d635330dex1025.htm" TargetMode="External"/><Relationship Id="rId274" Type="http://schemas.openxmlformats.org/officeDocument/2006/relationships/hyperlink" Target="http://www.sec.gov/Archives/edgar/data/1776985/000119312519241112/d635330dex1026.htm" TargetMode="External"/><Relationship Id="rId275" Type="http://schemas.openxmlformats.org/officeDocument/2006/relationships/hyperlink" Target="http://www.sec.gov/Archives/edgar/data/1776985/000119312519241112/d635330dex1027.htm" TargetMode="External"/><Relationship Id="rId276" Type="http://schemas.openxmlformats.org/officeDocument/2006/relationships/hyperlink" Target="http://www.sec.gov/Archives/edgar/data/1776985/000119312519241112/d635330dex1028.htm" TargetMode="External"/><Relationship Id="rId277" Type="http://schemas.openxmlformats.org/officeDocument/2006/relationships/hyperlink" Target="http://www.sec.gov/Archives/edgar/data/1776985/000119312519241112/d635330dex1029.htm" TargetMode="External"/><Relationship Id="rId278" Type="http://schemas.openxmlformats.org/officeDocument/2006/relationships/hyperlink" Target="http://www.sec.gov/Archives/edgar/data/1776985/000119312519241112/d635330dex1030.htm" TargetMode="External"/><Relationship Id="rId279" Type="http://schemas.openxmlformats.org/officeDocument/2006/relationships/hyperlink" Target="http://www.sec.gov/Archives/edgar/data/1776985/000119312519241112/d635330dex1031.htm" TargetMode="External"/><Relationship Id="rId280" Type="http://schemas.openxmlformats.org/officeDocument/2006/relationships/hyperlink" Target="http://www.sec.gov/Archives/edgar/data/1776985/000119312519241112/d635330dex1032.htm" TargetMode="External"/><Relationship Id="rId281" Type="http://schemas.openxmlformats.org/officeDocument/2006/relationships/hyperlink" Target="http://www.sec.gov/Archives/edgar/data/1776985/000119312519241112/d635330dex1033.htm" TargetMode="External"/><Relationship Id="rId282" Type="http://schemas.openxmlformats.org/officeDocument/2006/relationships/hyperlink" Target="http://www.sec.gov/Archives/edgar/data/0001776985/000156459020014536/bntx-ex435_184.htm" TargetMode="External"/><Relationship Id="rId283" Type="http://schemas.openxmlformats.org/officeDocument/2006/relationships/hyperlink" Target="http://www.sec.gov/Archives/edgar/data/0001776985/000119312520195911/d939702dex1038.htm" TargetMode="External"/><Relationship Id="rId284" Type="http://schemas.openxmlformats.org/officeDocument/2006/relationships/hyperlink" Target="http://www.sec.gov/Archives/edgar/data/1776985/000156459021016723/bntx-ex444_416.htm" TargetMode="External"/><Relationship Id="rId285" Type="http://schemas.openxmlformats.org/officeDocument/2006/relationships/hyperlink" Target="http://www.sec.gov/Archives/edgar/data/0001776985/000156459021016723/bntx-ex451_414.htm" TargetMode="External"/><Relationship Id="rId286" Type="http://schemas.openxmlformats.org/officeDocument/2006/relationships/hyperlink" Target="http://www.sec.gov/Archives/edgar/data/0001776985/000156459021016723/bntx-ex452_415.htm" TargetMode="External"/><Relationship Id="rId287" Type="http://schemas.openxmlformats.org/officeDocument/2006/relationships/hyperlink" Target="http://www.sec.gov/Archives/edgar/data/0001776985/000156459021016723/bntx-ex453_417.htm" TargetMode="External"/><Relationship Id="rId289" Type="http://schemas.openxmlformats.org/officeDocument/2006/relationships/hyperlink" Target="https://www.sec.gov/Archives/edgar/data/1776985/000119312523079791/d377167dex434.htm" TargetMode="External"/><Relationship Id="rId290" Type="http://schemas.openxmlformats.org/officeDocument/2006/relationships/hyperlink" Target="https://www.sec.gov/Archives/edgar/data/1776985/000119312523079791/d377167dex435.htm" TargetMode="External"/><Relationship Id="rId291" Type="http://schemas.openxmlformats.org/officeDocument/2006/relationships/hyperlink" Target="https://www.sec.gov/Archives/edgar/data/1776985/000119312523079791/d377167dex436.htm" TargetMode="External"/><Relationship Id="rId292" Type="http://schemas.openxmlformats.org/officeDocument/2006/relationships/hyperlink" Target="https://www.sec.gov/Archives/edgar/data/1776985/000119312523079791/d377167dex437.htm" TargetMode="External"/><Relationship Id="rId293" Type="http://schemas.openxmlformats.org/officeDocument/2006/relationships/hyperlink" Target="https://www.sec.gov/Archives/edgar/data/1776985/000119312523079791/d377167dex438.htm" TargetMode="External"/><Relationship Id="rId294" Type="http://schemas.openxmlformats.org/officeDocument/2006/relationships/hyperlink" Target="https://www.sec.gov/Archives/edgar/data/1776985/000119312523079791/d377167dex439.htm" TargetMode="External"/><Relationship Id="rId295" Type="http://schemas.openxmlformats.org/officeDocument/2006/relationships/hyperlink" Target="https://www.sec.gov/Archives/edgar/data/1776985/000119312523079791/d377167dex440.htm" TargetMode="External"/><Relationship Id="rId296" Type="http://schemas.openxmlformats.org/officeDocument/2006/relationships/hyperlink" Target="https://www.sec.gov/Archives/edgar/data/1776985/000119312523079791/d377167dex441.htm" TargetMode="External"/><Relationship Id="rId297" Type="http://schemas.openxmlformats.org/officeDocument/2006/relationships/hyperlink" Target="https://www.sec.gov/Archives/edgar/data/1776985/000119312523079791/d377167dex442.htm" TargetMode="External"/><Relationship Id="rId298" Type="http://schemas.openxmlformats.org/officeDocument/2006/relationships/hyperlink" Target="https://www.sec.gov/Archives/edgar/data/1776985/000119312523079791/d377167dex443.htm" TargetMode="External"/><Relationship Id="rId299" Type="http://schemas.openxmlformats.org/officeDocument/2006/relationships/hyperlink" Target="https://www.sec.gov/Archives/edgar/data/1776985/000119312523079791/d377167dex444.htm" TargetMode="External"/><Relationship Id="rId300" Type="http://schemas.openxmlformats.org/officeDocument/2006/relationships/hyperlink" Target="https://www.sec.gov/Archives/edgar/data/1776985/000119312523079791/d377167dex445.htm" TargetMode="External"/><Relationship Id="rId301" Type="http://schemas.openxmlformats.org/officeDocument/2006/relationships/hyperlink" Target="https://www.sec.gov/Archives/edgar/data/1776985/000119312523079791/d377167dex446.htm" TargetMode="External"/><Relationship Id="rId303" Type="http://schemas.openxmlformats.org/officeDocument/2006/relationships/hyperlink" Target="https://www.sec.gov/Archives/edgar/data/1776985/000119312523079791/d377167dex4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2024-03-20T07:09:57Z</dcterms:created>
  <dcterms:modified xsi:type="dcterms:W3CDTF">2024-03-20T07:09:57Z</dcterms:modified>
</cp:coreProperties>
</file>